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16984" w14:textId="77777777" w:rsidR="004A3BF4" w:rsidRPr="002800DB" w:rsidRDefault="00056601" w:rsidP="004A3BF4">
      <w:pPr>
        <w:rPr>
          <w:sz w:val="24"/>
          <w:szCs w:val="24"/>
          <w:lang w:val="en-GB"/>
        </w:rPr>
      </w:pPr>
      <w:r w:rsidRPr="002800DB">
        <w:rPr>
          <w:noProof/>
          <w:sz w:val="24"/>
          <w:szCs w:val="24"/>
          <w:lang w:val="en-GB"/>
        </w:rPr>
        <w:drawing>
          <wp:inline distT="0" distB="0" distL="0" distR="0" wp14:anchorId="418231E9" wp14:editId="3AC19BE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999291" w14:textId="77777777" w:rsidR="006B3847" w:rsidRPr="002800DB" w:rsidRDefault="006B3847" w:rsidP="006B3847">
      <w:pPr>
        <w:rPr>
          <w:sz w:val="24"/>
          <w:szCs w:val="24"/>
          <w:lang w:val="en-GB"/>
        </w:rPr>
      </w:pPr>
    </w:p>
    <w:p w14:paraId="3898A58F" w14:textId="6E90E9BC" w:rsidR="006B3847" w:rsidRPr="002800DB" w:rsidRDefault="006B3847" w:rsidP="006B3847">
      <w:pPr>
        <w:tabs>
          <w:tab w:val="right" w:pos="9356"/>
        </w:tabs>
        <w:rPr>
          <w:b/>
          <w:sz w:val="24"/>
          <w:szCs w:val="24"/>
          <w:lang w:val="en-GB"/>
        </w:rPr>
      </w:pPr>
      <w:r w:rsidRPr="002800DB">
        <w:rPr>
          <w:b/>
          <w:sz w:val="24"/>
          <w:szCs w:val="24"/>
          <w:lang w:val="en-GB"/>
        </w:rPr>
        <w:tab/>
      </w:r>
      <w:r w:rsidR="00677781">
        <w:rPr>
          <w:b/>
          <w:sz w:val="24"/>
          <w:szCs w:val="24"/>
          <w:lang w:val="en-GB"/>
        </w:rPr>
        <w:t>27 May 2025</w:t>
      </w:r>
    </w:p>
    <w:p w14:paraId="53143EEE" w14:textId="77777777" w:rsidR="006B3847" w:rsidRPr="002800DB" w:rsidRDefault="006B3847" w:rsidP="006B3847">
      <w:pPr>
        <w:rPr>
          <w:sz w:val="24"/>
          <w:szCs w:val="24"/>
          <w:lang w:val="en-GB"/>
        </w:rPr>
      </w:pPr>
    </w:p>
    <w:p w14:paraId="4ABF2473" w14:textId="77777777" w:rsidR="007C5D2A" w:rsidRPr="002800DB" w:rsidRDefault="007C5D2A" w:rsidP="007C5D2A">
      <w:pPr>
        <w:rPr>
          <w:sz w:val="24"/>
          <w:szCs w:val="24"/>
          <w:lang w:val="en-GB"/>
        </w:rPr>
      </w:pPr>
    </w:p>
    <w:p w14:paraId="21E63083" w14:textId="77777777" w:rsidR="007C5D2A" w:rsidRPr="002800DB" w:rsidRDefault="007C5D2A" w:rsidP="007C5D2A">
      <w:pPr>
        <w:rPr>
          <w:sz w:val="24"/>
          <w:szCs w:val="24"/>
          <w:lang w:val="en-GB"/>
        </w:rPr>
      </w:pPr>
    </w:p>
    <w:p w14:paraId="16DFD82D" w14:textId="77777777" w:rsidR="007C5D2A" w:rsidRPr="002800DB" w:rsidRDefault="007C5D2A" w:rsidP="007C5D2A">
      <w:pPr>
        <w:jc w:val="center"/>
        <w:rPr>
          <w:b/>
          <w:sz w:val="24"/>
          <w:szCs w:val="24"/>
          <w:lang w:val="en-GB"/>
        </w:rPr>
      </w:pPr>
      <w:bookmarkStart w:id="0" w:name="_Hlk49158549"/>
      <w:r w:rsidRPr="002800DB">
        <w:rPr>
          <w:b/>
          <w:sz w:val="24"/>
          <w:szCs w:val="24"/>
          <w:lang w:val="en-GB"/>
        </w:rPr>
        <w:t>SUMMARY OF PRODUCT CHARACTERISTICS</w:t>
      </w:r>
    </w:p>
    <w:bookmarkEnd w:id="0"/>
    <w:p w14:paraId="2474EDDF" w14:textId="77777777" w:rsidR="007C5D2A" w:rsidRPr="002800DB" w:rsidRDefault="007C5D2A" w:rsidP="007C5D2A">
      <w:pPr>
        <w:jc w:val="center"/>
        <w:rPr>
          <w:sz w:val="24"/>
          <w:szCs w:val="24"/>
          <w:lang w:val="en-GB"/>
        </w:rPr>
      </w:pPr>
    </w:p>
    <w:p w14:paraId="34D64E57" w14:textId="77777777" w:rsidR="007C5D2A" w:rsidRPr="002800DB" w:rsidRDefault="007C5D2A" w:rsidP="007C5D2A">
      <w:pPr>
        <w:jc w:val="center"/>
        <w:rPr>
          <w:b/>
          <w:sz w:val="24"/>
          <w:szCs w:val="24"/>
          <w:lang w:val="en-GB"/>
        </w:rPr>
      </w:pPr>
      <w:r w:rsidRPr="002800DB">
        <w:rPr>
          <w:b/>
          <w:sz w:val="24"/>
          <w:szCs w:val="24"/>
          <w:lang w:val="en-GB"/>
        </w:rPr>
        <w:t>for</w:t>
      </w:r>
    </w:p>
    <w:p w14:paraId="1C8840A4" w14:textId="77777777" w:rsidR="007C5D2A" w:rsidRPr="002800DB" w:rsidRDefault="007C5D2A" w:rsidP="007C5D2A">
      <w:pPr>
        <w:jc w:val="center"/>
        <w:rPr>
          <w:sz w:val="24"/>
          <w:szCs w:val="24"/>
          <w:lang w:val="en-GB"/>
        </w:rPr>
      </w:pPr>
    </w:p>
    <w:p w14:paraId="32248FAC" w14:textId="6E6A3DA0" w:rsidR="007C5D2A" w:rsidRPr="002800DB" w:rsidRDefault="00941516" w:rsidP="007C5D2A">
      <w:pPr>
        <w:jc w:val="center"/>
        <w:rPr>
          <w:b/>
          <w:sz w:val="24"/>
          <w:szCs w:val="24"/>
          <w:lang w:val="en-GB"/>
        </w:rPr>
      </w:pPr>
      <w:r w:rsidRPr="002800DB">
        <w:rPr>
          <w:b/>
          <w:sz w:val="24"/>
          <w:szCs w:val="24"/>
          <w:lang w:val="en-GB"/>
        </w:rPr>
        <w:t xml:space="preserve">Dimethyl fumarate "Teva", </w:t>
      </w:r>
      <w:r w:rsidR="00BE17CF" w:rsidRPr="002800DB">
        <w:rPr>
          <w:b/>
          <w:sz w:val="24"/>
          <w:szCs w:val="24"/>
          <w:lang w:val="en-GB"/>
        </w:rPr>
        <w:t>hard gastro-resistant capsules</w:t>
      </w:r>
    </w:p>
    <w:p w14:paraId="3FA886E3" w14:textId="77777777" w:rsidR="007C5D2A" w:rsidRPr="002800DB" w:rsidRDefault="007C5D2A" w:rsidP="007C5D2A">
      <w:pPr>
        <w:jc w:val="both"/>
        <w:rPr>
          <w:sz w:val="24"/>
          <w:szCs w:val="24"/>
          <w:lang w:val="en-GB"/>
        </w:rPr>
      </w:pPr>
    </w:p>
    <w:p w14:paraId="3F4B7E4B" w14:textId="77777777" w:rsidR="0042292D" w:rsidRPr="002800DB" w:rsidRDefault="0042292D" w:rsidP="007C5D2A">
      <w:pPr>
        <w:jc w:val="both"/>
        <w:rPr>
          <w:sz w:val="24"/>
          <w:szCs w:val="24"/>
          <w:lang w:val="en-GB"/>
        </w:rPr>
      </w:pPr>
    </w:p>
    <w:p w14:paraId="4E38D631" w14:textId="77777777" w:rsidR="008F2F8C" w:rsidRPr="002800DB" w:rsidRDefault="008F2F8C" w:rsidP="008F2F8C">
      <w:pPr>
        <w:tabs>
          <w:tab w:val="left" w:pos="8222"/>
        </w:tabs>
        <w:ind w:left="851" w:hanging="851"/>
        <w:rPr>
          <w:b/>
          <w:sz w:val="24"/>
          <w:szCs w:val="24"/>
          <w:lang w:val="en-GB"/>
        </w:rPr>
      </w:pPr>
      <w:r w:rsidRPr="002800DB">
        <w:rPr>
          <w:b/>
          <w:sz w:val="24"/>
          <w:szCs w:val="24"/>
          <w:lang w:val="en-GB"/>
        </w:rPr>
        <w:t>0.</w:t>
      </w:r>
      <w:r w:rsidRPr="002800DB">
        <w:rPr>
          <w:b/>
          <w:sz w:val="24"/>
          <w:szCs w:val="24"/>
          <w:lang w:val="en-GB"/>
        </w:rPr>
        <w:tab/>
      </w:r>
      <w:proofErr w:type="gramStart"/>
      <w:r w:rsidRPr="002800DB">
        <w:rPr>
          <w:b/>
          <w:sz w:val="24"/>
          <w:szCs w:val="24"/>
          <w:lang w:val="en-GB"/>
        </w:rPr>
        <w:t>D.SP.NO</w:t>
      </w:r>
      <w:proofErr w:type="gramEnd"/>
      <w:r w:rsidRPr="002800DB">
        <w:rPr>
          <w:b/>
          <w:sz w:val="24"/>
          <w:szCs w:val="24"/>
          <w:lang w:val="en-GB"/>
        </w:rPr>
        <w:t>.</w:t>
      </w:r>
    </w:p>
    <w:p w14:paraId="757DF28F" w14:textId="4533C2DB" w:rsidR="008F2F8C" w:rsidRPr="002800DB" w:rsidRDefault="00941516" w:rsidP="008F2F8C">
      <w:pPr>
        <w:tabs>
          <w:tab w:val="left" w:pos="8222"/>
        </w:tabs>
        <w:ind w:left="851"/>
        <w:rPr>
          <w:sz w:val="24"/>
          <w:szCs w:val="24"/>
          <w:lang w:val="en-GB"/>
        </w:rPr>
      </w:pPr>
      <w:r w:rsidRPr="002800DB">
        <w:rPr>
          <w:sz w:val="24"/>
          <w:szCs w:val="24"/>
          <w:lang w:val="en-GB"/>
        </w:rPr>
        <w:t>33788</w:t>
      </w:r>
    </w:p>
    <w:p w14:paraId="7BCF5334" w14:textId="77777777" w:rsidR="007C5D2A" w:rsidRPr="002800DB" w:rsidRDefault="007C5D2A" w:rsidP="007C5D2A">
      <w:pPr>
        <w:tabs>
          <w:tab w:val="left" w:pos="851"/>
        </w:tabs>
        <w:jc w:val="both"/>
        <w:rPr>
          <w:sz w:val="24"/>
          <w:szCs w:val="24"/>
          <w:lang w:val="en-GB"/>
        </w:rPr>
      </w:pPr>
    </w:p>
    <w:p w14:paraId="5BB7EA73" w14:textId="77777777" w:rsidR="007C5D2A" w:rsidRPr="002800DB" w:rsidRDefault="009925C9" w:rsidP="007C5D2A">
      <w:pPr>
        <w:tabs>
          <w:tab w:val="left" w:pos="851"/>
        </w:tabs>
        <w:ind w:left="851" w:hanging="851"/>
        <w:rPr>
          <w:sz w:val="24"/>
          <w:szCs w:val="24"/>
          <w:lang w:val="en-GB"/>
        </w:rPr>
      </w:pPr>
      <w:r w:rsidRPr="002800DB">
        <w:rPr>
          <w:b/>
          <w:sz w:val="24"/>
          <w:szCs w:val="24"/>
          <w:lang w:val="en-GB"/>
        </w:rPr>
        <w:t>1.</w:t>
      </w:r>
      <w:r w:rsidR="007C5D2A" w:rsidRPr="002800DB">
        <w:rPr>
          <w:b/>
          <w:sz w:val="24"/>
          <w:szCs w:val="24"/>
          <w:lang w:val="en-GB"/>
        </w:rPr>
        <w:tab/>
        <w:t>NAME OF THE MEDICINAL PRODUCT</w:t>
      </w:r>
    </w:p>
    <w:p w14:paraId="39AA21A8" w14:textId="3BD1ABB9" w:rsidR="007C5D2A" w:rsidRPr="002800DB" w:rsidRDefault="00941516" w:rsidP="004A3BF4">
      <w:pPr>
        <w:tabs>
          <w:tab w:val="left" w:pos="851"/>
        </w:tabs>
        <w:ind w:left="851"/>
        <w:rPr>
          <w:sz w:val="24"/>
          <w:szCs w:val="24"/>
          <w:lang w:val="en-GB"/>
        </w:rPr>
      </w:pPr>
      <w:r w:rsidRPr="002800DB">
        <w:rPr>
          <w:sz w:val="24"/>
          <w:szCs w:val="24"/>
          <w:lang w:val="en-GB"/>
        </w:rPr>
        <w:t>Dimethyl fumarate "Teva"</w:t>
      </w:r>
    </w:p>
    <w:p w14:paraId="4EDA08BD" w14:textId="77777777" w:rsidR="007C5D2A" w:rsidRPr="002800DB" w:rsidRDefault="007C5D2A" w:rsidP="004A3BF4">
      <w:pPr>
        <w:tabs>
          <w:tab w:val="left" w:pos="851"/>
        </w:tabs>
        <w:ind w:left="851"/>
        <w:rPr>
          <w:sz w:val="24"/>
          <w:szCs w:val="24"/>
          <w:lang w:val="en-GB"/>
        </w:rPr>
      </w:pPr>
    </w:p>
    <w:p w14:paraId="1D8E2B48" w14:textId="77777777" w:rsidR="007C5D2A" w:rsidRPr="002800DB" w:rsidRDefault="009925C9" w:rsidP="007C5D2A">
      <w:pPr>
        <w:ind w:left="851" w:hanging="851"/>
        <w:rPr>
          <w:b/>
          <w:sz w:val="24"/>
          <w:szCs w:val="24"/>
          <w:lang w:val="en-GB"/>
        </w:rPr>
      </w:pPr>
      <w:r w:rsidRPr="002800DB">
        <w:rPr>
          <w:b/>
          <w:sz w:val="24"/>
          <w:szCs w:val="24"/>
          <w:lang w:val="en-GB"/>
        </w:rPr>
        <w:t>2.</w:t>
      </w:r>
      <w:r w:rsidR="007C5D2A" w:rsidRPr="002800DB">
        <w:rPr>
          <w:b/>
          <w:sz w:val="24"/>
          <w:szCs w:val="24"/>
          <w:lang w:val="en-GB"/>
        </w:rPr>
        <w:tab/>
        <w:t>QUALITATIVE AND QUANTITATIVE COMPOSITION</w:t>
      </w:r>
    </w:p>
    <w:p w14:paraId="4BF1BC25" w14:textId="77777777" w:rsidR="002800DB" w:rsidRDefault="002800DB" w:rsidP="007168AF">
      <w:pPr>
        <w:ind w:left="851"/>
        <w:rPr>
          <w:sz w:val="24"/>
          <w:szCs w:val="24"/>
          <w:lang w:val="en-GB"/>
        </w:rPr>
      </w:pPr>
    </w:p>
    <w:p w14:paraId="445B705E" w14:textId="24DCF6B8" w:rsidR="00BE17CF" w:rsidRPr="002800DB" w:rsidRDefault="002800DB" w:rsidP="007168AF">
      <w:pPr>
        <w:ind w:left="851"/>
        <w:rPr>
          <w:sz w:val="24"/>
          <w:szCs w:val="24"/>
          <w:u w:val="single"/>
          <w:lang w:val="en-GB"/>
        </w:rPr>
      </w:pPr>
      <w:r w:rsidRPr="002800DB">
        <w:rPr>
          <w:sz w:val="24"/>
          <w:szCs w:val="24"/>
          <w:u w:val="single"/>
          <w:lang w:val="en-GB"/>
        </w:rPr>
        <w:t>Dimethyl fumarate "Teva"</w:t>
      </w:r>
      <w:r w:rsidR="00BE17CF" w:rsidRPr="002800DB">
        <w:rPr>
          <w:sz w:val="24"/>
          <w:szCs w:val="24"/>
          <w:u w:val="single"/>
          <w:lang w:val="en-GB"/>
        </w:rPr>
        <w:t xml:space="preserve"> 120 mg gastro-resistant hard capsules</w:t>
      </w:r>
    </w:p>
    <w:p w14:paraId="02F2A0AA" w14:textId="77777777" w:rsidR="00BE17CF" w:rsidRPr="002800DB" w:rsidRDefault="00BE17CF" w:rsidP="007168AF">
      <w:pPr>
        <w:ind w:left="851"/>
        <w:rPr>
          <w:sz w:val="24"/>
          <w:szCs w:val="24"/>
          <w:lang w:val="en-GB"/>
        </w:rPr>
      </w:pPr>
      <w:r w:rsidRPr="002800DB">
        <w:rPr>
          <w:sz w:val="24"/>
          <w:szCs w:val="24"/>
          <w:lang w:val="en-GB"/>
        </w:rPr>
        <w:t>Each gastro-resistant hard capsule contains 120 mg dimethyl fumarate</w:t>
      </w:r>
    </w:p>
    <w:p w14:paraId="310A5D6B" w14:textId="77777777" w:rsidR="00BE17CF" w:rsidRPr="002800DB" w:rsidRDefault="00BE17CF" w:rsidP="007168AF">
      <w:pPr>
        <w:ind w:left="851"/>
        <w:rPr>
          <w:sz w:val="24"/>
          <w:szCs w:val="24"/>
          <w:lang w:val="en-GB"/>
        </w:rPr>
      </w:pPr>
    </w:p>
    <w:p w14:paraId="75AEAC89" w14:textId="1751818F" w:rsidR="00BE17CF" w:rsidRPr="002800DB" w:rsidRDefault="002800DB" w:rsidP="007168AF">
      <w:pPr>
        <w:ind w:left="851"/>
        <w:rPr>
          <w:sz w:val="24"/>
          <w:szCs w:val="24"/>
          <w:u w:val="single"/>
          <w:lang w:val="en-GB"/>
        </w:rPr>
      </w:pPr>
      <w:r w:rsidRPr="002800DB">
        <w:rPr>
          <w:sz w:val="24"/>
          <w:szCs w:val="24"/>
          <w:u w:val="single"/>
          <w:lang w:val="en-GB"/>
        </w:rPr>
        <w:t>Dimethyl fumarate "Teva"</w:t>
      </w:r>
      <w:r w:rsidR="00BE17CF" w:rsidRPr="002800DB">
        <w:rPr>
          <w:sz w:val="24"/>
          <w:szCs w:val="24"/>
          <w:u w:val="single"/>
          <w:lang w:val="en-GB"/>
        </w:rPr>
        <w:t xml:space="preserve"> 240 mg gastro-resistant hard capsules</w:t>
      </w:r>
    </w:p>
    <w:p w14:paraId="491DEC5F" w14:textId="77777777" w:rsidR="00BE17CF" w:rsidRPr="002800DB" w:rsidRDefault="00BE17CF" w:rsidP="007168AF">
      <w:pPr>
        <w:ind w:left="851"/>
        <w:rPr>
          <w:sz w:val="24"/>
          <w:szCs w:val="24"/>
          <w:lang w:val="en-GB"/>
        </w:rPr>
      </w:pPr>
      <w:r w:rsidRPr="002800DB">
        <w:rPr>
          <w:sz w:val="24"/>
          <w:szCs w:val="24"/>
          <w:lang w:val="en-GB"/>
        </w:rPr>
        <w:t>Each gastro-resistant hard capsule contains 240 mg dimethyl fumarate</w:t>
      </w:r>
    </w:p>
    <w:p w14:paraId="1C01C1DE" w14:textId="77777777" w:rsidR="00BE17CF" w:rsidRPr="002800DB" w:rsidRDefault="00BE17CF" w:rsidP="007168AF">
      <w:pPr>
        <w:ind w:left="851"/>
        <w:rPr>
          <w:sz w:val="24"/>
          <w:szCs w:val="24"/>
          <w:lang w:val="en-GB"/>
        </w:rPr>
      </w:pPr>
    </w:p>
    <w:p w14:paraId="0A7734D3" w14:textId="77777777" w:rsidR="00BE17CF" w:rsidRPr="002800DB" w:rsidRDefault="00BE17CF" w:rsidP="007168AF">
      <w:pPr>
        <w:ind w:left="851"/>
        <w:rPr>
          <w:sz w:val="24"/>
          <w:szCs w:val="24"/>
          <w:lang w:val="en-GB"/>
        </w:rPr>
      </w:pPr>
      <w:r w:rsidRPr="002800DB">
        <w:rPr>
          <w:sz w:val="24"/>
          <w:szCs w:val="24"/>
          <w:lang w:val="en-GB"/>
        </w:rPr>
        <w:t>For the full list of excipients, see section 6.1.</w:t>
      </w:r>
    </w:p>
    <w:p w14:paraId="2EA2E423" w14:textId="77777777" w:rsidR="007C5D2A" w:rsidRPr="002800DB" w:rsidRDefault="007C5D2A" w:rsidP="004A3BF4">
      <w:pPr>
        <w:tabs>
          <w:tab w:val="left" w:pos="851"/>
        </w:tabs>
        <w:ind w:left="851"/>
        <w:rPr>
          <w:sz w:val="24"/>
          <w:szCs w:val="24"/>
          <w:lang w:val="en-GB"/>
        </w:rPr>
      </w:pPr>
    </w:p>
    <w:p w14:paraId="3A16DFD1"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3.</w:t>
      </w:r>
      <w:r w:rsidRPr="002800DB">
        <w:rPr>
          <w:b/>
          <w:sz w:val="24"/>
          <w:szCs w:val="24"/>
          <w:lang w:val="en-GB"/>
        </w:rPr>
        <w:tab/>
        <w:t>PHARMACEUTICAL FORM</w:t>
      </w:r>
    </w:p>
    <w:p w14:paraId="6E72135B" w14:textId="77777777" w:rsidR="00BE17CF" w:rsidRPr="002800DB" w:rsidRDefault="00BE17CF" w:rsidP="007168AF">
      <w:pPr>
        <w:ind w:left="851"/>
        <w:rPr>
          <w:sz w:val="24"/>
          <w:szCs w:val="24"/>
          <w:lang w:val="en-GB"/>
        </w:rPr>
      </w:pPr>
      <w:r w:rsidRPr="002800DB">
        <w:rPr>
          <w:sz w:val="24"/>
          <w:szCs w:val="24"/>
          <w:lang w:val="en-GB"/>
        </w:rPr>
        <w:t>Gastro-resistant hard capsule (gastro-resistant capsule).</w:t>
      </w:r>
    </w:p>
    <w:p w14:paraId="295D6D44" w14:textId="77777777" w:rsidR="00BE17CF" w:rsidRPr="002800DB" w:rsidRDefault="00BE17CF" w:rsidP="007168AF">
      <w:pPr>
        <w:ind w:left="851"/>
        <w:rPr>
          <w:sz w:val="24"/>
          <w:szCs w:val="24"/>
          <w:lang w:val="en-GB"/>
        </w:rPr>
      </w:pPr>
    </w:p>
    <w:p w14:paraId="00359011" w14:textId="457E60E9" w:rsidR="00BE17CF" w:rsidRPr="002800DB" w:rsidRDefault="002800DB" w:rsidP="007168AF">
      <w:pPr>
        <w:ind w:left="851"/>
        <w:rPr>
          <w:sz w:val="24"/>
          <w:szCs w:val="24"/>
          <w:u w:val="single"/>
          <w:lang w:val="en-GB"/>
        </w:rPr>
      </w:pPr>
      <w:r>
        <w:rPr>
          <w:sz w:val="24"/>
          <w:szCs w:val="24"/>
          <w:u w:val="single"/>
          <w:lang w:val="en-GB"/>
        </w:rPr>
        <w:t>Dimethyl fumarate "Teva"</w:t>
      </w:r>
      <w:r w:rsidR="00BE17CF" w:rsidRPr="002800DB">
        <w:rPr>
          <w:sz w:val="24"/>
          <w:szCs w:val="24"/>
          <w:u w:val="single"/>
          <w:lang w:val="en-GB"/>
        </w:rPr>
        <w:t xml:space="preserve"> 120 mg gastro-resistant hard capsules</w:t>
      </w:r>
    </w:p>
    <w:p w14:paraId="21E47ECB" w14:textId="77777777" w:rsidR="00BE17CF" w:rsidRPr="002800DB" w:rsidRDefault="00BE17CF" w:rsidP="007168AF">
      <w:pPr>
        <w:ind w:left="851"/>
        <w:rPr>
          <w:sz w:val="24"/>
          <w:szCs w:val="24"/>
          <w:lang w:val="en-GB"/>
        </w:rPr>
      </w:pPr>
      <w:r w:rsidRPr="002800DB">
        <w:rPr>
          <w:sz w:val="24"/>
          <w:szCs w:val="24"/>
          <w:lang w:val="en-GB"/>
        </w:rPr>
        <w:t>Green cap and white body, capsule shell of 21.4 mm, imprinted in black ink with “DMF 120” on the body containing white to off-white minitablets.</w:t>
      </w:r>
    </w:p>
    <w:p w14:paraId="55E10870" w14:textId="77777777" w:rsidR="00BE17CF" w:rsidRPr="002800DB" w:rsidRDefault="00BE17CF" w:rsidP="007168AF">
      <w:pPr>
        <w:ind w:left="851"/>
        <w:rPr>
          <w:sz w:val="24"/>
          <w:szCs w:val="24"/>
          <w:lang w:val="en-GB"/>
        </w:rPr>
      </w:pPr>
    </w:p>
    <w:p w14:paraId="350D9EFC" w14:textId="107CD148" w:rsidR="00BE17CF" w:rsidRPr="002800DB" w:rsidRDefault="002800DB" w:rsidP="007168AF">
      <w:pPr>
        <w:ind w:left="851"/>
        <w:rPr>
          <w:sz w:val="24"/>
          <w:szCs w:val="24"/>
          <w:u w:val="single"/>
          <w:lang w:val="en-GB"/>
        </w:rPr>
      </w:pPr>
      <w:r>
        <w:rPr>
          <w:sz w:val="24"/>
          <w:szCs w:val="24"/>
          <w:u w:val="single"/>
          <w:lang w:val="en-GB"/>
        </w:rPr>
        <w:t>Dimethyl fumarate "Teva"</w:t>
      </w:r>
      <w:r w:rsidR="00BE17CF" w:rsidRPr="002800DB">
        <w:rPr>
          <w:sz w:val="24"/>
          <w:szCs w:val="24"/>
          <w:u w:val="single"/>
          <w:lang w:val="en-GB"/>
        </w:rPr>
        <w:t xml:space="preserve"> 240 mg gastro-resistant hard capsules</w:t>
      </w:r>
    </w:p>
    <w:p w14:paraId="6698EB68" w14:textId="77777777" w:rsidR="00BE17CF" w:rsidRPr="002800DB" w:rsidRDefault="00BE17CF" w:rsidP="007168AF">
      <w:pPr>
        <w:ind w:left="851"/>
        <w:rPr>
          <w:sz w:val="24"/>
          <w:szCs w:val="24"/>
          <w:lang w:val="en-GB"/>
        </w:rPr>
      </w:pPr>
      <w:r w:rsidRPr="002800DB">
        <w:rPr>
          <w:sz w:val="24"/>
          <w:szCs w:val="24"/>
          <w:lang w:val="en-GB"/>
        </w:rPr>
        <w:t>Green cap and body, capsule shell of 23.2 mm, imprinted in black ink with “DMF 240” on the body containing white to off-white minitablets.</w:t>
      </w:r>
    </w:p>
    <w:p w14:paraId="67A8CCF4" w14:textId="77777777" w:rsidR="007C5D2A" w:rsidRPr="002800DB" w:rsidRDefault="007C5D2A" w:rsidP="004A3BF4">
      <w:pPr>
        <w:tabs>
          <w:tab w:val="left" w:pos="851"/>
        </w:tabs>
        <w:ind w:left="851"/>
        <w:rPr>
          <w:sz w:val="24"/>
          <w:szCs w:val="24"/>
          <w:lang w:val="en-GB"/>
        </w:rPr>
      </w:pPr>
    </w:p>
    <w:p w14:paraId="51CB87E7" w14:textId="77777777" w:rsidR="007C5D2A" w:rsidRPr="002800DB" w:rsidRDefault="007C5D2A" w:rsidP="004A3BF4">
      <w:pPr>
        <w:tabs>
          <w:tab w:val="left" w:pos="851"/>
        </w:tabs>
        <w:ind w:left="851"/>
        <w:rPr>
          <w:sz w:val="24"/>
          <w:szCs w:val="24"/>
          <w:lang w:val="en-GB"/>
        </w:rPr>
      </w:pPr>
    </w:p>
    <w:p w14:paraId="08298BE7" w14:textId="77777777" w:rsidR="007C5D2A" w:rsidRPr="002800DB" w:rsidRDefault="007C5D2A" w:rsidP="007C5D2A">
      <w:pPr>
        <w:ind w:left="851" w:hanging="851"/>
        <w:rPr>
          <w:b/>
          <w:sz w:val="24"/>
          <w:szCs w:val="24"/>
          <w:lang w:val="en-GB"/>
        </w:rPr>
      </w:pPr>
      <w:r w:rsidRPr="002800DB">
        <w:rPr>
          <w:b/>
          <w:sz w:val="24"/>
          <w:szCs w:val="24"/>
          <w:lang w:val="en-GB"/>
        </w:rPr>
        <w:t>4.</w:t>
      </w:r>
      <w:r w:rsidRPr="002800DB">
        <w:rPr>
          <w:b/>
          <w:sz w:val="24"/>
          <w:szCs w:val="24"/>
          <w:lang w:val="en-GB"/>
        </w:rPr>
        <w:tab/>
        <w:t>CLINICAL PARTICULARS</w:t>
      </w:r>
    </w:p>
    <w:p w14:paraId="3CE8CE5F" w14:textId="77777777" w:rsidR="007C5D2A" w:rsidRPr="002800DB" w:rsidRDefault="007C5D2A" w:rsidP="004A3BF4">
      <w:pPr>
        <w:tabs>
          <w:tab w:val="left" w:pos="851"/>
        </w:tabs>
        <w:ind w:left="851"/>
        <w:rPr>
          <w:sz w:val="24"/>
          <w:szCs w:val="24"/>
          <w:lang w:val="en-GB"/>
        </w:rPr>
      </w:pPr>
    </w:p>
    <w:p w14:paraId="4A41E7DB" w14:textId="77777777" w:rsidR="007C5D2A" w:rsidRPr="002800DB" w:rsidRDefault="007C5D2A" w:rsidP="007C5D2A">
      <w:pPr>
        <w:ind w:left="851" w:hanging="851"/>
        <w:rPr>
          <w:b/>
          <w:sz w:val="24"/>
          <w:szCs w:val="24"/>
          <w:u w:val="single"/>
          <w:lang w:val="en-GB"/>
        </w:rPr>
      </w:pPr>
      <w:r w:rsidRPr="002800DB">
        <w:rPr>
          <w:b/>
          <w:sz w:val="24"/>
          <w:szCs w:val="24"/>
          <w:lang w:val="en-GB"/>
        </w:rPr>
        <w:t>4.1</w:t>
      </w:r>
      <w:r w:rsidRPr="002800DB">
        <w:rPr>
          <w:b/>
          <w:sz w:val="24"/>
          <w:szCs w:val="24"/>
          <w:lang w:val="en-GB"/>
        </w:rPr>
        <w:tab/>
        <w:t>Therapeutic indications</w:t>
      </w:r>
    </w:p>
    <w:p w14:paraId="456D2E61" w14:textId="776030D2" w:rsidR="00BE17CF" w:rsidRPr="002800DB" w:rsidRDefault="002800DB" w:rsidP="007168AF">
      <w:pPr>
        <w:ind w:left="851"/>
        <w:rPr>
          <w:sz w:val="24"/>
          <w:szCs w:val="24"/>
          <w:lang w:val="en-GB"/>
        </w:rPr>
      </w:pPr>
      <w:r>
        <w:rPr>
          <w:sz w:val="24"/>
          <w:szCs w:val="24"/>
          <w:lang w:val="en-GB"/>
        </w:rPr>
        <w:t>Dimethyl fumarate "Teva"</w:t>
      </w:r>
      <w:r w:rsidR="00BE17CF" w:rsidRPr="002800DB">
        <w:rPr>
          <w:sz w:val="24"/>
          <w:szCs w:val="24"/>
          <w:lang w:val="en-GB"/>
        </w:rPr>
        <w:t xml:space="preserve"> is indicated for the treatment of adult and paediatric patients aged 13 years and older with relapsing remitting multiple sclerosis (RRMS).</w:t>
      </w:r>
    </w:p>
    <w:p w14:paraId="0FBAC01A" w14:textId="22676622" w:rsidR="00743C18" w:rsidRDefault="00743C18">
      <w:pPr>
        <w:rPr>
          <w:sz w:val="24"/>
          <w:szCs w:val="24"/>
          <w:lang w:val="en-GB"/>
        </w:rPr>
      </w:pPr>
      <w:r>
        <w:rPr>
          <w:sz w:val="24"/>
          <w:szCs w:val="24"/>
          <w:lang w:val="en-GB"/>
        </w:rPr>
        <w:br w:type="page"/>
      </w:r>
    </w:p>
    <w:p w14:paraId="73C5DFF8" w14:textId="77777777" w:rsidR="007C5D2A" w:rsidRPr="002800DB" w:rsidRDefault="007C5D2A" w:rsidP="00A85D26">
      <w:pPr>
        <w:tabs>
          <w:tab w:val="left" w:pos="851"/>
        </w:tabs>
        <w:ind w:left="851"/>
        <w:rPr>
          <w:sz w:val="24"/>
          <w:szCs w:val="24"/>
          <w:lang w:val="en-GB"/>
        </w:rPr>
      </w:pPr>
    </w:p>
    <w:p w14:paraId="0A685D32" w14:textId="77777777" w:rsidR="007C5D2A" w:rsidRPr="002800DB" w:rsidRDefault="009925C9" w:rsidP="007C5D2A">
      <w:pPr>
        <w:tabs>
          <w:tab w:val="left" w:pos="851"/>
        </w:tabs>
        <w:ind w:left="851" w:hanging="851"/>
        <w:rPr>
          <w:sz w:val="24"/>
          <w:szCs w:val="24"/>
          <w:lang w:val="en-GB"/>
        </w:rPr>
      </w:pPr>
      <w:r w:rsidRPr="002800DB">
        <w:rPr>
          <w:b/>
          <w:sz w:val="24"/>
          <w:szCs w:val="24"/>
          <w:lang w:val="en-GB"/>
        </w:rPr>
        <w:t>4.2</w:t>
      </w:r>
      <w:r w:rsidR="007C5D2A" w:rsidRPr="002800DB">
        <w:rPr>
          <w:b/>
          <w:sz w:val="24"/>
          <w:szCs w:val="24"/>
          <w:lang w:val="en-GB"/>
        </w:rPr>
        <w:tab/>
        <w:t>Posology and method of administration</w:t>
      </w:r>
    </w:p>
    <w:p w14:paraId="7DAF9855" w14:textId="77777777" w:rsidR="00BE17CF" w:rsidRPr="002800DB" w:rsidRDefault="00BE17CF" w:rsidP="007168AF">
      <w:pPr>
        <w:ind w:left="851"/>
        <w:rPr>
          <w:sz w:val="24"/>
          <w:szCs w:val="24"/>
          <w:lang w:val="en-GB"/>
        </w:rPr>
      </w:pPr>
      <w:r w:rsidRPr="002800DB">
        <w:rPr>
          <w:sz w:val="24"/>
          <w:szCs w:val="24"/>
          <w:lang w:val="en-GB"/>
        </w:rPr>
        <w:t xml:space="preserve">Treatment should be initiated under supervision of a physician experienced in the treatment of multiple sclerosis. </w:t>
      </w:r>
    </w:p>
    <w:p w14:paraId="5473FB4D" w14:textId="77777777" w:rsidR="00BE17CF" w:rsidRPr="002800DB" w:rsidRDefault="00BE17CF" w:rsidP="007168AF">
      <w:pPr>
        <w:ind w:left="851"/>
        <w:rPr>
          <w:sz w:val="24"/>
          <w:szCs w:val="24"/>
          <w:lang w:val="en-GB"/>
        </w:rPr>
      </w:pPr>
    </w:p>
    <w:p w14:paraId="007C8DB9" w14:textId="77777777" w:rsidR="00BE17CF" w:rsidRPr="002800DB" w:rsidRDefault="00BE17CF" w:rsidP="007168AF">
      <w:pPr>
        <w:ind w:left="851"/>
        <w:rPr>
          <w:sz w:val="24"/>
          <w:szCs w:val="24"/>
          <w:u w:val="single"/>
          <w:lang w:val="en-GB"/>
        </w:rPr>
      </w:pPr>
      <w:r w:rsidRPr="002800DB">
        <w:rPr>
          <w:sz w:val="24"/>
          <w:szCs w:val="24"/>
          <w:u w:val="single"/>
          <w:lang w:val="en-GB"/>
        </w:rPr>
        <w:t>Posology</w:t>
      </w:r>
    </w:p>
    <w:p w14:paraId="45559007" w14:textId="77777777" w:rsidR="00BE17CF" w:rsidRPr="002800DB" w:rsidRDefault="00BE17CF" w:rsidP="007168AF">
      <w:pPr>
        <w:ind w:left="851"/>
        <w:rPr>
          <w:sz w:val="24"/>
          <w:szCs w:val="24"/>
          <w:lang w:val="en-GB"/>
        </w:rPr>
      </w:pPr>
      <w:r w:rsidRPr="002800DB">
        <w:rPr>
          <w:sz w:val="24"/>
          <w:szCs w:val="24"/>
          <w:lang w:val="en-GB"/>
        </w:rPr>
        <w:t>The starting dose is 120 mg twice a day. After 7 days, the dose should be increased to the recommended maintenance dose of 240 mg twice a day (see section 4.4).</w:t>
      </w:r>
    </w:p>
    <w:p w14:paraId="7E83419E" w14:textId="77777777" w:rsidR="00BE17CF" w:rsidRPr="002800DB" w:rsidRDefault="00BE17CF" w:rsidP="007168AF">
      <w:pPr>
        <w:ind w:left="851"/>
        <w:rPr>
          <w:sz w:val="24"/>
          <w:szCs w:val="24"/>
          <w:lang w:val="en-GB"/>
        </w:rPr>
      </w:pPr>
    </w:p>
    <w:p w14:paraId="0C795758" w14:textId="77777777" w:rsidR="00BE17CF" w:rsidRPr="002800DB" w:rsidRDefault="00BE17CF" w:rsidP="007168AF">
      <w:pPr>
        <w:ind w:left="851"/>
        <w:rPr>
          <w:sz w:val="24"/>
          <w:szCs w:val="24"/>
          <w:lang w:val="en-GB"/>
        </w:rPr>
      </w:pPr>
      <w:r w:rsidRPr="002800DB">
        <w:rPr>
          <w:sz w:val="24"/>
          <w:szCs w:val="24"/>
          <w:lang w:val="en-GB"/>
        </w:rPr>
        <w:t>If a patient misses a dose, a double dose should not be taken. The patient may take the missed dose only if they leave 4 hours between doses. Otherwise the patient should wait until the next scheduled dose.</w:t>
      </w:r>
    </w:p>
    <w:p w14:paraId="261871B5" w14:textId="77777777" w:rsidR="00BE17CF" w:rsidRPr="002800DB" w:rsidRDefault="00BE17CF" w:rsidP="007168AF">
      <w:pPr>
        <w:ind w:left="851"/>
        <w:rPr>
          <w:sz w:val="24"/>
          <w:szCs w:val="24"/>
          <w:lang w:val="en-GB"/>
        </w:rPr>
      </w:pPr>
    </w:p>
    <w:p w14:paraId="12CF0313" w14:textId="77777777" w:rsidR="00BE17CF" w:rsidRPr="002800DB" w:rsidRDefault="00BE17CF" w:rsidP="007168AF">
      <w:pPr>
        <w:ind w:left="851"/>
        <w:rPr>
          <w:sz w:val="24"/>
          <w:szCs w:val="24"/>
          <w:lang w:val="en-GB"/>
        </w:rPr>
      </w:pPr>
      <w:r w:rsidRPr="002800DB">
        <w:rPr>
          <w:sz w:val="24"/>
          <w:szCs w:val="24"/>
          <w:lang w:val="en-GB"/>
        </w:rPr>
        <w:t>Temporary dose reduction to 120 mg twice a day may reduce the occurrence of flushing and gastrointestinal adverse reactions. Within 1 month, the recommended maintenance dose of 240 mg twice a day should be resumed.</w:t>
      </w:r>
    </w:p>
    <w:p w14:paraId="2AB5ACF8" w14:textId="77777777" w:rsidR="00BE17CF" w:rsidRPr="002800DB" w:rsidRDefault="00BE17CF" w:rsidP="007168AF">
      <w:pPr>
        <w:ind w:left="851"/>
        <w:rPr>
          <w:sz w:val="24"/>
          <w:szCs w:val="24"/>
          <w:lang w:val="en-GB"/>
        </w:rPr>
      </w:pPr>
    </w:p>
    <w:p w14:paraId="16B9815C" w14:textId="21A85FF9" w:rsidR="00BE17CF" w:rsidRPr="002800DB" w:rsidRDefault="002800DB" w:rsidP="007168AF">
      <w:pPr>
        <w:ind w:left="851"/>
        <w:rPr>
          <w:sz w:val="24"/>
          <w:szCs w:val="24"/>
          <w:lang w:val="en-GB"/>
        </w:rPr>
      </w:pPr>
      <w:r>
        <w:rPr>
          <w:sz w:val="24"/>
          <w:szCs w:val="24"/>
          <w:lang w:val="en-GB"/>
        </w:rPr>
        <w:t>Dimethyl fumarate "Teva"</w:t>
      </w:r>
      <w:r w:rsidR="00BE17CF" w:rsidRPr="002800DB">
        <w:rPr>
          <w:sz w:val="24"/>
          <w:szCs w:val="24"/>
          <w:lang w:val="en-GB"/>
        </w:rPr>
        <w:t xml:space="preserve"> should be taken with food (see section 5.2). For those patients who may experience flushing or gastrointestinal adverse reactions, taking this medicinal product with food may improve tolerability (see sections 4.4, 4.5 and 4.8).</w:t>
      </w:r>
    </w:p>
    <w:p w14:paraId="65A46309" w14:textId="77777777" w:rsidR="00BE17CF" w:rsidRPr="002800DB" w:rsidRDefault="00BE17CF" w:rsidP="007168AF">
      <w:pPr>
        <w:ind w:left="851"/>
        <w:rPr>
          <w:sz w:val="24"/>
          <w:szCs w:val="24"/>
          <w:lang w:val="en-GB"/>
        </w:rPr>
      </w:pPr>
    </w:p>
    <w:p w14:paraId="6E784E72" w14:textId="77777777" w:rsidR="00BE17CF" w:rsidRPr="002800DB" w:rsidRDefault="00BE17CF" w:rsidP="007168AF">
      <w:pPr>
        <w:ind w:left="851"/>
        <w:rPr>
          <w:i/>
          <w:sz w:val="24"/>
          <w:szCs w:val="24"/>
          <w:u w:val="single"/>
          <w:lang w:val="en-GB"/>
        </w:rPr>
      </w:pPr>
      <w:r w:rsidRPr="002800DB">
        <w:rPr>
          <w:i/>
          <w:sz w:val="24"/>
          <w:szCs w:val="24"/>
          <w:u w:val="single"/>
          <w:lang w:val="en-GB"/>
        </w:rPr>
        <w:t>Special populations</w:t>
      </w:r>
    </w:p>
    <w:p w14:paraId="18666720" w14:textId="77777777" w:rsidR="00BE17CF" w:rsidRPr="002800DB" w:rsidRDefault="00BE17CF" w:rsidP="007168AF">
      <w:pPr>
        <w:ind w:left="851"/>
        <w:rPr>
          <w:i/>
          <w:sz w:val="24"/>
          <w:szCs w:val="24"/>
          <w:lang w:val="en-GB"/>
        </w:rPr>
      </w:pPr>
      <w:r w:rsidRPr="002800DB">
        <w:rPr>
          <w:i/>
          <w:sz w:val="24"/>
          <w:szCs w:val="24"/>
          <w:lang w:val="en-GB"/>
        </w:rPr>
        <w:t>Elderly</w:t>
      </w:r>
    </w:p>
    <w:p w14:paraId="2B8EE5E8" w14:textId="77777777" w:rsidR="00BE17CF" w:rsidRPr="002800DB" w:rsidRDefault="00BE17CF" w:rsidP="007168AF">
      <w:pPr>
        <w:ind w:left="851"/>
        <w:rPr>
          <w:sz w:val="24"/>
          <w:szCs w:val="24"/>
          <w:lang w:val="en-GB"/>
        </w:rPr>
      </w:pPr>
      <w:r w:rsidRPr="002800DB">
        <w:rPr>
          <w:sz w:val="24"/>
          <w:szCs w:val="24"/>
          <w:lang w:val="en-GB"/>
        </w:rPr>
        <w:t>Clinical studies of dimethyl fumarate had limited exposure to patients aged 55 years and above, and did not include sufficient numbers of patients aged 65 and over to determine whether they respond differently than younger patients (see section 5.2). Based on the mode of action of the active substance there are no theoretical reasons for any requirement for dose adjustments in the elderly.</w:t>
      </w:r>
    </w:p>
    <w:p w14:paraId="2416C05D" w14:textId="77777777" w:rsidR="00BE17CF" w:rsidRPr="002800DB" w:rsidRDefault="00BE17CF" w:rsidP="007168AF">
      <w:pPr>
        <w:ind w:left="851"/>
        <w:rPr>
          <w:sz w:val="24"/>
          <w:szCs w:val="24"/>
          <w:lang w:val="en-GB"/>
        </w:rPr>
      </w:pPr>
    </w:p>
    <w:p w14:paraId="17DE636A" w14:textId="77777777" w:rsidR="00BE17CF" w:rsidRPr="002800DB" w:rsidRDefault="00BE17CF" w:rsidP="007168AF">
      <w:pPr>
        <w:ind w:left="851"/>
        <w:rPr>
          <w:i/>
          <w:sz w:val="24"/>
          <w:szCs w:val="24"/>
          <w:lang w:val="en-GB"/>
        </w:rPr>
      </w:pPr>
      <w:r w:rsidRPr="002800DB">
        <w:rPr>
          <w:i/>
          <w:sz w:val="24"/>
          <w:szCs w:val="24"/>
          <w:lang w:val="en-GB"/>
        </w:rPr>
        <w:t>Renal and hepatic impairment</w:t>
      </w:r>
    </w:p>
    <w:p w14:paraId="499892C1" w14:textId="77777777" w:rsidR="00BE17CF" w:rsidRPr="002800DB" w:rsidRDefault="00BE17CF" w:rsidP="007168AF">
      <w:pPr>
        <w:ind w:left="851"/>
        <w:rPr>
          <w:sz w:val="24"/>
          <w:szCs w:val="24"/>
          <w:lang w:val="en-GB"/>
        </w:rPr>
      </w:pPr>
      <w:r w:rsidRPr="002800DB">
        <w:rPr>
          <w:sz w:val="24"/>
          <w:szCs w:val="24"/>
          <w:lang w:val="en-GB"/>
        </w:rPr>
        <w:t>Dimethyl fumarate has not been studied in patients with renal or hepatic impairment. Based on clinical pharmacology studies, no dose adjustments are needed (see section 5.2). Caution should be used when treating patients with severe renal or severe hepatic impairment (see section 4.4).</w:t>
      </w:r>
    </w:p>
    <w:p w14:paraId="7D42C742" w14:textId="77777777" w:rsidR="00BE17CF" w:rsidRPr="002800DB" w:rsidRDefault="00BE17CF" w:rsidP="007168AF">
      <w:pPr>
        <w:ind w:left="851"/>
        <w:rPr>
          <w:sz w:val="24"/>
          <w:szCs w:val="24"/>
          <w:lang w:val="en-GB"/>
        </w:rPr>
      </w:pPr>
    </w:p>
    <w:p w14:paraId="05E32451" w14:textId="77777777" w:rsidR="00BE17CF" w:rsidRPr="002800DB" w:rsidRDefault="00BE17CF" w:rsidP="007168AF">
      <w:pPr>
        <w:ind w:left="851"/>
        <w:rPr>
          <w:i/>
          <w:sz w:val="24"/>
          <w:szCs w:val="24"/>
          <w:lang w:val="en-GB"/>
        </w:rPr>
      </w:pPr>
      <w:r w:rsidRPr="002800DB">
        <w:rPr>
          <w:i/>
          <w:sz w:val="24"/>
          <w:szCs w:val="24"/>
          <w:lang w:val="en-GB"/>
        </w:rPr>
        <w:t>Paediatric population</w:t>
      </w:r>
    </w:p>
    <w:p w14:paraId="75F4FC48" w14:textId="77777777" w:rsidR="00BE17CF" w:rsidRPr="002800DB" w:rsidRDefault="00BE17CF" w:rsidP="007168AF">
      <w:pPr>
        <w:ind w:left="851"/>
        <w:rPr>
          <w:sz w:val="24"/>
          <w:szCs w:val="24"/>
          <w:lang w:val="en-GB"/>
        </w:rPr>
      </w:pPr>
      <w:r w:rsidRPr="002800DB">
        <w:rPr>
          <w:sz w:val="24"/>
          <w:szCs w:val="24"/>
          <w:lang w:val="en-GB"/>
        </w:rPr>
        <w:t xml:space="preserve">The posology is the same in adults and in paediatric patients aged 13 years and older. </w:t>
      </w:r>
    </w:p>
    <w:p w14:paraId="527F5396" w14:textId="77777777" w:rsidR="00BE17CF" w:rsidRPr="002800DB" w:rsidRDefault="00BE17CF" w:rsidP="007168AF">
      <w:pPr>
        <w:ind w:left="851"/>
        <w:rPr>
          <w:sz w:val="24"/>
          <w:szCs w:val="24"/>
          <w:lang w:val="en-GB"/>
        </w:rPr>
      </w:pPr>
    </w:p>
    <w:p w14:paraId="79B67E07" w14:textId="77777777" w:rsidR="00BE17CF" w:rsidRPr="002800DB" w:rsidRDefault="00BE17CF" w:rsidP="007168AF">
      <w:pPr>
        <w:ind w:left="851"/>
        <w:rPr>
          <w:sz w:val="24"/>
          <w:szCs w:val="24"/>
          <w:lang w:val="en-GB"/>
        </w:rPr>
      </w:pPr>
      <w:r w:rsidRPr="002800DB">
        <w:rPr>
          <w:sz w:val="24"/>
          <w:szCs w:val="24"/>
          <w:lang w:val="en-GB"/>
        </w:rPr>
        <w:t>There are limited data available in children between 10 and 12 years old. Currently available data are described in sections 4.8 and 5.1 but no recommendation on a posology can be made.</w:t>
      </w:r>
    </w:p>
    <w:p w14:paraId="690DB8E5" w14:textId="77777777" w:rsidR="00BE17CF" w:rsidRPr="002800DB" w:rsidRDefault="00BE17CF" w:rsidP="007168AF">
      <w:pPr>
        <w:ind w:left="851"/>
        <w:rPr>
          <w:sz w:val="24"/>
          <w:szCs w:val="24"/>
          <w:lang w:val="en-GB"/>
        </w:rPr>
      </w:pPr>
    </w:p>
    <w:p w14:paraId="4E7B07D3" w14:textId="77777777" w:rsidR="00BE17CF" w:rsidRPr="002800DB" w:rsidRDefault="00BE17CF" w:rsidP="007168AF">
      <w:pPr>
        <w:ind w:left="851"/>
        <w:rPr>
          <w:sz w:val="24"/>
          <w:szCs w:val="24"/>
          <w:lang w:val="en-GB"/>
        </w:rPr>
      </w:pPr>
      <w:r w:rsidRPr="002800DB">
        <w:rPr>
          <w:sz w:val="24"/>
          <w:szCs w:val="24"/>
          <w:lang w:val="en-GB"/>
        </w:rPr>
        <w:t>The safety and efficacy of dimethyl fumarate in children aged less than 10 years have not been established. No data are available.</w:t>
      </w:r>
    </w:p>
    <w:p w14:paraId="60E8134D" w14:textId="77777777" w:rsidR="00BE17CF" w:rsidRPr="002800DB" w:rsidRDefault="00BE17CF" w:rsidP="007168AF">
      <w:pPr>
        <w:ind w:left="851"/>
        <w:rPr>
          <w:sz w:val="24"/>
          <w:szCs w:val="24"/>
          <w:lang w:val="en-GB"/>
        </w:rPr>
      </w:pPr>
    </w:p>
    <w:p w14:paraId="42394F28" w14:textId="77777777" w:rsidR="00BE17CF" w:rsidRPr="002800DB" w:rsidRDefault="00BE17CF" w:rsidP="007168AF">
      <w:pPr>
        <w:ind w:left="851"/>
        <w:rPr>
          <w:sz w:val="24"/>
          <w:szCs w:val="24"/>
          <w:u w:val="single"/>
          <w:lang w:val="en-GB"/>
        </w:rPr>
      </w:pPr>
      <w:r w:rsidRPr="002800DB">
        <w:rPr>
          <w:sz w:val="24"/>
          <w:szCs w:val="24"/>
          <w:u w:val="single"/>
          <w:lang w:val="en-GB"/>
        </w:rPr>
        <w:t>Method of administration</w:t>
      </w:r>
    </w:p>
    <w:p w14:paraId="2B9E97BC" w14:textId="09703EF8" w:rsidR="00BE17CF" w:rsidRPr="002800DB" w:rsidRDefault="002800DB" w:rsidP="007168AF">
      <w:pPr>
        <w:ind w:left="851"/>
        <w:rPr>
          <w:sz w:val="24"/>
          <w:szCs w:val="24"/>
          <w:lang w:val="en-GB"/>
        </w:rPr>
      </w:pPr>
      <w:r>
        <w:rPr>
          <w:sz w:val="24"/>
          <w:szCs w:val="24"/>
          <w:lang w:val="en-GB"/>
        </w:rPr>
        <w:t>Dimethyl fumarate "Teva"</w:t>
      </w:r>
      <w:r w:rsidR="00BE17CF" w:rsidRPr="002800DB">
        <w:rPr>
          <w:sz w:val="24"/>
          <w:szCs w:val="24"/>
          <w:lang w:val="en-GB"/>
        </w:rPr>
        <w:t xml:space="preserve"> is for oral use.</w:t>
      </w:r>
    </w:p>
    <w:p w14:paraId="7E2FD7D7" w14:textId="77777777" w:rsidR="00BE17CF" w:rsidRPr="002800DB" w:rsidRDefault="00BE17CF" w:rsidP="007168AF">
      <w:pPr>
        <w:ind w:left="851"/>
        <w:rPr>
          <w:sz w:val="24"/>
          <w:szCs w:val="24"/>
          <w:lang w:val="en-GB"/>
        </w:rPr>
      </w:pPr>
    </w:p>
    <w:p w14:paraId="0C785D6D" w14:textId="77777777" w:rsidR="00BE17CF" w:rsidRPr="002800DB" w:rsidRDefault="00BE17CF" w:rsidP="007168AF">
      <w:pPr>
        <w:ind w:left="851"/>
        <w:rPr>
          <w:sz w:val="24"/>
          <w:szCs w:val="24"/>
          <w:lang w:val="en-GB"/>
        </w:rPr>
      </w:pPr>
      <w:r w:rsidRPr="002800DB">
        <w:rPr>
          <w:sz w:val="24"/>
          <w:szCs w:val="24"/>
          <w:lang w:val="en-GB"/>
        </w:rPr>
        <w:t>The capsule should be swallowed whole. The capsule or its contents should not be crushed, divided, dissolved, sucked or chewed as the enteric-coating of the minitablets (present inside the capsule shell) prevents irritant effects on the gastrointestinal tract.</w:t>
      </w:r>
    </w:p>
    <w:p w14:paraId="0D2A2DF1" w14:textId="77777777" w:rsidR="007C5D2A" w:rsidRPr="002800DB" w:rsidRDefault="007C5D2A" w:rsidP="00A85D26">
      <w:pPr>
        <w:tabs>
          <w:tab w:val="left" w:pos="851"/>
        </w:tabs>
        <w:ind w:left="851"/>
        <w:rPr>
          <w:sz w:val="24"/>
          <w:szCs w:val="24"/>
          <w:lang w:val="en-GB"/>
        </w:rPr>
      </w:pPr>
    </w:p>
    <w:p w14:paraId="263133C5"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4.3</w:t>
      </w:r>
      <w:r w:rsidRPr="002800DB">
        <w:rPr>
          <w:b/>
          <w:sz w:val="24"/>
          <w:szCs w:val="24"/>
          <w:lang w:val="en-GB"/>
        </w:rPr>
        <w:tab/>
        <w:t>Contraindications</w:t>
      </w:r>
    </w:p>
    <w:p w14:paraId="242BD3A7" w14:textId="77777777" w:rsidR="00BE17CF" w:rsidRPr="002800DB" w:rsidRDefault="00BE17CF" w:rsidP="007168AF">
      <w:pPr>
        <w:ind w:left="851"/>
        <w:rPr>
          <w:sz w:val="24"/>
          <w:szCs w:val="24"/>
          <w:lang w:val="en-GB"/>
        </w:rPr>
      </w:pPr>
      <w:r w:rsidRPr="002800DB">
        <w:rPr>
          <w:sz w:val="24"/>
          <w:szCs w:val="24"/>
          <w:lang w:val="en-GB"/>
        </w:rPr>
        <w:t>Hypersensitivity to the active substance or to any of the excipients listed in section 6.1.</w:t>
      </w:r>
    </w:p>
    <w:p w14:paraId="406377D9" w14:textId="77777777" w:rsidR="00BE17CF" w:rsidRPr="002800DB" w:rsidRDefault="00BE17CF" w:rsidP="007168AF">
      <w:pPr>
        <w:ind w:left="851"/>
        <w:rPr>
          <w:sz w:val="24"/>
          <w:szCs w:val="24"/>
          <w:lang w:val="en-GB"/>
        </w:rPr>
      </w:pPr>
    </w:p>
    <w:p w14:paraId="42F992ED" w14:textId="77777777" w:rsidR="00BE17CF" w:rsidRPr="002800DB" w:rsidRDefault="00BE17CF" w:rsidP="007168AF">
      <w:pPr>
        <w:ind w:left="851"/>
        <w:rPr>
          <w:sz w:val="24"/>
          <w:szCs w:val="24"/>
          <w:lang w:val="en-GB"/>
        </w:rPr>
      </w:pPr>
      <w:r w:rsidRPr="002800DB">
        <w:rPr>
          <w:sz w:val="24"/>
          <w:szCs w:val="24"/>
          <w:lang w:val="en-GB"/>
        </w:rPr>
        <w:t>Suspected or confirmed progressive multifocal leukoencephalopathy (PML).</w:t>
      </w:r>
    </w:p>
    <w:p w14:paraId="1C707D29" w14:textId="77777777" w:rsidR="007C5D2A" w:rsidRPr="002800DB" w:rsidRDefault="007C5D2A" w:rsidP="003E0341">
      <w:pPr>
        <w:tabs>
          <w:tab w:val="left" w:pos="851"/>
        </w:tabs>
        <w:ind w:left="851"/>
        <w:rPr>
          <w:sz w:val="24"/>
          <w:szCs w:val="24"/>
          <w:lang w:val="en-GB"/>
        </w:rPr>
      </w:pPr>
    </w:p>
    <w:p w14:paraId="227E4019" w14:textId="77777777" w:rsidR="007C5D2A" w:rsidRPr="002800DB" w:rsidRDefault="007C5D2A" w:rsidP="007C5D2A">
      <w:pPr>
        <w:tabs>
          <w:tab w:val="left" w:pos="851"/>
        </w:tabs>
        <w:rPr>
          <w:b/>
          <w:sz w:val="24"/>
          <w:szCs w:val="24"/>
          <w:lang w:val="en-GB"/>
        </w:rPr>
      </w:pPr>
      <w:r w:rsidRPr="002800DB">
        <w:rPr>
          <w:b/>
          <w:sz w:val="24"/>
          <w:szCs w:val="24"/>
          <w:lang w:val="en-GB"/>
        </w:rPr>
        <w:t>4.4</w:t>
      </w:r>
      <w:r w:rsidRPr="002800DB">
        <w:rPr>
          <w:b/>
          <w:sz w:val="24"/>
          <w:szCs w:val="24"/>
          <w:lang w:val="en-GB"/>
        </w:rPr>
        <w:tab/>
        <w:t>Special warnings and precautions for use</w:t>
      </w:r>
    </w:p>
    <w:p w14:paraId="0B84A47E" w14:textId="77777777" w:rsidR="002800DB" w:rsidRDefault="002800DB" w:rsidP="007168AF">
      <w:pPr>
        <w:ind w:left="851"/>
        <w:rPr>
          <w:sz w:val="24"/>
          <w:szCs w:val="24"/>
          <w:lang w:val="en-GB"/>
        </w:rPr>
      </w:pPr>
    </w:p>
    <w:p w14:paraId="2FD27E79" w14:textId="13CBC657" w:rsidR="00BE17CF" w:rsidRPr="002800DB" w:rsidRDefault="00BE17CF" w:rsidP="007168AF">
      <w:pPr>
        <w:ind w:left="851"/>
        <w:rPr>
          <w:sz w:val="24"/>
          <w:szCs w:val="24"/>
          <w:u w:val="single"/>
          <w:lang w:val="en-GB"/>
        </w:rPr>
      </w:pPr>
      <w:r w:rsidRPr="002800DB">
        <w:rPr>
          <w:sz w:val="24"/>
          <w:szCs w:val="24"/>
          <w:u w:val="single"/>
          <w:lang w:val="en-GB"/>
        </w:rPr>
        <w:t>Blood/laboratory tests</w:t>
      </w:r>
    </w:p>
    <w:p w14:paraId="394AB210" w14:textId="77777777" w:rsidR="00BE17CF" w:rsidRPr="002800DB" w:rsidRDefault="00BE17CF" w:rsidP="007168AF">
      <w:pPr>
        <w:ind w:left="851"/>
        <w:rPr>
          <w:sz w:val="24"/>
          <w:szCs w:val="24"/>
          <w:lang w:val="en-GB"/>
        </w:rPr>
      </w:pPr>
    </w:p>
    <w:p w14:paraId="019DDBF2" w14:textId="77777777" w:rsidR="00BE17CF" w:rsidRPr="002800DB" w:rsidRDefault="00BE17CF" w:rsidP="007168AF">
      <w:pPr>
        <w:ind w:left="851"/>
        <w:rPr>
          <w:i/>
          <w:iCs/>
          <w:sz w:val="24"/>
          <w:szCs w:val="24"/>
          <w:lang w:val="en-GB"/>
        </w:rPr>
      </w:pPr>
      <w:r w:rsidRPr="002800DB">
        <w:rPr>
          <w:i/>
          <w:iCs/>
          <w:sz w:val="24"/>
          <w:szCs w:val="24"/>
          <w:lang w:val="en-GB"/>
        </w:rPr>
        <w:t>Renal function</w:t>
      </w:r>
    </w:p>
    <w:p w14:paraId="200B7502" w14:textId="77777777" w:rsidR="00BE17CF" w:rsidRPr="002800DB" w:rsidRDefault="00BE17CF" w:rsidP="007168AF">
      <w:pPr>
        <w:ind w:left="851"/>
        <w:rPr>
          <w:sz w:val="24"/>
          <w:szCs w:val="24"/>
          <w:lang w:val="en-GB"/>
        </w:rPr>
      </w:pPr>
      <w:r w:rsidRPr="002800DB">
        <w:rPr>
          <w:sz w:val="24"/>
          <w:szCs w:val="24"/>
          <w:lang w:val="en-GB"/>
        </w:rPr>
        <w:t>Changes in renal laboratory tests have been seen in clinical trials in patients treated with dimethyl fumarate (see section 4.8). The clinical implications of these changes are unknown. Assessment of renal function (e.g. creatinine, blood urea nitrogen and urinalysis) is recommended prior to treatment initiation, after 3 and 6 months of treatment, every 6 to 12 months thereafter and as clinically indicated.</w:t>
      </w:r>
    </w:p>
    <w:p w14:paraId="72949A01" w14:textId="77777777" w:rsidR="00BE17CF" w:rsidRPr="002800DB" w:rsidRDefault="00BE17CF" w:rsidP="007168AF">
      <w:pPr>
        <w:ind w:left="851"/>
        <w:rPr>
          <w:sz w:val="24"/>
          <w:szCs w:val="24"/>
          <w:lang w:val="en-GB"/>
        </w:rPr>
      </w:pPr>
    </w:p>
    <w:p w14:paraId="49E4FA42" w14:textId="77777777" w:rsidR="00BE17CF" w:rsidRPr="002800DB" w:rsidRDefault="00BE17CF" w:rsidP="007168AF">
      <w:pPr>
        <w:ind w:left="851"/>
        <w:rPr>
          <w:i/>
          <w:iCs/>
          <w:sz w:val="24"/>
          <w:szCs w:val="24"/>
          <w:lang w:val="en-GB"/>
        </w:rPr>
      </w:pPr>
      <w:r w:rsidRPr="002800DB">
        <w:rPr>
          <w:i/>
          <w:iCs/>
          <w:sz w:val="24"/>
          <w:szCs w:val="24"/>
          <w:lang w:val="en-GB"/>
        </w:rPr>
        <w:t>Hepatic function</w:t>
      </w:r>
    </w:p>
    <w:p w14:paraId="706188C5" w14:textId="77777777" w:rsidR="00BE17CF" w:rsidRPr="002800DB" w:rsidRDefault="00BE17CF" w:rsidP="007168AF">
      <w:pPr>
        <w:ind w:left="851"/>
        <w:rPr>
          <w:sz w:val="24"/>
          <w:szCs w:val="24"/>
          <w:lang w:val="en-GB"/>
        </w:rPr>
      </w:pPr>
      <w:r w:rsidRPr="002800DB">
        <w:rPr>
          <w:sz w:val="24"/>
          <w:szCs w:val="24"/>
          <w:lang w:val="en-GB"/>
        </w:rPr>
        <w:t>Drug-induced liver injury, including liver enzyme increase (≥3 times upper limit of normal (ULN)) and elevation of total bilirubin levels (≥2 x ULN) can result from treatment with dimethyl fumarate. The time to onset can be days, several weeks or longer. Resolution of the adverse reactions has been observed after treatment was discontinued. Assessment of serum aminotransferases (e.g. alanine aminotransferase (ALT), aspartate aminotransferase (AST)) and total bilirubin levels are recommended prior to treatment initiation and during treatment as clinically indicated.</w:t>
      </w:r>
    </w:p>
    <w:p w14:paraId="68C8E2C1" w14:textId="77777777" w:rsidR="00BE17CF" w:rsidRPr="002800DB" w:rsidRDefault="00BE17CF" w:rsidP="007168AF">
      <w:pPr>
        <w:ind w:left="851"/>
        <w:rPr>
          <w:sz w:val="24"/>
          <w:szCs w:val="24"/>
          <w:lang w:val="en-GB"/>
        </w:rPr>
      </w:pPr>
    </w:p>
    <w:p w14:paraId="7DAFE33F" w14:textId="77777777" w:rsidR="00BE17CF" w:rsidRPr="002800DB" w:rsidRDefault="00BE17CF" w:rsidP="007168AF">
      <w:pPr>
        <w:ind w:left="851"/>
        <w:rPr>
          <w:i/>
          <w:iCs/>
          <w:sz w:val="24"/>
          <w:szCs w:val="24"/>
          <w:lang w:val="en-GB"/>
        </w:rPr>
      </w:pPr>
      <w:r w:rsidRPr="002800DB">
        <w:rPr>
          <w:i/>
          <w:iCs/>
          <w:sz w:val="24"/>
          <w:szCs w:val="24"/>
          <w:lang w:val="en-GB"/>
        </w:rPr>
        <w:t>Lymphocytes</w:t>
      </w:r>
    </w:p>
    <w:p w14:paraId="5FADDF9F" w14:textId="77777777" w:rsidR="00BE17CF" w:rsidRPr="002800DB" w:rsidRDefault="00BE17CF" w:rsidP="007168AF">
      <w:pPr>
        <w:ind w:left="851"/>
        <w:rPr>
          <w:sz w:val="24"/>
          <w:szCs w:val="24"/>
          <w:lang w:val="en-GB"/>
        </w:rPr>
      </w:pPr>
      <w:r w:rsidRPr="002800DB">
        <w:rPr>
          <w:sz w:val="24"/>
          <w:szCs w:val="24"/>
          <w:lang w:val="en-GB"/>
        </w:rPr>
        <w:t>Patients treated with dimethyl fumarate may develop lymphopenia (see section 4.8). Prior to initiating treatment with dimethyl fumarate, a current complete blood count, including lymphocytes, must be performed.</w:t>
      </w:r>
    </w:p>
    <w:p w14:paraId="2C68BACB" w14:textId="77777777" w:rsidR="00BE17CF" w:rsidRPr="002800DB" w:rsidRDefault="00BE17CF" w:rsidP="007168AF">
      <w:pPr>
        <w:ind w:left="851"/>
        <w:rPr>
          <w:sz w:val="24"/>
          <w:szCs w:val="24"/>
          <w:lang w:val="en-GB"/>
        </w:rPr>
      </w:pPr>
    </w:p>
    <w:p w14:paraId="48D2C407" w14:textId="77777777" w:rsidR="00BE17CF" w:rsidRPr="002800DB" w:rsidRDefault="00BE17CF" w:rsidP="007168AF">
      <w:pPr>
        <w:ind w:left="851"/>
        <w:rPr>
          <w:sz w:val="24"/>
          <w:szCs w:val="24"/>
          <w:lang w:val="en-GB"/>
        </w:rPr>
      </w:pPr>
      <w:r w:rsidRPr="002800DB">
        <w:rPr>
          <w:sz w:val="24"/>
          <w:szCs w:val="24"/>
          <w:lang w:val="en-GB"/>
        </w:rPr>
        <w:t>If lymphocyte count is found to be below the normal range, thorough assessment of possible causes should be completed prior to initiation of treatment. Dimethyl fumarate has not been studied in patients with pre-existing low lymphocyte counts and caution should be exercised when treating these patients. Treatment should not be initiated in patients with severe lymphopenia (lymphocyte counts &lt;0.5 x 10</w:t>
      </w:r>
      <w:r w:rsidRPr="002800DB">
        <w:rPr>
          <w:sz w:val="24"/>
          <w:szCs w:val="24"/>
          <w:vertAlign w:val="superscript"/>
          <w:lang w:val="en-GB"/>
        </w:rPr>
        <w:t>9</w:t>
      </w:r>
      <w:r w:rsidRPr="002800DB">
        <w:rPr>
          <w:sz w:val="24"/>
          <w:szCs w:val="24"/>
          <w:lang w:val="en-GB"/>
        </w:rPr>
        <w:t>/L).</w:t>
      </w:r>
    </w:p>
    <w:p w14:paraId="58B728EB" w14:textId="77777777" w:rsidR="00BE17CF" w:rsidRPr="002800DB" w:rsidRDefault="00BE17CF" w:rsidP="007168AF">
      <w:pPr>
        <w:ind w:left="851"/>
        <w:rPr>
          <w:sz w:val="24"/>
          <w:szCs w:val="24"/>
          <w:lang w:val="en-GB"/>
        </w:rPr>
      </w:pPr>
    </w:p>
    <w:p w14:paraId="05A99A30" w14:textId="77777777" w:rsidR="00BE17CF" w:rsidRPr="002800DB" w:rsidRDefault="00BE17CF" w:rsidP="007168AF">
      <w:pPr>
        <w:ind w:left="851"/>
        <w:rPr>
          <w:sz w:val="24"/>
          <w:szCs w:val="24"/>
          <w:lang w:val="en-GB"/>
        </w:rPr>
      </w:pPr>
      <w:r w:rsidRPr="002800DB">
        <w:rPr>
          <w:sz w:val="24"/>
          <w:szCs w:val="24"/>
          <w:lang w:val="en-GB"/>
        </w:rPr>
        <w:t>After starting therapy, complete blood counts, including lymphocytes, must be performed every 3 months.</w:t>
      </w:r>
    </w:p>
    <w:p w14:paraId="568CDC9B" w14:textId="77777777" w:rsidR="00BE17CF" w:rsidRPr="002800DB" w:rsidRDefault="00BE17CF" w:rsidP="007168AF">
      <w:pPr>
        <w:ind w:left="851"/>
        <w:rPr>
          <w:sz w:val="24"/>
          <w:szCs w:val="24"/>
          <w:lang w:val="en-GB"/>
        </w:rPr>
      </w:pPr>
    </w:p>
    <w:p w14:paraId="74F816D9" w14:textId="77777777" w:rsidR="00BE17CF" w:rsidRPr="002800DB" w:rsidRDefault="00BE17CF" w:rsidP="007168AF">
      <w:pPr>
        <w:ind w:left="851"/>
        <w:rPr>
          <w:sz w:val="24"/>
          <w:szCs w:val="24"/>
          <w:lang w:val="en-GB"/>
        </w:rPr>
      </w:pPr>
      <w:r w:rsidRPr="002800DB">
        <w:rPr>
          <w:sz w:val="24"/>
          <w:szCs w:val="24"/>
          <w:lang w:val="en-GB"/>
        </w:rPr>
        <w:t>Enhanced vigilance due to an increased risk of PML is recommended in patients with lymphopenia as follows:</w:t>
      </w:r>
    </w:p>
    <w:p w14:paraId="6C917C4A" w14:textId="5A35D39E" w:rsidR="00BE17CF" w:rsidRPr="002800DB" w:rsidRDefault="00BE17CF" w:rsidP="002800DB">
      <w:pPr>
        <w:pStyle w:val="Listeafsnit"/>
        <w:numPr>
          <w:ilvl w:val="0"/>
          <w:numId w:val="7"/>
        </w:numPr>
        <w:ind w:left="1276" w:hanging="425"/>
        <w:rPr>
          <w:sz w:val="24"/>
          <w:szCs w:val="24"/>
          <w:lang w:val="en-GB"/>
        </w:rPr>
      </w:pPr>
      <w:r w:rsidRPr="002800DB">
        <w:rPr>
          <w:sz w:val="24"/>
          <w:szCs w:val="24"/>
          <w:lang w:val="en-GB"/>
        </w:rPr>
        <w:t>Treatment should be discontinued in patients with prolonged severe lymphopenia (lymphocyte counts &lt;0.5 x 10</w:t>
      </w:r>
      <w:r w:rsidRPr="002800DB">
        <w:rPr>
          <w:sz w:val="24"/>
          <w:szCs w:val="24"/>
          <w:vertAlign w:val="superscript"/>
          <w:lang w:val="en-GB"/>
        </w:rPr>
        <w:t>9</w:t>
      </w:r>
      <w:r w:rsidRPr="002800DB">
        <w:rPr>
          <w:sz w:val="24"/>
          <w:szCs w:val="24"/>
          <w:lang w:val="en-GB"/>
        </w:rPr>
        <w:t>/L) persisting for more than 6 months.</w:t>
      </w:r>
    </w:p>
    <w:p w14:paraId="245A0DA8" w14:textId="56A3DB57" w:rsidR="00BE17CF" w:rsidRPr="002800DB" w:rsidRDefault="00BE17CF" w:rsidP="002800DB">
      <w:pPr>
        <w:pStyle w:val="Listeafsnit"/>
        <w:numPr>
          <w:ilvl w:val="0"/>
          <w:numId w:val="7"/>
        </w:numPr>
        <w:ind w:left="1276" w:hanging="425"/>
        <w:rPr>
          <w:sz w:val="24"/>
          <w:szCs w:val="24"/>
          <w:lang w:val="en-GB"/>
        </w:rPr>
      </w:pPr>
      <w:r w:rsidRPr="002800DB">
        <w:rPr>
          <w:sz w:val="24"/>
          <w:szCs w:val="24"/>
          <w:lang w:val="en-GB"/>
        </w:rPr>
        <w:t>In patients with sustained moderate reductions of absolute lymphocyte counts ≥0.5 x 10</w:t>
      </w:r>
      <w:r w:rsidRPr="002800DB">
        <w:rPr>
          <w:sz w:val="24"/>
          <w:szCs w:val="24"/>
          <w:vertAlign w:val="superscript"/>
          <w:lang w:val="en-GB"/>
        </w:rPr>
        <w:t>9</w:t>
      </w:r>
      <w:r w:rsidRPr="002800DB">
        <w:rPr>
          <w:sz w:val="24"/>
          <w:szCs w:val="24"/>
          <w:lang w:val="en-GB"/>
        </w:rPr>
        <w:t>/L to &lt;0.8 x 10</w:t>
      </w:r>
      <w:r w:rsidRPr="002800DB">
        <w:rPr>
          <w:sz w:val="24"/>
          <w:szCs w:val="24"/>
          <w:vertAlign w:val="superscript"/>
          <w:lang w:val="en-GB"/>
        </w:rPr>
        <w:t>9</w:t>
      </w:r>
      <w:r w:rsidRPr="002800DB">
        <w:rPr>
          <w:sz w:val="24"/>
          <w:szCs w:val="24"/>
          <w:lang w:val="en-GB"/>
        </w:rPr>
        <w:t>/L for more than 6 months, the benefit/risk balance of treatment with dimethyl fumarate should be re-assessed.</w:t>
      </w:r>
    </w:p>
    <w:p w14:paraId="2DCAB9BA" w14:textId="11B911B9" w:rsidR="00BE17CF" w:rsidRPr="002800DB" w:rsidRDefault="00BE17CF" w:rsidP="002800DB">
      <w:pPr>
        <w:pStyle w:val="Listeafsnit"/>
        <w:numPr>
          <w:ilvl w:val="0"/>
          <w:numId w:val="7"/>
        </w:numPr>
        <w:ind w:left="1276" w:hanging="425"/>
        <w:rPr>
          <w:sz w:val="24"/>
          <w:szCs w:val="24"/>
          <w:lang w:val="en-GB"/>
        </w:rPr>
      </w:pPr>
      <w:r w:rsidRPr="002800DB">
        <w:rPr>
          <w:sz w:val="24"/>
          <w:szCs w:val="24"/>
          <w:lang w:val="en-GB"/>
        </w:rPr>
        <w:t>In patients with lymphocyte counts below lower limit of normal (LLN) as defined by local laboratory reference range, regular monitoring of absolute lymphocyte counts is recommended. Additional factors that might further augment the individual PML risk should be considered (see subsection on PML below).</w:t>
      </w:r>
    </w:p>
    <w:p w14:paraId="5543EA4A" w14:textId="77777777" w:rsidR="00BE17CF" w:rsidRPr="002800DB" w:rsidRDefault="00BE17CF" w:rsidP="007168AF">
      <w:pPr>
        <w:ind w:left="851"/>
        <w:rPr>
          <w:sz w:val="24"/>
          <w:szCs w:val="24"/>
          <w:lang w:val="en-GB"/>
        </w:rPr>
      </w:pPr>
    </w:p>
    <w:p w14:paraId="297FEAEE" w14:textId="77777777" w:rsidR="00BE17CF" w:rsidRPr="002800DB" w:rsidRDefault="00BE17CF" w:rsidP="007168AF">
      <w:pPr>
        <w:ind w:left="851"/>
        <w:rPr>
          <w:sz w:val="24"/>
          <w:szCs w:val="24"/>
          <w:lang w:val="en-GB"/>
        </w:rPr>
      </w:pPr>
      <w:r w:rsidRPr="002800DB">
        <w:rPr>
          <w:sz w:val="24"/>
          <w:szCs w:val="24"/>
          <w:lang w:val="en-GB"/>
        </w:rPr>
        <w:t>Lymphocyte counts should be followed until recovery (see section 5.1). Upon recovery and in the absence of alternative treatment options, decisions about whether or not to restart dimethyl fumarate after treatment discontinuation should be based on clinical judgement.</w:t>
      </w:r>
    </w:p>
    <w:p w14:paraId="2B648255" w14:textId="77777777" w:rsidR="00BE17CF" w:rsidRPr="002800DB" w:rsidRDefault="00BE17CF" w:rsidP="007168AF">
      <w:pPr>
        <w:ind w:left="851"/>
        <w:rPr>
          <w:sz w:val="24"/>
          <w:szCs w:val="24"/>
          <w:lang w:val="en-GB"/>
        </w:rPr>
      </w:pPr>
    </w:p>
    <w:p w14:paraId="49E8B080" w14:textId="77777777" w:rsidR="00BE17CF" w:rsidRPr="002800DB" w:rsidRDefault="00BE17CF" w:rsidP="007168AF">
      <w:pPr>
        <w:ind w:left="851"/>
        <w:rPr>
          <w:sz w:val="24"/>
          <w:szCs w:val="24"/>
          <w:u w:val="single"/>
          <w:lang w:val="en-GB"/>
        </w:rPr>
      </w:pPr>
      <w:r w:rsidRPr="002800DB">
        <w:rPr>
          <w:sz w:val="24"/>
          <w:szCs w:val="24"/>
          <w:u w:val="single"/>
          <w:lang w:val="en-GB"/>
        </w:rPr>
        <w:t>Magnetic resonance imaging (MRI)</w:t>
      </w:r>
    </w:p>
    <w:p w14:paraId="7EC7EC1F" w14:textId="77777777" w:rsidR="00BE17CF" w:rsidRPr="002800DB" w:rsidRDefault="00BE17CF" w:rsidP="007168AF">
      <w:pPr>
        <w:ind w:left="851"/>
        <w:rPr>
          <w:sz w:val="24"/>
          <w:szCs w:val="24"/>
          <w:lang w:val="en-GB"/>
        </w:rPr>
      </w:pPr>
      <w:r w:rsidRPr="002800DB">
        <w:rPr>
          <w:sz w:val="24"/>
          <w:szCs w:val="24"/>
          <w:lang w:val="en-GB"/>
        </w:rPr>
        <w:t>Before initiating treatment with dimethyl fumarate, a baseline MRI should be available (usually within 3 months) as a reference. The need for further MRI scanning should be considered in accordance with national and local recommendations. MRI imaging may be considered as part of increased vigilance in patients considered at increased risk of PML. In case of clinical suspicion of PML, MRI should be performed immediately for diagnostic purposes.</w:t>
      </w:r>
    </w:p>
    <w:p w14:paraId="56BA685B" w14:textId="77777777" w:rsidR="00BE17CF" w:rsidRPr="002800DB" w:rsidRDefault="00BE17CF" w:rsidP="007168AF">
      <w:pPr>
        <w:ind w:left="851"/>
        <w:rPr>
          <w:sz w:val="24"/>
          <w:szCs w:val="24"/>
          <w:lang w:val="en-GB"/>
        </w:rPr>
      </w:pPr>
    </w:p>
    <w:p w14:paraId="48425814" w14:textId="77777777" w:rsidR="00BE17CF" w:rsidRPr="002800DB" w:rsidRDefault="00BE17CF" w:rsidP="007168AF">
      <w:pPr>
        <w:ind w:left="851"/>
        <w:rPr>
          <w:sz w:val="24"/>
          <w:szCs w:val="24"/>
          <w:u w:val="single"/>
          <w:lang w:val="en-GB"/>
        </w:rPr>
      </w:pPr>
      <w:r w:rsidRPr="002800DB">
        <w:rPr>
          <w:sz w:val="24"/>
          <w:szCs w:val="24"/>
          <w:u w:val="single"/>
          <w:lang w:val="en-GB"/>
        </w:rPr>
        <w:t>Progressive multifocal leukoencephalopathy (PML)</w:t>
      </w:r>
    </w:p>
    <w:p w14:paraId="3439DC1F" w14:textId="77777777" w:rsidR="00BE17CF" w:rsidRPr="002800DB" w:rsidRDefault="00BE17CF" w:rsidP="007168AF">
      <w:pPr>
        <w:ind w:left="851"/>
        <w:rPr>
          <w:sz w:val="24"/>
          <w:szCs w:val="24"/>
          <w:lang w:val="en-GB"/>
        </w:rPr>
      </w:pPr>
      <w:r w:rsidRPr="002800DB">
        <w:rPr>
          <w:sz w:val="24"/>
          <w:szCs w:val="24"/>
          <w:lang w:val="en-GB"/>
        </w:rPr>
        <w:t>PML has been reported in patients treated with dimethyl fumarate (see section 4.8). PML is an opportunistic infection caused by John-Cunningham virus (JCV), which may be fatal or result in severe disability.</w:t>
      </w:r>
    </w:p>
    <w:p w14:paraId="2ABE5779" w14:textId="77777777" w:rsidR="00BE17CF" w:rsidRPr="002800DB" w:rsidRDefault="00BE17CF" w:rsidP="007168AF">
      <w:pPr>
        <w:ind w:left="851"/>
        <w:rPr>
          <w:sz w:val="24"/>
          <w:szCs w:val="24"/>
          <w:lang w:val="en-GB"/>
        </w:rPr>
      </w:pPr>
    </w:p>
    <w:p w14:paraId="632E7800" w14:textId="77777777" w:rsidR="00BE17CF" w:rsidRPr="002800DB" w:rsidRDefault="00BE17CF" w:rsidP="007168AF">
      <w:pPr>
        <w:ind w:left="851"/>
        <w:rPr>
          <w:sz w:val="24"/>
          <w:szCs w:val="24"/>
          <w:lang w:val="en-GB"/>
        </w:rPr>
      </w:pPr>
      <w:r w:rsidRPr="002800DB">
        <w:rPr>
          <w:sz w:val="24"/>
          <w:szCs w:val="24"/>
          <w:lang w:val="en-GB"/>
        </w:rPr>
        <w:t>PML cases have occurred with dimethyl fumarate and other medicinal products containing fumarates in the setting of lymphopenia (lymphocyte counts below LLN). Prolonged moderate to severe lymphopenia appears to increase the risk of PML with dimethyl fumarate, however, risk cannot be excluded in patients with mild lymphopenia.</w:t>
      </w:r>
    </w:p>
    <w:p w14:paraId="08BE76F0" w14:textId="77777777" w:rsidR="00BE17CF" w:rsidRPr="002800DB" w:rsidRDefault="00BE17CF" w:rsidP="007168AF">
      <w:pPr>
        <w:ind w:left="851"/>
        <w:rPr>
          <w:sz w:val="24"/>
          <w:szCs w:val="24"/>
          <w:lang w:val="en-GB"/>
        </w:rPr>
      </w:pPr>
    </w:p>
    <w:p w14:paraId="0DE58DFD" w14:textId="77777777" w:rsidR="00BE17CF" w:rsidRPr="002800DB" w:rsidRDefault="00BE17CF" w:rsidP="007168AF">
      <w:pPr>
        <w:ind w:left="851"/>
        <w:rPr>
          <w:sz w:val="24"/>
          <w:szCs w:val="24"/>
          <w:lang w:val="en-GB"/>
        </w:rPr>
      </w:pPr>
      <w:r w:rsidRPr="002800DB">
        <w:rPr>
          <w:sz w:val="24"/>
          <w:szCs w:val="24"/>
          <w:lang w:val="en-GB"/>
        </w:rPr>
        <w:t>Additional factors that might contribute to an increased risk of PML in the setting of lymphopenia are:</w:t>
      </w:r>
    </w:p>
    <w:p w14:paraId="3A84CA40" w14:textId="6CD2C454" w:rsidR="00BE17CF" w:rsidRPr="002800DB" w:rsidRDefault="00BE17CF" w:rsidP="002800DB">
      <w:pPr>
        <w:pStyle w:val="Listeafsnit"/>
        <w:numPr>
          <w:ilvl w:val="0"/>
          <w:numId w:val="8"/>
        </w:numPr>
        <w:ind w:left="1276" w:hanging="425"/>
        <w:rPr>
          <w:sz w:val="24"/>
          <w:szCs w:val="24"/>
          <w:lang w:val="en-GB"/>
        </w:rPr>
      </w:pPr>
      <w:r w:rsidRPr="002800DB">
        <w:rPr>
          <w:sz w:val="24"/>
          <w:szCs w:val="24"/>
          <w:lang w:val="en-GB"/>
        </w:rPr>
        <w:t>duration of dimethyl fumarate therapy. Cases of PML have occurred after approximately 1 to 5 years of treatment, although the exact relationship with duration of treatment is unknown.</w:t>
      </w:r>
    </w:p>
    <w:p w14:paraId="134FBA97" w14:textId="13499DF0" w:rsidR="00BE17CF" w:rsidRPr="002800DB" w:rsidRDefault="00BE17CF" w:rsidP="002800DB">
      <w:pPr>
        <w:pStyle w:val="Listeafsnit"/>
        <w:numPr>
          <w:ilvl w:val="0"/>
          <w:numId w:val="8"/>
        </w:numPr>
        <w:ind w:left="1276" w:hanging="425"/>
        <w:rPr>
          <w:sz w:val="24"/>
          <w:szCs w:val="24"/>
          <w:lang w:val="en-GB"/>
        </w:rPr>
      </w:pPr>
      <w:r w:rsidRPr="002800DB">
        <w:rPr>
          <w:sz w:val="24"/>
          <w:szCs w:val="24"/>
          <w:lang w:val="en-GB"/>
        </w:rPr>
        <w:t>profound decreases in CD4+ and especially in CD8+ T cell counts, which are important for immunological defence (see section 4.8), and</w:t>
      </w:r>
    </w:p>
    <w:p w14:paraId="74B5F550" w14:textId="5217C961" w:rsidR="00BE17CF" w:rsidRPr="002800DB" w:rsidRDefault="00BE17CF" w:rsidP="002800DB">
      <w:pPr>
        <w:pStyle w:val="Listeafsnit"/>
        <w:numPr>
          <w:ilvl w:val="0"/>
          <w:numId w:val="8"/>
        </w:numPr>
        <w:ind w:left="1276" w:hanging="425"/>
        <w:rPr>
          <w:sz w:val="24"/>
          <w:szCs w:val="24"/>
          <w:lang w:val="en-GB"/>
        </w:rPr>
      </w:pPr>
      <w:r w:rsidRPr="002800DB">
        <w:rPr>
          <w:sz w:val="24"/>
          <w:szCs w:val="24"/>
          <w:lang w:val="en-GB"/>
        </w:rPr>
        <w:t>prior immunosuppressive or immunomodulatory therapy (see below).</w:t>
      </w:r>
    </w:p>
    <w:p w14:paraId="039102B1" w14:textId="77777777" w:rsidR="00BE17CF" w:rsidRPr="002800DB" w:rsidRDefault="00BE17CF" w:rsidP="007168AF">
      <w:pPr>
        <w:ind w:left="851"/>
        <w:rPr>
          <w:sz w:val="24"/>
          <w:szCs w:val="24"/>
          <w:lang w:val="en-GB"/>
        </w:rPr>
      </w:pPr>
    </w:p>
    <w:p w14:paraId="6D20E0E4" w14:textId="77777777" w:rsidR="00BE17CF" w:rsidRPr="002800DB" w:rsidRDefault="00BE17CF" w:rsidP="007168AF">
      <w:pPr>
        <w:ind w:left="851"/>
        <w:rPr>
          <w:sz w:val="24"/>
          <w:szCs w:val="24"/>
          <w:lang w:val="en-GB"/>
        </w:rPr>
      </w:pPr>
      <w:r w:rsidRPr="002800DB">
        <w:rPr>
          <w:sz w:val="24"/>
          <w:szCs w:val="24"/>
          <w:lang w:val="en-GB"/>
        </w:rPr>
        <w:t>Physicians should evaluate their patients to determine if the symptoms are indicative of neurological dysfunction and, if so, whether these symptoms are typical of MS or possibly suggestive of PML.</w:t>
      </w:r>
    </w:p>
    <w:p w14:paraId="21608B8F" w14:textId="77777777" w:rsidR="00BE17CF" w:rsidRPr="002800DB" w:rsidRDefault="00BE17CF" w:rsidP="007168AF">
      <w:pPr>
        <w:ind w:left="851"/>
        <w:rPr>
          <w:sz w:val="24"/>
          <w:szCs w:val="24"/>
          <w:lang w:val="en-GB"/>
        </w:rPr>
      </w:pPr>
    </w:p>
    <w:p w14:paraId="0FD6A2D3" w14:textId="77777777" w:rsidR="00BE17CF" w:rsidRPr="002800DB" w:rsidRDefault="00BE17CF" w:rsidP="007168AF">
      <w:pPr>
        <w:ind w:left="851"/>
        <w:rPr>
          <w:sz w:val="24"/>
          <w:szCs w:val="24"/>
          <w:lang w:val="en-GB"/>
        </w:rPr>
      </w:pPr>
      <w:r w:rsidRPr="002800DB">
        <w:rPr>
          <w:sz w:val="24"/>
          <w:szCs w:val="24"/>
          <w:lang w:val="en-GB"/>
        </w:rPr>
        <w:t>At the first sign or symptom suggestive of PML, dimethyl fumarate should be withheld and appropriate diagnostic evaluations, including determination of JCV DNA in cerebrospinal fluid (CSF) by quantitative polymerase chain reaction (PCR) methodology, need to be performed. The symptoms of PML may be similar to an MS relapse. Typical symptoms associated with PML are diverse, progress over days to weeks, and include progressive weakness on one side of the body or clumsiness of limbs, disturbance of vision, and changes in thinking, memory, and orientation leading to confusion and personality changes. Physicians should be particularly alert to symptoms suggestive of PML that the patient may not notice. Patients should also be advised to inform their partner or caregivers about their treatment, since they may notice symptoms that the patient is not aware of.</w:t>
      </w:r>
    </w:p>
    <w:p w14:paraId="38314322" w14:textId="77777777" w:rsidR="00BE17CF" w:rsidRPr="002800DB" w:rsidRDefault="00BE17CF" w:rsidP="007168AF">
      <w:pPr>
        <w:ind w:left="851"/>
        <w:rPr>
          <w:sz w:val="24"/>
          <w:szCs w:val="24"/>
          <w:lang w:val="en-GB"/>
        </w:rPr>
      </w:pPr>
    </w:p>
    <w:p w14:paraId="54E937F5" w14:textId="77777777" w:rsidR="00BE17CF" w:rsidRPr="002800DB" w:rsidRDefault="00BE17CF" w:rsidP="007168AF">
      <w:pPr>
        <w:ind w:left="851"/>
        <w:rPr>
          <w:sz w:val="24"/>
          <w:szCs w:val="24"/>
          <w:lang w:val="en-GB"/>
        </w:rPr>
      </w:pPr>
      <w:r w:rsidRPr="002800DB">
        <w:rPr>
          <w:sz w:val="24"/>
          <w:szCs w:val="24"/>
          <w:lang w:val="en-GB"/>
        </w:rPr>
        <w:t>PML can only occur in the presence of a JCV infection. It should be considered that the influence of lymphopenia on the accuracy of serum anti</w:t>
      </w:r>
      <w:r w:rsidRPr="002800DB">
        <w:rPr>
          <w:sz w:val="24"/>
          <w:szCs w:val="24"/>
          <w:lang w:val="en-GB"/>
        </w:rPr>
        <w:noBreakHyphen/>
        <w:t xml:space="preserve">JCV antibody testing has not been studied in dimethyl fumarate treated patients. It should also be noted that a negative </w:t>
      </w:r>
      <w:r w:rsidRPr="002800DB">
        <w:rPr>
          <w:sz w:val="24"/>
          <w:szCs w:val="24"/>
          <w:lang w:val="en-GB"/>
        </w:rPr>
        <w:lastRenderedPageBreak/>
        <w:t>anti</w:t>
      </w:r>
      <w:r w:rsidRPr="002800DB">
        <w:rPr>
          <w:sz w:val="24"/>
          <w:szCs w:val="24"/>
          <w:lang w:val="en-GB"/>
        </w:rPr>
        <w:noBreakHyphen/>
        <w:t>JCV antibody test (in the presence of normal lymphocyte counts) does not preclude the possibility of subsequent JCV infection.</w:t>
      </w:r>
    </w:p>
    <w:p w14:paraId="12148C38" w14:textId="77777777" w:rsidR="00BE17CF" w:rsidRPr="002800DB" w:rsidRDefault="00BE17CF" w:rsidP="007168AF">
      <w:pPr>
        <w:ind w:left="851"/>
        <w:rPr>
          <w:sz w:val="24"/>
          <w:szCs w:val="24"/>
          <w:lang w:val="en-GB"/>
        </w:rPr>
      </w:pPr>
    </w:p>
    <w:p w14:paraId="39540E7F" w14:textId="77777777" w:rsidR="00BE17CF" w:rsidRPr="002800DB" w:rsidRDefault="00BE17CF" w:rsidP="007168AF">
      <w:pPr>
        <w:ind w:left="851"/>
        <w:rPr>
          <w:sz w:val="24"/>
          <w:szCs w:val="24"/>
          <w:lang w:val="en-GB"/>
        </w:rPr>
      </w:pPr>
      <w:r w:rsidRPr="002800DB">
        <w:rPr>
          <w:sz w:val="24"/>
          <w:szCs w:val="24"/>
          <w:lang w:val="en-GB"/>
        </w:rPr>
        <w:t>If a patient develops PML, dimethyl fumarate must be permanently discontinued.</w:t>
      </w:r>
    </w:p>
    <w:p w14:paraId="68BCE2EB" w14:textId="77777777" w:rsidR="00BE17CF" w:rsidRPr="002800DB" w:rsidRDefault="00BE17CF" w:rsidP="007168AF">
      <w:pPr>
        <w:ind w:left="851"/>
        <w:rPr>
          <w:sz w:val="24"/>
          <w:szCs w:val="24"/>
          <w:lang w:val="en-GB"/>
        </w:rPr>
      </w:pPr>
    </w:p>
    <w:p w14:paraId="315A47D5" w14:textId="77777777" w:rsidR="00BE17CF" w:rsidRPr="002800DB" w:rsidRDefault="00BE17CF" w:rsidP="007168AF">
      <w:pPr>
        <w:ind w:left="851"/>
        <w:rPr>
          <w:sz w:val="24"/>
          <w:szCs w:val="24"/>
          <w:u w:val="single"/>
          <w:lang w:val="en-GB"/>
        </w:rPr>
      </w:pPr>
      <w:r w:rsidRPr="002800DB">
        <w:rPr>
          <w:sz w:val="24"/>
          <w:szCs w:val="24"/>
          <w:u w:val="single"/>
          <w:lang w:val="en-GB"/>
        </w:rPr>
        <w:t>Prior treatment with immunosuppressive or immunomodulating therapies</w:t>
      </w:r>
    </w:p>
    <w:p w14:paraId="6F8296E2" w14:textId="77777777" w:rsidR="00BE17CF" w:rsidRPr="002800DB" w:rsidRDefault="00BE17CF" w:rsidP="007168AF">
      <w:pPr>
        <w:ind w:left="851"/>
        <w:rPr>
          <w:sz w:val="24"/>
          <w:szCs w:val="24"/>
          <w:lang w:val="en-GB"/>
        </w:rPr>
      </w:pPr>
      <w:r w:rsidRPr="002800DB">
        <w:rPr>
          <w:sz w:val="24"/>
          <w:szCs w:val="24"/>
          <w:lang w:val="en-GB"/>
        </w:rPr>
        <w:t>No studies have been performed evaluating the efficacy and safety of dimethyl fumarate when switching patients from other disease modifying therapies to dimethyl fumarate. The contribution of prior immunosuppressive therapy to the development of PML in dimethyl fumarate treated patients is possible.</w:t>
      </w:r>
    </w:p>
    <w:p w14:paraId="7FE35A81" w14:textId="77777777" w:rsidR="00BE17CF" w:rsidRPr="002800DB" w:rsidRDefault="00BE17CF" w:rsidP="007168AF">
      <w:pPr>
        <w:ind w:left="851"/>
        <w:rPr>
          <w:sz w:val="24"/>
          <w:szCs w:val="24"/>
          <w:lang w:val="en-GB"/>
        </w:rPr>
      </w:pPr>
    </w:p>
    <w:p w14:paraId="5013F130" w14:textId="77777777" w:rsidR="00BE17CF" w:rsidRPr="002800DB" w:rsidRDefault="00BE17CF" w:rsidP="007168AF">
      <w:pPr>
        <w:ind w:left="851"/>
        <w:rPr>
          <w:sz w:val="24"/>
          <w:szCs w:val="24"/>
          <w:lang w:val="en-GB"/>
        </w:rPr>
      </w:pPr>
      <w:r w:rsidRPr="002800DB">
        <w:rPr>
          <w:sz w:val="24"/>
          <w:szCs w:val="24"/>
          <w:lang w:val="en-GB"/>
        </w:rPr>
        <w:t>PML cases have been reported in patients who had previously been treated with natalizumab, for which PML is an established risk. Physicians should be aware that cases of PML occurring following recent discontinuation of natalizumab may not have lymphopenia.</w:t>
      </w:r>
    </w:p>
    <w:p w14:paraId="28188EB0" w14:textId="77777777" w:rsidR="00BE17CF" w:rsidRPr="002800DB" w:rsidRDefault="00BE17CF" w:rsidP="007168AF">
      <w:pPr>
        <w:ind w:left="851"/>
        <w:rPr>
          <w:sz w:val="24"/>
          <w:szCs w:val="24"/>
          <w:lang w:val="en-GB"/>
        </w:rPr>
      </w:pPr>
    </w:p>
    <w:p w14:paraId="5126BE05" w14:textId="77777777" w:rsidR="00BE17CF" w:rsidRPr="002800DB" w:rsidRDefault="00BE17CF" w:rsidP="007168AF">
      <w:pPr>
        <w:ind w:left="851"/>
        <w:rPr>
          <w:sz w:val="24"/>
          <w:szCs w:val="24"/>
          <w:lang w:val="en-GB"/>
        </w:rPr>
      </w:pPr>
      <w:r w:rsidRPr="002800DB">
        <w:rPr>
          <w:sz w:val="24"/>
          <w:szCs w:val="24"/>
          <w:lang w:val="en-GB"/>
        </w:rPr>
        <w:t>In addition, a majority of confirmed PML cases with dimethyl fumarate occurred in patients with prior immunomodulatory treatment.</w:t>
      </w:r>
    </w:p>
    <w:p w14:paraId="5654959D" w14:textId="77777777" w:rsidR="00BE17CF" w:rsidRPr="002800DB" w:rsidRDefault="00BE17CF" w:rsidP="007168AF">
      <w:pPr>
        <w:ind w:left="851"/>
        <w:rPr>
          <w:sz w:val="24"/>
          <w:szCs w:val="24"/>
          <w:lang w:val="en-GB"/>
        </w:rPr>
      </w:pPr>
    </w:p>
    <w:p w14:paraId="05FC9309" w14:textId="77777777" w:rsidR="00BE17CF" w:rsidRPr="002800DB" w:rsidRDefault="00BE17CF" w:rsidP="007168AF">
      <w:pPr>
        <w:ind w:left="851"/>
        <w:rPr>
          <w:sz w:val="24"/>
          <w:szCs w:val="24"/>
          <w:lang w:val="en-GB"/>
        </w:rPr>
      </w:pPr>
      <w:r w:rsidRPr="002800DB">
        <w:rPr>
          <w:sz w:val="24"/>
          <w:szCs w:val="24"/>
          <w:lang w:val="en-GB"/>
        </w:rPr>
        <w:t>When switching patients from another disease modifying therapy to dimethyl fumarate, the half-life and mode of action of the other therapy should be considered in order to avoid an additive immune effect while at the same time, reducing the risk of reactivation of MS. A complete blood count is recommended prior to initiating dimethyl fumarate and regularly during treatment (see Blood/laboratory tests above).</w:t>
      </w:r>
    </w:p>
    <w:p w14:paraId="45A1826E" w14:textId="77777777" w:rsidR="00BE17CF" w:rsidRPr="002800DB" w:rsidRDefault="00BE17CF" w:rsidP="007168AF">
      <w:pPr>
        <w:ind w:left="851"/>
        <w:rPr>
          <w:sz w:val="24"/>
          <w:szCs w:val="24"/>
          <w:lang w:val="en-GB"/>
        </w:rPr>
      </w:pPr>
    </w:p>
    <w:p w14:paraId="60159EB6" w14:textId="77777777" w:rsidR="00BE17CF" w:rsidRPr="002800DB" w:rsidRDefault="00BE17CF" w:rsidP="007168AF">
      <w:pPr>
        <w:ind w:left="851"/>
        <w:rPr>
          <w:sz w:val="24"/>
          <w:szCs w:val="24"/>
          <w:u w:val="single"/>
          <w:lang w:val="en-GB"/>
        </w:rPr>
      </w:pPr>
      <w:r w:rsidRPr="002800DB">
        <w:rPr>
          <w:sz w:val="24"/>
          <w:szCs w:val="24"/>
          <w:u w:val="single"/>
          <w:lang w:val="en-GB"/>
        </w:rPr>
        <w:t>Severe renal or hepatic impairment</w:t>
      </w:r>
    </w:p>
    <w:p w14:paraId="38768369" w14:textId="77777777" w:rsidR="00BE17CF" w:rsidRPr="002800DB" w:rsidRDefault="00BE17CF" w:rsidP="007168AF">
      <w:pPr>
        <w:ind w:left="851"/>
        <w:rPr>
          <w:sz w:val="24"/>
          <w:szCs w:val="24"/>
          <w:lang w:val="en-GB"/>
        </w:rPr>
      </w:pPr>
      <w:r w:rsidRPr="002800DB">
        <w:rPr>
          <w:sz w:val="24"/>
          <w:szCs w:val="24"/>
          <w:lang w:val="en-GB"/>
        </w:rPr>
        <w:t>Dimethyl fumarate has not been studied in patients with severe renal or severe hepatic impairment and caution should, therefore, be used in these patients (see section 4.2).</w:t>
      </w:r>
    </w:p>
    <w:p w14:paraId="359C1E13" w14:textId="77777777" w:rsidR="00BE17CF" w:rsidRPr="002800DB" w:rsidRDefault="00BE17CF" w:rsidP="007168AF">
      <w:pPr>
        <w:ind w:left="851"/>
        <w:rPr>
          <w:sz w:val="24"/>
          <w:szCs w:val="24"/>
          <w:lang w:val="en-GB"/>
        </w:rPr>
      </w:pPr>
    </w:p>
    <w:p w14:paraId="413A8AF4" w14:textId="77777777" w:rsidR="00BE17CF" w:rsidRPr="002800DB" w:rsidRDefault="00BE17CF" w:rsidP="007168AF">
      <w:pPr>
        <w:ind w:left="851"/>
        <w:rPr>
          <w:sz w:val="24"/>
          <w:szCs w:val="24"/>
          <w:u w:val="single"/>
          <w:lang w:val="en-GB"/>
        </w:rPr>
      </w:pPr>
      <w:r w:rsidRPr="002800DB">
        <w:rPr>
          <w:sz w:val="24"/>
          <w:szCs w:val="24"/>
          <w:u w:val="single"/>
          <w:lang w:val="en-GB"/>
        </w:rPr>
        <w:t>Severe active gastrointestinal disease</w:t>
      </w:r>
    </w:p>
    <w:p w14:paraId="7DF19A7D" w14:textId="77777777" w:rsidR="00BE17CF" w:rsidRPr="002800DB" w:rsidRDefault="00BE17CF" w:rsidP="007168AF">
      <w:pPr>
        <w:ind w:left="851"/>
        <w:rPr>
          <w:sz w:val="24"/>
          <w:szCs w:val="24"/>
          <w:lang w:val="en-GB"/>
        </w:rPr>
      </w:pPr>
      <w:r w:rsidRPr="002800DB">
        <w:rPr>
          <w:sz w:val="24"/>
          <w:szCs w:val="24"/>
          <w:lang w:val="en-GB"/>
        </w:rPr>
        <w:t>Dimethyl fumarate has not been studied in patients with severe active gastrointestinal disease and caution should, therefore, be used in these patients.</w:t>
      </w:r>
    </w:p>
    <w:p w14:paraId="38C0A42C" w14:textId="77777777" w:rsidR="00BE17CF" w:rsidRPr="002800DB" w:rsidRDefault="00BE17CF" w:rsidP="007168AF">
      <w:pPr>
        <w:ind w:left="851"/>
        <w:rPr>
          <w:sz w:val="24"/>
          <w:szCs w:val="24"/>
          <w:u w:val="single"/>
          <w:lang w:val="en-GB"/>
        </w:rPr>
      </w:pPr>
    </w:p>
    <w:p w14:paraId="51670214" w14:textId="77777777" w:rsidR="00BE17CF" w:rsidRPr="002800DB" w:rsidRDefault="00BE17CF" w:rsidP="007168AF">
      <w:pPr>
        <w:ind w:left="851"/>
        <w:rPr>
          <w:sz w:val="24"/>
          <w:szCs w:val="24"/>
          <w:u w:val="single"/>
          <w:lang w:val="en-GB"/>
        </w:rPr>
      </w:pPr>
      <w:r w:rsidRPr="002800DB">
        <w:rPr>
          <w:sz w:val="24"/>
          <w:szCs w:val="24"/>
          <w:u w:val="single"/>
          <w:lang w:val="en-GB"/>
        </w:rPr>
        <w:t>Flushing</w:t>
      </w:r>
    </w:p>
    <w:p w14:paraId="77C787CA" w14:textId="77777777" w:rsidR="00BE17CF" w:rsidRPr="002800DB" w:rsidRDefault="00BE17CF" w:rsidP="007168AF">
      <w:pPr>
        <w:ind w:left="851"/>
        <w:rPr>
          <w:sz w:val="24"/>
          <w:szCs w:val="24"/>
          <w:lang w:val="en-GB"/>
        </w:rPr>
      </w:pPr>
      <w:r w:rsidRPr="002800DB">
        <w:rPr>
          <w:sz w:val="24"/>
          <w:szCs w:val="24"/>
          <w:lang w:val="en-GB"/>
        </w:rPr>
        <w:t>In clinical trials, 34% of dimethyl fumarate treated patients experienced flushing. In the majority of patients who experienced flushing, it was mild or moderate in severity. Data from healthy volunteer studies suggest that dimethyl fumarate-associated flushing is likely to be prostaglandin mediated. A short course of treatment with 75 mg non-enteric coated acetylsalicylic acid may be beneficial in patients affected by intolerable flushing (see section 4.5). In two healthy volunteer studies, the occurrence and severity of flushing over the dosing period was reduced.</w:t>
      </w:r>
    </w:p>
    <w:p w14:paraId="3CB13802" w14:textId="77777777" w:rsidR="00BE17CF" w:rsidRPr="002800DB" w:rsidRDefault="00BE17CF" w:rsidP="007168AF">
      <w:pPr>
        <w:ind w:left="851"/>
        <w:rPr>
          <w:sz w:val="24"/>
          <w:szCs w:val="24"/>
          <w:lang w:val="en-GB"/>
        </w:rPr>
      </w:pPr>
    </w:p>
    <w:p w14:paraId="75BE86A8" w14:textId="77777777" w:rsidR="00BE17CF" w:rsidRPr="002800DB" w:rsidRDefault="00BE17CF" w:rsidP="007168AF">
      <w:pPr>
        <w:ind w:left="851"/>
        <w:rPr>
          <w:sz w:val="24"/>
          <w:szCs w:val="24"/>
          <w:lang w:val="en-GB"/>
        </w:rPr>
      </w:pPr>
      <w:r w:rsidRPr="002800DB">
        <w:rPr>
          <w:sz w:val="24"/>
          <w:szCs w:val="24"/>
          <w:lang w:val="en-GB"/>
        </w:rPr>
        <w:t>In clinical trials, 3 patients out of a total of 2 560 patients treated with dimethyl fumarate experienced serious flushing symptoms that were probable hypersensitivity or anaphylactoid reactions. These adverse reactions were not life-threatening, but led to hospitalisation. Prescribers and patients should be alert to this possibility in the event of severe flushing reactions (see sections 4.2, 4.5 and 4.8).</w:t>
      </w:r>
    </w:p>
    <w:p w14:paraId="2940C462" w14:textId="77777777" w:rsidR="00BE17CF" w:rsidRPr="002800DB" w:rsidRDefault="00BE17CF" w:rsidP="007168AF">
      <w:pPr>
        <w:ind w:left="851"/>
        <w:rPr>
          <w:sz w:val="24"/>
          <w:szCs w:val="24"/>
          <w:lang w:val="en-GB"/>
        </w:rPr>
      </w:pPr>
    </w:p>
    <w:p w14:paraId="34BAA610" w14:textId="77777777" w:rsidR="00BE17CF" w:rsidRPr="002800DB" w:rsidRDefault="00BE17CF" w:rsidP="007168AF">
      <w:pPr>
        <w:ind w:left="851"/>
        <w:rPr>
          <w:sz w:val="24"/>
          <w:szCs w:val="24"/>
          <w:u w:val="single"/>
          <w:lang w:val="en-GB"/>
        </w:rPr>
      </w:pPr>
      <w:r w:rsidRPr="002800DB">
        <w:rPr>
          <w:sz w:val="24"/>
          <w:szCs w:val="24"/>
          <w:u w:val="single"/>
          <w:lang w:val="en-GB"/>
        </w:rPr>
        <w:t>Anaphylactic reactions</w:t>
      </w:r>
    </w:p>
    <w:p w14:paraId="77819212" w14:textId="77777777" w:rsidR="00BE17CF" w:rsidRPr="002800DB" w:rsidRDefault="00BE17CF" w:rsidP="007168AF">
      <w:pPr>
        <w:ind w:left="851"/>
        <w:rPr>
          <w:sz w:val="24"/>
          <w:szCs w:val="24"/>
          <w:lang w:val="en-GB"/>
        </w:rPr>
      </w:pPr>
      <w:r w:rsidRPr="002800DB">
        <w:rPr>
          <w:sz w:val="24"/>
          <w:szCs w:val="24"/>
          <w:lang w:val="en-GB"/>
        </w:rPr>
        <w:t xml:space="preserve">Cases of anaphylaxis/anaphylactoid reaction have been reported following dimethyl fumarate administration in the post-marketing setting (see section 4.8). Symptoms may </w:t>
      </w:r>
      <w:r w:rsidRPr="002800DB">
        <w:rPr>
          <w:sz w:val="24"/>
          <w:szCs w:val="24"/>
          <w:lang w:val="en-GB"/>
        </w:rPr>
        <w:lastRenderedPageBreak/>
        <w:t>include dyspnoea, hypoxia, hypotension, angioedema, rash or urticaria. The mechanism of dimethyl fumarate induced anaphylaxis is unknown. Reactions generally occur after the first dose, but may also occur at any time during treatment, and may be serious and life threatening.</w:t>
      </w:r>
    </w:p>
    <w:p w14:paraId="40CDA9B6" w14:textId="77777777" w:rsidR="00BE17CF" w:rsidRPr="002800DB" w:rsidRDefault="00BE17CF" w:rsidP="007168AF">
      <w:pPr>
        <w:ind w:left="851"/>
        <w:rPr>
          <w:sz w:val="24"/>
          <w:szCs w:val="24"/>
          <w:lang w:val="en-GB"/>
        </w:rPr>
      </w:pPr>
      <w:r w:rsidRPr="002800DB">
        <w:rPr>
          <w:sz w:val="24"/>
          <w:szCs w:val="24"/>
          <w:lang w:val="en-GB"/>
        </w:rPr>
        <w:t>Patients should be instructed to discontinue dimethyl fumarate and seek immediate medical care if they experience signs or symptoms of anaphylaxis. Treatment should not be restarted (see section 4.8).</w:t>
      </w:r>
    </w:p>
    <w:p w14:paraId="2CF4779F" w14:textId="77777777" w:rsidR="00BE17CF" w:rsidRPr="002800DB" w:rsidRDefault="00BE17CF" w:rsidP="007168AF">
      <w:pPr>
        <w:ind w:left="851"/>
        <w:rPr>
          <w:sz w:val="24"/>
          <w:szCs w:val="24"/>
          <w:lang w:val="en-GB"/>
        </w:rPr>
      </w:pPr>
    </w:p>
    <w:p w14:paraId="399DD3B2" w14:textId="77777777" w:rsidR="00BE17CF" w:rsidRPr="002800DB" w:rsidRDefault="00BE17CF" w:rsidP="007168AF">
      <w:pPr>
        <w:ind w:left="851"/>
        <w:rPr>
          <w:sz w:val="24"/>
          <w:szCs w:val="24"/>
          <w:u w:val="single"/>
          <w:lang w:val="en-GB"/>
        </w:rPr>
      </w:pPr>
      <w:r w:rsidRPr="002800DB">
        <w:rPr>
          <w:sz w:val="24"/>
          <w:szCs w:val="24"/>
          <w:u w:val="single"/>
          <w:lang w:val="en-GB"/>
        </w:rPr>
        <w:t>Infections</w:t>
      </w:r>
    </w:p>
    <w:p w14:paraId="76CF31B2" w14:textId="77777777" w:rsidR="00BE17CF" w:rsidRPr="002800DB" w:rsidRDefault="00BE17CF" w:rsidP="007168AF">
      <w:pPr>
        <w:ind w:left="851"/>
        <w:rPr>
          <w:sz w:val="24"/>
          <w:szCs w:val="24"/>
          <w:lang w:val="en-GB"/>
        </w:rPr>
      </w:pPr>
      <w:r w:rsidRPr="002800DB">
        <w:rPr>
          <w:sz w:val="24"/>
          <w:szCs w:val="24"/>
          <w:lang w:val="en-GB"/>
        </w:rPr>
        <w:t>In phase 3 placebo-controlled studies, the incidence of infections (60% vs 58%) and serious infections (2% vs 2%) was similar in patients treated with dimethyl fumarate or placebo, respectively. However, due to dimethyl fumarate immunomodulatory properties (see section 5.1), if a patient develops a serious infection, suspending treatment with dimethyl fumarate should be considered and the benefits and risks should be reassessed prior to re-initiation of therapy. Patients receiving dimethyl fumarate should be instructed to report symptoms of infections to a physician. Patients with serious infections should not start treatment with this medicinal product until the infection(s) is(are) resolved.</w:t>
      </w:r>
    </w:p>
    <w:p w14:paraId="05B2784C" w14:textId="77777777" w:rsidR="00BE17CF" w:rsidRPr="002800DB" w:rsidRDefault="00BE17CF" w:rsidP="007168AF">
      <w:pPr>
        <w:ind w:left="851"/>
        <w:rPr>
          <w:sz w:val="24"/>
          <w:szCs w:val="24"/>
          <w:lang w:val="en-GB"/>
        </w:rPr>
      </w:pPr>
    </w:p>
    <w:p w14:paraId="2ABDAE30" w14:textId="77777777" w:rsidR="00BE17CF" w:rsidRPr="002800DB" w:rsidRDefault="00BE17CF" w:rsidP="007168AF">
      <w:pPr>
        <w:ind w:left="851"/>
        <w:rPr>
          <w:sz w:val="24"/>
          <w:szCs w:val="24"/>
          <w:lang w:val="en-GB"/>
        </w:rPr>
      </w:pPr>
      <w:r w:rsidRPr="002800DB">
        <w:rPr>
          <w:sz w:val="24"/>
          <w:szCs w:val="24"/>
          <w:lang w:val="en-GB"/>
        </w:rPr>
        <w:t>There was no increased incidence of serious infections observed in patients with lymphocyte counts &lt;0.8 x 10</w:t>
      </w:r>
      <w:r w:rsidRPr="002800DB">
        <w:rPr>
          <w:sz w:val="24"/>
          <w:szCs w:val="24"/>
          <w:vertAlign w:val="superscript"/>
          <w:lang w:val="en-GB"/>
        </w:rPr>
        <w:t>9</w:t>
      </w:r>
      <w:r w:rsidRPr="002800DB">
        <w:rPr>
          <w:sz w:val="24"/>
          <w:szCs w:val="24"/>
          <w:lang w:val="en-GB"/>
        </w:rPr>
        <w:t>/L or &lt;0.5 x 10</w:t>
      </w:r>
      <w:r w:rsidRPr="002800DB">
        <w:rPr>
          <w:sz w:val="24"/>
          <w:szCs w:val="24"/>
          <w:vertAlign w:val="superscript"/>
          <w:lang w:val="en-GB"/>
        </w:rPr>
        <w:t>9</w:t>
      </w:r>
      <w:r w:rsidRPr="002800DB">
        <w:rPr>
          <w:sz w:val="24"/>
          <w:szCs w:val="24"/>
          <w:lang w:val="en-GB"/>
        </w:rPr>
        <w:t>/L (see section 4.8). If therapy is continued in the presence of moderate to severe prolonged lymphopenia, the risk of an opportunistic infection, including PML, cannot be ruled out (see section 4.4 subsection PML).</w:t>
      </w:r>
    </w:p>
    <w:p w14:paraId="49D03237" w14:textId="77777777" w:rsidR="00BE17CF" w:rsidRPr="002800DB" w:rsidRDefault="00BE17CF" w:rsidP="007168AF">
      <w:pPr>
        <w:ind w:left="851"/>
        <w:rPr>
          <w:sz w:val="24"/>
          <w:szCs w:val="24"/>
          <w:lang w:val="en-GB"/>
        </w:rPr>
      </w:pPr>
    </w:p>
    <w:p w14:paraId="53234C75" w14:textId="77777777" w:rsidR="00BE17CF" w:rsidRPr="002800DB" w:rsidRDefault="00BE17CF" w:rsidP="007168AF">
      <w:pPr>
        <w:ind w:left="851"/>
        <w:rPr>
          <w:sz w:val="24"/>
          <w:szCs w:val="24"/>
          <w:u w:val="single"/>
          <w:lang w:val="en-GB"/>
        </w:rPr>
      </w:pPr>
      <w:r w:rsidRPr="002800DB">
        <w:rPr>
          <w:sz w:val="24"/>
          <w:szCs w:val="24"/>
          <w:u w:val="single"/>
          <w:lang w:val="en-GB"/>
        </w:rPr>
        <w:t>Herpes zoster infections</w:t>
      </w:r>
    </w:p>
    <w:p w14:paraId="0C39149A" w14:textId="77777777" w:rsidR="00BE17CF" w:rsidRPr="002800DB" w:rsidRDefault="00BE17CF" w:rsidP="007168AF">
      <w:pPr>
        <w:ind w:left="851"/>
        <w:rPr>
          <w:sz w:val="24"/>
          <w:szCs w:val="24"/>
          <w:lang w:val="en-GB"/>
        </w:rPr>
      </w:pPr>
      <w:r w:rsidRPr="002800DB">
        <w:rPr>
          <w:sz w:val="24"/>
          <w:szCs w:val="24"/>
          <w:lang w:val="en-GB"/>
        </w:rPr>
        <w:t xml:space="preserve">Cases of herpes zoster have been reported with dimethyl fumarate (see section 4.8). The majority of cases were non-serious; however, serious cases, including disseminated herpes zoster, herpes zoster </w:t>
      </w:r>
      <w:proofErr w:type="spellStart"/>
      <w:r w:rsidRPr="002800DB">
        <w:rPr>
          <w:sz w:val="24"/>
          <w:szCs w:val="24"/>
          <w:lang w:val="en-GB"/>
        </w:rPr>
        <w:t>ophthalmicus</w:t>
      </w:r>
      <w:proofErr w:type="spellEnd"/>
      <w:r w:rsidRPr="002800DB">
        <w:rPr>
          <w:sz w:val="24"/>
          <w:szCs w:val="24"/>
          <w:lang w:val="en-GB"/>
        </w:rPr>
        <w:t xml:space="preserve">, herpes zoster </w:t>
      </w:r>
      <w:proofErr w:type="spellStart"/>
      <w:r w:rsidRPr="002800DB">
        <w:rPr>
          <w:sz w:val="24"/>
          <w:szCs w:val="24"/>
          <w:lang w:val="en-GB"/>
        </w:rPr>
        <w:t>oticus</w:t>
      </w:r>
      <w:proofErr w:type="spellEnd"/>
      <w:r w:rsidRPr="002800DB">
        <w:rPr>
          <w:sz w:val="24"/>
          <w:szCs w:val="24"/>
          <w:lang w:val="en-GB"/>
        </w:rPr>
        <w:t>, herpes zoster infection neurological, herpes zoster meningoencephalitis and herpes zoster meningomyelitis have been reported. These adverse reactions may occur at any time during the treatment.</w:t>
      </w:r>
    </w:p>
    <w:p w14:paraId="04D8013C" w14:textId="77777777" w:rsidR="00BE17CF" w:rsidRPr="002800DB" w:rsidRDefault="00BE17CF" w:rsidP="007168AF">
      <w:pPr>
        <w:ind w:left="851"/>
        <w:rPr>
          <w:sz w:val="24"/>
          <w:szCs w:val="24"/>
          <w:lang w:val="en-GB"/>
        </w:rPr>
      </w:pPr>
      <w:r w:rsidRPr="002800DB">
        <w:rPr>
          <w:sz w:val="24"/>
          <w:szCs w:val="24"/>
          <w:lang w:val="en-GB"/>
        </w:rPr>
        <w:t>Patients should be monitored for signs and symptoms of herpes zoster, especially when concurrent lymphocytopenia is reported. If herpes zoster occurs, appropriate treatment for herpes zoster should be administered. Withholding treatment should be considered in patients with serious infections until the infection has resolved (see section 4.8).</w:t>
      </w:r>
    </w:p>
    <w:p w14:paraId="6DB4117E" w14:textId="77777777" w:rsidR="00BE17CF" w:rsidRPr="002800DB" w:rsidRDefault="00BE17CF" w:rsidP="007168AF">
      <w:pPr>
        <w:ind w:left="851"/>
        <w:rPr>
          <w:sz w:val="24"/>
          <w:szCs w:val="24"/>
          <w:lang w:val="en-GB"/>
        </w:rPr>
      </w:pPr>
    </w:p>
    <w:p w14:paraId="300FFF8B" w14:textId="77777777" w:rsidR="00BE17CF" w:rsidRPr="002800DB" w:rsidRDefault="00BE17CF" w:rsidP="007168AF">
      <w:pPr>
        <w:ind w:left="851"/>
        <w:rPr>
          <w:sz w:val="24"/>
          <w:szCs w:val="24"/>
          <w:u w:val="single"/>
          <w:lang w:val="en-GB"/>
        </w:rPr>
      </w:pPr>
      <w:r w:rsidRPr="002800DB">
        <w:rPr>
          <w:sz w:val="24"/>
          <w:szCs w:val="24"/>
          <w:u w:val="single"/>
          <w:lang w:val="en-GB"/>
        </w:rPr>
        <w:t>Treatment initiation</w:t>
      </w:r>
    </w:p>
    <w:p w14:paraId="70CB3935" w14:textId="77777777" w:rsidR="00BE17CF" w:rsidRPr="002800DB" w:rsidRDefault="00BE17CF" w:rsidP="007168AF">
      <w:pPr>
        <w:ind w:left="851"/>
        <w:rPr>
          <w:sz w:val="24"/>
          <w:szCs w:val="24"/>
          <w:lang w:val="en-GB"/>
        </w:rPr>
      </w:pPr>
      <w:r w:rsidRPr="002800DB">
        <w:rPr>
          <w:sz w:val="24"/>
          <w:szCs w:val="24"/>
          <w:lang w:val="en-GB"/>
        </w:rPr>
        <w:t>Treatment should be started gradually to reduce the occurrence of flushing and gastrointestinal adverse reactions (see section 4.2).</w:t>
      </w:r>
    </w:p>
    <w:p w14:paraId="3F5E8B8F" w14:textId="77777777" w:rsidR="00BE17CF" w:rsidRPr="002800DB" w:rsidRDefault="00BE17CF" w:rsidP="007168AF">
      <w:pPr>
        <w:ind w:left="851"/>
        <w:rPr>
          <w:sz w:val="24"/>
          <w:szCs w:val="24"/>
          <w:lang w:val="en-GB"/>
        </w:rPr>
      </w:pPr>
    </w:p>
    <w:p w14:paraId="291CB69B" w14:textId="77777777" w:rsidR="00BE17CF" w:rsidRPr="002800DB" w:rsidRDefault="00BE17CF" w:rsidP="007168AF">
      <w:pPr>
        <w:ind w:left="851"/>
        <w:rPr>
          <w:sz w:val="24"/>
          <w:szCs w:val="24"/>
          <w:u w:val="single"/>
          <w:lang w:val="en-GB"/>
        </w:rPr>
      </w:pPr>
      <w:r w:rsidRPr="002800DB">
        <w:rPr>
          <w:sz w:val="24"/>
          <w:szCs w:val="24"/>
          <w:u w:val="single"/>
          <w:lang w:val="en-GB"/>
        </w:rPr>
        <w:t>Fanconi syndrome</w:t>
      </w:r>
    </w:p>
    <w:p w14:paraId="4D9620FD" w14:textId="77777777" w:rsidR="00BE17CF" w:rsidRPr="002800DB" w:rsidRDefault="00BE17CF" w:rsidP="007168AF">
      <w:pPr>
        <w:ind w:left="851"/>
        <w:rPr>
          <w:sz w:val="24"/>
          <w:szCs w:val="24"/>
          <w:lang w:val="en-GB"/>
        </w:rPr>
      </w:pPr>
      <w:r w:rsidRPr="002800DB">
        <w:rPr>
          <w:sz w:val="24"/>
          <w:szCs w:val="24"/>
          <w:lang w:val="en-GB"/>
        </w:rPr>
        <w:t xml:space="preserve">Cases of Fanconi syndrome have been reported with a medicinal product containing dimethyl fumarate in combination with other fumaric acid esters. Early diagnosis of Fanconi syndrome and discontinuation of dimethyl fumarate treatment are important to prevent the onset of renal impairment and </w:t>
      </w:r>
      <w:proofErr w:type="spellStart"/>
      <w:r w:rsidRPr="002800DB">
        <w:rPr>
          <w:sz w:val="24"/>
          <w:szCs w:val="24"/>
          <w:lang w:val="en-GB"/>
        </w:rPr>
        <w:t>osteomalacia</w:t>
      </w:r>
      <w:proofErr w:type="spellEnd"/>
      <w:r w:rsidRPr="002800DB">
        <w:rPr>
          <w:sz w:val="24"/>
          <w:szCs w:val="24"/>
          <w:lang w:val="en-GB"/>
        </w:rPr>
        <w:t xml:space="preserve">, as the syndrome is usually reversible. The most important signs are proteinuria, glucosuria (with normal blood sugar levels), hyperaminoaciduria and phosphaturia (possibly concurrent with hypophosphatemia). Progression might involve symptoms such as polyuria, polydipsia and proximal muscle weakness. In rare cases, </w:t>
      </w:r>
      <w:proofErr w:type="spellStart"/>
      <w:r w:rsidRPr="002800DB">
        <w:rPr>
          <w:sz w:val="24"/>
          <w:szCs w:val="24"/>
          <w:lang w:val="en-GB"/>
        </w:rPr>
        <w:t>hypophosphataemic</w:t>
      </w:r>
      <w:proofErr w:type="spellEnd"/>
      <w:r w:rsidRPr="002800DB">
        <w:rPr>
          <w:sz w:val="24"/>
          <w:szCs w:val="24"/>
          <w:lang w:val="en-GB"/>
        </w:rPr>
        <w:t xml:space="preserve"> </w:t>
      </w:r>
      <w:proofErr w:type="spellStart"/>
      <w:r w:rsidRPr="002800DB">
        <w:rPr>
          <w:sz w:val="24"/>
          <w:szCs w:val="24"/>
          <w:lang w:val="en-GB"/>
        </w:rPr>
        <w:t>osteomalacia</w:t>
      </w:r>
      <w:proofErr w:type="spellEnd"/>
      <w:r w:rsidRPr="002800DB">
        <w:rPr>
          <w:sz w:val="24"/>
          <w:szCs w:val="24"/>
          <w:lang w:val="en-GB"/>
        </w:rPr>
        <w:t xml:space="preserve"> with non-localised bone pain, elevated alkaline phosphatase in serum and stress fractures may occur. Importantly, Fanconi syndrome can occur without elevated creatinine levels or low glomerular filtration rate. In case of unclear symptoms, Fanconi syndrome should be considered, and appropriate examinations should be performed.</w:t>
      </w:r>
    </w:p>
    <w:p w14:paraId="6F6CFB52" w14:textId="77777777" w:rsidR="007C5D2A" w:rsidRPr="002800DB" w:rsidRDefault="007C5D2A" w:rsidP="003E0341">
      <w:pPr>
        <w:tabs>
          <w:tab w:val="left" w:pos="851"/>
        </w:tabs>
        <w:ind w:left="851"/>
        <w:rPr>
          <w:sz w:val="24"/>
          <w:szCs w:val="24"/>
          <w:lang w:val="en-GB"/>
        </w:rPr>
      </w:pPr>
    </w:p>
    <w:p w14:paraId="42F26702" w14:textId="77777777" w:rsidR="007C5D2A" w:rsidRPr="002800DB" w:rsidRDefault="007C5D2A" w:rsidP="007C5D2A">
      <w:pPr>
        <w:ind w:left="851" w:hanging="851"/>
        <w:rPr>
          <w:b/>
          <w:sz w:val="24"/>
          <w:szCs w:val="24"/>
          <w:lang w:val="en-GB"/>
        </w:rPr>
      </w:pPr>
      <w:r w:rsidRPr="002800DB">
        <w:rPr>
          <w:b/>
          <w:sz w:val="24"/>
          <w:szCs w:val="24"/>
          <w:lang w:val="en-GB"/>
        </w:rPr>
        <w:t>4.5</w:t>
      </w:r>
      <w:r w:rsidRPr="002800DB">
        <w:rPr>
          <w:b/>
          <w:sz w:val="24"/>
          <w:szCs w:val="24"/>
          <w:lang w:val="en-GB"/>
        </w:rPr>
        <w:tab/>
        <w:t>Interaction with other medicinal products and other forms of interaction</w:t>
      </w:r>
    </w:p>
    <w:p w14:paraId="47790B68" w14:textId="77777777" w:rsidR="002800DB" w:rsidRDefault="002800DB" w:rsidP="007168AF">
      <w:pPr>
        <w:ind w:left="851"/>
        <w:rPr>
          <w:sz w:val="24"/>
          <w:szCs w:val="24"/>
          <w:lang w:val="en-GB"/>
        </w:rPr>
      </w:pPr>
    </w:p>
    <w:p w14:paraId="0FBDBF2B" w14:textId="6870B913" w:rsidR="00BE17CF" w:rsidRPr="002800DB" w:rsidRDefault="00BE17CF" w:rsidP="007168AF">
      <w:pPr>
        <w:ind w:left="851"/>
        <w:rPr>
          <w:sz w:val="24"/>
          <w:szCs w:val="24"/>
          <w:u w:val="single"/>
          <w:lang w:val="en-GB"/>
        </w:rPr>
      </w:pPr>
      <w:r w:rsidRPr="002800DB">
        <w:rPr>
          <w:sz w:val="24"/>
          <w:szCs w:val="24"/>
          <w:u w:val="single"/>
          <w:lang w:val="en-GB"/>
        </w:rPr>
        <w:t>Anti-neoplastic, immunosuppressive or corticosteroid therapies</w:t>
      </w:r>
    </w:p>
    <w:p w14:paraId="7D5B8B9D" w14:textId="77777777" w:rsidR="00BE17CF" w:rsidRPr="002800DB" w:rsidRDefault="00BE17CF" w:rsidP="007168AF">
      <w:pPr>
        <w:ind w:left="851"/>
        <w:rPr>
          <w:sz w:val="24"/>
          <w:szCs w:val="24"/>
          <w:lang w:val="en-GB"/>
        </w:rPr>
      </w:pPr>
      <w:r w:rsidRPr="002800DB">
        <w:rPr>
          <w:sz w:val="24"/>
          <w:szCs w:val="24"/>
          <w:lang w:val="en-GB"/>
        </w:rPr>
        <w:t>Dimethyl fumarate has not been studied in combination with anti-neoplastic or immunosuppressive therapies and caution should, therefore, be used during concomitant administration. In multiple sclerosis clinical studies, the concomitant treatment of relapses with a short course of intravenous corticosteroids was not associated with a clinically relevant increase of infection.</w:t>
      </w:r>
    </w:p>
    <w:p w14:paraId="3C0812AD" w14:textId="77777777" w:rsidR="00BE17CF" w:rsidRPr="002800DB" w:rsidRDefault="00BE17CF" w:rsidP="007168AF">
      <w:pPr>
        <w:ind w:left="851"/>
        <w:rPr>
          <w:sz w:val="24"/>
          <w:szCs w:val="24"/>
          <w:lang w:val="en-GB"/>
        </w:rPr>
      </w:pPr>
    </w:p>
    <w:p w14:paraId="1CC14E71" w14:textId="77777777" w:rsidR="00BE17CF" w:rsidRPr="002800DB" w:rsidRDefault="00BE17CF" w:rsidP="007168AF">
      <w:pPr>
        <w:ind w:left="851"/>
        <w:rPr>
          <w:sz w:val="24"/>
          <w:szCs w:val="24"/>
          <w:u w:val="single"/>
          <w:lang w:val="en-GB"/>
        </w:rPr>
      </w:pPr>
      <w:r w:rsidRPr="002800DB">
        <w:rPr>
          <w:sz w:val="24"/>
          <w:szCs w:val="24"/>
          <w:u w:val="single"/>
          <w:lang w:val="en-GB"/>
        </w:rPr>
        <w:t>Vaccines</w:t>
      </w:r>
    </w:p>
    <w:p w14:paraId="3EEB057D" w14:textId="77777777" w:rsidR="00BE17CF" w:rsidRPr="002800DB" w:rsidRDefault="00BE17CF" w:rsidP="007168AF">
      <w:pPr>
        <w:ind w:left="851"/>
        <w:rPr>
          <w:sz w:val="24"/>
          <w:szCs w:val="24"/>
          <w:lang w:val="en-GB"/>
        </w:rPr>
      </w:pPr>
      <w:r w:rsidRPr="002800DB">
        <w:rPr>
          <w:sz w:val="24"/>
          <w:szCs w:val="24"/>
          <w:lang w:val="en-GB"/>
        </w:rPr>
        <w:t xml:space="preserve">Concomitant administration of non-live vaccines according to national vaccination schedules may be considered during dimethyl fumarate therapy. </w:t>
      </w:r>
    </w:p>
    <w:p w14:paraId="593E6E57" w14:textId="77777777" w:rsidR="00BE17CF" w:rsidRPr="002800DB" w:rsidRDefault="00BE17CF" w:rsidP="007168AF">
      <w:pPr>
        <w:ind w:left="851"/>
        <w:rPr>
          <w:sz w:val="24"/>
          <w:szCs w:val="24"/>
          <w:lang w:val="en-GB"/>
        </w:rPr>
      </w:pPr>
      <w:r w:rsidRPr="002800DB">
        <w:rPr>
          <w:sz w:val="24"/>
          <w:szCs w:val="24"/>
          <w:lang w:val="en-GB"/>
        </w:rPr>
        <w:t>In a clinical study involving a total of 71 patients with RRMS, patients on dimethyl fumarate 240 mg twice daily for at least 6 months (n=38) or non-pegylated interferon for at least 3 months (n=33), mounted a comparable immune response (defined as ≥2</w:t>
      </w:r>
      <w:r w:rsidRPr="002800DB">
        <w:rPr>
          <w:sz w:val="24"/>
          <w:szCs w:val="24"/>
          <w:lang w:val="en-GB"/>
        </w:rPr>
        <w:noBreakHyphen/>
        <w:t>fold increase from pre</w:t>
      </w:r>
      <w:r w:rsidRPr="002800DB">
        <w:rPr>
          <w:sz w:val="24"/>
          <w:szCs w:val="24"/>
          <w:lang w:val="en-GB"/>
        </w:rPr>
        <w:noBreakHyphen/>
        <w:t xml:space="preserve"> to post-vaccination titre) to tetanus toxoid (recall antigen) and a conjugated meningococcal C polysaccharide vaccine (neoantigen), while the immune response to different serotypes of an unconjugated 23</w:t>
      </w:r>
      <w:r w:rsidRPr="002800DB">
        <w:rPr>
          <w:sz w:val="24"/>
          <w:szCs w:val="24"/>
          <w:lang w:val="en-GB"/>
        </w:rPr>
        <w:noBreakHyphen/>
        <w:t>valent pneumococcal polysaccharide vaccine (T</w:t>
      </w:r>
      <w:r w:rsidRPr="002800DB">
        <w:rPr>
          <w:sz w:val="24"/>
          <w:szCs w:val="24"/>
          <w:lang w:val="en-GB"/>
        </w:rPr>
        <w:noBreakHyphen/>
        <w:t>cell independent antigen) varied in both treatment groups. A positive immune response defined as a ≥4</w:t>
      </w:r>
      <w:r w:rsidRPr="002800DB">
        <w:rPr>
          <w:sz w:val="24"/>
          <w:szCs w:val="24"/>
          <w:lang w:val="en-GB"/>
        </w:rPr>
        <w:noBreakHyphen/>
        <w:t>fold increase in antibody titre to the three vaccines, was achieved by fewer subjects in both treatment groups. Small numerical differences in the response to tetanus toxoid and pneumococcal serotype 3 polysaccharide were noted in favour of non-pegylated interferon.</w:t>
      </w:r>
    </w:p>
    <w:p w14:paraId="4B1BE8F4" w14:textId="77777777" w:rsidR="00BE17CF" w:rsidRPr="002800DB" w:rsidRDefault="00BE17CF" w:rsidP="007168AF">
      <w:pPr>
        <w:ind w:left="851"/>
        <w:rPr>
          <w:sz w:val="24"/>
          <w:szCs w:val="24"/>
          <w:lang w:val="en-GB"/>
        </w:rPr>
      </w:pPr>
    </w:p>
    <w:p w14:paraId="08C4C152" w14:textId="77777777" w:rsidR="00BE17CF" w:rsidRPr="002800DB" w:rsidRDefault="00BE17CF" w:rsidP="007168AF">
      <w:pPr>
        <w:ind w:left="851"/>
        <w:rPr>
          <w:sz w:val="24"/>
          <w:szCs w:val="24"/>
          <w:lang w:val="en-GB"/>
        </w:rPr>
      </w:pPr>
      <w:r w:rsidRPr="002800DB">
        <w:rPr>
          <w:sz w:val="24"/>
          <w:szCs w:val="24"/>
          <w:lang w:val="en-GB"/>
        </w:rPr>
        <w:t>No clinical data are available on the efficacy and safety of live attenuated vaccines in patients taking dimethyl fumarate. Live vaccines might carry an increased risk of clinical infection and should not be given to patients treated with dimethyl fumarate unless, in exceptional cases, this potential risk is considered to be outweighed by the risk to the individual of not vaccinating.</w:t>
      </w:r>
    </w:p>
    <w:p w14:paraId="7F3910BF" w14:textId="77777777" w:rsidR="00BE17CF" w:rsidRPr="002800DB" w:rsidRDefault="00BE17CF" w:rsidP="007168AF">
      <w:pPr>
        <w:ind w:left="851"/>
        <w:rPr>
          <w:sz w:val="24"/>
          <w:szCs w:val="24"/>
          <w:lang w:val="en-GB"/>
        </w:rPr>
      </w:pPr>
    </w:p>
    <w:p w14:paraId="4B4464CD" w14:textId="77777777" w:rsidR="00BE17CF" w:rsidRPr="002800DB" w:rsidRDefault="00BE17CF" w:rsidP="007168AF">
      <w:pPr>
        <w:ind w:left="851"/>
        <w:rPr>
          <w:sz w:val="24"/>
          <w:szCs w:val="24"/>
          <w:u w:val="single"/>
          <w:lang w:val="en-GB"/>
        </w:rPr>
      </w:pPr>
      <w:r w:rsidRPr="002800DB">
        <w:rPr>
          <w:sz w:val="24"/>
          <w:szCs w:val="24"/>
          <w:u w:val="single"/>
          <w:lang w:val="en-GB"/>
        </w:rPr>
        <w:t>Other fumaric acid derivatives</w:t>
      </w:r>
    </w:p>
    <w:p w14:paraId="19DBD83A" w14:textId="77777777" w:rsidR="00BE17CF" w:rsidRPr="002800DB" w:rsidRDefault="00BE17CF" w:rsidP="007168AF">
      <w:pPr>
        <w:ind w:left="851"/>
        <w:rPr>
          <w:sz w:val="24"/>
          <w:szCs w:val="24"/>
          <w:lang w:val="en-GB"/>
        </w:rPr>
      </w:pPr>
      <w:r w:rsidRPr="002800DB">
        <w:rPr>
          <w:sz w:val="24"/>
          <w:szCs w:val="24"/>
          <w:lang w:val="en-GB"/>
        </w:rPr>
        <w:t>During treatment with dimethyl fumarate, simultaneous use of other fumaric acid derivatives (topical or systemic) should be avoided.</w:t>
      </w:r>
    </w:p>
    <w:p w14:paraId="2202F50D" w14:textId="77777777" w:rsidR="00BE17CF" w:rsidRPr="002800DB" w:rsidRDefault="00BE17CF" w:rsidP="007168AF">
      <w:pPr>
        <w:ind w:left="851"/>
        <w:rPr>
          <w:sz w:val="24"/>
          <w:szCs w:val="24"/>
          <w:lang w:val="en-GB"/>
        </w:rPr>
      </w:pPr>
    </w:p>
    <w:p w14:paraId="667FAE3D" w14:textId="77777777" w:rsidR="00BE17CF" w:rsidRPr="002800DB" w:rsidRDefault="00BE17CF" w:rsidP="007168AF">
      <w:pPr>
        <w:ind w:left="851"/>
        <w:rPr>
          <w:sz w:val="24"/>
          <w:szCs w:val="24"/>
          <w:lang w:val="en-GB"/>
        </w:rPr>
      </w:pPr>
      <w:r w:rsidRPr="002800DB">
        <w:rPr>
          <w:sz w:val="24"/>
          <w:szCs w:val="24"/>
          <w:lang w:val="en-GB"/>
        </w:rPr>
        <w:t xml:space="preserve">In humans, dimethyl fumarate is extensively metabolised by </w:t>
      </w:r>
      <w:proofErr w:type="spellStart"/>
      <w:r w:rsidRPr="002800DB">
        <w:rPr>
          <w:sz w:val="24"/>
          <w:szCs w:val="24"/>
          <w:lang w:val="en-GB"/>
        </w:rPr>
        <w:t>esterases</w:t>
      </w:r>
      <w:proofErr w:type="spellEnd"/>
      <w:r w:rsidRPr="002800DB">
        <w:rPr>
          <w:sz w:val="24"/>
          <w:szCs w:val="24"/>
          <w:lang w:val="en-GB"/>
        </w:rPr>
        <w:t xml:space="preserve"> before it reaches the systemic circulation and further metabolism occurs through the tricarboxylic acid cycle, with no involvement of the cytochrome P450 (CYP) system. Potential interaction risks were not identified from </w:t>
      </w:r>
      <w:r w:rsidRPr="002800DB">
        <w:rPr>
          <w:i/>
          <w:sz w:val="24"/>
          <w:szCs w:val="24"/>
          <w:lang w:val="en-GB"/>
        </w:rPr>
        <w:t xml:space="preserve">in vitro </w:t>
      </w:r>
      <w:r w:rsidRPr="002800DB">
        <w:rPr>
          <w:sz w:val="24"/>
          <w:szCs w:val="24"/>
          <w:lang w:val="en-GB"/>
        </w:rPr>
        <w:t>CYP-inhibition and induction studies, a p</w:t>
      </w:r>
      <w:r w:rsidRPr="002800DB">
        <w:rPr>
          <w:sz w:val="24"/>
          <w:szCs w:val="24"/>
          <w:lang w:val="en-GB"/>
        </w:rPr>
        <w:noBreakHyphen/>
        <w:t>glycoprotein study, or studies of the protein binding of dimethyl fumarate and monomethyl fumarate (the primary metabolite of dimethyl fumarate).</w:t>
      </w:r>
    </w:p>
    <w:p w14:paraId="4B4C550B" w14:textId="77777777" w:rsidR="00BE17CF" w:rsidRPr="002800DB" w:rsidRDefault="00BE17CF" w:rsidP="007168AF">
      <w:pPr>
        <w:ind w:left="851"/>
        <w:rPr>
          <w:sz w:val="24"/>
          <w:szCs w:val="24"/>
          <w:lang w:val="en-GB"/>
        </w:rPr>
      </w:pPr>
    </w:p>
    <w:p w14:paraId="4A675CA4" w14:textId="77777777" w:rsidR="00BE17CF" w:rsidRPr="002800DB" w:rsidRDefault="00BE17CF" w:rsidP="007168AF">
      <w:pPr>
        <w:ind w:left="851"/>
        <w:rPr>
          <w:sz w:val="24"/>
          <w:szCs w:val="24"/>
          <w:u w:val="single"/>
          <w:lang w:val="en-GB"/>
        </w:rPr>
      </w:pPr>
      <w:r w:rsidRPr="002800DB">
        <w:rPr>
          <w:sz w:val="24"/>
          <w:szCs w:val="24"/>
          <w:u w:val="single"/>
          <w:lang w:val="en-GB"/>
        </w:rPr>
        <w:t>Effects of other substances on dimethyl fumarate</w:t>
      </w:r>
    </w:p>
    <w:p w14:paraId="7A59CAA7" w14:textId="77777777" w:rsidR="00BE17CF" w:rsidRPr="002800DB" w:rsidRDefault="00BE17CF" w:rsidP="007168AF">
      <w:pPr>
        <w:ind w:left="851"/>
        <w:rPr>
          <w:sz w:val="24"/>
          <w:szCs w:val="24"/>
          <w:lang w:val="en-GB"/>
        </w:rPr>
      </w:pPr>
      <w:r w:rsidRPr="002800DB">
        <w:rPr>
          <w:sz w:val="24"/>
          <w:szCs w:val="24"/>
          <w:lang w:val="en-GB"/>
        </w:rPr>
        <w:t>Commonly used medicinal products in patients with multiple sclerosis, intramuscular interferon beta</w:t>
      </w:r>
      <w:r w:rsidRPr="002800DB">
        <w:rPr>
          <w:sz w:val="24"/>
          <w:szCs w:val="24"/>
          <w:lang w:val="en-GB"/>
        </w:rPr>
        <w:noBreakHyphen/>
        <w:t>1a and glatiramer acetate, were clinically tested for potential interactions with dimethyl fumarate and did not alter the pharmacokinetic profile of dimethyl fumarate.</w:t>
      </w:r>
    </w:p>
    <w:p w14:paraId="61C06905" w14:textId="77777777" w:rsidR="00BE17CF" w:rsidRPr="002800DB" w:rsidRDefault="00BE17CF" w:rsidP="007168AF">
      <w:pPr>
        <w:ind w:left="851"/>
        <w:rPr>
          <w:sz w:val="24"/>
          <w:szCs w:val="24"/>
          <w:lang w:val="en-GB"/>
        </w:rPr>
      </w:pPr>
    </w:p>
    <w:p w14:paraId="2D89C480" w14:textId="77777777" w:rsidR="00BE17CF" w:rsidRPr="002800DB" w:rsidRDefault="00BE17CF" w:rsidP="007168AF">
      <w:pPr>
        <w:ind w:left="851"/>
        <w:rPr>
          <w:sz w:val="24"/>
          <w:szCs w:val="24"/>
          <w:lang w:val="en-GB"/>
        </w:rPr>
      </w:pPr>
      <w:r w:rsidRPr="002800DB">
        <w:rPr>
          <w:sz w:val="24"/>
          <w:szCs w:val="24"/>
          <w:lang w:val="en-GB"/>
        </w:rPr>
        <w:t xml:space="preserve">Evidence from healthy volunteer studies suggests that dimethyl fumarate-associated flushing is likely to be prostaglandin mediated. In two healthy volunteer studies, the administration of 325 mg (or equivalent) non-enteric coated acetylsalicylic acid, 30 minutes prior to dimethyl fumarate, dosing over 4 days and over 4 weeks, respectively, </w:t>
      </w:r>
      <w:r w:rsidRPr="002800DB">
        <w:rPr>
          <w:sz w:val="24"/>
          <w:szCs w:val="24"/>
          <w:lang w:val="en-GB"/>
        </w:rPr>
        <w:lastRenderedPageBreak/>
        <w:t>did not alter the pharmacokinetic profile of dimethyl fumarate. Potential risks associated with acetylsalicylic acid therapy should be considered prior to co</w:t>
      </w:r>
      <w:r w:rsidRPr="002800DB">
        <w:rPr>
          <w:sz w:val="24"/>
          <w:szCs w:val="24"/>
          <w:lang w:val="en-GB"/>
        </w:rPr>
        <w:noBreakHyphen/>
        <w:t>administration with dimethyl fumarate in patients with RRMS. Long term (&gt;4 weeks) continuous use of acetylsalicylic acid has not been studied (see sections 4.4 and 4.8).</w:t>
      </w:r>
    </w:p>
    <w:p w14:paraId="19443A9E" w14:textId="77777777" w:rsidR="00BE17CF" w:rsidRPr="002800DB" w:rsidRDefault="00BE17CF" w:rsidP="007168AF">
      <w:pPr>
        <w:ind w:left="851"/>
        <w:rPr>
          <w:sz w:val="24"/>
          <w:szCs w:val="24"/>
          <w:lang w:val="en-GB"/>
        </w:rPr>
      </w:pPr>
    </w:p>
    <w:p w14:paraId="69898A40" w14:textId="77777777" w:rsidR="00BE17CF" w:rsidRPr="002800DB" w:rsidRDefault="00BE17CF" w:rsidP="007168AF">
      <w:pPr>
        <w:ind w:left="851"/>
        <w:rPr>
          <w:sz w:val="24"/>
          <w:szCs w:val="24"/>
          <w:lang w:val="en-GB"/>
        </w:rPr>
      </w:pPr>
      <w:r w:rsidRPr="002800DB">
        <w:rPr>
          <w:sz w:val="24"/>
          <w:szCs w:val="24"/>
          <w:lang w:val="en-GB"/>
        </w:rPr>
        <w:t xml:space="preserve">Concurrent therapy with nephrotoxic medicinal products (such as aminoglycosides, diuretics, non-steroidal anti-inflammatory drugs or lithium) may increase the potential of renal adverse reactions (e.g. proteinuria </w:t>
      </w:r>
      <w:proofErr w:type="gramStart"/>
      <w:r w:rsidRPr="002800DB">
        <w:rPr>
          <w:sz w:val="24"/>
          <w:szCs w:val="24"/>
          <w:lang w:val="en-GB"/>
        </w:rPr>
        <w:t>see</w:t>
      </w:r>
      <w:proofErr w:type="gramEnd"/>
      <w:r w:rsidRPr="002800DB">
        <w:rPr>
          <w:sz w:val="24"/>
          <w:szCs w:val="24"/>
          <w:lang w:val="en-GB"/>
        </w:rPr>
        <w:t xml:space="preserve"> section 4.8) in patients taking dimethyl fumarate (see section 4.4 Blood/laboratory tests).</w:t>
      </w:r>
    </w:p>
    <w:p w14:paraId="5C89A4B2" w14:textId="77777777" w:rsidR="00BE17CF" w:rsidRPr="002800DB" w:rsidRDefault="00BE17CF" w:rsidP="007168AF">
      <w:pPr>
        <w:ind w:left="851"/>
        <w:rPr>
          <w:sz w:val="24"/>
          <w:szCs w:val="24"/>
          <w:lang w:val="en-GB"/>
        </w:rPr>
      </w:pPr>
    </w:p>
    <w:p w14:paraId="27802CA3" w14:textId="6B1193ED" w:rsidR="00BE17CF" w:rsidRPr="002800DB" w:rsidRDefault="00BE17CF" w:rsidP="007168AF">
      <w:pPr>
        <w:ind w:left="851"/>
        <w:rPr>
          <w:sz w:val="24"/>
          <w:szCs w:val="24"/>
          <w:lang w:val="en-GB"/>
        </w:rPr>
      </w:pPr>
      <w:r w:rsidRPr="002800DB">
        <w:rPr>
          <w:sz w:val="24"/>
          <w:szCs w:val="24"/>
          <w:lang w:val="en-GB"/>
        </w:rPr>
        <w:t xml:space="preserve">Consumption of moderate amounts of alcohol did not alter exposure to dimethyl fumarate and was not associated with an increase in adverse reactions. Consumption of large amounts of strong alcoholic drinks (more than 30% alcohol by volume) should be avoided within an hour of taking </w:t>
      </w:r>
      <w:r w:rsidR="002800DB">
        <w:rPr>
          <w:sz w:val="24"/>
          <w:szCs w:val="24"/>
          <w:lang w:val="en-GB"/>
        </w:rPr>
        <w:t>Dimethyl fumarate "Teva"</w:t>
      </w:r>
      <w:r w:rsidRPr="002800DB">
        <w:rPr>
          <w:sz w:val="24"/>
          <w:szCs w:val="24"/>
          <w:lang w:val="en-GB"/>
        </w:rPr>
        <w:t xml:space="preserve">, as alcohol may lead to increased frequency of gastrointestinal adverse reactions. </w:t>
      </w:r>
    </w:p>
    <w:p w14:paraId="7B3D393C" w14:textId="77777777" w:rsidR="00BE17CF" w:rsidRPr="002800DB" w:rsidRDefault="00BE17CF" w:rsidP="007168AF">
      <w:pPr>
        <w:ind w:left="851"/>
        <w:rPr>
          <w:sz w:val="24"/>
          <w:szCs w:val="24"/>
          <w:lang w:val="en-GB"/>
        </w:rPr>
      </w:pPr>
    </w:p>
    <w:p w14:paraId="76C9B2B2" w14:textId="77777777" w:rsidR="00BE17CF" w:rsidRPr="006174AA" w:rsidRDefault="00BE17CF" w:rsidP="007168AF">
      <w:pPr>
        <w:ind w:left="851"/>
        <w:rPr>
          <w:iCs/>
          <w:sz w:val="24"/>
          <w:szCs w:val="24"/>
          <w:u w:val="single"/>
          <w:lang w:val="en-GB"/>
        </w:rPr>
      </w:pPr>
      <w:r w:rsidRPr="006174AA">
        <w:rPr>
          <w:iCs/>
          <w:sz w:val="24"/>
          <w:szCs w:val="24"/>
          <w:u w:val="single"/>
          <w:lang w:val="en-GB"/>
        </w:rPr>
        <w:t>Effects of dimethyl fumarate on other substances</w:t>
      </w:r>
    </w:p>
    <w:p w14:paraId="32D95944" w14:textId="77777777" w:rsidR="00BE17CF" w:rsidRPr="002800DB" w:rsidRDefault="00BE17CF" w:rsidP="007168AF">
      <w:pPr>
        <w:ind w:left="851"/>
        <w:rPr>
          <w:sz w:val="24"/>
          <w:szCs w:val="24"/>
          <w:lang w:val="en-GB"/>
        </w:rPr>
      </w:pPr>
      <w:r w:rsidRPr="002800DB">
        <w:rPr>
          <w:i/>
          <w:sz w:val="24"/>
          <w:szCs w:val="24"/>
          <w:lang w:val="en-GB"/>
        </w:rPr>
        <w:t>In vitro</w:t>
      </w:r>
      <w:r w:rsidRPr="002800DB">
        <w:rPr>
          <w:sz w:val="24"/>
          <w:szCs w:val="24"/>
          <w:lang w:val="en-GB"/>
        </w:rPr>
        <w:t xml:space="preserve"> CYP induction studies did not demonstrate an interaction between dimethyl fumarate and oral contraceptives. In an </w:t>
      </w:r>
      <w:r w:rsidRPr="002800DB">
        <w:rPr>
          <w:i/>
          <w:sz w:val="24"/>
          <w:szCs w:val="24"/>
          <w:lang w:val="en-GB"/>
        </w:rPr>
        <w:t>in vivo</w:t>
      </w:r>
      <w:r w:rsidRPr="002800DB">
        <w:rPr>
          <w:sz w:val="24"/>
          <w:szCs w:val="24"/>
          <w:lang w:val="en-GB"/>
        </w:rPr>
        <w:t xml:space="preserve"> study, co-administration of dimethyl fumarate with a combined oral contraceptive (</w:t>
      </w:r>
      <w:proofErr w:type="spellStart"/>
      <w:r w:rsidRPr="002800DB">
        <w:rPr>
          <w:sz w:val="24"/>
          <w:szCs w:val="24"/>
          <w:lang w:val="en-GB"/>
        </w:rPr>
        <w:t>norgestimate</w:t>
      </w:r>
      <w:proofErr w:type="spellEnd"/>
      <w:r w:rsidRPr="002800DB">
        <w:rPr>
          <w:sz w:val="24"/>
          <w:szCs w:val="24"/>
          <w:lang w:val="en-GB"/>
        </w:rPr>
        <w:t xml:space="preserve"> and ethinyl </w:t>
      </w:r>
      <w:proofErr w:type="spellStart"/>
      <w:r w:rsidRPr="002800DB">
        <w:rPr>
          <w:sz w:val="24"/>
          <w:szCs w:val="24"/>
          <w:lang w:val="en-GB"/>
        </w:rPr>
        <w:t>estradiol</w:t>
      </w:r>
      <w:proofErr w:type="spellEnd"/>
      <w:r w:rsidRPr="002800DB">
        <w:rPr>
          <w:sz w:val="24"/>
          <w:szCs w:val="24"/>
          <w:lang w:val="en-GB"/>
        </w:rPr>
        <w:t>) did not elicit any relevant change in oral contraceptive exposure.</w:t>
      </w:r>
    </w:p>
    <w:p w14:paraId="57425041" w14:textId="77777777" w:rsidR="00BE17CF" w:rsidRPr="002800DB" w:rsidRDefault="00BE17CF" w:rsidP="007168AF">
      <w:pPr>
        <w:ind w:left="851"/>
        <w:rPr>
          <w:sz w:val="24"/>
          <w:szCs w:val="24"/>
          <w:lang w:val="en-GB"/>
        </w:rPr>
      </w:pPr>
      <w:r w:rsidRPr="002800DB">
        <w:rPr>
          <w:sz w:val="24"/>
          <w:szCs w:val="24"/>
          <w:lang w:val="en-GB"/>
        </w:rPr>
        <w:t>No interaction studies have been performed with oral contraceptives containing other progestogens, however an effect of dimethyl fumarate on their exposure is not expected.</w:t>
      </w:r>
    </w:p>
    <w:p w14:paraId="260DC38D" w14:textId="77777777" w:rsidR="00BE17CF" w:rsidRPr="002800DB" w:rsidRDefault="00BE17CF" w:rsidP="007168AF">
      <w:pPr>
        <w:ind w:left="851"/>
        <w:rPr>
          <w:sz w:val="24"/>
          <w:szCs w:val="24"/>
          <w:lang w:val="en-GB"/>
        </w:rPr>
      </w:pPr>
    </w:p>
    <w:p w14:paraId="7913CE50" w14:textId="77777777" w:rsidR="00BE17CF" w:rsidRPr="006174AA" w:rsidRDefault="00BE17CF" w:rsidP="007168AF">
      <w:pPr>
        <w:ind w:left="851"/>
        <w:rPr>
          <w:sz w:val="24"/>
          <w:szCs w:val="24"/>
          <w:u w:val="single"/>
          <w:lang w:val="en-GB"/>
        </w:rPr>
      </w:pPr>
      <w:r w:rsidRPr="006174AA">
        <w:rPr>
          <w:sz w:val="24"/>
          <w:szCs w:val="24"/>
          <w:u w:val="single"/>
          <w:lang w:val="en-GB"/>
        </w:rPr>
        <w:t>Paediatric population</w:t>
      </w:r>
    </w:p>
    <w:p w14:paraId="07DEC7F4" w14:textId="77777777" w:rsidR="00BE17CF" w:rsidRPr="002800DB" w:rsidRDefault="00BE17CF" w:rsidP="007168AF">
      <w:pPr>
        <w:ind w:left="851"/>
        <w:rPr>
          <w:sz w:val="24"/>
          <w:szCs w:val="24"/>
          <w:lang w:val="en-GB"/>
        </w:rPr>
      </w:pPr>
      <w:r w:rsidRPr="002800DB">
        <w:rPr>
          <w:sz w:val="24"/>
          <w:szCs w:val="24"/>
          <w:lang w:val="en-GB"/>
        </w:rPr>
        <w:t>Interaction studies have only been performed in adults.</w:t>
      </w:r>
    </w:p>
    <w:p w14:paraId="430AAC6A" w14:textId="77777777" w:rsidR="007C5D2A" w:rsidRPr="002800DB" w:rsidRDefault="007C5D2A" w:rsidP="003E0341">
      <w:pPr>
        <w:tabs>
          <w:tab w:val="left" w:pos="851"/>
        </w:tabs>
        <w:ind w:left="851"/>
        <w:rPr>
          <w:sz w:val="24"/>
          <w:szCs w:val="24"/>
          <w:lang w:val="en-GB"/>
        </w:rPr>
      </w:pPr>
    </w:p>
    <w:p w14:paraId="0B8541CB"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4.6</w:t>
      </w:r>
      <w:r w:rsidRPr="002800DB">
        <w:rPr>
          <w:b/>
          <w:sz w:val="24"/>
          <w:szCs w:val="24"/>
          <w:lang w:val="en-GB"/>
        </w:rPr>
        <w:tab/>
      </w:r>
      <w:r w:rsidR="004860D3" w:rsidRPr="002800DB">
        <w:rPr>
          <w:b/>
          <w:sz w:val="24"/>
          <w:szCs w:val="24"/>
          <w:lang w:val="en-GB"/>
        </w:rPr>
        <w:t>Fertility, p</w:t>
      </w:r>
      <w:r w:rsidRPr="002800DB">
        <w:rPr>
          <w:b/>
          <w:sz w:val="24"/>
          <w:szCs w:val="24"/>
          <w:lang w:val="en-GB"/>
        </w:rPr>
        <w:t>regnancy and lactation</w:t>
      </w:r>
    </w:p>
    <w:p w14:paraId="3AD83828" w14:textId="77777777" w:rsidR="006174AA" w:rsidRDefault="006174AA" w:rsidP="007168AF">
      <w:pPr>
        <w:ind w:left="851"/>
        <w:rPr>
          <w:sz w:val="24"/>
          <w:szCs w:val="24"/>
          <w:lang w:val="en-GB"/>
        </w:rPr>
      </w:pPr>
    </w:p>
    <w:p w14:paraId="4440D9D5" w14:textId="6DD5B6F1" w:rsidR="00BE17CF" w:rsidRPr="006174AA" w:rsidRDefault="00BE17CF" w:rsidP="007168AF">
      <w:pPr>
        <w:ind w:left="851"/>
        <w:rPr>
          <w:sz w:val="24"/>
          <w:szCs w:val="24"/>
          <w:u w:val="single"/>
          <w:lang w:val="en-GB"/>
        </w:rPr>
      </w:pPr>
      <w:r w:rsidRPr="006174AA">
        <w:rPr>
          <w:sz w:val="24"/>
          <w:szCs w:val="24"/>
          <w:u w:val="single"/>
          <w:lang w:val="en-GB"/>
        </w:rPr>
        <w:t>Pregnancy</w:t>
      </w:r>
    </w:p>
    <w:p w14:paraId="06F1A370" w14:textId="77777777" w:rsidR="00BE17CF" w:rsidRPr="002800DB" w:rsidRDefault="00BE17CF" w:rsidP="007168AF">
      <w:pPr>
        <w:ind w:left="851"/>
        <w:rPr>
          <w:sz w:val="24"/>
          <w:szCs w:val="24"/>
          <w:lang w:val="en-GB"/>
        </w:rPr>
      </w:pPr>
      <w:r w:rsidRPr="002800DB">
        <w:rPr>
          <w:sz w:val="24"/>
          <w:szCs w:val="24"/>
          <w:lang w:val="en-GB"/>
        </w:rPr>
        <w:t xml:space="preserve">A moderate amount of data on pregnant women are available (between 300-1 000 pregnancy outcomes), based on a pregnancy registry and post-marketing spontaneous reports. In the dimethyl fumarate pregnancy registry, 289 prospectively collected pregnancy outcomes were documented in patients with MS who were exposed to dimethyl fumarate. The median duration of exposure to dimethyl fumarate was 4.6 gestational weeks with limited exposure after the sixth gestational week (44 pregnancy outcomes). Exposure to dimethyl fumarate during such early pregnancy indicates no </w:t>
      </w:r>
      <w:proofErr w:type="spellStart"/>
      <w:r w:rsidRPr="002800DB">
        <w:rPr>
          <w:sz w:val="24"/>
          <w:szCs w:val="24"/>
          <w:lang w:val="en-GB"/>
        </w:rPr>
        <w:t>malformative</w:t>
      </w:r>
      <w:proofErr w:type="spellEnd"/>
      <w:r w:rsidRPr="002800DB">
        <w:rPr>
          <w:sz w:val="24"/>
          <w:szCs w:val="24"/>
          <w:lang w:val="en-GB"/>
        </w:rPr>
        <w:t xml:space="preserve"> or </w:t>
      </w:r>
      <w:proofErr w:type="spellStart"/>
      <w:r w:rsidRPr="002800DB">
        <w:rPr>
          <w:sz w:val="24"/>
          <w:szCs w:val="24"/>
          <w:lang w:val="en-GB"/>
        </w:rPr>
        <w:t>foeto</w:t>
      </w:r>
      <w:proofErr w:type="spellEnd"/>
      <w:r w:rsidRPr="002800DB">
        <w:rPr>
          <w:sz w:val="24"/>
          <w:szCs w:val="24"/>
          <w:lang w:val="en-GB"/>
        </w:rPr>
        <w:t>/neonatal toxicity compared to the general population. The risk of longer dimethyl fumarate exposure or exposure in later stages of pregnancy is not known.</w:t>
      </w:r>
    </w:p>
    <w:p w14:paraId="7F17B81B" w14:textId="77777777" w:rsidR="00BE17CF" w:rsidRPr="002800DB" w:rsidRDefault="00BE17CF" w:rsidP="007168AF">
      <w:pPr>
        <w:ind w:left="851"/>
        <w:rPr>
          <w:sz w:val="24"/>
          <w:szCs w:val="24"/>
          <w:lang w:val="en-GB"/>
        </w:rPr>
      </w:pPr>
    </w:p>
    <w:p w14:paraId="4BFEDB65" w14:textId="2DCD8958" w:rsidR="00BE17CF" w:rsidRPr="002800DB" w:rsidRDefault="00BE17CF" w:rsidP="007168AF">
      <w:pPr>
        <w:ind w:left="851"/>
        <w:rPr>
          <w:sz w:val="24"/>
          <w:szCs w:val="24"/>
          <w:lang w:val="en-GB"/>
        </w:rPr>
      </w:pPr>
      <w:r w:rsidRPr="002800DB">
        <w:rPr>
          <w:sz w:val="24"/>
          <w:szCs w:val="24"/>
          <w:lang w:val="en-GB"/>
        </w:rPr>
        <w:t xml:space="preserve">Animal studies have shown reproductive toxicity (see section 5.3). As a precautionary measure, it is preferable to avoid the use of </w:t>
      </w:r>
      <w:r w:rsidR="002800DB">
        <w:rPr>
          <w:sz w:val="24"/>
          <w:szCs w:val="24"/>
          <w:lang w:val="en-GB"/>
        </w:rPr>
        <w:t>Dimethyl fumarate "Teva"</w:t>
      </w:r>
      <w:r w:rsidRPr="002800DB">
        <w:rPr>
          <w:sz w:val="24"/>
          <w:szCs w:val="24"/>
          <w:lang w:val="en-GB"/>
        </w:rPr>
        <w:t xml:space="preserve"> during pregnancy. </w:t>
      </w:r>
      <w:r w:rsidR="002800DB">
        <w:rPr>
          <w:sz w:val="24"/>
          <w:szCs w:val="24"/>
          <w:lang w:val="en-GB"/>
        </w:rPr>
        <w:t>Dimethyl fumarate "Teva"</w:t>
      </w:r>
      <w:r w:rsidRPr="002800DB">
        <w:rPr>
          <w:sz w:val="24"/>
          <w:szCs w:val="24"/>
          <w:lang w:val="en-GB"/>
        </w:rPr>
        <w:t xml:space="preserve"> should be used during pregnancy only if clearly needed and if the potential benefit justifies the potential risk to the foetus.</w:t>
      </w:r>
    </w:p>
    <w:p w14:paraId="0B3387A3" w14:textId="77777777" w:rsidR="00BE17CF" w:rsidRPr="002800DB" w:rsidRDefault="00BE17CF" w:rsidP="007168AF">
      <w:pPr>
        <w:ind w:left="851"/>
        <w:rPr>
          <w:sz w:val="24"/>
          <w:szCs w:val="24"/>
          <w:lang w:val="en-GB"/>
        </w:rPr>
      </w:pPr>
    </w:p>
    <w:p w14:paraId="52E738CD" w14:textId="77777777" w:rsidR="00BE17CF" w:rsidRPr="006174AA" w:rsidRDefault="00BE17CF" w:rsidP="007168AF">
      <w:pPr>
        <w:ind w:left="851"/>
        <w:rPr>
          <w:sz w:val="24"/>
          <w:szCs w:val="24"/>
          <w:u w:val="single"/>
          <w:lang w:val="en-GB"/>
        </w:rPr>
      </w:pPr>
      <w:r w:rsidRPr="006174AA">
        <w:rPr>
          <w:sz w:val="24"/>
          <w:szCs w:val="24"/>
          <w:u w:val="single"/>
          <w:lang w:val="en-GB"/>
        </w:rPr>
        <w:t>Breast-feeding</w:t>
      </w:r>
    </w:p>
    <w:p w14:paraId="0B7B0058" w14:textId="77777777" w:rsidR="00BE17CF" w:rsidRPr="002800DB" w:rsidRDefault="00BE17CF" w:rsidP="007168AF">
      <w:pPr>
        <w:ind w:left="851"/>
        <w:rPr>
          <w:sz w:val="24"/>
          <w:szCs w:val="24"/>
          <w:lang w:val="en-GB"/>
        </w:rPr>
      </w:pPr>
      <w:r w:rsidRPr="002800DB">
        <w:rPr>
          <w:sz w:val="24"/>
          <w:szCs w:val="24"/>
          <w:lang w:val="en-GB"/>
        </w:rPr>
        <w:t xml:space="preserve">It is unknown whether dimethyl fumarate or its metabolites are excreted in human milk. A risk to the </w:t>
      </w:r>
      <w:proofErr w:type="spellStart"/>
      <w:r w:rsidRPr="002800DB">
        <w:rPr>
          <w:sz w:val="24"/>
          <w:szCs w:val="24"/>
          <w:lang w:val="en-GB"/>
        </w:rPr>
        <w:t>newborns</w:t>
      </w:r>
      <w:proofErr w:type="spellEnd"/>
      <w:r w:rsidRPr="002800DB">
        <w:rPr>
          <w:sz w:val="24"/>
          <w:szCs w:val="24"/>
          <w:lang w:val="en-GB"/>
        </w:rPr>
        <w:t xml:space="preserve">/infants cannot be excluded. A decision must be made whether to discontinue breast-feeding or to discontinue dimethyl fumarate therapy </w:t>
      </w:r>
      <w:proofErr w:type="gramStart"/>
      <w:r w:rsidRPr="002800DB">
        <w:rPr>
          <w:sz w:val="24"/>
          <w:szCs w:val="24"/>
          <w:lang w:val="en-GB"/>
        </w:rPr>
        <w:t>taking into account</w:t>
      </w:r>
      <w:proofErr w:type="gramEnd"/>
      <w:r w:rsidRPr="002800DB">
        <w:rPr>
          <w:sz w:val="24"/>
          <w:szCs w:val="24"/>
          <w:lang w:val="en-GB"/>
        </w:rPr>
        <w:t xml:space="preserve"> the benefit of breast-feeding for the child and the benefit of therapy for the woman.</w:t>
      </w:r>
    </w:p>
    <w:p w14:paraId="08C8EAB7" w14:textId="77777777" w:rsidR="00BE17CF" w:rsidRPr="002800DB" w:rsidRDefault="00BE17CF" w:rsidP="007168AF">
      <w:pPr>
        <w:ind w:left="851"/>
        <w:rPr>
          <w:sz w:val="24"/>
          <w:szCs w:val="24"/>
          <w:lang w:val="en-GB"/>
        </w:rPr>
      </w:pPr>
    </w:p>
    <w:p w14:paraId="1EE1318B" w14:textId="77777777" w:rsidR="00BE17CF" w:rsidRPr="006174AA" w:rsidRDefault="00BE17CF" w:rsidP="007168AF">
      <w:pPr>
        <w:ind w:left="851"/>
        <w:rPr>
          <w:sz w:val="24"/>
          <w:szCs w:val="24"/>
          <w:u w:val="single"/>
          <w:lang w:val="en-GB"/>
        </w:rPr>
      </w:pPr>
      <w:r w:rsidRPr="006174AA">
        <w:rPr>
          <w:sz w:val="24"/>
          <w:szCs w:val="24"/>
          <w:u w:val="single"/>
          <w:lang w:val="en-GB"/>
        </w:rPr>
        <w:lastRenderedPageBreak/>
        <w:t>Fertility</w:t>
      </w:r>
    </w:p>
    <w:p w14:paraId="40366AC7" w14:textId="77777777" w:rsidR="00BE17CF" w:rsidRPr="002800DB" w:rsidRDefault="00BE17CF" w:rsidP="007168AF">
      <w:pPr>
        <w:ind w:left="851"/>
        <w:rPr>
          <w:sz w:val="24"/>
          <w:szCs w:val="24"/>
          <w:lang w:val="en-GB"/>
        </w:rPr>
      </w:pPr>
      <w:r w:rsidRPr="002800DB">
        <w:rPr>
          <w:sz w:val="24"/>
          <w:szCs w:val="24"/>
          <w:lang w:val="en-GB"/>
        </w:rPr>
        <w:t>There are no data on the effects of dimethyl fumarate on human fertility. Data from preclinical studies do not suggest that dimethyl fumarate would be associated with an increased risk of reduced fertility (see section 5.3).</w:t>
      </w:r>
    </w:p>
    <w:p w14:paraId="4A169DFA" w14:textId="77777777" w:rsidR="007C5D2A" w:rsidRPr="002800DB" w:rsidRDefault="007C5D2A" w:rsidP="003E0341">
      <w:pPr>
        <w:tabs>
          <w:tab w:val="left" w:pos="851"/>
        </w:tabs>
        <w:ind w:left="851"/>
        <w:rPr>
          <w:sz w:val="24"/>
          <w:szCs w:val="24"/>
          <w:lang w:val="en-GB"/>
        </w:rPr>
      </w:pPr>
    </w:p>
    <w:p w14:paraId="60B756E3"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4.7</w:t>
      </w:r>
      <w:r w:rsidRPr="002800DB">
        <w:rPr>
          <w:b/>
          <w:sz w:val="24"/>
          <w:szCs w:val="24"/>
          <w:lang w:val="en-GB"/>
        </w:rPr>
        <w:tab/>
        <w:t>Effects on ability to drive and use machines</w:t>
      </w:r>
    </w:p>
    <w:p w14:paraId="3668CDBC" w14:textId="77777777" w:rsidR="006174AA" w:rsidRDefault="006174AA" w:rsidP="007168AF">
      <w:pPr>
        <w:ind w:left="851"/>
        <w:rPr>
          <w:sz w:val="24"/>
          <w:szCs w:val="24"/>
          <w:lang w:val="en-GB"/>
        </w:rPr>
      </w:pPr>
      <w:r>
        <w:rPr>
          <w:sz w:val="24"/>
          <w:szCs w:val="24"/>
          <w:lang w:val="en-GB"/>
        </w:rPr>
        <w:t>No traffic warning.</w:t>
      </w:r>
    </w:p>
    <w:p w14:paraId="75BA2597" w14:textId="74DBFC3E" w:rsidR="00BE17CF" w:rsidRPr="002800DB" w:rsidRDefault="002800DB" w:rsidP="007168AF">
      <w:pPr>
        <w:ind w:left="851"/>
        <w:rPr>
          <w:sz w:val="24"/>
          <w:szCs w:val="24"/>
          <w:lang w:val="en-GB"/>
        </w:rPr>
      </w:pPr>
      <w:r>
        <w:rPr>
          <w:sz w:val="24"/>
          <w:szCs w:val="24"/>
          <w:lang w:val="en-GB"/>
        </w:rPr>
        <w:t>Dimethyl fumarate "Teva"</w:t>
      </w:r>
      <w:r w:rsidR="00BE17CF" w:rsidRPr="002800DB">
        <w:rPr>
          <w:sz w:val="24"/>
          <w:szCs w:val="24"/>
          <w:lang w:val="en-GB"/>
        </w:rPr>
        <w:t xml:space="preserve"> has no or negligible influence on the ability to drive and use machines.</w:t>
      </w:r>
    </w:p>
    <w:p w14:paraId="64E5699C" w14:textId="77777777" w:rsidR="007C5D2A" w:rsidRPr="002800DB" w:rsidRDefault="007C5D2A" w:rsidP="003E0341">
      <w:pPr>
        <w:tabs>
          <w:tab w:val="left" w:pos="851"/>
        </w:tabs>
        <w:ind w:left="851"/>
        <w:rPr>
          <w:sz w:val="24"/>
          <w:szCs w:val="24"/>
          <w:lang w:val="en-GB"/>
        </w:rPr>
      </w:pPr>
    </w:p>
    <w:p w14:paraId="50116C66"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4.8</w:t>
      </w:r>
      <w:r w:rsidRPr="002800DB">
        <w:rPr>
          <w:b/>
          <w:sz w:val="24"/>
          <w:szCs w:val="24"/>
          <w:lang w:val="en-GB"/>
        </w:rPr>
        <w:tab/>
        <w:t>Undesirable effects</w:t>
      </w:r>
    </w:p>
    <w:p w14:paraId="1A73B3E8" w14:textId="77777777" w:rsidR="006174AA" w:rsidRDefault="006174AA" w:rsidP="007168AF">
      <w:pPr>
        <w:ind w:left="851"/>
        <w:rPr>
          <w:sz w:val="24"/>
          <w:szCs w:val="24"/>
          <w:lang w:val="en-GB"/>
        </w:rPr>
      </w:pPr>
    </w:p>
    <w:p w14:paraId="161C1A76" w14:textId="6DA97ED5" w:rsidR="00BE17CF" w:rsidRPr="006174AA" w:rsidRDefault="00BE17CF" w:rsidP="007168AF">
      <w:pPr>
        <w:ind w:left="851"/>
        <w:rPr>
          <w:sz w:val="24"/>
          <w:szCs w:val="24"/>
          <w:u w:val="single"/>
          <w:lang w:val="en-GB"/>
        </w:rPr>
      </w:pPr>
      <w:r w:rsidRPr="006174AA">
        <w:rPr>
          <w:sz w:val="24"/>
          <w:szCs w:val="24"/>
          <w:u w:val="single"/>
          <w:lang w:val="en-GB"/>
        </w:rPr>
        <w:t>Summary of the safety profile</w:t>
      </w:r>
    </w:p>
    <w:p w14:paraId="4F2FD58B" w14:textId="77777777" w:rsidR="00BE17CF" w:rsidRPr="002800DB" w:rsidRDefault="00BE17CF" w:rsidP="007168AF">
      <w:pPr>
        <w:ind w:left="851"/>
        <w:rPr>
          <w:sz w:val="24"/>
          <w:szCs w:val="24"/>
          <w:lang w:val="en-GB"/>
        </w:rPr>
      </w:pPr>
      <w:r w:rsidRPr="002800DB">
        <w:rPr>
          <w:sz w:val="24"/>
          <w:szCs w:val="24"/>
          <w:lang w:val="en-GB"/>
        </w:rPr>
        <w:t>The most common adverse reactions are flushing (35%) and gastrointestinal events (i.e. diarrhoea (14%), nausea (12%), abdominal pain (10%), abdominal pain upper (10%)). Flushing and gastrointestinal events tend to begin early in the course of treatment (primarily during the first month) and in patients who experience flushing and gastrointestinal events, these events may continue to occur intermittently throughout treatment with dimethyl fumarate. The most commonly reported adverse reactions leading to treatment discontinuation are flushing (3%) and gastrointestinal events (4%).</w:t>
      </w:r>
    </w:p>
    <w:p w14:paraId="79200391" w14:textId="77777777" w:rsidR="00BE17CF" w:rsidRPr="002800DB" w:rsidRDefault="00BE17CF" w:rsidP="007168AF">
      <w:pPr>
        <w:ind w:left="851"/>
        <w:rPr>
          <w:sz w:val="24"/>
          <w:szCs w:val="24"/>
          <w:lang w:val="en-GB"/>
        </w:rPr>
      </w:pPr>
    </w:p>
    <w:p w14:paraId="5C35DC38" w14:textId="77777777" w:rsidR="00BE17CF" w:rsidRPr="002800DB" w:rsidRDefault="00BE17CF" w:rsidP="007168AF">
      <w:pPr>
        <w:ind w:left="851"/>
        <w:rPr>
          <w:sz w:val="24"/>
          <w:szCs w:val="24"/>
          <w:lang w:val="en-GB"/>
        </w:rPr>
      </w:pPr>
      <w:r w:rsidRPr="002800DB">
        <w:rPr>
          <w:sz w:val="24"/>
          <w:szCs w:val="24"/>
          <w:lang w:val="en-GB"/>
        </w:rPr>
        <w:t>In phase 2 and 3 placebo-controlled and uncontrolled clinical studies, a total of 2 513 patients have received dimethyl fumarate for periods of up to 12 years with an overall exposure equivalent to 11 318 person-years. A total of 1 169 patients have received at least 5 years of treatment with dimethyl fumarate and 426 patients have received at least 10 years of treatment with dimethyl fumarate. The experience in uncontrolled clinical trials is consistent with the experience in the placebo-controlled clinical trials.</w:t>
      </w:r>
    </w:p>
    <w:p w14:paraId="194E24A4" w14:textId="77777777" w:rsidR="00BE17CF" w:rsidRPr="002800DB" w:rsidRDefault="00BE17CF" w:rsidP="007168AF">
      <w:pPr>
        <w:ind w:left="851"/>
        <w:rPr>
          <w:sz w:val="24"/>
          <w:szCs w:val="24"/>
          <w:lang w:val="en-GB"/>
        </w:rPr>
      </w:pPr>
    </w:p>
    <w:p w14:paraId="65E06850" w14:textId="77777777" w:rsidR="00BE17CF" w:rsidRPr="006174AA" w:rsidRDefault="00BE17CF" w:rsidP="007168AF">
      <w:pPr>
        <w:ind w:left="851"/>
        <w:rPr>
          <w:sz w:val="24"/>
          <w:szCs w:val="24"/>
          <w:u w:val="single"/>
          <w:lang w:val="en-GB"/>
        </w:rPr>
      </w:pPr>
      <w:r w:rsidRPr="006174AA">
        <w:rPr>
          <w:sz w:val="24"/>
          <w:szCs w:val="24"/>
          <w:u w:val="single"/>
          <w:lang w:val="en-GB"/>
        </w:rPr>
        <w:t>Tabulated list of adverse reactions</w:t>
      </w:r>
    </w:p>
    <w:p w14:paraId="6D0EC2DD" w14:textId="77777777" w:rsidR="00BE17CF" w:rsidRPr="002800DB" w:rsidRDefault="00BE17CF" w:rsidP="007168AF">
      <w:pPr>
        <w:ind w:left="851"/>
        <w:rPr>
          <w:sz w:val="24"/>
          <w:szCs w:val="24"/>
          <w:lang w:val="en-GB"/>
        </w:rPr>
      </w:pPr>
      <w:r w:rsidRPr="002800DB">
        <w:rPr>
          <w:sz w:val="24"/>
          <w:szCs w:val="24"/>
          <w:lang w:val="en-GB"/>
        </w:rPr>
        <w:t>Adverse reactions arising from clinical studies, post-authorisation safety studies and spontaneous reports, are presented in the table below.</w:t>
      </w:r>
    </w:p>
    <w:p w14:paraId="6A569783" w14:textId="77777777" w:rsidR="00BE17CF" w:rsidRPr="002800DB" w:rsidRDefault="00BE17CF" w:rsidP="007168AF">
      <w:pPr>
        <w:ind w:left="851"/>
        <w:rPr>
          <w:sz w:val="24"/>
          <w:szCs w:val="24"/>
          <w:lang w:val="en-GB"/>
        </w:rPr>
      </w:pPr>
    </w:p>
    <w:p w14:paraId="16FF66EA" w14:textId="77777777" w:rsidR="00BE17CF" w:rsidRPr="002800DB" w:rsidRDefault="00BE17CF" w:rsidP="007168AF">
      <w:pPr>
        <w:ind w:left="851"/>
        <w:rPr>
          <w:sz w:val="24"/>
          <w:szCs w:val="24"/>
          <w:lang w:val="en-GB"/>
        </w:rPr>
      </w:pPr>
      <w:r w:rsidRPr="002800DB">
        <w:rPr>
          <w:sz w:val="24"/>
          <w:szCs w:val="24"/>
          <w:lang w:val="en-GB"/>
        </w:rPr>
        <w:t>The adverse reactions are presented as MedDRA preferred terms under the MedDRA System Organ Class. The incidence of the adverse reactions below is expressed according to the following categories:</w:t>
      </w:r>
    </w:p>
    <w:p w14:paraId="5F1BEF2E"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Very common (≥1/10)</w:t>
      </w:r>
    </w:p>
    <w:p w14:paraId="4DB39F30"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Common (≥1/100 to &lt;1/10)</w:t>
      </w:r>
    </w:p>
    <w:p w14:paraId="7EEEC85B"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Uncommon (≥1/1 000 to &lt;1/100)</w:t>
      </w:r>
    </w:p>
    <w:p w14:paraId="298935AF"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Rare (≥1/10 000 to &lt;1/1 000)</w:t>
      </w:r>
    </w:p>
    <w:p w14:paraId="0FDD4056"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Very rare (&lt;1/10 000)</w:t>
      </w:r>
    </w:p>
    <w:p w14:paraId="35F9DAD7" w14:textId="77777777" w:rsidR="00BE17CF" w:rsidRPr="002800DB" w:rsidRDefault="00BE17CF" w:rsidP="007168AF">
      <w:pPr>
        <w:ind w:left="851"/>
        <w:rPr>
          <w:sz w:val="24"/>
          <w:szCs w:val="24"/>
          <w:lang w:val="en-GB"/>
        </w:rPr>
      </w:pPr>
      <w:r w:rsidRPr="002800DB">
        <w:rPr>
          <w:sz w:val="24"/>
          <w:szCs w:val="24"/>
          <w:lang w:val="en-GB"/>
        </w:rPr>
        <w:t>-</w:t>
      </w:r>
      <w:r w:rsidRPr="002800DB">
        <w:rPr>
          <w:sz w:val="24"/>
          <w:szCs w:val="24"/>
          <w:lang w:val="en-GB"/>
        </w:rPr>
        <w:tab/>
        <w:t>Not known (frequency cannot be estimated from the available data)</w:t>
      </w:r>
    </w:p>
    <w:p w14:paraId="4D4D3B67" w14:textId="77777777" w:rsidR="00BE17CF" w:rsidRPr="002800DB" w:rsidRDefault="00BE17CF" w:rsidP="00BE17CF">
      <w:pPr>
        <w:tabs>
          <w:tab w:val="left" w:pos="720"/>
          <w:tab w:val="left" w:pos="1440"/>
          <w:tab w:val="left" w:pos="2160"/>
          <w:tab w:val="left" w:pos="2880"/>
          <w:tab w:val="left" w:pos="3600"/>
          <w:tab w:val="left" w:pos="4320"/>
          <w:tab w:val="left" w:pos="5040"/>
          <w:tab w:val="left" w:pos="5760"/>
          <w:tab w:val="left" w:pos="6480"/>
          <w:tab w:val="left" w:pos="6891"/>
        </w:tabs>
        <w:ind w:left="567" w:hanging="567"/>
        <w:rPr>
          <w:sz w:val="24"/>
          <w:szCs w:val="24"/>
          <w:lang w:val="en-GB"/>
        </w:rPr>
      </w:pPr>
    </w:p>
    <w:tbl>
      <w:tblPr>
        <w:tblStyle w:val="Tabel-Gitter"/>
        <w:tblW w:w="5000" w:type="pct"/>
        <w:tblInd w:w="0" w:type="dxa"/>
        <w:tblLook w:val="04A0" w:firstRow="1" w:lastRow="0" w:firstColumn="1" w:lastColumn="0" w:noHBand="0" w:noVBand="1"/>
      </w:tblPr>
      <w:tblGrid>
        <w:gridCol w:w="3458"/>
        <w:gridCol w:w="3765"/>
        <w:gridCol w:w="2405"/>
      </w:tblGrid>
      <w:tr w:rsidR="00BE17CF" w:rsidRPr="002800DB" w14:paraId="065F3D35" w14:textId="77777777" w:rsidTr="007168AF">
        <w:trPr>
          <w:tblHeader/>
        </w:trPr>
        <w:tc>
          <w:tcPr>
            <w:tcW w:w="1796" w:type="pct"/>
            <w:tcBorders>
              <w:top w:val="single" w:sz="4" w:space="0" w:color="auto"/>
              <w:left w:val="single" w:sz="4" w:space="0" w:color="auto"/>
              <w:bottom w:val="single" w:sz="4" w:space="0" w:color="auto"/>
              <w:right w:val="single" w:sz="4" w:space="0" w:color="auto"/>
            </w:tcBorders>
            <w:hideMark/>
          </w:tcPr>
          <w:p w14:paraId="26ECBB55" w14:textId="77777777" w:rsidR="00BE17CF" w:rsidRPr="002800DB" w:rsidRDefault="00BE17CF">
            <w:pPr>
              <w:keepNext/>
              <w:keepLines/>
              <w:tabs>
                <w:tab w:val="left" w:pos="720"/>
                <w:tab w:val="left" w:pos="1440"/>
                <w:tab w:val="left" w:pos="2160"/>
                <w:tab w:val="left" w:pos="2880"/>
                <w:tab w:val="left" w:pos="3600"/>
                <w:tab w:val="left" w:pos="4320"/>
                <w:tab w:val="left" w:pos="5040"/>
                <w:tab w:val="left" w:pos="5760"/>
                <w:tab w:val="left" w:pos="6480"/>
                <w:tab w:val="left" w:pos="6891"/>
              </w:tabs>
              <w:rPr>
                <w:rFonts w:cs="Times New Roman"/>
                <w:b/>
                <w:sz w:val="24"/>
                <w:szCs w:val="24"/>
                <w:lang w:val="en-GB"/>
              </w:rPr>
            </w:pPr>
            <w:r w:rsidRPr="002800DB">
              <w:rPr>
                <w:rFonts w:cs="Times New Roman"/>
                <w:b/>
                <w:sz w:val="24"/>
                <w:szCs w:val="24"/>
                <w:lang w:val="en-GB"/>
              </w:rPr>
              <w:t>MedDRA system organ class</w:t>
            </w:r>
          </w:p>
        </w:tc>
        <w:tc>
          <w:tcPr>
            <w:tcW w:w="1955" w:type="pct"/>
            <w:tcBorders>
              <w:top w:val="single" w:sz="4" w:space="0" w:color="auto"/>
              <w:left w:val="single" w:sz="4" w:space="0" w:color="auto"/>
              <w:bottom w:val="single" w:sz="4" w:space="0" w:color="auto"/>
              <w:right w:val="single" w:sz="4" w:space="0" w:color="auto"/>
            </w:tcBorders>
            <w:hideMark/>
          </w:tcPr>
          <w:p w14:paraId="62DB6858" w14:textId="77777777" w:rsidR="00BE17CF" w:rsidRPr="002800DB" w:rsidRDefault="00BE17CF">
            <w:pPr>
              <w:keepNext/>
              <w:keepLines/>
              <w:tabs>
                <w:tab w:val="left" w:pos="720"/>
                <w:tab w:val="left" w:pos="1440"/>
                <w:tab w:val="left" w:pos="2160"/>
                <w:tab w:val="left" w:pos="2880"/>
                <w:tab w:val="left" w:pos="3600"/>
                <w:tab w:val="left" w:pos="4320"/>
                <w:tab w:val="left" w:pos="5040"/>
                <w:tab w:val="left" w:pos="5760"/>
                <w:tab w:val="left" w:pos="6480"/>
                <w:tab w:val="left" w:pos="6891"/>
              </w:tabs>
              <w:rPr>
                <w:rFonts w:cs="Times New Roman"/>
                <w:b/>
                <w:sz w:val="24"/>
                <w:szCs w:val="24"/>
                <w:lang w:val="en-GB"/>
              </w:rPr>
            </w:pPr>
            <w:r w:rsidRPr="002800DB">
              <w:rPr>
                <w:rFonts w:cs="Times New Roman"/>
                <w:b/>
                <w:sz w:val="24"/>
                <w:szCs w:val="24"/>
                <w:lang w:val="en-GB"/>
              </w:rPr>
              <w:t>Adverse reaction</w:t>
            </w:r>
          </w:p>
        </w:tc>
        <w:tc>
          <w:tcPr>
            <w:tcW w:w="1249" w:type="pct"/>
            <w:tcBorders>
              <w:top w:val="single" w:sz="4" w:space="0" w:color="auto"/>
              <w:left w:val="single" w:sz="4" w:space="0" w:color="auto"/>
              <w:bottom w:val="single" w:sz="4" w:space="0" w:color="auto"/>
              <w:right w:val="single" w:sz="4" w:space="0" w:color="auto"/>
            </w:tcBorders>
            <w:hideMark/>
          </w:tcPr>
          <w:p w14:paraId="163EE837" w14:textId="77777777" w:rsidR="00BE17CF" w:rsidRPr="002800DB" w:rsidRDefault="00BE17CF">
            <w:pPr>
              <w:keepNext/>
              <w:keepLines/>
              <w:tabs>
                <w:tab w:val="left" w:pos="720"/>
                <w:tab w:val="left" w:pos="1440"/>
                <w:tab w:val="left" w:pos="2160"/>
                <w:tab w:val="left" w:pos="2880"/>
                <w:tab w:val="left" w:pos="3600"/>
                <w:tab w:val="left" w:pos="4320"/>
                <w:tab w:val="left" w:pos="5040"/>
                <w:tab w:val="left" w:pos="5760"/>
                <w:tab w:val="left" w:pos="6480"/>
                <w:tab w:val="left" w:pos="6891"/>
              </w:tabs>
              <w:rPr>
                <w:rFonts w:cs="Times New Roman"/>
                <w:b/>
                <w:sz w:val="24"/>
                <w:szCs w:val="24"/>
                <w:lang w:val="en-GB"/>
              </w:rPr>
            </w:pPr>
            <w:r w:rsidRPr="002800DB">
              <w:rPr>
                <w:rFonts w:cs="Times New Roman"/>
                <w:b/>
                <w:sz w:val="24"/>
                <w:szCs w:val="24"/>
                <w:lang w:val="en-GB"/>
              </w:rPr>
              <w:t>Frequency category</w:t>
            </w:r>
          </w:p>
        </w:tc>
      </w:tr>
      <w:tr w:rsidR="00BE17CF" w:rsidRPr="002800DB" w14:paraId="50BA5AAB"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0EBBC8B6"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Infections and infestations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550FB945"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Gastroenteritis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57436D06"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2F3A80E6"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83523A5"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9A53C65"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Progressive multifocal leukoencephalopathy (PML)</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30AC52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Not known</w:t>
            </w:r>
          </w:p>
        </w:tc>
      </w:tr>
      <w:tr w:rsidR="00BE17CF" w:rsidRPr="002800DB" w14:paraId="141497FF"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26FCA9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5BB4D22"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Herpes zoster</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D8AE233"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Not known</w:t>
            </w:r>
          </w:p>
        </w:tc>
      </w:tr>
      <w:tr w:rsidR="00BE17CF" w:rsidRPr="002800DB" w14:paraId="380E5099"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7517C077"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Blood and lymphatic system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2B3F833A"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Lymphopenia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E9A146C"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506B6A8D"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836BD80"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071088A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proofErr w:type="spellStart"/>
            <w:r w:rsidRPr="002800DB">
              <w:rPr>
                <w:rFonts w:cs="Times New Roman"/>
                <w:sz w:val="24"/>
                <w:szCs w:val="24"/>
                <w:lang w:val="en-GB"/>
              </w:rPr>
              <w:t>Leucopenia</w:t>
            </w:r>
            <w:proofErr w:type="spellEnd"/>
          </w:p>
        </w:tc>
        <w:tc>
          <w:tcPr>
            <w:tcW w:w="1249" w:type="pct"/>
            <w:tcBorders>
              <w:top w:val="single" w:sz="4" w:space="0" w:color="auto"/>
              <w:left w:val="single" w:sz="4" w:space="0" w:color="auto"/>
              <w:bottom w:val="single" w:sz="4" w:space="0" w:color="auto"/>
              <w:right w:val="single" w:sz="4" w:space="0" w:color="auto"/>
            </w:tcBorders>
            <w:vAlign w:val="center"/>
            <w:hideMark/>
          </w:tcPr>
          <w:p w14:paraId="20574E8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51BA75DF"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43E38C3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0B86465D"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Thrombocytopenia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9461C5A"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Uncommon</w:t>
            </w:r>
          </w:p>
        </w:tc>
      </w:tr>
      <w:tr w:rsidR="00BE17CF" w:rsidRPr="002800DB" w14:paraId="718FD242"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7948C94B"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lastRenderedPageBreak/>
              <w:t>Immune system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785F47EA"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Hypersensitivity</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A56DE0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Uncommon</w:t>
            </w:r>
          </w:p>
        </w:tc>
      </w:tr>
      <w:tr w:rsidR="00BE17CF" w:rsidRPr="002800DB" w14:paraId="0DFB5238"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35821E98"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5BDC875B"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Anaphylaxis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6419B9B" w14:textId="77777777" w:rsidR="00BE17CF" w:rsidRPr="002800DB" w:rsidRDefault="00BE17CF">
            <w:pPr>
              <w:rPr>
                <w:rFonts w:cs="Times New Roman"/>
                <w:sz w:val="24"/>
                <w:szCs w:val="24"/>
                <w:lang w:val="en-GB"/>
              </w:rPr>
            </w:pPr>
            <w:r w:rsidRPr="002800DB">
              <w:rPr>
                <w:rFonts w:cs="Times New Roman"/>
                <w:sz w:val="24"/>
                <w:szCs w:val="24"/>
                <w:lang w:val="en-GB"/>
              </w:rPr>
              <w:t>Not known</w:t>
            </w:r>
          </w:p>
        </w:tc>
      </w:tr>
      <w:tr w:rsidR="00BE17CF" w:rsidRPr="002800DB" w14:paraId="5D394933"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D8DD7B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598F86B"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Dyspnoea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87F0D98" w14:textId="77777777" w:rsidR="00BE17CF" w:rsidRPr="002800DB" w:rsidRDefault="00BE17CF">
            <w:pPr>
              <w:rPr>
                <w:rFonts w:cs="Times New Roman"/>
                <w:sz w:val="24"/>
                <w:szCs w:val="24"/>
                <w:lang w:val="en-GB"/>
              </w:rPr>
            </w:pPr>
            <w:r w:rsidRPr="002800DB">
              <w:rPr>
                <w:rFonts w:cs="Times New Roman"/>
                <w:sz w:val="24"/>
                <w:szCs w:val="24"/>
                <w:lang w:val="en-GB"/>
              </w:rPr>
              <w:t>Not known</w:t>
            </w:r>
          </w:p>
        </w:tc>
      </w:tr>
      <w:tr w:rsidR="00BE17CF" w:rsidRPr="002800DB" w14:paraId="2D6593FF"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9BA0037"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6FA74440"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Hypoxia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EF23844" w14:textId="77777777" w:rsidR="00BE17CF" w:rsidRPr="002800DB" w:rsidRDefault="00BE17CF">
            <w:pPr>
              <w:rPr>
                <w:rFonts w:cs="Times New Roman"/>
                <w:sz w:val="24"/>
                <w:szCs w:val="24"/>
                <w:lang w:val="en-GB"/>
              </w:rPr>
            </w:pPr>
            <w:r w:rsidRPr="002800DB">
              <w:rPr>
                <w:rFonts w:cs="Times New Roman"/>
                <w:sz w:val="24"/>
                <w:szCs w:val="24"/>
                <w:lang w:val="en-GB"/>
              </w:rPr>
              <w:t>Not known</w:t>
            </w:r>
          </w:p>
        </w:tc>
      </w:tr>
      <w:tr w:rsidR="00BE17CF" w:rsidRPr="002800DB" w14:paraId="33973EEB"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2CEB6AE4"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5E706AB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Hypotension</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9BAF009" w14:textId="77777777" w:rsidR="00BE17CF" w:rsidRPr="002800DB" w:rsidRDefault="00BE17CF">
            <w:pPr>
              <w:rPr>
                <w:rFonts w:cs="Times New Roman"/>
                <w:sz w:val="24"/>
                <w:szCs w:val="24"/>
                <w:lang w:val="en-GB"/>
              </w:rPr>
            </w:pPr>
            <w:r w:rsidRPr="002800DB">
              <w:rPr>
                <w:rFonts w:cs="Times New Roman"/>
                <w:sz w:val="24"/>
                <w:szCs w:val="24"/>
                <w:lang w:val="en-GB"/>
              </w:rPr>
              <w:t>Not known</w:t>
            </w:r>
          </w:p>
        </w:tc>
      </w:tr>
      <w:tr w:rsidR="00BE17CF" w:rsidRPr="002800DB" w14:paraId="37D62555"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4C55994F"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0AE740AC"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Angioedema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4A8B935" w14:textId="77777777" w:rsidR="00BE17CF" w:rsidRPr="002800DB" w:rsidRDefault="00BE17CF">
            <w:pPr>
              <w:rPr>
                <w:rFonts w:cs="Times New Roman"/>
                <w:sz w:val="24"/>
                <w:szCs w:val="24"/>
                <w:lang w:val="en-GB"/>
              </w:rPr>
            </w:pPr>
            <w:r w:rsidRPr="002800DB">
              <w:rPr>
                <w:rFonts w:cs="Times New Roman"/>
                <w:sz w:val="24"/>
                <w:szCs w:val="24"/>
                <w:lang w:val="en-GB"/>
              </w:rPr>
              <w:t>Not known</w:t>
            </w:r>
          </w:p>
        </w:tc>
      </w:tr>
      <w:tr w:rsidR="00BE17CF" w:rsidRPr="002800DB" w14:paraId="7D5628AE" w14:textId="77777777" w:rsidTr="007168AF">
        <w:tc>
          <w:tcPr>
            <w:tcW w:w="1796" w:type="pct"/>
            <w:tcBorders>
              <w:top w:val="single" w:sz="4" w:space="0" w:color="auto"/>
              <w:left w:val="single" w:sz="4" w:space="0" w:color="auto"/>
              <w:bottom w:val="single" w:sz="4" w:space="0" w:color="auto"/>
              <w:right w:val="single" w:sz="4" w:space="0" w:color="auto"/>
            </w:tcBorders>
            <w:vAlign w:val="center"/>
            <w:hideMark/>
          </w:tcPr>
          <w:p w14:paraId="2D630A1E"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Nervous system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4B87EB60"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Burning sensation</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85DB0D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46B07ECD"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6D638FB9"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Vascular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1F8D976F"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Flushing</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5F72E1B"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Very common</w:t>
            </w:r>
          </w:p>
        </w:tc>
      </w:tr>
      <w:tr w:rsidR="00BE17CF" w:rsidRPr="002800DB" w14:paraId="44FF4628"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BFD52C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05D104E"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Hot flush</w:t>
            </w:r>
          </w:p>
        </w:tc>
        <w:tc>
          <w:tcPr>
            <w:tcW w:w="1249" w:type="pct"/>
            <w:tcBorders>
              <w:top w:val="single" w:sz="4" w:space="0" w:color="auto"/>
              <w:left w:val="single" w:sz="4" w:space="0" w:color="auto"/>
              <w:bottom w:val="single" w:sz="4" w:space="0" w:color="auto"/>
              <w:right w:val="single" w:sz="4" w:space="0" w:color="auto"/>
            </w:tcBorders>
            <w:vAlign w:val="center"/>
            <w:hideMark/>
          </w:tcPr>
          <w:p w14:paraId="4D4757C7"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79711FA8" w14:textId="77777777" w:rsidTr="007168AF">
        <w:tc>
          <w:tcPr>
            <w:tcW w:w="1796" w:type="pct"/>
            <w:tcBorders>
              <w:top w:val="single" w:sz="4" w:space="0" w:color="auto"/>
              <w:left w:val="single" w:sz="4" w:space="0" w:color="auto"/>
              <w:bottom w:val="single" w:sz="4" w:space="0" w:color="auto"/>
              <w:right w:val="single" w:sz="4" w:space="0" w:color="auto"/>
            </w:tcBorders>
            <w:vAlign w:val="center"/>
            <w:hideMark/>
          </w:tcPr>
          <w:p w14:paraId="103356B5"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Respiratory, thoracic and mediastinal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1C921FFE"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Rhinorrhoea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2CE21CA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Not known</w:t>
            </w:r>
          </w:p>
        </w:tc>
      </w:tr>
      <w:tr w:rsidR="00BE17CF" w:rsidRPr="002800DB" w14:paraId="40FBEF54"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03D861B4"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Gastrointestinal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1F28D8A3"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Diarrhoea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D0B9910" w14:textId="77777777" w:rsidR="00BE17CF" w:rsidRPr="002800DB" w:rsidRDefault="00BE17CF">
            <w:pPr>
              <w:rPr>
                <w:rFonts w:cs="Times New Roman"/>
                <w:sz w:val="24"/>
                <w:szCs w:val="24"/>
                <w:lang w:val="en-GB"/>
              </w:rPr>
            </w:pPr>
            <w:r w:rsidRPr="002800DB">
              <w:rPr>
                <w:rFonts w:cs="Times New Roman"/>
                <w:sz w:val="24"/>
                <w:szCs w:val="24"/>
                <w:lang w:val="en-GB"/>
              </w:rPr>
              <w:t>Very common</w:t>
            </w:r>
          </w:p>
        </w:tc>
      </w:tr>
      <w:tr w:rsidR="00BE17CF" w:rsidRPr="002800DB" w14:paraId="4BD3EB9A"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C192E61"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0D14EFF2"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Nausea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745CCEF" w14:textId="77777777" w:rsidR="00BE17CF" w:rsidRPr="002800DB" w:rsidRDefault="00BE17CF">
            <w:pPr>
              <w:rPr>
                <w:rFonts w:cs="Times New Roman"/>
                <w:sz w:val="24"/>
                <w:szCs w:val="24"/>
                <w:lang w:val="en-GB"/>
              </w:rPr>
            </w:pPr>
            <w:r w:rsidRPr="002800DB">
              <w:rPr>
                <w:rFonts w:cs="Times New Roman"/>
                <w:sz w:val="24"/>
                <w:szCs w:val="24"/>
                <w:lang w:val="en-GB"/>
              </w:rPr>
              <w:t>Very common</w:t>
            </w:r>
          </w:p>
        </w:tc>
      </w:tr>
      <w:tr w:rsidR="00BE17CF" w:rsidRPr="002800DB" w14:paraId="1B26A668"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C0259AD"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2136F673"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Abdominal pain upper</w:t>
            </w:r>
          </w:p>
        </w:tc>
        <w:tc>
          <w:tcPr>
            <w:tcW w:w="1249" w:type="pct"/>
            <w:tcBorders>
              <w:top w:val="single" w:sz="4" w:space="0" w:color="auto"/>
              <w:left w:val="single" w:sz="4" w:space="0" w:color="auto"/>
              <w:bottom w:val="single" w:sz="4" w:space="0" w:color="auto"/>
              <w:right w:val="single" w:sz="4" w:space="0" w:color="auto"/>
            </w:tcBorders>
            <w:vAlign w:val="center"/>
            <w:hideMark/>
          </w:tcPr>
          <w:p w14:paraId="549960E2" w14:textId="77777777" w:rsidR="00BE17CF" w:rsidRPr="002800DB" w:rsidRDefault="00BE17CF">
            <w:pPr>
              <w:rPr>
                <w:rFonts w:cs="Times New Roman"/>
                <w:sz w:val="24"/>
                <w:szCs w:val="24"/>
                <w:lang w:val="en-GB"/>
              </w:rPr>
            </w:pPr>
            <w:r w:rsidRPr="002800DB">
              <w:rPr>
                <w:rFonts w:cs="Times New Roman"/>
                <w:sz w:val="24"/>
                <w:szCs w:val="24"/>
                <w:lang w:val="en-GB"/>
              </w:rPr>
              <w:t>Very common</w:t>
            </w:r>
          </w:p>
        </w:tc>
      </w:tr>
      <w:tr w:rsidR="00BE17CF" w:rsidRPr="002800DB" w14:paraId="5FDAAFAB"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34CA9144"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5A339AFE"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Abdominal pain</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8CDF272" w14:textId="77777777" w:rsidR="00BE17CF" w:rsidRPr="002800DB" w:rsidRDefault="00BE17CF">
            <w:pPr>
              <w:rPr>
                <w:rFonts w:cs="Times New Roman"/>
                <w:sz w:val="24"/>
                <w:szCs w:val="24"/>
                <w:lang w:val="en-GB"/>
              </w:rPr>
            </w:pPr>
            <w:r w:rsidRPr="002800DB">
              <w:rPr>
                <w:rFonts w:cs="Times New Roman"/>
                <w:sz w:val="24"/>
                <w:szCs w:val="24"/>
                <w:lang w:val="en-GB"/>
              </w:rPr>
              <w:t>Very common</w:t>
            </w:r>
          </w:p>
        </w:tc>
      </w:tr>
      <w:tr w:rsidR="00BE17CF" w:rsidRPr="002800DB" w14:paraId="7155EA0B"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63920C0F"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74E58C97"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Vomiting</w:t>
            </w:r>
          </w:p>
        </w:tc>
        <w:tc>
          <w:tcPr>
            <w:tcW w:w="1249" w:type="pct"/>
            <w:tcBorders>
              <w:top w:val="single" w:sz="4" w:space="0" w:color="auto"/>
              <w:left w:val="single" w:sz="4" w:space="0" w:color="auto"/>
              <w:bottom w:val="single" w:sz="4" w:space="0" w:color="auto"/>
              <w:right w:val="single" w:sz="4" w:space="0" w:color="auto"/>
            </w:tcBorders>
            <w:vAlign w:val="center"/>
            <w:hideMark/>
          </w:tcPr>
          <w:p w14:paraId="254F6156"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79CFE3E0"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0800A4FB"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1BC5E3C3"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Dyspepsia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1BF7A9F"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5EC3AAE5"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3765F878"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5DF9E33E"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Gastritis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568F9E95"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55CA5314"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37FFB32"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2FD46523"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Gastrointestinal disorder</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238BD7F"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6297BE09"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4DE20AF9"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Hepatobiliary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73CBC1BA"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Aspartate aminotransferase increased</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AD40384"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03B30D77"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2624C70"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01B577A"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Alanine aminotransferase increased</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3F7C7A5"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42036745"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07183FE9"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858918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Drug-induced liver injury</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8D3D79D"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Rare</w:t>
            </w:r>
          </w:p>
        </w:tc>
      </w:tr>
      <w:tr w:rsidR="00BE17CF" w:rsidRPr="002800DB" w14:paraId="393C361A"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179D959D"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Skin and subcutaneous tissue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13816FD2"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Pruritus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7AB7F36"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67D5D1E5"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55F4441B"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16E5B6A6"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Rash</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59CB4EE"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20B2653C"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10E22A51"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F7E1D06"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Erythema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42C407A"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58DD2F0A"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6E26B4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6739D995"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Alopecia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15D06DE"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0FFB6BBD" w14:textId="77777777" w:rsidTr="007168AF">
        <w:tc>
          <w:tcPr>
            <w:tcW w:w="1796" w:type="pct"/>
            <w:tcBorders>
              <w:top w:val="single" w:sz="4" w:space="0" w:color="auto"/>
              <w:left w:val="single" w:sz="4" w:space="0" w:color="auto"/>
              <w:bottom w:val="single" w:sz="4" w:space="0" w:color="auto"/>
              <w:right w:val="single" w:sz="4" w:space="0" w:color="auto"/>
            </w:tcBorders>
            <w:vAlign w:val="center"/>
            <w:hideMark/>
          </w:tcPr>
          <w:p w14:paraId="38627BE8"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Renal and urinary disorders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353854FD"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Proteinuria</w:t>
            </w:r>
          </w:p>
        </w:tc>
        <w:tc>
          <w:tcPr>
            <w:tcW w:w="1249" w:type="pct"/>
            <w:tcBorders>
              <w:top w:val="single" w:sz="4" w:space="0" w:color="auto"/>
              <w:left w:val="single" w:sz="4" w:space="0" w:color="auto"/>
              <w:bottom w:val="single" w:sz="4" w:space="0" w:color="auto"/>
              <w:right w:val="single" w:sz="4" w:space="0" w:color="auto"/>
            </w:tcBorders>
            <w:vAlign w:val="center"/>
            <w:hideMark/>
          </w:tcPr>
          <w:p w14:paraId="4D21425B"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r w:rsidR="00BE17CF" w:rsidRPr="002800DB" w14:paraId="5D99907D" w14:textId="77777777" w:rsidTr="007168AF">
        <w:tc>
          <w:tcPr>
            <w:tcW w:w="1796" w:type="pct"/>
            <w:tcBorders>
              <w:top w:val="single" w:sz="4" w:space="0" w:color="auto"/>
              <w:left w:val="single" w:sz="4" w:space="0" w:color="auto"/>
              <w:bottom w:val="single" w:sz="4" w:space="0" w:color="auto"/>
              <w:right w:val="single" w:sz="4" w:space="0" w:color="auto"/>
            </w:tcBorders>
            <w:vAlign w:val="center"/>
            <w:hideMark/>
          </w:tcPr>
          <w:p w14:paraId="3B60DA7F"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General disorders and administration site conditions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0DAB13C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Feeling hot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7218FE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Common</w:t>
            </w:r>
          </w:p>
        </w:tc>
      </w:tr>
      <w:tr w:rsidR="00BE17CF" w:rsidRPr="002800DB" w14:paraId="2FFF7BAE" w14:textId="77777777" w:rsidTr="007168AF">
        <w:tc>
          <w:tcPr>
            <w:tcW w:w="1796" w:type="pct"/>
            <w:vMerge w:val="restart"/>
            <w:tcBorders>
              <w:top w:val="single" w:sz="4" w:space="0" w:color="auto"/>
              <w:left w:val="single" w:sz="4" w:space="0" w:color="auto"/>
              <w:bottom w:val="single" w:sz="4" w:space="0" w:color="auto"/>
              <w:right w:val="single" w:sz="4" w:space="0" w:color="auto"/>
            </w:tcBorders>
            <w:vAlign w:val="center"/>
            <w:hideMark/>
          </w:tcPr>
          <w:p w14:paraId="6748FF06" w14:textId="77777777" w:rsidR="00BE17CF" w:rsidRPr="002800DB" w:rsidRDefault="00BE17CF">
            <w:pPr>
              <w:keepNext/>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Investigations</w:t>
            </w:r>
          </w:p>
        </w:tc>
        <w:tc>
          <w:tcPr>
            <w:tcW w:w="1955" w:type="pct"/>
            <w:tcBorders>
              <w:top w:val="single" w:sz="4" w:space="0" w:color="auto"/>
              <w:left w:val="single" w:sz="4" w:space="0" w:color="auto"/>
              <w:bottom w:val="single" w:sz="4" w:space="0" w:color="auto"/>
              <w:right w:val="single" w:sz="4" w:space="0" w:color="auto"/>
            </w:tcBorders>
            <w:vAlign w:val="center"/>
            <w:hideMark/>
          </w:tcPr>
          <w:p w14:paraId="766C6D6E" w14:textId="77777777" w:rsidR="00BE17CF" w:rsidRPr="002800DB" w:rsidRDefault="00BE17CF">
            <w:pPr>
              <w:keepNext/>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Ketones measured in urine</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8AF1683" w14:textId="77777777" w:rsidR="00BE17CF" w:rsidRPr="002800DB" w:rsidRDefault="00BE17CF">
            <w:pPr>
              <w:keepNext/>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Very common</w:t>
            </w:r>
          </w:p>
        </w:tc>
      </w:tr>
      <w:tr w:rsidR="00BE17CF" w:rsidRPr="002800DB" w14:paraId="155DD072"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77387EC0"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4D6382F6" w14:textId="77777777" w:rsidR="00BE17CF" w:rsidRPr="002800DB" w:rsidRDefault="00BE17CF">
            <w:pPr>
              <w:keepNext/>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Albumin urine present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DA3F0E7" w14:textId="77777777" w:rsidR="00BE17CF" w:rsidRPr="002800DB" w:rsidRDefault="00BE17CF">
            <w:pPr>
              <w:keepNext/>
              <w:rPr>
                <w:rFonts w:cs="Times New Roman"/>
                <w:sz w:val="24"/>
                <w:szCs w:val="24"/>
                <w:lang w:val="en-GB"/>
              </w:rPr>
            </w:pPr>
            <w:r w:rsidRPr="002800DB">
              <w:rPr>
                <w:rFonts w:cs="Times New Roman"/>
                <w:sz w:val="24"/>
                <w:szCs w:val="24"/>
                <w:lang w:val="en-GB"/>
              </w:rPr>
              <w:t>Common</w:t>
            </w:r>
          </w:p>
        </w:tc>
      </w:tr>
      <w:tr w:rsidR="00BE17CF" w:rsidRPr="002800DB" w14:paraId="5F4AC3D9" w14:textId="77777777" w:rsidTr="007168AF">
        <w:tc>
          <w:tcPr>
            <w:tcW w:w="1796" w:type="pct"/>
            <w:vMerge/>
            <w:tcBorders>
              <w:top w:val="single" w:sz="4" w:space="0" w:color="auto"/>
              <w:left w:val="single" w:sz="4" w:space="0" w:color="auto"/>
              <w:bottom w:val="single" w:sz="4" w:space="0" w:color="auto"/>
              <w:right w:val="single" w:sz="4" w:space="0" w:color="auto"/>
            </w:tcBorders>
            <w:vAlign w:val="center"/>
            <w:hideMark/>
          </w:tcPr>
          <w:p w14:paraId="4B126913" w14:textId="77777777" w:rsidR="00BE17CF" w:rsidRPr="002800DB" w:rsidRDefault="00BE17CF">
            <w:pPr>
              <w:rPr>
                <w:rFonts w:cs="Times New Roman"/>
                <w:sz w:val="24"/>
                <w:szCs w:val="24"/>
                <w:lang w:val="en-GB"/>
              </w:rPr>
            </w:pPr>
          </w:p>
        </w:tc>
        <w:tc>
          <w:tcPr>
            <w:tcW w:w="1955" w:type="pct"/>
            <w:tcBorders>
              <w:top w:val="single" w:sz="4" w:space="0" w:color="auto"/>
              <w:left w:val="single" w:sz="4" w:space="0" w:color="auto"/>
              <w:bottom w:val="single" w:sz="4" w:space="0" w:color="auto"/>
              <w:right w:val="single" w:sz="4" w:space="0" w:color="auto"/>
            </w:tcBorders>
            <w:vAlign w:val="center"/>
            <w:hideMark/>
          </w:tcPr>
          <w:p w14:paraId="1C55D891" w14:textId="77777777" w:rsidR="00BE17CF" w:rsidRPr="002800DB" w:rsidRDefault="00BE17CF">
            <w:pPr>
              <w:tabs>
                <w:tab w:val="left" w:pos="720"/>
                <w:tab w:val="left" w:pos="1440"/>
                <w:tab w:val="left" w:pos="2160"/>
                <w:tab w:val="left" w:pos="2880"/>
                <w:tab w:val="left" w:pos="3600"/>
                <w:tab w:val="left" w:pos="4320"/>
                <w:tab w:val="left" w:pos="5040"/>
                <w:tab w:val="left" w:pos="5760"/>
                <w:tab w:val="left" w:pos="6480"/>
                <w:tab w:val="left" w:pos="6891"/>
              </w:tabs>
              <w:rPr>
                <w:rFonts w:cs="Times New Roman"/>
                <w:sz w:val="24"/>
                <w:szCs w:val="24"/>
                <w:lang w:val="en-GB"/>
              </w:rPr>
            </w:pPr>
            <w:r w:rsidRPr="002800DB">
              <w:rPr>
                <w:rFonts w:cs="Times New Roman"/>
                <w:sz w:val="24"/>
                <w:szCs w:val="24"/>
                <w:lang w:val="en-GB"/>
              </w:rPr>
              <w:t>White blood cell count decreased</w:t>
            </w:r>
          </w:p>
        </w:tc>
        <w:tc>
          <w:tcPr>
            <w:tcW w:w="1249" w:type="pct"/>
            <w:tcBorders>
              <w:top w:val="single" w:sz="4" w:space="0" w:color="auto"/>
              <w:left w:val="single" w:sz="4" w:space="0" w:color="auto"/>
              <w:bottom w:val="single" w:sz="4" w:space="0" w:color="auto"/>
              <w:right w:val="single" w:sz="4" w:space="0" w:color="auto"/>
            </w:tcBorders>
            <w:vAlign w:val="center"/>
            <w:hideMark/>
          </w:tcPr>
          <w:p w14:paraId="24620446" w14:textId="77777777" w:rsidR="00BE17CF" w:rsidRPr="002800DB" w:rsidRDefault="00BE17CF">
            <w:pPr>
              <w:rPr>
                <w:rFonts w:cs="Times New Roman"/>
                <w:sz w:val="24"/>
                <w:szCs w:val="24"/>
                <w:lang w:val="en-GB"/>
              </w:rPr>
            </w:pPr>
            <w:r w:rsidRPr="002800DB">
              <w:rPr>
                <w:rFonts w:cs="Times New Roman"/>
                <w:sz w:val="24"/>
                <w:szCs w:val="24"/>
                <w:lang w:val="en-GB"/>
              </w:rPr>
              <w:t>Common</w:t>
            </w:r>
          </w:p>
        </w:tc>
      </w:tr>
    </w:tbl>
    <w:p w14:paraId="5248548A" w14:textId="77777777" w:rsidR="00BE17CF" w:rsidRPr="002800DB" w:rsidRDefault="00BE17CF" w:rsidP="00BE17CF">
      <w:pPr>
        <w:rPr>
          <w:sz w:val="24"/>
          <w:szCs w:val="24"/>
          <w:lang w:val="en-GB" w:eastAsia="en-US"/>
        </w:rPr>
      </w:pPr>
    </w:p>
    <w:p w14:paraId="3BE023E0" w14:textId="77777777" w:rsidR="00BE17CF" w:rsidRPr="006174AA" w:rsidRDefault="00BE17CF" w:rsidP="007168AF">
      <w:pPr>
        <w:ind w:left="851"/>
        <w:rPr>
          <w:sz w:val="24"/>
          <w:szCs w:val="24"/>
          <w:u w:val="single"/>
          <w:lang w:val="en-GB"/>
        </w:rPr>
      </w:pPr>
      <w:r w:rsidRPr="006174AA">
        <w:rPr>
          <w:sz w:val="24"/>
          <w:szCs w:val="24"/>
          <w:u w:val="single"/>
          <w:lang w:val="en-GB"/>
        </w:rPr>
        <w:t>Description of selected adverse reactions</w:t>
      </w:r>
    </w:p>
    <w:p w14:paraId="20CD17E0" w14:textId="77777777" w:rsidR="00BE17CF" w:rsidRPr="002800DB" w:rsidRDefault="00BE17CF" w:rsidP="007168AF">
      <w:pPr>
        <w:ind w:left="851"/>
        <w:rPr>
          <w:i/>
          <w:sz w:val="24"/>
          <w:szCs w:val="24"/>
          <w:lang w:val="en-GB"/>
        </w:rPr>
      </w:pPr>
      <w:r w:rsidRPr="002800DB">
        <w:rPr>
          <w:i/>
          <w:sz w:val="24"/>
          <w:szCs w:val="24"/>
          <w:lang w:val="en-GB"/>
        </w:rPr>
        <w:t>Flushing</w:t>
      </w:r>
    </w:p>
    <w:p w14:paraId="7719BB7F" w14:textId="77777777" w:rsidR="00BE17CF" w:rsidRPr="002800DB" w:rsidRDefault="00BE17CF" w:rsidP="007168AF">
      <w:pPr>
        <w:ind w:left="851"/>
        <w:rPr>
          <w:sz w:val="24"/>
          <w:szCs w:val="24"/>
          <w:lang w:val="en-GB"/>
        </w:rPr>
      </w:pPr>
      <w:r w:rsidRPr="002800DB">
        <w:rPr>
          <w:sz w:val="24"/>
          <w:szCs w:val="24"/>
          <w:lang w:val="en-GB"/>
        </w:rPr>
        <w:t>In the placebo-controlled studies, the incidence of flushing (34% versus 4%) and hot flush (7% versus 2%) was increased in patients treated with dimethyl fumarate compared to placebo, respectively.</w:t>
      </w:r>
    </w:p>
    <w:p w14:paraId="313AF026" w14:textId="77777777" w:rsidR="00BE17CF" w:rsidRPr="002800DB" w:rsidRDefault="00BE17CF" w:rsidP="007168AF">
      <w:pPr>
        <w:ind w:left="851"/>
        <w:rPr>
          <w:sz w:val="24"/>
          <w:szCs w:val="24"/>
          <w:lang w:val="en-GB"/>
        </w:rPr>
      </w:pPr>
      <w:r w:rsidRPr="002800DB">
        <w:rPr>
          <w:sz w:val="24"/>
          <w:szCs w:val="24"/>
          <w:lang w:val="en-GB"/>
        </w:rPr>
        <w:t>Flushing is usually described as flushing or hot flush, but can include other events (e.g. warmth, redness, itching, and burning sensation). Flushing events tend to begin early in the course of treatment (primarily during the first month) and in patients who experience flushing, these events may continue to occur intermittently throughout treatment with dimethyl fumarate.</w:t>
      </w:r>
    </w:p>
    <w:p w14:paraId="3D1BA2C5" w14:textId="77777777" w:rsidR="00BE17CF" w:rsidRPr="002800DB" w:rsidRDefault="00BE17CF" w:rsidP="007168AF">
      <w:pPr>
        <w:ind w:left="851"/>
        <w:rPr>
          <w:sz w:val="24"/>
          <w:szCs w:val="24"/>
          <w:lang w:val="en-GB"/>
        </w:rPr>
      </w:pPr>
      <w:r w:rsidRPr="002800DB">
        <w:rPr>
          <w:sz w:val="24"/>
          <w:szCs w:val="24"/>
          <w:lang w:val="en-GB"/>
        </w:rPr>
        <w:t>In patients with flushing, the majority had flushing events that were mild or moderate in severity. Overall, 3% of patients treated with dimethyl fumarate discontinued due to flushing.</w:t>
      </w:r>
    </w:p>
    <w:p w14:paraId="6840258C" w14:textId="77777777" w:rsidR="00BE17CF" w:rsidRPr="002800DB" w:rsidRDefault="00BE17CF" w:rsidP="007168AF">
      <w:pPr>
        <w:ind w:left="851"/>
        <w:rPr>
          <w:sz w:val="24"/>
          <w:szCs w:val="24"/>
          <w:lang w:val="en-GB"/>
        </w:rPr>
      </w:pPr>
      <w:r w:rsidRPr="002800DB">
        <w:rPr>
          <w:sz w:val="24"/>
          <w:szCs w:val="24"/>
          <w:lang w:val="en-GB"/>
        </w:rPr>
        <w:lastRenderedPageBreak/>
        <w:t>The incidence of serious flushing, which may be characterised by generalised erythema, rash and/or pruritus, was seen in less than 1% of patients treated with dimethyl fumarate (see sections 4.2, 4.4 and 4.5).</w:t>
      </w:r>
    </w:p>
    <w:p w14:paraId="7FED5EB9" w14:textId="77777777" w:rsidR="00BE17CF" w:rsidRPr="002800DB" w:rsidRDefault="00BE17CF" w:rsidP="007168AF">
      <w:pPr>
        <w:ind w:left="851"/>
        <w:rPr>
          <w:sz w:val="24"/>
          <w:szCs w:val="24"/>
          <w:lang w:val="en-GB"/>
        </w:rPr>
      </w:pPr>
    </w:p>
    <w:p w14:paraId="5057CA81" w14:textId="77777777" w:rsidR="00BE17CF" w:rsidRPr="002800DB" w:rsidRDefault="00BE17CF" w:rsidP="007168AF">
      <w:pPr>
        <w:ind w:left="851"/>
        <w:rPr>
          <w:i/>
          <w:sz w:val="24"/>
          <w:szCs w:val="24"/>
          <w:lang w:val="en-GB"/>
        </w:rPr>
      </w:pPr>
      <w:r w:rsidRPr="002800DB">
        <w:rPr>
          <w:i/>
          <w:sz w:val="24"/>
          <w:szCs w:val="24"/>
          <w:lang w:val="en-GB"/>
        </w:rPr>
        <w:t>Gastrointestinal adverse reactions</w:t>
      </w:r>
    </w:p>
    <w:p w14:paraId="530094E6" w14:textId="77777777" w:rsidR="00BE17CF" w:rsidRPr="002800DB" w:rsidRDefault="00BE17CF" w:rsidP="007168AF">
      <w:pPr>
        <w:ind w:left="851"/>
        <w:rPr>
          <w:sz w:val="24"/>
          <w:szCs w:val="24"/>
          <w:lang w:val="en-GB"/>
        </w:rPr>
      </w:pPr>
      <w:r w:rsidRPr="002800DB">
        <w:rPr>
          <w:sz w:val="24"/>
          <w:szCs w:val="24"/>
          <w:lang w:val="en-GB"/>
        </w:rPr>
        <w:t>The incidence of gastrointestinal events (e.g. diarrhoea [14% versus 10%], nausea [12% versus 9%], upper abdominal pain [10% versus 6%], abdominal pain [9% versus 4%], vomiting [8% versus 5%] and dyspepsia [5% versus 3%]) was increased in patients treated with dimethyl fumarate compared to placebo, respectively.</w:t>
      </w:r>
    </w:p>
    <w:p w14:paraId="585D13D2" w14:textId="77777777" w:rsidR="00BE17CF" w:rsidRPr="002800DB" w:rsidRDefault="00BE17CF" w:rsidP="007168AF">
      <w:pPr>
        <w:ind w:left="851"/>
        <w:rPr>
          <w:sz w:val="24"/>
          <w:szCs w:val="24"/>
          <w:lang w:val="en-GB"/>
        </w:rPr>
      </w:pPr>
      <w:r w:rsidRPr="002800DB">
        <w:rPr>
          <w:sz w:val="24"/>
          <w:szCs w:val="24"/>
          <w:lang w:val="en-GB"/>
        </w:rPr>
        <w:t>Gastrointestinal adverse reactions tend to begin early in the course of treatment (primarily during the first month) and in patients who experience gastrointestinal events, these events may continue to occur intermittently throughout treatment with dimethyl fumarate.</w:t>
      </w:r>
    </w:p>
    <w:p w14:paraId="05CE3815" w14:textId="77777777" w:rsidR="00BE17CF" w:rsidRPr="002800DB" w:rsidRDefault="00BE17CF" w:rsidP="007168AF">
      <w:pPr>
        <w:ind w:left="851"/>
        <w:rPr>
          <w:sz w:val="24"/>
          <w:szCs w:val="24"/>
          <w:lang w:val="en-GB"/>
        </w:rPr>
      </w:pPr>
      <w:r w:rsidRPr="002800DB">
        <w:rPr>
          <w:sz w:val="24"/>
          <w:szCs w:val="24"/>
          <w:lang w:val="en-GB"/>
        </w:rPr>
        <w:t>In the majority of patients who experienced gastrointestinal events, it was mild or moderate in severity. Four per cent (4%) of patients treated with dimethyl fumarate discontinued due to gastrointestinal adverse reactions.</w:t>
      </w:r>
    </w:p>
    <w:p w14:paraId="534A3A78" w14:textId="77777777" w:rsidR="00BE17CF" w:rsidRPr="002800DB" w:rsidRDefault="00BE17CF" w:rsidP="007168AF">
      <w:pPr>
        <w:ind w:left="851"/>
        <w:rPr>
          <w:sz w:val="24"/>
          <w:szCs w:val="24"/>
          <w:lang w:val="en-GB"/>
        </w:rPr>
      </w:pPr>
      <w:r w:rsidRPr="002800DB">
        <w:rPr>
          <w:sz w:val="24"/>
          <w:szCs w:val="24"/>
          <w:lang w:val="en-GB"/>
        </w:rPr>
        <w:t>The incidence of serious gastrointestinal events, including gastroenteritis and gastritis, was seen in 1% of patients treated with dimethyl fumarate (see section 4.2).</w:t>
      </w:r>
    </w:p>
    <w:p w14:paraId="61B1FA50" w14:textId="77777777" w:rsidR="00BE17CF" w:rsidRPr="002800DB" w:rsidRDefault="00BE17CF" w:rsidP="007168AF">
      <w:pPr>
        <w:ind w:left="851"/>
        <w:rPr>
          <w:sz w:val="24"/>
          <w:szCs w:val="24"/>
          <w:lang w:val="en-GB"/>
        </w:rPr>
      </w:pPr>
    </w:p>
    <w:p w14:paraId="03DCBE69" w14:textId="77777777" w:rsidR="00BE17CF" w:rsidRPr="002800DB" w:rsidRDefault="00BE17CF" w:rsidP="007168AF">
      <w:pPr>
        <w:ind w:left="851"/>
        <w:rPr>
          <w:i/>
          <w:sz w:val="24"/>
          <w:szCs w:val="24"/>
          <w:lang w:val="en-GB"/>
        </w:rPr>
      </w:pPr>
      <w:r w:rsidRPr="002800DB">
        <w:rPr>
          <w:i/>
          <w:sz w:val="24"/>
          <w:szCs w:val="24"/>
          <w:lang w:val="en-GB"/>
        </w:rPr>
        <w:t>Hepatic function</w:t>
      </w:r>
    </w:p>
    <w:p w14:paraId="46817279" w14:textId="77777777" w:rsidR="00BE17CF" w:rsidRPr="002800DB" w:rsidRDefault="00BE17CF" w:rsidP="007168AF">
      <w:pPr>
        <w:ind w:left="851"/>
        <w:rPr>
          <w:sz w:val="24"/>
          <w:szCs w:val="24"/>
          <w:lang w:val="en-GB"/>
        </w:rPr>
      </w:pPr>
      <w:r w:rsidRPr="002800DB">
        <w:rPr>
          <w:sz w:val="24"/>
          <w:szCs w:val="24"/>
          <w:lang w:val="en-GB"/>
        </w:rPr>
        <w:t>Based on data from placebo-controlled studies, the majority of patients with elevations had hepatic transaminases that were &lt;3 times the ULN. The increased incidence of elevations of hepatic transaminases in patients treated with dimethyl fumarate relative to placebo was primarily seen during the first 6 months of treatment. Elevations of alanine aminotransferase and aspartate aminotransferase ≥3 times ULN, respectively, were seen in 5% and 2% of patients treated with placebo and 6% and 2% of patients treated with dimethyl fumarate. Discontinuations due to elevated hepatic transaminases were &lt;1% and similar in patients treated with dimethyl fumarate or placebo. Elevations in transaminases ≥3 times ULN with concomitant elevations in total bilirubin &gt;2 times ULN, were not observed in placebo-controlled studies.</w:t>
      </w:r>
    </w:p>
    <w:p w14:paraId="6F116BDD" w14:textId="77777777" w:rsidR="00BE17CF" w:rsidRPr="002800DB" w:rsidRDefault="00BE17CF" w:rsidP="007168AF">
      <w:pPr>
        <w:ind w:left="851"/>
        <w:rPr>
          <w:sz w:val="24"/>
          <w:szCs w:val="24"/>
          <w:lang w:val="en-GB"/>
        </w:rPr>
      </w:pPr>
    </w:p>
    <w:p w14:paraId="0A63EA4F" w14:textId="77777777" w:rsidR="00BE17CF" w:rsidRPr="002800DB" w:rsidRDefault="00BE17CF" w:rsidP="007168AF">
      <w:pPr>
        <w:ind w:left="851"/>
        <w:rPr>
          <w:sz w:val="24"/>
          <w:szCs w:val="24"/>
          <w:lang w:val="en-GB"/>
        </w:rPr>
      </w:pPr>
      <w:r w:rsidRPr="002800DB">
        <w:rPr>
          <w:sz w:val="24"/>
          <w:szCs w:val="24"/>
          <w:lang w:val="en-GB"/>
        </w:rPr>
        <w:t>Increase of liver enzymes and cases of drug-induced liver injury (elevations in transaminases ≥3 times ULN with concomitant elevations in total bilirubin &gt;2 times ULN), have been reported in post marketing experience following dimethyl fumarate administration, which resolved upon treatment discontinuation.</w:t>
      </w:r>
    </w:p>
    <w:p w14:paraId="36209744" w14:textId="77777777" w:rsidR="00BE17CF" w:rsidRPr="002800DB" w:rsidRDefault="00BE17CF" w:rsidP="007168AF">
      <w:pPr>
        <w:ind w:left="851"/>
        <w:rPr>
          <w:sz w:val="24"/>
          <w:szCs w:val="24"/>
          <w:lang w:val="en-GB"/>
        </w:rPr>
      </w:pPr>
    </w:p>
    <w:p w14:paraId="1B57D8E2" w14:textId="77777777" w:rsidR="00BE17CF" w:rsidRPr="002800DB" w:rsidRDefault="00BE17CF" w:rsidP="007168AF">
      <w:pPr>
        <w:ind w:left="851"/>
        <w:rPr>
          <w:i/>
          <w:sz w:val="24"/>
          <w:szCs w:val="24"/>
          <w:lang w:val="en-GB"/>
        </w:rPr>
      </w:pPr>
      <w:r w:rsidRPr="002800DB">
        <w:rPr>
          <w:i/>
          <w:sz w:val="24"/>
          <w:szCs w:val="24"/>
          <w:lang w:val="en-GB"/>
        </w:rPr>
        <w:t>Lymphopenia</w:t>
      </w:r>
    </w:p>
    <w:p w14:paraId="14280D07" w14:textId="77777777" w:rsidR="00BE17CF" w:rsidRPr="002800DB" w:rsidRDefault="00BE17CF" w:rsidP="007168AF">
      <w:pPr>
        <w:ind w:left="851"/>
        <w:rPr>
          <w:sz w:val="24"/>
          <w:szCs w:val="24"/>
          <w:lang w:val="en-GB"/>
        </w:rPr>
      </w:pPr>
      <w:r w:rsidRPr="002800DB">
        <w:rPr>
          <w:sz w:val="24"/>
          <w:szCs w:val="24"/>
          <w:lang w:val="en-GB"/>
        </w:rPr>
        <w:t>In the placebo-controlled studies most patients (&gt;98%) had normal lymphocyte counts prior to initiating treatment. Upon treatment with dimethyl fumarate, mean lymphocyte counts decreased over the first year with a subsequent plateau. On average, lymphocyte counts decreased by approximately 30% of baseline value. Mean and median lymphocyte counts remained within normal limits. Lymphocyte counts &lt;0.5 x 10</w:t>
      </w:r>
      <w:r w:rsidRPr="002800DB">
        <w:rPr>
          <w:sz w:val="24"/>
          <w:szCs w:val="24"/>
          <w:vertAlign w:val="superscript"/>
          <w:lang w:val="en-GB"/>
        </w:rPr>
        <w:t>9</w:t>
      </w:r>
      <w:r w:rsidRPr="002800DB">
        <w:rPr>
          <w:sz w:val="24"/>
          <w:szCs w:val="24"/>
          <w:lang w:val="en-GB"/>
        </w:rPr>
        <w:t>/L were observed in &lt;1% of patients treated with placebo and 6% of patients treated with dimethyl fumarate. A lymphocyte count &lt;0.2 x 10</w:t>
      </w:r>
      <w:r w:rsidRPr="002800DB">
        <w:rPr>
          <w:sz w:val="24"/>
          <w:szCs w:val="24"/>
          <w:vertAlign w:val="superscript"/>
          <w:lang w:val="en-GB"/>
        </w:rPr>
        <w:t>9</w:t>
      </w:r>
      <w:r w:rsidRPr="002800DB">
        <w:rPr>
          <w:sz w:val="24"/>
          <w:szCs w:val="24"/>
          <w:lang w:val="en-GB"/>
        </w:rPr>
        <w:t>/L was observed in 1 patient treated with dimethyl fumarate and in no patients treated with placebo.</w:t>
      </w:r>
    </w:p>
    <w:p w14:paraId="5F887E7D" w14:textId="77777777" w:rsidR="00BE17CF" w:rsidRPr="002800DB" w:rsidRDefault="00BE17CF" w:rsidP="007168AF">
      <w:pPr>
        <w:ind w:left="851"/>
        <w:rPr>
          <w:sz w:val="24"/>
          <w:szCs w:val="24"/>
          <w:lang w:val="en-GB"/>
        </w:rPr>
      </w:pPr>
    </w:p>
    <w:p w14:paraId="12695D0D" w14:textId="77777777" w:rsidR="00BE17CF" w:rsidRPr="002800DB" w:rsidRDefault="00BE17CF" w:rsidP="007168AF">
      <w:pPr>
        <w:ind w:left="851"/>
        <w:rPr>
          <w:sz w:val="24"/>
          <w:szCs w:val="24"/>
          <w:lang w:val="en-GB"/>
        </w:rPr>
      </w:pPr>
      <w:r w:rsidRPr="002800DB">
        <w:rPr>
          <w:sz w:val="24"/>
          <w:szCs w:val="24"/>
          <w:lang w:val="en-GB"/>
        </w:rPr>
        <w:t>In clinical studies (both controlled and uncontrolled), 41% of patients treated with dimethyl fumarate had lymphopenia (defined in these studies as &lt;0.91 x 10</w:t>
      </w:r>
      <w:r w:rsidRPr="002800DB">
        <w:rPr>
          <w:sz w:val="24"/>
          <w:szCs w:val="24"/>
          <w:vertAlign w:val="superscript"/>
          <w:lang w:val="en-GB"/>
        </w:rPr>
        <w:t>9</w:t>
      </w:r>
      <w:r w:rsidRPr="002800DB">
        <w:rPr>
          <w:sz w:val="24"/>
          <w:szCs w:val="24"/>
          <w:lang w:val="en-GB"/>
        </w:rPr>
        <w:t>/L). Mild lymphopenia (counts ≥0.8 x 10</w:t>
      </w:r>
      <w:r w:rsidRPr="002800DB">
        <w:rPr>
          <w:sz w:val="24"/>
          <w:szCs w:val="24"/>
          <w:vertAlign w:val="superscript"/>
          <w:lang w:val="en-GB"/>
        </w:rPr>
        <w:t>9</w:t>
      </w:r>
      <w:r w:rsidRPr="002800DB">
        <w:rPr>
          <w:sz w:val="24"/>
          <w:szCs w:val="24"/>
          <w:lang w:val="en-GB"/>
        </w:rPr>
        <w:t>/L to &lt;0.91 x 10</w:t>
      </w:r>
      <w:r w:rsidRPr="002800DB">
        <w:rPr>
          <w:sz w:val="24"/>
          <w:szCs w:val="24"/>
          <w:vertAlign w:val="superscript"/>
          <w:lang w:val="en-GB"/>
        </w:rPr>
        <w:t>9</w:t>
      </w:r>
      <w:r w:rsidRPr="002800DB">
        <w:rPr>
          <w:sz w:val="24"/>
          <w:szCs w:val="24"/>
          <w:lang w:val="en-GB"/>
        </w:rPr>
        <w:t>/L) was observed in 28% of patients; moderate lymphopenia (counts ≥0.5 x 10</w:t>
      </w:r>
      <w:r w:rsidRPr="002800DB">
        <w:rPr>
          <w:sz w:val="24"/>
          <w:szCs w:val="24"/>
          <w:vertAlign w:val="superscript"/>
          <w:lang w:val="en-GB"/>
        </w:rPr>
        <w:t>9</w:t>
      </w:r>
      <w:r w:rsidRPr="002800DB">
        <w:rPr>
          <w:sz w:val="24"/>
          <w:szCs w:val="24"/>
          <w:lang w:val="en-GB"/>
        </w:rPr>
        <w:t>/L to &lt;0.8 x 10</w:t>
      </w:r>
      <w:r w:rsidRPr="002800DB">
        <w:rPr>
          <w:sz w:val="24"/>
          <w:szCs w:val="24"/>
          <w:vertAlign w:val="superscript"/>
          <w:lang w:val="en-GB"/>
        </w:rPr>
        <w:t>9</w:t>
      </w:r>
      <w:r w:rsidRPr="002800DB">
        <w:rPr>
          <w:sz w:val="24"/>
          <w:szCs w:val="24"/>
          <w:lang w:val="en-GB"/>
        </w:rPr>
        <w:t>/L) persisting for at least six months was observed in 11% of patients; severe lymphopenia (counts &lt;0.5 x 10</w:t>
      </w:r>
      <w:r w:rsidRPr="002800DB">
        <w:rPr>
          <w:sz w:val="24"/>
          <w:szCs w:val="24"/>
          <w:vertAlign w:val="superscript"/>
          <w:lang w:val="en-GB"/>
        </w:rPr>
        <w:t>9</w:t>
      </w:r>
      <w:r w:rsidRPr="002800DB">
        <w:rPr>
          <w:sz w:val="24"/>
          <w:szCs w:val="24"/>
          <w:lang w:val="en-GB"/>
        </w:rPr>
        <w:t xml:space="preserve">/L) persisting for at least six months was observed in 2% of patients. In the group with severe </w:t>
      </w:r>
      <w:r w:rsidRPr="002800DB">
        <w:rPr>
          <w:sz w:val="24"/>
          <w:szCs w:val="24"/>
          <w:lang w:val="en-GB"/>
        </w:rPr>
        <w:lastRenderedPageBreak/>
        <w:t>lymphopenia, the majority of lymphocyte counts remained &lt;0.5 x 10</w:t>
      </w:r>
      <w:r w:rsidRPr="002800DB">
        <w:rPr>
          <w:sz w:val="24"/>
          <w:szCs w:val="24"/>
          <w:vertAlign w:val="superscript"/>
          <w:lang w:val="en-GB"/>
        </w:rPr>
        <w:t>9</w:t>
      </w:r>
      <w:r w:rsidRPr="002800DB">
        <w:rPr>
          <w:sz w:val="24"/>
          <w:szCs w:val="24"/>
          <w:lang w:val="en-GB"/>
        </w:rPr>
        <w:t>/L with continued therapy.</w:t>
      </w:r>
    </w:p>
    <w:p w14:paraId="6F2374D1" w14:textId="77777777" w:rsidR="00BE17CF" w:rsidRPr="002800DB" w:rsidRDefault="00BE17CF" w:rsidP="007168AF">
      <w:pPr>
        <w:ind w:left="851"/>
        <w:rPr>
          <w:sz w:val="24"/>
          <w:szCs w:val="24"/>
          <w:lang w:val="en-GB"/>
        </w:rPr>
      </w:pPr>
    </w:p>
    <w:p w14:paraId="3E455F80" w14:textId="77777777" w:rsidR="00BE17CF" w:rsidRPr="002800DB" w:rsidRDefault="00BE17CF" w:rsidP="007168AF">
      <w:pPr>
        <w:ind w:left="851"/>
        <w:rPr>
          <w:sz w:val="24"/>
          <w:szCs w:val="24"/>
          <w:lang w:val="en-GB"/>
        </w:rPr>
      </w:pPr>
      <w:r w:rsidRPr="002800DB">
        <w:rPr>
          <w:sz w:val="24"/>
          <w:szCs w:val="24"/>
          <w:lang w:val="en-GB"/>
        </w:rPr>
        <w:t>In addition, in an uncontrolled, prospective, post-marketing study, at week 48 of treatment with dimethyl fumarate (n=185), CD4+ T cells were moderately (counts ≥0.2 x 10</w:t>
      </w:r>
      <w:r w:rsidRPr="002800DB">
        <w:rPr>
          <w:sz w:val="24"/>
          <w:szCs w:val="24"/>
          <w:vertAlign w:val="superscript"/>
          <w:lang w:val="en-GB"/>
        </w:rPr>
        <w:t>9</w:t>
      </w:r>
      <w:r w:rsidRPr="002800DB">
        <w:rPr>
          <w:sz w:val="24"/>
          <w:szCs w:val="24"/>
          <w:lang w:val="en-GB"/>
        </w:rPr>
        <w:t>/L to &lt;0.4 x 10</w:t>
      </w:r>
      <w:r w:rsidRPr="002800DB">
        <w:rPr>
          <w:sz w:val="24"/>
          <w:szCs w:val="24"/>
          <w:vertAlign w:val="superscript"/>
          <w:lang w:val="en-GB"/>
        </w:rPr>
        <w:t>9</w:t>
      </w:r>
      <w:r w:rsidRPr="002800DB">
        <w:rPr>
          <w:sz w:val="24"/>
          <w:szCs w:val="24"/>
          <w:lang w:val="en-GB"/>
        </w:rPr>
        <w:t>/L) or severely (&lt;0.2 x 10</w:t>
      </w:r>
      <w:r w:rsidRPr="002800DB">
        <w:rPr>
          <w:sz w:val="24"/>
          <w:szCs w:val="24"/>
          <w:vertAlign w:val="superscript"/>
          <w:lang w:val="en-GB"/>
        </w:rPr>
        <w:t>9</w:t>
      </w:r>
      <w:r w:rsidRPr="002800DB">
        <w:rPr>
          <w:sz w:val="24"/>
          <w:szCs w:val="24"/>
          <w:lang w:val="en-GB"/>
        </w:rPr>
        <w:t>/L) decreased in up to 37% or 6% of patients, respectively, while CD8+ T cells were more frequently reduced with up to 59% of patients at counts &lt;0.2 x 10</w:t>
      </w:r>
      <w:r w:rsidRPr="002800DB">
        <w:rPr>
          <w:sz w:val="24"/>
          <w:szCs w:val="24"/>
          <w:vertAlign w:val="superscript"/>
          <w:lang w:val="en-GB"/>
        </w:rPr>
        <w:t>9</w:t>
      </w:r>
      <w:r w:rsidRPr="002800DB">
        <w:rPr>
          <w:sz w:val="24"/>
          <w:szCs w:val="24"/>
          <w:lang w:val="en-GB"/>
        </w:rPr>
        <w:t>/L and 25% of patients at counts &lt;0.1 x 10</w:t>
      </w:r>
      <w:r w:rsidRPr="002800DB">
        <w:rPr>
          <w:sz w:val="24"/>
          <w:szCs w:val="24"/>
          <w:vertAlign w:val="superscript"/>
          <w:lang w:val="en-GB"/>
        </w:rPr>
        <w:t>9</w:t>
      </w:r>
      <w:r w:rsidRPr="002800DB">
        <w:rPr>
          <w:sz w:val="24"/>
          <w:szCs w:val="24"/>
          <w:lang w:val="en-GB"/>
        </w:rPr>
        <w:t>/L. In controlled and uncontrolled clinical studies, patients who discontinued dimethyl fumarate therapy with lymphocyte counts below the LLN were monitored for recovery of lymphocyte count to the LLN (see section 5.1).</w:t>
      </w:r>
    </w:p>
    <w:p w14:paraId="066D88CC" w14:textId="77777777" w:rsidR="00BE17CF" w:rsidRPr="002800DB" w:rsidRDefault="00BE17CF" w:rsidP="007168AF">
      <w:pPr>
        <w:ind w:left="851"/>
        <w:rPr>
          <w:sz w:val="24"/>
          <w:szCs w:val="24"/>
          <w:lang w:val="en-GB"/>
        </w:rPr>
      </w:pPr>
    </w:p>
    <w:p w14:paraId="33259EAD" w14:textId="77777777" w:rsidR="00BE17CF" w:rsidRPr="002800DB" w:rsidRDefault="00BE17CF" w:rsidP="007168AF">
      <w:pPr>
        <w:ind w:left="851"/>
        <w:rPr>
          <w:i/>
          <w:sz w:val="24"/>
          <w:szCs w:val="24"/>
          <w:lang w:val="en-GB"/>
        </w:rPr>
      </w:pPr>
      <w:r w:rsidRPr="002800DB">
        <w:rPr>
          <w:i/>
          <w:sz w:val="24"/>
          <w:szCs w:val="24"/>
          <w:lang w:val="en-GB"/>
        </w:rPr>
        <w:t>Progressive multifocal leukoencephalopathy (PML)</w:t>
      </w:r>
    </w:p>
    <w:p w14:paraId="45451EE6" w14:textId="77777777" w:rsidR="00BE17CF" w:rsidRPr="002800DB" w:rsidRDefault="00BE17CF" w:rsidP="007168AF">
      <w:pPr>
        <w:ind w:left="851"/>
        <w:rPr>
          <w:sz w:val="24"/>
          <w:szCs w:val="24"/>
          <w:lang w:val="en-GB"/>
        </w:rPr>
      </w:pPr>
      <w:r w:rsidRPr="002800DB">
        <w:rPr>
          <w:sz w:val="24"/>
          <w:szCs w:val="24"/>
          <w:lang w:val="en-GB"/>
        </w:rPr>
        <w:t>Cases of infections with John Cunningham virus (JCV) causing PML have been reported with dimethyl fumarate (see section 4.4). PML may be fatal or result in severe disability. In one of the clinical trials, 1 patient taking dimethyl fumarate developed PML in the setting of prolonged severe lymphopenia (lymphocyte counts predominantly &lt;0.5 x 10</w:t>
      </w:r>
      <w:r w:rsidRPr="002800DB">
        <w:rPr>
          <w:sz w:val="24"/>
          <w:szCs w:val="24"/>
          <w:vertAlign w:val="superscript"/>
          <w:lang w:val="en-GB"/>
        </w:rPr>
        <w:t>9</w:t>
      </w:r>
      <w:r w:rsidRPr="002800DB">
        <w:rPr>
          <w:sz w:val="24"/>
          <w:szCs w:val="24"/>
          <w:lang w:val="en-GB"/>
        </w:rPr>
        <w:t>/L for 3.5 years), with a fatal outcome. In the post-marketing setting, PML has also occurred in the presence of moderate and mild lymphopenia (&gt;0.5 x 10</w:t>
      </w:r>
      <w:r w:rsidRPr="002800DB">
        <w:rPr>
          <w:sz w:val="24"/>
          <w:szCs w:val="24"/>
          <w:vertAlign w:val="superscript"/>
          <w:lang w:val="en-GB"/>
        </w:rPr>
        <w:t>9</w:t>
      </w:r>
      <w:r w:rsidRPr="002800DB">
        <w:rPr>
          <w:sz w:val="24"/>
          <w:szCs w:val="24"/>
          <w:lang w:val="en-GB"/>
        </w:rPr>
        <w:t>/L to &lt;LLN, as defined by local laboratory reference range).</w:t>
      </w:r>
    </w:p>
    <w:p w14:paraId="07BF4569" w14:textId="77777777" w:rsidR="00BE17CF" w:rsidRPr="002800DB" w:rsidRDefault="00BE17CF" w:rsidP="007168AF">
      <w:pPr>
        <w:ind w:left="851"/>
        <w:rPr>
          <w:sz w:val="24"/>
          <w:szCs w:val="24"/>
          <w:lang w:val="en-GB"/>
        </w:rPr>
      </w:pPr>
    </w:p>
    <w:p w14:paraId="4FD6772E" w14:textId="77777777" w:rsidR="00BE17CF" w:rsidRPr="002800DB" w:rsidRDefault="00BE17CF" w:rsidP="007168AF">
      <w:pPr>
        <w:ind w:left="851"/>
        <w:rPr>
          <w:sz w:val="24"/>
          <w:szCs w:val="24"/>
          <w:lang w:val="en-GB"/>
        </w:rPr>
      </w:pPr>
      <w:r w:rsidRPr="002800DB">
        <w:rPr>
          <w:sz w:val="24"/>
          <w:szCs w:val="24"/>
          <w:lang w:val="en-GB"/>
        </w:rPr>
        <w:t>In several PML cases with determination of T cell subsets at the time of diagnosis of PML, CD8+ T cell counts were found to be decreased to &lt;0.1 x 10</w:t>
      </w:r>
      <w:r w:rsidRPr="002800DB">
        <w:rPr>
          <w:sz w:val="24"/>
          <w:szCs w:val="24"/>
          <w:vertAlign w:val="superscript"/>
          <w:lang w:val="en-GB"/>
        </w:rPr>
        <w:t>9</w:t>
      </w:r>
      <w:r w:rsidRPr="002800DB">
        <w:rPr>
          <w:sz w:val="24"/>
          <w:szCs w:val="24"/>
          <w:lang w:val="en-GB"/>
        </w:rPr>
        <w:t>/L, whereas reductions in CD4+ T cells counts were variable (ranging from &lt;0.05 to 0.5 x 10</w:t>
      </w:r>
      <w:r w:rsidRPr="002800DB">
        <w:rPr>
          <w:sz w:val="24"/>
          <w:szCs w:val="24"/>
          <w:vertAlign w:val="superscript"/>
          <w:lang w:val="en-GB"/>
        </w:rPr>
        <w:t>9</w:t>
      </w:r>
      <w:r w:rsidRPr="002800DB">
        <w:rPr>
          <w:sz w:val="24"/>
          <w:szCs w:val="24"/>
          <w:lang w:val="en-GB"/>
        </w:rPr>
        <w:t>/L) and correlated more with the overall severity of lymphopenia (&lt;0.5 x 10</w:t>
      </w:r>
      <w:r w:rsidRPr="002800DB">
        <w:rPr>
          <w:sz w:val="24"/>
          <w:szCs w:val="24"/>
          <w:vertAlign w:val="superscript"/>
          <w:lang w:val="en-GB"/>
        </w:rPr>
        <w:t>9</w:t>
      </w:r>
      <w:r w:rsidRPr="002800DB">
        <w:rPr>
          <w:sz w:val="24"/>
          <w:szCs w:val="24"/>
          <w:lang w:val="en-GB"/>
        </w:rPr>
        <w:t>/L to &lt;LLN). Consequently, the CD4+/CD8+ ratio was increased in these patients.</w:t>
      </w:r>
    </w:p>
    <w:p w14:paraId="71A6F5BA" w14:textId="77777777" w:rsidR="00BE17CF" w:rsidRPr="002800DB" w:rsidRDefault="00BE17CF" w:rsidP="007168AF">
      <w:pPr>
        <w:ind w:left="851"/>
        <w:rPr>
          <w:sz w:val="24"/>
          <w:szCs w:val="24"/>
          <w:lang w:val="en-GB"/>
        </w:rPr>
      </w:pPr>
    </w:p>
    <w:p w14:paraId="2D2DCE7E" w14:textId="77777777" w:rsidR="00BE17CF" w:rsidRPr="002800DB" w:rsidRDefault="00BE17CF" w:rsidP="007168AF">
      <w:pPr>
        <w:ind w:left="851"/>
        <w:rPr>
          <w:sz w:val="24"/>
          <w:szCs w:val="24"/>
          <w:lang w:val="en-GB"/>
        </w:rPr>
      </w:pPr>
      <w:r w:rsidRPr="002800DB">
        <w:rPr>
          <w:sz w:val="24"/>
          <w:szCs w:val="24"/>
          <w:lang w:val="en-GB"/>
        </w:rPr>
        <w:t>Prolonged moderate to severe lymphopenia appears to increase the risk of PML with dimethyl fumarate. However, PML also occurred in patients with mild lymphopenia. Additionally, the majority of PML cases in the post-marketing setting have occurred in patients &gt;50 years.</w:t>
      </w:r>
    </w:p>
    <w:p w14:paraId="51577D3B" w14:textId="77777777" w:rsidR="00BE17CF" w:rsidRPr="002800DB" w:rsidRDefault="00BE17CF" w:rsidP="007168AF">
      <w:pPr>
        <w:ind w:left="851"/>
        <w:rPr>
          <w:sz w:val="24"/>
          <w:szCs w:val="24"/>
          <w:lang w:val="en-GB"/>
        </w:rPr>
      </w:pPr>
    </w:p>
    <w:p w14:paraId="246C28E3" w14:textId="77777777" w:rsidR="00BE17CF" w:rsidRPr="002800DB" w:rsidRDefault="00BE17CF" w:rsidP="007168AF">
      <w:pPr>
        <w:ind w:left="851"/>
        <w:rPr>
          <w:i/>
          <w:iCs/>
          <w:sz w:val="24"/>
          <w:szCs w:val="24"/>
          <w:lang w:val="en-GB"/>
        </w:rPr>
      </w:pPr>
      <w:r w:rsidRPr="002800DB">
        <w:rPr>
          <w:i/>
          <w:iCs/>
          <w:sz w:val="24"/>
          <w:szCs w:val="24"/>
          <w:lang w:val="en-GB"/>
        </w:rPr>
        <w:t>Herpes zoster infections</w:t>
      </w:r>
    </w:p>
    <w:p w14:paraId="646947E2" w14:textId="77777777" w:rsidR="00BE17CF" w:rsidRPr="002800DB" w:rsidRDefault="00BE17CF" w:rsidP="007168AF">
      <w:pPr>
        <w:ind w:left="851"/>
        <w:rPr>
          <w:sz w:val="24"/>
          <w:szCs w:val="24"/>
          <w:lang w:val="en-GB"/>
        </w:rPr>
      </w:pPr>
      <w:r w:rsidRPr="002800DB">
        <w:rPr>
          <w:sz w:val="24"/>
          <w:szCs w:val="24"/>
          <w:lang w:val="en-GB"/>
        </w:rPr>
        <w:t>Herpes zoster infections have been reported with dimethyl fumarate use. In the long-term extension study, in which 1 736 MS patients were treated, approximately 5% experienced one or more events of herpes zoster, of which 42% were mild, 55% were moderate, and 3% were severe. The time to onset from first dimethyl fumarate dose ranged from approximately 3 months to 10 years. Four patients experienced serious events, all of which resolved. Most subjects, including those who experienced a serious herpes zoster infection, had lymphocyte counts above the lower limit of normal. In a majority of subjects with concurrent lymphocyte counts below the LLN, lymphopenia was rated moderate or severe.</w:t>
      </w:r>
    </w:p>
    <w:p w14:paraId="35F78484" w14:textId="77777777" w:rsidR="00BE17CF" w:rsidRPr="002800DB" w:rsidRDefault="00BE17CF" w:rsidP="007168AF">
      <w:pPr>
        <w:ind w:left="851"/>
        <w:rPr>
          <w:sz w:val="24"/>
          <w:szCs w:val="24"/>
          <w:lang w:val="en-GB"/>
        </w:rPr>
      </w:pPr>
      <w:r w:rsidRPr="002800DB">
        <w:rPr>
          <w:sz w:val="24"/>
          <w:szCs w:val="24"/>
          <w:lang w:val="en-GB"/>
        </w:rPr>
        <w:t>In the post-marketing setting, most cases of herpes zoster infection were non-serious and resolved with treatment. Limited data are available on absolute lymphocyte count (ALC) in patients with herpes zoster infection in the post-marketing setting. However, when reported, most patients experienced moderate (≥0.5 x 10</w:t>
      </w:r>
      <w:r w:rsidRPr="002800DB">
        <w:rPr>
          <w:sz w:val="24"/>
          <w:szCs w:val="24"/>
          <w:vertAlign w:val="superscript"/>
          <w:lang w:val="en-GB"/>
        </w:rPr>
        <w:t>9</w:t>
      </w:r>
      <w:r w:rsidRPr="002800DB">
        <w:rPr>
          <w:sz w:val="24"/>
          <w:szCs w:val="24"/>
          <w:lang w:val="en-GB"/>
        </w:rPr>
        <w:t>/L to &lt;0.8 x 10</w:t>
      </w:r>
      <w:r w:rsidRPr="002800DB">
        <w:rPr>
          <w:sz w:val="24"/>
          <w:szCs w:val="24"/>
          <w:vertAlign w:val="superscript"/>
          <w:lang w:val="en-GB"/>
        </w:rPr>
        <w:t>9</w:t>
      </w:r>
      <w:r w:rsidRPr="002800DB">
        <w:rPr>
          <w:sz w:val="24"/>
          <w:szCs w:val="24"/>
          <w:lang w:val="en-GB"/>
        </w:rPr>
        <w:t>/L) or severe (&lt;0.5 x 10</w:t>
      </w:r>
      <w:r w:rsidRPr="002800DB">
        <w:rPr>
          <w:sz w:val="24"/>
          <w:szCs w:val="24"/>
          <w:vertAlign w:val="superscript"/>
          <w:lang w:val="en-GB"/>
        </w:rPr>
        <w:t>9</w:t>
      </w:r>
      <w:r w:rsidRPr="002800DB">
        <w:rPr>
          <w:sz w:val="24"/>
          <w:szCs w:val="24"/>
          <w:lang w:val="en-GB"/>
        </w:rPr>
        <w:t>/L to 0.2 x 10</w:t>
      </w:r>
      <w:r w:rsidRPr="002800DB">
        <w:rPr>
          <w:sz w:val="24"/>
          <w:szCs w:val="24"/>
          <w:vertAlign w:val="superscript"/>
          <w:lang w:val="en-GB"/>
        </w:rPr>
        <w:t>9</w:t>
      </w:r>
      <w:r w:rsidRPr="002800DB">
        <w:rPr>
          <w:sz w:val="24"/>
          <w:szCs w:val="24"/>
          <w:lang w:val="en-GB"/>
        </w:rPr>
        <w:t>/L) lymphopenia (see section 4.4).</w:t>
      </w:r>
    </w:p>
    <w:p w14:paraId="73A38681" w14:textId="77777777" w:rsidR="00BE17CF" w:rsidRPr="002800DB" w:rsidRDefault="00BE17CF" w:rsidP="007168AF">
      <w:pPr>
        <w:ind w:left="851"/>
        <w:rPr>
          <w:sz w:val="24"/>
          <w:szCs w:val="24"/>
          <w:lang w:val="en-GB"/>
        </w:rPr>
      </w:pPr>
    </w:p>
    <w:p w14:paraId="636BF8CC" w14:textId="77777777" w:rsidR="00BE17CF" w:rsidRPr="002800DB" w:rsidRDefault="00BE17CF" w:rsidP="007168AF">
      <w:pPr>
        <w:ind w:left="851"/>
        <w:rPr>
          <w:i/>
          <w:sz w:val="24"/>
          <w:szCs w:val="24"/>
          <w:lang w:val="en-GB"/>
        </w:rPr>
      </w:pPr>
      <w:r w:rsidRPr="002800DB">
        <w:rPr>
          <w:i/>
          <w:sz w:val="24"/>
          <w:szCs w:val="24"/>
          <w:lang w:val="en-GB"/>
        </w:rPr>
        <w:t>Laboratory abnormalities</w:t>
      </w:r>
    </w:p>
    <w:p w14:paraId="4034A6B7" w14:textId="77777777" w:rsidR="00BE17CF" w:rsidRPr="002800DB" w:rsidRDefault="00BE17CF" w:rsidP="007168AF">
      <w:pPr>
        <w:ind w:left="851"/>
        <w:rPr>
          <w:sz w:val="24"/>
          <w:szCs w:val="24"/>
          <w:lang w:val="en-GB"/>
        </w:rPr>
      </w:pPr>
      <w:r w:rsidRPr="002800DB">
        <w:rPr>
          <w:sz w:val="24"/>
          <w:szCs w:val="24"/>
          <w:lang w:val="en-GB"/>
        </w:rPr>
        <w:t>In the placebo-controlled studies, measurement of urinary ketones (1+ or greater) was higher in patients treated with dimethyl fumarate (45%) compared to placebo (10%). No untoward clinical consequences were observed in clinical trials.</w:t>
      </w:r>
    </w:p>
    <w:p w14:paraId="3EEC96F1" w14:textId="77777777" w:rsidR="00BE17CF" w:rsidRPr="002800DB" w:rsidRDefault="00BE17CF" w:rsidP="007168AF">
      <w:pPr>
        <w:ind w:left="851"/>
        <w:rPr>
          <w:sz w:val="24"/>
          <w:szCs w:val="24"/>
          <w:lang w:val="en-GB"/>
        </w:rPr>
      </w:pPr>
    </w:p>
    <w:p w14:paraId="15677AF0" w14:textId="77777777" w:rsidR="00BE17CF" w:rsidRPr="002800DB" w:rsidRDefault="00BE17CF" w:rsidP="007168AF">
      <w:pPr>
        <w:ind w:left="851"/>
        <w:rPr>
          <w:sz w:val="24"/>
          <w:szCs w:val="24"/>
          <w:lang w:val="en-GB"/>
        </w:rPr>
      </w:pPr>
      <w:r w:rsidRPr="002800DB">
        <w:rPr>
          <w:sz w:val="24"/>
          <w:szCs w:val="24"/>
          <w:lang w:val="en-GB"/>
        </w:rPr>
        <w:t>Levels of 1,25</w:t>
      </w:r>
      <w:r w:rsidRPr="002800DB">
        <w:rPr>
          <w:sz w:val="24"/>
          <w:szCs w:val="24"/>
          <w:lang w:val="en-GB"/>
        </w:rPr>
        <w:noBreakHyphen/>
        <w:t>dihydroxyvitamin D decreased in dimethyl fumarate treated patients relative to placebo (median percentage decrease from baseline at 2 years of 25% versus 15%, respectively) and levels of parathyroid hormone (PTH) increased in dimethyl fumarate treated patients relative to placebo (median percentage increase from baseline at 2 years of 29% versus 15%, respectively). Mean values for both parameters remained within normal range.</w:t>
      </w:r>
    </w:p>
    <w:p w14:paraId="3DE4056E" w14:textId="77777777" w:rsidR="00BE17CF" w:rsidRPr="002800DB" w:rsidRDefault="00BE17CF" w:rsidP="007168AF">
      <w:pPr>
        <w:ind w:left="851"/>
        <w:rPr>
          <w:sz w:val="24"/>
          <w:szCs w:val="24"/>
          <w:lang w:val="en-GB"/>
        </w:rPr>
      </w:pPr>
    </w:p>
    <w:p w14:paraId="6FB1284C" w14:textId="77777777" w:rsidR="00BE17CF" w:rsidRPr="002800DB" w:rsidRDefault="00BE17CF" w:rsidP="007168AF">
      <w:pPr>
        <w:ind w:left="851"/>
        <w:rPr>
          <w:sz w:val="24"/>
          <w:szCs w:val="24"/>
          <w:lang w:val="en-GB"/>
        </w:rPr>
      </w:pPr>
      <w:r w:rsidRPr="002800DB">
        <w:rPr>
          <w:sz w:val="24"/>
          <w:szCs w:val="24"/>
          <w:lang w:val="en-GB"/>
        </w:rPr>
        <w:t>A transient increase in mean eosinophil counts was seen during the first 2 months of therapy.</w:t>
      </w:r>
    </w:p>
    <w:p w14:paraId="7A63D58E" w14:textId="77777777" w:rsidR="00BE17CF" w:rsidRPr="002800DB" w:rsidRDefault="00BE17CF" w:rsidP="007168AF">
      <w:pPr>
        <w:ind w:left="851"/>
        <w:rPr>
          <w:sz w:val="24"/>
          <w:szCs w:val="24"/>
          <w:lang w:val="en-GB"/>
        </w:rPr>
      </w:pPr>
    </w:p>
    <w:p w14:paraId="6304A2CB" w14:textId="77777777" w:rsidR="00BE17CF" w:rsidRPr="006174AA" w:rsidRDefault="00BE17CF" w:rsidP="007168AF">
      <w:pPr>
        <w:ind w:left="851"/>
        <w:rPr>
          <w:sz w:val="24"/>
          <w:szCs w:val="24"/>
          <w:u w:val="single"/>
          <w:lang w:val="en-GB"/>
        </w:rPr>
      </w:pPr>
      <w:r w:rsidRPr="006174AA">
        <w:rPr>
          <w:sz w:val="24"/>
          <w:szCs w:val="24"/>
          <w:u w:val="single"/>
          <w:lang w:val="en-GB"/>
        </w:rPr>
        <w:t>Paediatric population</w:t>
      </w:r>
    </w:p>
    <w:p w14:paraId="43E6297A" w14:textId="77777777" w:rsidR="00BE17CF" w:rsidRPr="002800DB" w:rsidRDefault="00BE17CF" w:rsidP="007168AF">
      <w:pPr>
        <w:ind w:left="851"/>
        <w:rPr>
          <w:sz w:val="24"/>
          <w:szCs w:val="24"/>
          <w:lang w:val="en-GB"/>
        </w:rPr>
      </w:pPr>
      <w:r w:rsidRPr="002800DB">
        <w:rPr>
          <w:sz w:val="24"/>
          <w:szCs w:val="24"/>
          <w:lang w:val="en-GB"/>
        </w:rPr>
        <w:t xml:space="preserve">In a 96-week open label, randomised active controlled trial paediatric patients with RRMS (n=7 aged 10 to less than 13 years </w:t>
      </w:r>
      <w:r w:rsidRPr="002800DB">
        <w:rPr>
          <w:sz w:val="24"/>
          <w:szCs w:val="24"/>
          <w:lang w:val="en-US"/>
        </w:rPr>
        <w:t>and</w:t>
      </w:r>
      <w:r w:rsidRPr="002800DB">
        <w:rPr>
          <w:spacing w:val="-3"/>
          <w:sz w:val="24"/>
          <w:szCs w:val="24"/>
          <w:lang w:val="en-US"/>
        </w:rPr>
        <w:t xml:space="preserve"> </w:t>
      </w:r>
      <w:r w:rsidRPr="002800DB">
        <w:rPr>
          <w:sz w:val="24"/>
          <w:szCs w:val="24"/>
          <w:lang w:val="en-US"/>
        </w:rPr>
        <w:t>n=71 aged 13</w:t>
      </w:r>
      <w:r w:rsidRPr="002800DB">
        <w:rPr>
          <w:spacing w:val="-3"/>
          <w:sz w:val="24"/>
          <w:szCs w:val="24"/>
          <w:lang w:val="en-US"/>
        </w:rPr>
        <w:t xml:space="preserve"> </w:t>
      </w:r>
      <w:r w:rsidRPr="002800DB">
        <w:rPr>
          <w:sz w:val="24"/>
          <w:szCs w:val="24"/>
          <w:lang w:val="en-US"/>
        </w:rPr>
        <w:t>to</w:t>
      </w:r>
      <w:r w:rsidRPr="002800DB">
        <w:rPr>
          <w:spacing w:val="-3"/>
          <w:sz w:val="24"/>
          <w:szCs w:val="24"/>
          <w:lang w:val="en-US"/>
        </w:rPr>
        <w:t xml:space="preserve"> </w:t>
      </w:r>
      <w:r w:rsidRPr="002800DB">
        <w:rPr>
          <w:sz w:val="24"/>
          <w:szCs w:val="24"/>
          <w:lang w:val="en-US"/>
        </w:rPr>
        <w:t>less than</w:t>
      </w:r>
      <w:r w:rsidRPr="002800DB">
        <w:rPr>
          <w:spacing w:val="-3"/>
          <w:sz w:val="24"/>
          <w:szCs w:val="24"/>
          <w:lang w:val="en-US"/>
        </w:rPr>
        <w:t xml:space="preserve"> </w:t>
      </w:r>
      <w:r w:rsidRPr="002800DB">
        <w:rPr>
          <w:sz w:val="24"/>
          <w:szCs w:val="24"/>
          <w:lang w:val="en-US"/>
        </w:rPr>
        <w:t>18 years) were treated with</w:t>
      </w:r>
      <w:r w:rsidRPr="002800DB">
        <w:rPr>
          <w:sz w:val="24"/>
          <w:szCs w:val="24"/>
          <w:lang w:val="en-GB"/>
        </w:rPr>
        <w:t xml:space="preserve"> 120 mg twice a day for 7 days followed by 240 mg twice a day for the remainder of treatment. The safety profile in paediatric patients appeared similar to that previously observed in adult patients.</w:t>
      </w:r>
    </w:p>
    <w:p w14:paraId="6FD1FE17" w14:textId="77777777" w:rsidR="00BE17CF" w:rsidRPr="002800DB" w:rsidRDefault="00BE17CF" w:rsidP="007168AF">
      <w:pPr>
        <w:ind w:left="851"/>
        <w:rPr>
          <w:sz w:val="24"/>
          <w:szCs w:val="24"/>
          <w:lang w:val="en-GB"/>
        </w:rPr>
      </w:pPr>
    </w:p>
    <w:p w14:paraId="660DB136" w14:textId="77777777" w:rsidR="00BE17CF" w:rsidRPr="002800DB" w:rsidRDefault="00BE17CF" w:rsidP="007168AF">
      <w:pPr>
        <w:ind w:left="851"/>
        <w:rPr>
          <w:sz w:val="24"/>
          <w:szCs w:val="24"/>
          <w:lang w:val="en-GB"/>
        </w:rPr>
      </w:pPr>
      <w:r w:rsidRPr="002800DB">
        <w:rPr>
          <w:sz w:val="24"/>
          <w:szCs w:val="24"/>
          <w:lang w:val="en-GB"/>
        </w:rPr>
        <w:t>The paediatric clinical trial design differed from the adult placebo-controlled clinical trials. Therefore, a contribution of clinical trial design to numerical differences in adverse events between the paediatric and adult populations, cannot be excluded. Gastrointestinal disorders as well as respiratory, thoracic and mediastinal disorders and the adverse events of headache and dysmenorrhea were more frequently reported (≥10%) in the paediatric population than in the adult population. These adverse events were reported in the following percentages in paediatric patients:</w:t>
      </w:r>
    </w:p>
    <w:p w14:paraId="3654645F" w14:textId="373F8EA8" w:rsidR="00BE17CF" w:rsidRPr="006174AA" w:rsidRDefault="00BE17CF" w:rsidP="006174AA">
      <w:pPr>
        <w:pStyle w:val="Listeafsnit"/>
        <w:numPr>
          <w:ilvl w:val="0"/>
          <w:numId w:val="9"/>
        </w:numPr>
        <w:ind w:left="1276" w:hanging="425"/>
        <w:rPr>
          <w:sz w:val="24"/>
          <w:szCs w:val="24"/>
          <w:lang w:val="en-GB"/>
        </w:rPr>
      </w:pPr>
      <w:r w:rsidRPr="006174AA">
        <w:rPr>
          <w:sz w:val="24"/>
          <w:szCs w:val="24"/>
          <w:lang w:val="en-GB"/>
        </w:rPr>
        <w:t>Headache was reported in 28% of patients treated with dimethyl fumarate versus 36% in patients treated with interferon beta-1a.</w:t>
      </w:r>
    </w:p>
    <w:p w14:paraId="5E9B5EBC" w14:textId="0A2FD457" w:rsidR="00BE17CF" w:rsidRPr="006174AA" w:rsidRDefault="00BE17CF" w:rsidP="006174AA">
      <w:pPr>
        <w:pStyle w:val="Listeafsnit"/>
        <w:numPr>
          <w:ilvl w:val="0"/>
          <w:numId w:val="9"/>
        </w:numPr>
        <w:ind w:left="1276" w:hanging="425"/>
        <w:rPr>
          <w:sz w:val="24"/>
          <w:szCs w:val="24"/>
          <w:lang w:val="en-GB"/>
        </w:rPr>
      </w:pPr>
      <w:r w:rsidRPr="006174AA">
        <w:rPr>
          <w:sz w:val="24"/>
          <w:szCs w:val="24"/>
          <w:lang w:val="en-GB"/>
        </w:rPr>
        <w:t>Gastrointestinal disorders were reported in 74% of patients treated with dimethyl fumarate versus 31% in patients treated with interferon beta-1a. Among them, abdominal pain and vomiting were the most frequently reported with dimethyl fumarate.</w:t>
      </w:r>
    </w:p>
    <w:p w14:paraId="098E446B" w14:textId="48C9B2A7" w:rsidR="00BE17CF" w:rsidRPr="006174AA" w:rsidRDefault="00BE17CF" w:rsidP="006174AA">
      <w:pPr>
        <w:pStyle w:val="Listeafsnit"/>
        <w:numPr>
          <w:ilvl w:val="0"/>
          <w:numId w:val="9"/>
        </w:numPr>
        <w:ind w:left="1276" w:hanging="425"/>
        <w:rPr>
          <w:sz w:val="24"/>
          <w:szCs w:val="24"/>
          <w:lang w:val="en-GB"/>
        </w:rPr>
      </w:pPr>
      <w:r w:rsidRPr="006174AA">
        <w:rPr>
          <w:sz w:val="24"/>
          <w:szCs w:val="24"/>
          <w:lang w:val="en-GB"/>
        </w:rPr>
        <w:t>Respiratory, thoracic and mediastinal disorders were reported in 32% of patients treated with dimethyl fumarate versus 11% in patients treated with interferon beta-1a. Among them, oropharyngeal pain and cough were the most frequently reported with dimethyl fumarate.</w:t>
      </w:r>
    </w:p>
    <w:p w14:paraId="31E3627C" w14:textId="078360A9" w:rsidR="00BE17CF" w:rsidRPr="006174AA" w:rsidRDefault="00BE17CF" w:rsidP="006174AA">
      <w:pPr>
        <w:pStyle w:val="Listeafsnit"/>
        <w:numPr>
          <w:ilvl w:val="0"/>
          <w:numId w:val="9"/>
        </w:numPr>
        <w:ind w:left="1276" w:hanging="425"/>
        <w:rPr>
          <w:sz w:val="24"/>
          <w:szCs w:val="24"/>
          <w:lang w:val="en-GB"/>
        </w:rPr>
      </w:pPr>
      <w:r w:rsidRPr="006174AA">
        <w:rPr>
          <w:sz w:val="24"/>
          <w:szCs w:val="24"/>
          <w:lang w:val="en-GB"/>
        </w:rPr>
        <w:t>Dysmenorrhea was reported in 17% of patients treated with dimethyl fumarate versus 7% of patients treated with interferon beta-1a.</w:t>
      </w:r>
    </w:p>
    <w:p w14:paraId="7B460FED" w14:textId="77777777" w:rsidR="00BE17CF" w:rsidRPr="002800DB" w:rsidRDefault="00BE17CF" w:rsidP="007168AF">
      <w:pPr>
        <w:ind w:left="851"/>
        <w:rPr>
          <w:sz w:val="24"/>
          <w:szCs w:val="24"/>
          <w:lang w:val="en-GB"/>
        </w:rPr>
      </w:pPr>
    </w:p>
    <w:p w14:paraId="49DDF1FB" w14:textId="77777777" w:rsidR="00BE17CF" w:rsidRPr="002800DB" w:rsidRDefault="00BE17CF" w:rsidP="007168AF">
      <w:pPr>
        <w:ind w:left="851"/>
        <w:rPr>
          <w:sz w:val="24"/>
          <w:szCs w:val="24"/>
          <w:lang w:val="en-GB"/>
        </w:rPr>
      </w:pPr>
      <w:r w:rsidRPr="002800DB">
        <w:rPr>
          <w:sz w:val="24"/>
          <w:szCs w:val="24"/>
          <w:lang w:val="en-GB"/>
        </w:rPr>
        <w:t>In a small 24</w:t>
      </w:r>
      <w:r w:rsidRPr="002800DB">
        <w:rPr>
          <w:sz w:val="24"/>
          <w:szCs w:val="24"/>
          <w:lang w:val="en-GB"/>
        </w:rPr>
        <w:noBreakHyphen/>
        <w:t>week open-label uncontrolled study in paediatric patients with RRMS aged 13 to 17 years (120 mg twice a day for 7 days followed by 240 mg twice a day for the remainder of treatment; n=22), followed by a 96</w:t>
      </w:r>
      <w:r w:rsidRPr="002800DB">
        <w:rPr>
          <w:sz w:val="24"/>
          <w:szCs w:val="24"/>
          <w:lang w:val="en-GB"/>
        </w:rPr>
        <w:noBreakHyphen/>
        <w:t>week extension study (240 mg twice per day; n=20), the safety profile appeared similar to that observed in adult patients.</w:t>
      </w:r>
    </w:p>
    <w:p w14:paraId="6298FFD3" w14:textId="77777777" w:rsidR="00BE17CF" w:rsidRPr="002800DB" w:rsidRDefault="00BE17CF" w:rsidP="007168AF">
      <w:pPr>
        <w:ind w:left="851"/>
        <w:rPr>
          <w:sz w:val="24"/>
          <w:szCs w:val="24"/>
          <w:lang w:val="en-GB"/>
        </w:rPr>
      </w:pPr>
    </w:p>
    <w:p w14:paraId="6EF45858" w14:textId="77777777" w:rsidR="006174AA" w:rsidRDefault="006174AA" w:rsidP="006174AA">
      <w:pPr>
        <w:ind w:left="851"/>
        <w:rPr>
          <w:sz w:val="24"/>
          <w:szCs w:val="24"/>
          <w:u w:val="single"/>
          <w:lang w:val="en-GB"/>
        </w:rPr>
      </w:pPr>
      <w:r>
        <w:rPr>
          <w:sz w:val="24"/>
          <w:szCs w:val="24"/>
          <w:u w:val="single"/>
          <w:lang w:val="en-GB"/>
        </w:rPr>
        <w:t>Reporting of suspected adverse reactions</w:t>
      </w:r>
    </w:p>
    <w:p w14:paraId="2EEE1B23" w14:textId="77777777" w:rsidR="006174AA" w:rsidRDefault="006174AA" w:rsidP="006174AA">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F93C83B" w14:textId="77777777" w:rsidR="006174AA" w:rsidRDefault="006174AA" w:rsidP="006174AA">
      <w:pPr>
        <w:ind w:left="851"/>
        <w:rPr>
          <w:sz w:val="24"/>
          <w:szCs w:val="24"/>
          <w:lang w:val="en-GB"/>
        </w:rPr>
      </w:pPr>
    </w:p>
    <w:p w14:paraId="63757A50" w14:textId="77777777" w:rsidR="006174AA" w:rsidRDefault="006174AA" w:rsidP="006174AA">
      <w:pPr>
        <w:ind w:left="851"/>
        <w:rPr>
          <w:sz w:val="24"/>
          <w:szCs w:val="24"/>
        </w:rPr>
      </w:pPr>
      <w:r>
        <w:rPr>
          <w:sz w:val="24"/>
          <w:szCs w:val="24"/>
        </w:rPr>
        <w:t>Lægemiddelstyrelsen</w:t>
      </w:r>
    </w:p>
    <w:p w14:paraId="2CE24B12" w14:textId="77777777" w:rsidR="006174AA" w:rsidRDefault="006174AA" w:rsidP="006174AA">
      <w:pPr>
        <w:ind w:left="851"/>
        <w:rPr>
          <w:sz w:val="24"/>
          <w:szCs w:val="24"/>
        </w:rPr>
      </w:pPr>
      <w:r>
        <w:rPr>
          <w:sz w:val="24"/>
          <w:szCs w:val="24"/>
        </w:rPr>
        <w:t>Axel Heides Gade 1</w:t>
      </w:r>
    </w:p>
    <w:p w14:paraId="0066BC9F" w14:textId="77777777" w:rsidR="006174AA" w:rsidRDefault="006174AA" w:rsidP="006174AA">
      <w:pPr>
        <w:ind w:left="851"/>
        <w:rPr>
          <w:sz w:val="24"/>
          <w:szCs w:val="24"/>
        </w:rPr>
      </w:pPr>
      <w:r>
        <w:rPr>
          <w:sz w:val="24"/>
          <w:szCs w:val="24"/>
        </w:rPr>
        <w:t>DK-2300 København S</w:t>
      </w:r>
    </w:p>
    <w:p w14:paraId="005ED364" w14:textId="77777777" w:rsidR="006174AA" w:rsidRPr="00677781" w:rsidRDefault="006174AA" w:rsidP="006174AA">
      <w:pPr>
        <w:ind w:left="851"/>
        <w:rPr>
          <w:sz w:val="24"/>
          <w:szCs w:val="24"/>
          <w:lang w:val="en-US"/>
        </w:rPr>
      </w:pPr>
      <w:r w:rsidRPr="00677781">
        <w:rPr>
          <w:sz w:val="24"/>
          <w:szCs w:val="24"/>
          <w:lang w:val="en-US"/>
        </w:rPr>
        <w:lastRenderedPageBreak/>
        <w:t>Website: www.meldenbivirkning.dk</w:t>
      </w:r>
    </w:p>
    <w:p w14:paraId="700866EC" w14:textId="77777777" w:rsidR="007C5D2A" w:rsidRPr="002800DB" w:rsidRDefault="007C5D2A" w:rsidP="007A4CC6">
      <w:pPr>
        <w:tabs>
          <w:tab w:val="left" w:pos="851"/>
        </w:tabs>
        <w:ind w:left="851"/>
        <w:rPr>
          <w:sz w:val="24"/>
          <w:szCs w:val="24"/>
          <w:lang w:val="en-GB"/>
        </w:rPr>
      </w:pPr>
    </w:p>
    <w:p w14:paraId="0D61540A"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4.9</w:t>
      </w:r>
      <w:r w:rsidRPr="002800DB">
        <w:rPr>
          <w:b/>
          <w:sz w:val="24"/>
          <w:szCs w:val="24"/>
          <w:lang w:val="en-GB"/>
        </w:rPr>
        <w:tab/>
        <w:t>Overdose</w:t>
      </w:r>
    </w:p>
    <w:p w14:paraId="333874CF" w14:textId="77777777" w:rsidR="00BE17CF" w:rsidRPr="002800DB" w:rsidRDefault="00BE17CF" w:rsidP="007168AF">
      <w:pPr>
        <w:ind w:left="851"/>
        <w:rPr>
          <w:sz w:val="24"/>
          <w:szCs w:val="24"/>
          <w:lang w:val="en-GB"/>
        </w:rPr>
      </w:pPr>
      <w:r w:rsidRPr="002800DB">
        <w:rPr>
          <w:sz w:val="24"/>
          <w:szCs w:val="24"/>
          <w:lang w:val="en-GB"/>
        </w:rPr>
        <w:t>Cases of overdose with dimethyl fumarate have been reported. The symptoms described in these cases were consistent with the known safety profile of dimethyl fumarate.</w:t>
      </w:r>
    </w:p>
    <w:p w14:paraId="17E5F9AD" w14:textId="77777777" w:rsidR="00BE17CF" w:rsidRPr="002800DB" w:rsidRDefault="00BE17CF" w:rsidP="007168AF">
      <w:pPr>
        <w:ind w:left="851"/>
        <w:rPr>
          <w:sz w:val="24"/>
          <w:szCs w:val="24"/>
          <w:lang w:val="en-GB"/>
        </w:rPr>
      </w:pPr>
    </w:p>
    <w:p w14:paraId="6CA81878" w14:textId="77777777" w:rsidR="00BE17CF" w:rsidRPr="002800DB" w:rsidRDefault="00BE17CF" w:rsidP="007168AF">
      <w:pPr>
        <w:ind w:left="851"/>
        <w:rPr>
          <w:sz w:val="24"/>
          <w:szCs w:val="24"/>
          <w:lang w:val="en-GB"/>
        </w:rPr>
      </w:pPr>
      <w:r w:rsidRPr="002800DB">
        <w:rPr>
          <w:sz w:val="24"/>
          <w:szCs w:val="24"/>
          <w:lang w:val="en-GB"/>
        </w:rPr>
        <w:t>There are no known therapeutic interventions to enhance elimination of dimethyl fumarate nor is there a known antidote. In the event of overdose, it is recommended that symptomatic supportive treatment be initiated as clinically indicated.</w:t>
      </w:r>
    </w:p>
    <w:p w14:paraId="12548931" w14:textId="77777777" w:rsidR="007C5D2A" w:rsidRPr="002800DB" w:rsidRDefault="007C5D2A" w:rsidP="003E0341">
      <w:pPr>
        <w:tabs>
          <w:tab w:val="left" w:pos="851"/>
        </w:tabs>
        <w:ind w:left="851"/>
        <w:rPr>
          <w:sz w:val="24"/>
          <w:szCs w:val="24"/>
          <w:lang w:val="en-GB"/>
        </w:rPr>
      </w:pPr>
    </w:p>
    <w:p w14:paraId="501FE69B" w14:textId="77777777" w:rsidR="008F2F8C" w:rsidRPr="002800DB" w:rsidRDefault="0042292D" w:rsidP="0042292D">
      <w:pPr>
        <w:tabs>
          <w:tab w:val="left" w:pos="851"/>
        </w:tabs>
        <w:rPr>
          <w:b/>
          <w:sz w:val="24"/>
          <w:szCs w:val="24"/>
          <w:lang w:val="en-GB"/>
        </w:rPr>
      </w:pPr>
      <w:r w:rsidRPr="002800DB">
        <w:rPr>
          <w:b/>
          <w:sz w:val="24"/>
          <w:szCs w:val="24"/>
          <w:lang w:val="en-GB"/>
        </w:rPr>
        <w:t>4.10</w:t>
      </w:r>
      <w:r w:rsidRPr="002800DB">
        <w:rPr>
          <w:b/>
          <w:sz w:val="24"/>
          <w:szCs w:val="24"/>
          <w:lang w:val="en-GB"/>
        </w:rPr>
        <w:tab/>
        <w:t>Legal status</w:t>
      </w:r>
    </w:p>
    <w:p w14:paraId="72DE9EEC" w14:textId="3C95EDDA" w:rsidR="00AD2E36" w:rsidRPr="002800DB" w:rsidRDefault="00AC6C51" w:rsidP="00AD2E36">
      <w:pPr>
        <w:tabs>
          <w:tab w:val="left" w:pos="851"/>
        </w:tabs>
        <w:ind w:left="851"/>
        <w:rPr>
          <w:sz w:val="24"/>
          <w:szCs w:val="24"/>
          <w:lang w:val="en-GB"/>
        </w:rPr>
      </w:pPr>
      <w:r w:rsidRPr="002800DB">
        <w:rPr>
          <w:sz w:val="24"/>
          <w:szCs w:val="24"/>
          <w:lang w:val="en-US"/>
        </w:rPr>
        <w:t>BEGR (only for hospitals)</w:t>
      </w:r>
    </w:p>
    <w:p w14:paraId="6183C309" w14:textId="77777777" w:rsidR="007C5D2A" w:rsidRPr="002800DB" w:rsidRDefault="007C5D2A" w:rsidP="003E0341">
      <w:pPr>
        <w:tabs>
          <w:tab w:val="left" w:pos="851"/>
        </w:tabs>
        <w:ind w:left="851"/>
        <w:rPr>
          <w:sz w:val="24"/>
          <w:szCs w:val="24"/>
          <w:lang w:val="en-GB"/>
        </w:rPr>
      </w:pPr>
    </w:p>
    <w:p w14:paraId="16DE217D" w14:textId="77777777" w:rsidR="00AD2E36" w:rsidRPr="002800DB" w:rsidRDefault="00AD2E36" w:rsidP="003E0341">
      <w:pPr>
        <w:tabs>
          <w:tab w:val="left" w:pos="851"/>
        </w:tabs>
        <w:ind w:left="851"/>
        <w:rPr>
          <w:sz w:val="24"/>
          <w:szCs w:val="24"/>
          <w:lang w:val="en-GB"/>
        </w:rPr>
      </w:pPr>
    </w:p>
    <w:p w14:paraId="62B77D7E" w14:textId="77777777" w:rsidR="007C5D2A" w:rsidRPr="002800DB" w:rsidRDefault="007C5D2A" w:rsidP="007C5D2A">
      <w:pPr>
        <w:tabs>
          <w:tab w:val="left" w:pos="851"/>
        </w:tabs>
        <w:rPr>
          <w:b/>
          <w:sz w:val="24"/>
          <w:szCs w:val="24"/>
          <w:lang w:val="en-GB"/>
        </w:rPr>
      </w:pPr>
      <w:r w:rsidRPr="002800DB">
        <w:rPr>
          <w:b/>
          <w:sz w:val="24"/>
          <w:szCs w:val="24"/>
          <w:lang w:val="en-GB"/>
        </w:rPr>
        <w:t>5.</w:t>
      </w:r>
      <w:r w:rsidRPr="002800DB">
        <w:rPr>
          <w:b/>
          <w:sz w:val="24"/>
          <w:szCs w:val="24"/>
          <w:lang w:val="en-GB"/>
        </w:rPr>
        <w:tab/>
        <w:t>PHARMACOLOGICAL PROPERTIES</w:t>
      </w:r>
    </w:p>
    <w:p w14:paraId="345636BF" w14:textId="77777777" w:rsidR="007C5D2A" w:rsidRPr="002800DB" w:rsidRDefault="007C5D2A" w:rsidP="003E0341">
      <w:pPr>
        <w:tabs>
          <w:tab w:val="left" w:pos="851"/>
        </w:tabs>
        <w:ind w:left="851"/>
        <w:rPr>
          <w:sz w:val="24"/>
          <w:szCs w:val="24"/>
          <w:lang w:val="en-GB"/>
        </w:rPr>
      </w:pPr>
    </w:p>
    <w:p w14:paraId="6A7F0D68" w14:textId="77777777" w:rsidR="007C5D2A" w:rsidRPr="002800DB" w:rsidRDefault="007C5D2A" w:rsidP="007C5D2A">
      <w:pPr>
        <w:tabs>
          <w:tab w:val="left" w:pos="851"/>
        </w:tabs>
        <w:ind w:left="851" w:hanging="851"/>
        <w:rPr>
          <w:b/>
          <w:sz w:val="24"/>
          <w:szCs w:val="24"/>
          <w:lang w:val="en-GB"/>
        </w:rPr>
      </w:pPr>
      <w:r w:rsidRPr="002800DB">
        <w:rPr>
          <w:b/>
          <w:sz w:val="24"/>
          <w:szCs w:val="24"/>
          <w:lang w:val="en-GB"/>
        </w:rPr>
        <w:t>5.1</w:t>
      </w:r>
      <w:r w:rsidRPr="002800DB">
        <w:rPr>
          <w:b/>
          <w:sz w:val="24"/>
          <w:szCs w:val="24"/>
          <w:lang w:val="en-GB"/>
        </w:rPr>
        <w:tab/>
        <w:t>Pharmacodynamic properties</w:t>
      </w:r>
      <w:r w:rsidRPr="002800DB">
        <w:rPr>
          <w:b/>
          <w:sz w:val="24"/>
          <w:szCs w:val="24"/>
          <w:lang w:val="en-GB"/>
        </w:rPr>
        <w:tab/>
      </w:r>
    </w:p>
    <w:p w14:paraId="58DE62A3" w14:textId="77777777" w:rsidR="00BE17CF" w:rsidRPr="002800DB" w:rsidRDefault="00BE17CF" w:rsidP="00AC6C51">
      <w:pPr>
        <w:ind w:left="851"/>
        <w:rPr>
          <w:sz w:val="24"/>
          <w:szCs w:val="24"/>
          <w:lang w:val="en-GB"/>
        </w:rPr>
      </w:pPr>
      <w:r w:rsidRPr="002800DB">
        <w:rPr>
          <w:sz w:val="24"/>
          <w:szCs w:val="24"/>
          <w:lang w:val="en-GB"/>
        </w:rPr>
        <w:t>Pharmacotherapeutic group: Immunosuppressants, other immunosuppressants, ATC code: L04AX07</w:t>
      </w:r>
    </w:p>
    <w:p w14:paraId="667AE399" w14:textId="77777777" w:rsidR="00BE17CF" w:rsidRPr="002800DB" w:rsidRDefault="00BE17CF" w:rsidP="00AC6C51">
      <w:pPr>
        <w:ind w:left="851"/>
        <w:rPr>
          <w:sz w:val="24"/>
          <w:szCs w:val="24"/>
          <w:lang w:val="en-GB"/>
        </w:rPr>
      </w:pPr>
    </w:p>
    <w:p w14:paraId="137A635D" w14:textId="77777777" w:rsidR="00BE17CF" w:rsidRPr="002800DB" w:rsidRDefault="00BE17CF" w:rsidP="00AC6C51">
      <w:pPr>
        <w:ind w:left="851"/>
        <w:rPr>
          <w:sz w:val="24"/>
          <w:szCs w:val="24"/>
          <w:u w:val="single"/>
          <w:lang w:val="en-GB"/>
        </w:rPr>
      </w:pPr>
      <w:r w:rsidRPr="002800DB">
        <w:rPr>
          <w:sz w:val="24"/>
          <w:szCs w:val="24"/>
          <w:u w:val="single"/>
          <w:lang w:val="en-GB"/>
        </w:rPr>
        <w:t>Mechanism of action</w:t>
      </w:r>
    </w:p>
    <w:p w14:paraId="5942A726" w14:textId="77777777" w:rsidR="00BE17CF" w:rsidRPr="002800DB" w:rsidRDefault="00BE17CF" w:rsidP="00AC6C51">
      <w:pPr>
        <w:ind w:left="851"/>
        <w:rPr>
          <w:sz w:val="24"/>
          <w:szCs w:val="24"/>
          <w:lang w:val="en-GB"/>
        </w:rPr>
      </w:pPr>
      <w:r w:rsidRPr="002800DB">
        <w:rPr>
          <w:sz w:val="24"/>
          <w:szCs w:val="24"/>
          <w:lang w:val="en-GB"/>
        </w:rPr>
        <w:t>The mechanism by which dimethyl fumarate exerts therapeutic effects in multiple sclerosis is not fully understood. Preclinical studies indicate that dimethyl fumarate pharmacodynamic responses appear to be primarily mediated through activation of the Nuclear factor (erythroid-derived 2)-like 2 (Nrf2) transcriptional pathway. Dimethyl fumarate has been shown to up regulate Nrf2-dependent antioxidant genes in patients (e.g. NAD(P)H dehydrogenase, quinone 1; [NQO1]).</w:t>
      </w:r>
    </w:p>
    <w:p w14:paraId="6D1337C4" w14:textId="77777777" w:rsidR="00BE17CF" w:rsidRPr="002800DB" w:rsidRDefault="00BE17CF" w:rsidP="00AC6C51">
      <w:pPr>
        <w:ind w:left="851"/>
        <w:rPr>
          <w:sz w:val="24"/>
          <w:szCs w:val="24"/>
          <w:lang w:val="en-GB"/>
        </w:rPr>
      </w:pPr>
    </w:p>
    <w:p w14:paraId="154F47AD" w14:textId="77777777" w:rsidR="00BE17CF" w:rsidRPr="002800DB" w:rsidRDefault="00BE17CF" w:rsidP="00AC6C51">
      <w:pPr>
        <w:ind w:left="851"/>
        <w:rPr>
          <w:sz w:val="24"/>
          <w:szCs w:val="24"/>
          <w:u w:val="single"/>
          <w:lang w:val="en-GB"/>
        </w:rPr>
      </w:pPr>
      <w:r w:rsidRPr="002800DB">
        <w:rPr>
          <w:sz w:val="24"/>
          <w:szCs w:val="24"/>
          <w:u w:val="single"/>
          <w:lang w:val="en-GB"/>
        </w:rPr>
        <w:t>Pharmacodynamic effects</w:t>
      </w:r>
    </w:p>
    <w:p w14:paraId="1D7D79DD" w14:textId="77777777" w:rsidR="00BE17CF" w:rsidRPr="002800DB" w:rsidRDefault="00BE17CF" w:rsidP="00AC6C51">
      <w:pPr>
        <w:ind w:left="851"/>
        <w:rPr>
          <w:i/>
          <w:sz w:val="24"/>
          <w:szCs w:val="24"/>
          <w:lang w:val="en-GB"/>
        </w:rPr>
      </w:pPr>
      <w:r w:rsidRPr="002800DB">
        <w:rPr>
          <w:i/>
          <w:sz w:val="24"/>
          <w:szCs w:val="24"/>
          <w:lang w:val="en-GB"/>
        </w:rPr>
        <w:t>Effects on the immune system</w:t>
      </w:r>
    </w:p>
    <w:p w14:paraId="71B8C7BB" w14:textId="77777777" w:rsidR="00BE17CF" w:rsidRPr="002800DB" w:rsidRDefault="00BE17CF" w:rsidP="00AC6C51">
      <w:pPr>
        <w:ind w:left="851"/>
        <w:rPr>
          <w:sz w:val="24"/>
          <w:szCs w:val="24"/>
          <w:lang w:val="en-GB"/>
        </w:rPr>
      </w:pPr>
      <w:r w:rsidRPr="002800DB">
        <w:rPr>
          <w:sz w:val="24"/>
          <w:szCs w:val="24"/>
          <w:lang w:val="en-GB"/>
        </w:rPr>
        <w:t>In preclinical and clinical studies, dimethyl fumarate demonstrated anti-inflammatory and immunomodulatory properties. Dimethyl fumarate and monomethyl fumarate, the primary metabolite of dimethyl fumarate, significantly reduced immune cell activation and subsequent release of pro-inflammatory cytokines in response to inflammatory stimuli in preclinical models.</w:t>
      </w:r>
    </w:p>
    <w:p w14:paraId="58D356D4" w14:textId="77777777" w:rsidR="00BE17CF" w:rsidRPr="002800DB" w:rsidRDefault="00BE17CF" w:rsidP="00AC6C51">
      <w:pPr>
        <w:ind w:left="851"/>
        <w:rPr>
          <w:sz w:val="24"/>
          <w:szCs w:val="24"/>
          <w:lang w:val="en-GB"/>
        </w:rPr>
      </w:pPr>
    </w:p>
    <w:p w14:paraId="3EB6F3A2" w14:textId="77777777" w:rsidR="00BE17CF" w:rsidRPr="002800DB" w:rsidRDefault="00BE17CF" w:rsidP="00AC6C51">
      <w:pPr>
        <w:ind w:left="851"/>
        <w:rPr>
          <w:sz w:val="24"/>
          <w:szCs w:val="24"/>
          <w:lang w:val="en-GB"/>
        </w:rPr>
      </w:pPr>
      <w:r w:rsidRPr="002800DB">
        <w:rPr>
          <w:sz w:val="24"/>
          <w:szCs w:val="24"/>
          <w:lang w:val="en-GB"/>
        </w:rPr>
        <w:t>In clinical studies with psoriasis patients, dimethyl fumarate affected lymphocyte phenotypes through a down-regulation of pro-inflammatory cytokine profiles (T</w:t>
      </w:r>
      <w:r w:rsidRPr="002800DB">
        <w:rPr>
          <w:sz w:val="24"/>
          <w:szCs w:val="24"/>
          <w:vertAlign w:val="subscript"/>
          <w:lang w:val="en-GB"/>
        </w:rPr>
        <w:t>H</w:t>
      </w:r>
      <w:r w:rsidRPr="002800DB">
        <w:rPr>
          <w:sz w:val="24"/>
          <w:szCs w:val="24"/>
          <w:lang w:val="en-GB"/>
        </w:rPr>
        <w:t>1, T</w:t>
      </w:r>
      <w:r w:rsidRPr="002800DB">
        <w:rPr>
          <w:sz w:val="24"/>
          <w:szCs w:val="24"/>
          <w:vertAlign w:val="subscript"/>
          <w:lang w:val="en-GB"/>
        </w:rPr>
        <w:t>H</w:t>
      </w:r>
      <w:r w:rsidRPr="002800DB">
        <w:rPr>
          <w:sz w:val="24"/>
          <w:szCs w:val="24"/>
          <w:lang w:val="en-GB"/>
        </w:rPr>
        <w:t>17), and biased towards anti-inflammatory production (T</w:t>
      </w:r>
      <w:r w:rsidRPr="002800DB">
        <w:rPr>
          <w:sz w:val="24"/>
          <w:szCs w:val="24"/>
          <w:vertAlign w:val="subscript"/>
          <w:lang w:val="en-GB"/>
        </w:rPr>
        <w:t>H</w:t>
      </w:r>
      <w:r w:rsidRPr="002800DB">
        <w:rPr>
          <w:sz w:val="24"/>
          <w:szCs w:val="24"/>
          <w:lang w:val="en-GB"/>
        </w:rPr>
        <w:t>2). Dimethyl fumarate demonstrated therapeutic activity in multiple models of inflammatory and neuroinflammatory injury.</w:t>
      </w:r>
    </w:p>
    <w:p w14:paraId="0BAD67EB" w14:textId="77777777" w:rsidR="00BE17CF" w:rsidRPr="002800DB" w:rsidRDefault="00BE17CF" w:rsidP="00AC6C51">
      <w:pPr>
        <w:ind w:left="851"/>
        <w:rPr>
          <w:sz w:val="24"/>
          <w:szCs w:val="24"/>
          <w:lang w:val="en-GB"/>
        </w:rPr>
      </w:pPr>
      <w:r w:rsidRPr="002800DB">
        <w:rPr>
          <w:sz w:val="24"/>
          <w:szCs w:val="24"/>
          <w:lang w:val="en-GB"/>
        </w:rPr>
        <w:t>In phase 3 studies in MS patients (DEFINE, CONFIRM and ENDORSE), upon treatment with dimethyl fumarate mean lymphocyte counts decreased on average by approximately 30% of their baseline value over the first year with a subsequent plateau. In these studies, patients who discontinued treatment with lymphocyte counts below the lower limit of normal (LLN, 0.9 x 10</w:t>
      </w:r>
      <w:r w:rsidRPr="002800DB">
        <w:rPr>
          <w:sz w:val="24"/>
          <w:szCs w:val="24"/>
          <w:vertAlign w:val="superscript"/>
          <w:lang w:val="en-GB"/>
        </w:rPr>
        <w:t>9</w:t>
      </w:r>
      <w:r w:rsidRPr="002800DB">
        <w:rPr>
          <w:sz w:val="24"/>
          <w:szCs w:val="24"/>
          <w:lang w:val="en-GB"/>
        </w:rPr>
        <w:t>/L) were monitored for recovery of lymphocyte counts to the LLN.</w:t>
      </w:r>
    </w:p>
    <w:p w14:paraId="16786296" w14:textId="77777777" w:rsidR="00BE17CF" w:rsidRPr="002800DB" w:rsidRDefault="00BE17CF" w:rsidP="00AC6C51">
      <w:pPr>
        <w:ind w:left="851"/>
        <w:rPr>
          <w:sz w:val="24"/>
          <w:szCs w:val="24"/>
          <w:lang w:val="en-GB"/>
        </w:rPr>
      </w:pPr>
    </w:p>
    <w:p w14:paraId="236AE185" w14:textId="77777777" w:rsidR="00BE17CF" w:rsidRPr="002800DB" w:rsidRDefault="00BE17CF" w:rsidP="00AC6C51">
      <w:pPr>
        <w:ind w:left="851"/>
        <w:rPr>
          <w:sz w:val="24"/>
          <w:szCs w:val="24"/>
          <w:lang w:val="en-GB"/>
        </w:rPr>
      </w:pPr>
      <w:r w:rsidRPr="002800DB">
        <w:rPr>
          <w:sz w:val="24"/>
          <w:szCs w:val="24"/>
          <w:lang w:val="en-GB"/>
        </w:rPr>
        <w:t>Figure 1 shows the proportion of patients estimated to reach the LLN based on the Kaplan-Meier method without prolonged severe lymphopenia. The recovery baseline (RBL) was defined as the last on-treatment ALC prior to treatment discontinuation. The estimated proportion of patients recovering to LLN (ALC ≥0.9 x 10</w:t>
      </w:r>
      <w:r w:rsidRPr="002800DB">
        <w:rPr>
          <w:sz w:val="24"/>
          <w:szCs w:val="24"/>
          <w:vertAlign w:val="superscript"/>
          <w:lang w:val="en-GB"/>
        </w:rPr>
        <w:t>9</w:t>
      </w:r>
      <w:r w:rsidRPr="002800DB">
        <w:rPr>
          <w:sz w:val="24"/>
          <w:szCs w:val="24"/>
          <w:lang w:val="en-GB"/>
        </w:rPr>
        <w:t xml:space="preserve">/L) at Week 12 and Week 24, who had mild, moderate, or severe lymphopenia at RBL are presented in Table 1, Table 2, </w:t>
      </w:r>
      <w:r w:rsidRPr="002800DB">
        <w:rPr>
          <w:sz w:val="24"/>
          <w:szCs w:val="24"/>
          <w:lang w:val="en-GB"/>
        </w:rPr>
        <w:lastRenderedPageBreak/>
        <w:t>and Table 3 with 95% pointwise confidence intervals. The standard error of the Kaplan-Meier estimator of the survival function is computed using Greenwood’s formula.</w:t>
      </w:r>
    </w:p>
    <w:p w14:paraId="565A7AAA" w14:textId="77777777" w:rsidR="00BE17CF" w:rsidRPr="002800DB" w:rsidRDefault="00BE17CF" w:rsidP="00BE17CF">
      <w:pPr>
        <w:rPr>
          <w:sz w:val="24"/>
          <w:szCs w:val="24"/>
          <w:lang w:val="en-GB"/>
        </w:rPr>
      </w:pPr>
    </w:p>
    <w:p w14:paraId="6820B34E" w14:textId="77777777" w:rsidR="00BE17CF" w:rsidRPr="002800DB" w:rsidRDefault="00BE17CF" w:rsidP="00BE17CF">
      <w:pPr>
        <w:keepNext/>
        <w:ind w:left="1134" w:hanging="1134"/>
        <w:rPr>
          <w:b/>
          <w:sz w:val="24"/>
          <w:szCs w:val="24"/>
          <w:lang w:val="en-GB"/>
        </w:rPr>
      </w:pPr>
      <w:r w:rsidRPr="002800DB">
        <w:rPr>
          <w:b/>
          <w:sz w:val="24"/>
          <w:szCs w:val="24"/>
          <w:lang w:val="en-GB"/>
        </w:rPr>
        <w:t>Figure 1:</w:t>
      </w:r>
      <w:r w:rsidRPr="002800DB">
        <w:rPr>
          <w:b/>
          <w:sz w:val="24"/>
          <w:szCs w:val="24"/>
          <w:lang w:val="en-GB"/>
        </w:rPr>
        <w:tab/>
        <w:t>Kaplan-Meier method; proportion of patients with recovery to ≥ 910 cells/mm</w:t>
      </w:r>
      <w:r w:rsidRPr="002800DB">
        <w:rPr>
          <w:b/>
          <w:sz w:val="24"/>
          <w:szCs w:val="24"/>
          <w:vertAlign w:val="superscript"/>
          <w:lang w:val="en-GB"/>
        </w:rPr>
        <w:t>3</w:t>
      </w:r>
      <w:r w:rsidRPr="002800DB">
        <w:rPr>
          <w:b/>
          <w:sz w:val="24"/>
          <w:szCs w:val="24"/>
          <w:lang w:val="en-GB"/>
        </w:rPr>
        <w:t xml:space="preserve"> (</w:t>
      </w:r>
      <w:r w:rsidRPr="002800DB">
        <w:rPr>
          <w:sz w:val="24"/>
          <w:szCs w:val="24"/>
          <w:lang w:val="en-GB"/>
        </w:rPr>
        <w:t>0.9 x 10</w:t>
      </w:r>
      <w:r w:rsidRPr="002800DB">
        <w:rPr>
          <w:sz w:val="24"/>
          <w:szCs w:val="24"/>
          <w:vertAlign w:val="superscript"/>
          <w:lang w:val="en-GB"/>
        </w:rPr>
        <w:t>9</w:t>
      </w:r>
      <w:r w:rsidRPr="002800DB">
        <w:rPr>
          <w:sz w:val="24"/>
          <w:szCs w:val="24"/>
          <w:lang w:val="en-GB"/>
        </w:rPr>
        <w:t>/L)</w:t>
      </w:r>
      <w:r w:rsidRPr="002800DB">
        <w:rPr>
          <w:b/>
          <w:sz w:val="24"/>
          <w:szCs w:val="24"/>
          <w:lang w:val="en-GB"/>
        </w:rPr>
        <w:t xml:space="preserve"> LLN from the recovery baseline (RBL)</w:t>
      </w:r>
    </w:p>
    <w:p w14:paraId="498BB896" w14:textId="699E7551" w:rsidR="00BE17CF" w:rsidRPr="002800DB" w:rsidRDefault="00BE17CF" w:rsidP="00BE17CF">
      <w:pPr>
        <w:ind w:left="1134" w:hanging="1134"/>
        <w:rPr>
          <w:sz w:val="24"/>
          <w:szCs w:val="24"/>
          <w:lang w:val="en-GB"/>
        </w:rPr>
      </w:pPr>
      <w:r w:rsidRPr="002800DB">
        <w:rPr>
          <w:noProof/>
          <w:sz w:val="24"/>
          <w:szCs w:val="24"/>
        </w:rPr>
        <w:drawing>
          <wp:inline distT="0" distB="0" distL="0" distR="0" wp14:anchorId="6D2FABCA" wp14:editId="0E7CED0B">
            <wp:extent cx="5760720" cy="2552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52700"/>
                    </a:xfrm>
                    <a:prstGeom prst="rect">
                      <a:avLst/>
                    </a:prstGeom>
                    <a:noFill/>
                    <a:ln>
                      <a:noFill/>
                    </a:ln>
                  </pic:spPr>
                </pic:pic>
              </a:graphicData>
            </a:graphic>
          </wp:inline>
        </w:drawing>
      </w:r>
    </w:p>
    <w:p w14:paraId="103538FF" w14:textId="77777777" w:rsidR="00BE17CF" w:rsidRPr="002800DB" w:rsidRDefault="00BE17CF" w:rsidP="00BE17CF">
      <w:pPr>
        <w:ind w:left="1134" w:hanging="1134"/>
        <w:rPr>
          <w:sz w:val="24"/>
          <w:szCs w:val="24"/>
          <w:lang w:val="en-GB"/>
        </w:rPr>
      </w:pPr>
      <w:r w:rsidRPr="002800DB">
        <w:rPr>
          <w:sz w:val="24"/>
          <w:szCs w:val="24"/>
          <w:lang w:val="en-GB"/>
        </w:rPr>
        <w:t>Note: 500 cells/mm</w:t>
      </w:r>
      <w:r w:rsidRPr="002800DB">
        <w:rPr>
          <w:sz w:val="24"/>
          <w:szCs w:val="24"/>
          <w:vertAlign w:val="superscript"/>
          <w:lang w:val="en-GB"/>
        </w:rPr>
        <w:t>3</w:t>
      </w:r>
      <w:r w:rsidRPr="002800DB">
        <w:rPr>
          <w:sz w:val="24"/>
          <w:szCs w:val="24"/>
          <w:lang w:val="en-GB"/>
        </w:rPr>
        <w:t>, 800 cells/mm</w:t>
      </w:r>
      <w:r w:rsidRPr="002800DB">
        <w:rPr>
          <w:sz w:val="24"/>
          <w:szCs w:val="24"/>
          <w:vertAlign w:val="superscript"/>
          <w:lang w:val="en-GB"/>
        </w:rPr>
        <w:t>3</w:t>
      </w:r>
      <w:r w:rsidRPr="002800DB">
        <w:rPr>
          <w:sz w:val="24"/>
          <w:szCs w:val="24"/>
          <w:lang w:val="en-GB"/>
        </w:rPr>
        <w:t>, 910 cells/mm</w:t>
      </w:r>
      <w:r w:rsidRPr="002800DB">
        <w:rPr>
          <w:sz w:val="24"/>
          <w:szCs w:val="24"/>
          <w:vertAlign w:val="subscript"/>
          <w:lang w:val="en-GB"/>
        </w:rPr>
        <w:t>3</w:t>
      </w:r>
      <w:r w:rsidRPr="002800DB">
        <w:rPr>
          <w:sz w:val="24"/>
          <w:szCs w:val="24"/>
          <w:lang w:val="en-GB"/>
        </w:rPr>
        <w:t xml:space="preserve"> correspond to 0.5 x 10</w:t>
      </w:r>
      <w:r w:rsidRPr="002800DB">
        <w:rPr>
          <w:sz w:val="24"/>
          <w:szCs w:val="24"/>
          <w:vertAlign w:val="superscript"/>
          <w:lang w:val="en-GB"/>
        </w:rPr>
        <w:t>9</w:t>
      </w:r>
      <w:r w:rsidRPr="002800DB">
        <w:rPr>
          <w:sz w:val="24"/>
          <w:szCs w:val="24"/>
          <w:lang w:val="en-GB"/>
        </w:rPr>
        <w:t>/L, 0.8 x 10</w:t>
      </w:r>
      <w:r w:rsidRPr="002800DB">
        <w:rPr>
          <w:sz w:val="24"/>
          <w:szCs w:val="24"/>
          <w:vertAlign w:val="superscript"/>
          <w:lang w:val="en-GB"/>
        </w:rPr>
        <w:t>9</w:t>
      </w:r>
      <w:r w:rsidRPr="002800DB">
        <w:rPr>
          <w:sz w:val="24"/>
          <w:szCs w:val="24"/>
          <w:lang w:val="en-GB"/>
        </w:rPr>
        <w:t>/L and</w:t>
      </w:r>
    </w:p>
    <w:p w14:paraId="64D854B1" w14:textId="77777777" w:rsidR="00BE17CF" w:rsidRPr="002800DB" w:rsidRDefault="00BE17CF" w:rsidP="00BE17CF">
      <w:pPr>
        <w:ind w:left="1134" w:hanging="1134"/>
        <w:rPr>
          <w:sz w:val="24"/>
          <w:szCs w:val="24"/>
          <w:lang w:val="en-GB"/>
        </w:rPr>
      </w:pPr>
      <w:r w:rsidRPr="002800DB">
        <w:rPr>
          <w:sz w:val="24"/>
          <w:szCs w:val="24"/>
          <w:lang w:val="en-GB"/>
        </w:rPr>
        <w:t>0.9 x 10</w:t>
      </w:r>
      <w:r w:rsidRPr="002800DB">
        <w:rPr>
          <w:sz w:val="24"/>
          <w:szCs w:val="24"/>
          <w:vertAlign w:val="superscript"/>
          <w:lang w:val="en-GB"/>
        </w:rPr>
        <w:t>9</w:t>
      </w:r>
      <w:r w:rsidRPr="002800DB">
        <w:rPr>
          <w:sz w:val="24"/>
          <w:szCs w:val="24"/>
          <w:lang w:val="en-GB"/>
        </w:rPr>
        <w:t>/L respectively.</w:t>
      </w:r>
    </w:p>
    <w:p w14:paraId="5A360422" w14:textId="77777777" w:rsidR="00BE17CF" w:rsidRPr="002800DB" w:rsidRDefault="00BE17CF" w:rsidP="00BE17CF">
      <w:pPr>
        <w:ind w:left="1134" w:hanging="1134"/>
        <w:rPr>
          <w:sz w:val="24"/>
          <w:szCs w:val="24"/>
          <w:lang w:val="en-GB"/>
        </w:rPr>
      </w:pPr>
    </w:p>
    <w:p w14:paraId="65497387" w14:textId="77777777" w:rsidR="00BE17CF" w:rsidRPr="002800DB" w:rsidRDefault="00BE17CF" w:rsidP="00BE17CF">
      <w:pPr>
        <w:keepNext/>
        <w:ind w:left="1134" w:hanging="1134"/>
        <w:rPr>
          <w:b/>
          <w:sz w:val="24"/>
          <w:szCs w:val="24"/>
          <w:lang w:val="en-GB"/>
        </w:rPr>
      </w:pPr>
      <w:r w:rsidRPr="002800DB">
        <w:rPr>
          <w:b/>
          <w:sz w:val="24"/>
          <w:szCs w:val="24"/>
          <w:lang w:val="en-GB"/>
        </w:rPr>
        <w:t>Table 1:</w:t>
      </w:r>
      <w:r w:rsidRPr="002800DB">
        <w:rPr>
          <w:b/>
          <w:sz w:val="24"/>
          <w:szCs w:val="24"/>
          <w:lang w:val="en-GB"/>
        </w:rPr>
        <w:tab/>
        <w:t>Kaplan-Meier method; proportion of patients estimated to reach LLN, mild lymphopenia at the recovery baseline (RBL), excluding patients with prolonged severe lymphopenia</w:t>
      </w:r>
    </w:p>
    <w:tbl>
      <w:tblPr>
        <w:tblStyle w:val="Tabel-Gitter"/>
        <w:tblW w:w="5000" w:type="pct"/>
        <w:tblInd w:w="0" w:type="dxa"/>
        <w:tblLook w:val="04A0" w:firstRow="1" w:lastRow="0" w:firstColumn="1" w:lastColumn="0" w:noHBand="0" w:noVBand="1"/>
      </w:tblPr>
      <w:tblGrid>
        <w:gridCol w:w="2407"/>
        <w:gridCol w:w="2407"/>
        <w:gridCol w:w="2407"/>
        <w:gridCol w:w="2407"/>
      </w:tblGrid>
      <w:tr w:rsidR="00BE17CF" w:rsidRPr="006174AA" w14:paraId="74E29215" w14:textId="77777777" w:rsidTr="00BE17CF">
        <w:trPr>
          <w:tblHeader/>
        </w:trPr>
        <w:tc>
          <w:tcPr>
            <w:tcW w:w="1250" w:type="pct"/>
            <w:tcBorders>
              <w:top w:val="single" w:sz="4" w:space="0" w:color="auto"/>
              <w:left w:val="single" w:sz="4" w:space="0" w:color="auto"/>
              <w:bottom w:val="single" w:sz="4" w:space="0" w:color="auto"/>
              <w:right w:val="single" w:sz="4" w:space="0" w:color="auto"/>
            </w:tcBorders>
            <w:hideMark/>
          </w:tcPr>
          <w:p w14:paraId="4DE1E074" w14:textId="77777777" w:rsidR="00BE17CF" w:rsidRPr="006174AA" w:rsidRDefault="00BE17CF">
            <w:pPr>
              <w:rPr>
                <w:rFonts w:cs="Times New Roman"/>
                <w:b/>
                <w:sz w:val="22"/>
                <w:lang w:val="en-GB"/>
              </w:rPr>
            </w:pPr>
            <w:r w:rsidRPr="006174AA">
              <w:rPr>
                <w:rFonts w:cs="Times New Roman"/>
                <w:b/>
                <w:sz w:val="22"/>
                <w:lang w:val="en-GB"/>
              </w:rPr>
              <w:t xml:space="preserve">Number of patients with mild </w:t>
            </w:r>
            <w:proofErr w:type="spellStart"/>
            <w:r w:rsidRPr="006174AA">
              <w:rPr>
                <w:rFonts w:cs="Times New Roman"/>
                <w:b/>
                <w:sz w:val="22"/>
                <w:lang w:val="en-GB"/>
              </w:rPr>
              <w:t>lymphopenia</w:t>
            </w:r>
            <w:r w:rsidRPr="006174AA">
              <w:rPr>
                <w:rFonts w:cs="Times New Roman"/>
                <w:b/>
                <w:sz w:val="22"/>
                <w:vertAlign w:val="superscript"/>
                <w:lang w:val="en-GB"/>
              </w:rPr>
              <w:t>a</w:t>
            </w:r>
            <w:proofErr w:type="spellEnd"/>
            <w:r w:rsidRPr="006174AA">
              <w:rPr>
                <w:rFonts w:cs="Times New Roman"/>
                <w:b/>
                <w:sz w:val="22"/>
                <w:lang w:val="en-GB"/>
              </w:rPr>
              <w:t xml:space="preserve"> at risk</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D6C96E2" w14:textId="77777777" w:rsidR="00BE17CF" w:rsidRPr="006174AA" w:rsidRDefault="00BE17CF">
            <w:pPr>
              <w:jc w:val="center"/>
              <w:rPr>
                <w:rFonts w:cs="Times New Roman"/>
                <w:b/>
                <w:sz w:val="22"/>
                <w:lang w:val="en-GB"/>
              </w:rPr>
            </w:pPr>
            <w:r w:rsidRPr="006174AA">
              <w:rPr>
                <w:rFonts w:cs="Times New Roman"/>
                <w:b/>
                <w:sz w:val="22"/>
                <w:lang w:val="en-GB"/>
              </w:rPr>
              <w:t>Baseline</w:t>
            </w:r>
          </w:p>
          <w:p w14:paraId="79E546A5" w14:textId="77777777" w:rsidR="00BE17CF" w:rsidRPr="006174AA" w:rsidRDefault="00BE17CF">
            <w:pPr>
              <w:jc w:val="center"/>
              <w:rPr>
                <w:rFonts w:cs="Times New Roman"/>
                <w:b/>
                <w:sz w:val="22"/>
                <w:lang w:val="en-GB"/>
              </w:rPr>
            </w:pPr>
            <w:r w:rsidRPr="006174AA">
              <w:rPr>
                <w:rFonts w:cs="Times New Roman"/>
                <w:b/>
                <w:sz w:val="22"/>
                <w:lang w:val="en-GB"/>
              </w:rPr>
              <w:t>N=86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BD43388" w14:textId="77777777" w:rsidR="00BE17CF" w:rsidRPr="006174AA" w:rsidRDefault="00BE17CF">
            <w:pPr>
              <w:jc w:val="center"/>
              <w:rPr>
                <w:rFonts w:cs="Times New Roman"/>
                <w:b/>
                <w:sz w:val="22"/>
                <w:lang w:val="en-GB"/>
              </w:rPr>
            </w:pPr>
            <w:r w:rsidRPr="006174AA">
              <w:rPr>
                <w:rFonts w:cs="Times New Roman"/>
                <w:b/>
                <w:sz w:val="22"/>
                <w:lang w:val="en-GB"/>
              </w:rPr>
              <w:t>Week 12</w:t>
            </w:r>
          </w:p>
          <w:p w14:paraId="46C9D188" w14:textId="77777777" w:rsidR="00BE17CF" w:rsidRPr="006174AA" w:rsidRDefault="00BE17CF">
            <w:pPr>
              <w:jc w:val="center"/>
              <w:rPr>
                <w:rFonts w:cs="Times New Roman"/>
                <w:b/>
                <w:sz w:val="22"/>
                <w:lang w:val="en-GB"/>
              </w:rPr>
            </w:pPr>
            <w:r w:rsidRPr="006174AA">
              <w:rPr>
                <w:rFonts w:cs="Times New Roman"/>
                <w:b/>
                <w:sz w:val="22"/>
                <w:lang w:val="en-GB"/>
              </w:rPr>
              <w:t>N=12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7782240" w14:textId="77777777" w:rsidR="00BE17CF" w:rsidRPr="006174AA" w:rsidRDefault="00BE17CF">
            <w:pPr>
              <w:jc w:val="center"/>
              <w:rPr>
                <w:rFonts w:cs="Times New Roman"/>
                <w:b/>
                <w:sz w:val="22"/>
                <w:lang w:val="en-GB"/>
              </w:rPr>
            </w:pPr>
            <w:r w:rsidRPr="006174AA">
              <w:rPr>
                <w:rFonts w:cs="Times New Roman"/>
                <w:b/>
                <w:sz w:val="22"/>
                <w:lang w:val="en-GB"/>
              </w:rPr>
              <w:t>Week 24</w:t>
            </w:r>
          </w:p>
          <w:p w14:paraId="66C6D4E7" w14:textId="77777777" w:rsidR="00BE17CF" w:rsidRPr="006174AA" w:rsidRDefault="00BE17CF">
            <w:pPr>
              <w:jc w:val="center"/>
              <w:rPr>
                <w:rFonts w:cs="Times New Roman"/>
                <w:b/>
                <w:sz w:val="22"/>
                <w:lang w:val="en-GB"/>
              </w:rPr>
            </w:pPr>
            <w:r w:rsidRPr="006174AA">
              <w:rPr>
                <w:rFonts w:cs="Times New Roman"/>
                <w:b/>
                <w:sz w:val="22"/>
                <w:lang w:val="en-GB"/>
              </w:rPr>
              <w:t>N=4</w:t>
            </w:r>
          </w:p>
        </w:tc>
      </w:tr>
      <w:tr w:rsidR="00BE17CF" w:rsidRPr="006174AA" w14:paraId="163DC72B" w14:textId="77777777" w:rsidTr="00BE17CF">
        <w:tc>
          <w:tcPr>
            <w:tcW w:w="1250" w:type="pct"/>
            <w:tcBorders>
              <w:top w:val="single" w:sz="4" w:space="0" w:color="auto"/>
              <w:left w:val="single" w:sz="4" w:space="0" w:color="auto"/>
              <w:bottom w:val="single" w:sz="4" w:space="0" w:color="auto"/>
              <w:right w:val="single" w:sz="4" w:space="0" w:color="auto"/>
            </w:tcBorders>
            <w:hideMark/>
          </w:tcPr>
          <w:p w14:paraId="330B2C9C" w14:textId="77777777" w:rsidR="00BE17CF" w:rsidRPr="006174AA" w:rsidRDefault="00BE17CF">
            <w:pPr>
              <w:rPr>
                <w:rFonts w:cs="Times New Roman"/>
                <w:sz w:val="22"/>
                <w:lang w:val="en-GB"/>
              </w:rPr>
            </w:pPr>
            <w:r w:rsidRPr="006174AA">
              <w:rPr>
                <w:rFonts w:cs="Times New Roman"/>
                <w:sz w:val="22"/>
                <w:lang w:val="en-GB"/>
              </w:rPr>
              <w:t>Proportion reaching LLN (95% CI)</w:t>
            </w:r>
          </w:p>
        </w:tc>
        <w:tc>
          <w:tcPr>
            <w:tcW w:w="1250" w:type="pct"/>
            <w:tcBorders>
              <w:top w:val="single" w:sz="4" w:space="0" w:color="auto"/>
              <w:left w:val="single" w:sz="4" w:space="0" w:color="auto"/>
              <w:bottom w:val="single" w:sz="4" w:space="0" w:color="auto"/>
              <w:right w:val="single" w:sz="4" w:space="0" w:color="auto"/>
            </w:tcBorders>
            <w:vAlign w:val="center"/>
          </w:tcPr>
          <w:p w14:paraId="4EBB359C" w14:textId="77777777" w:rsidR="00BE17CF" w:rsidRPr="006174AA" w:rsidRDefault="00BE17CF">
            <w:pPr>
              <w:jc w:val="center"/>
              <w:rPr>
                <w:rFonts w:cs="Times New Roman"/>
                <w:sz w:val="22"/>
                <w:lang w:val="en-GB"/>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F0492CF" w14:textId="77777777" w:rsidR="00BE17CF" w:rsidRPr="006174AA" w:rsidRDefault="00BE17CF">
            <w:pPr>
              <w:jc w:val="center"/>
              <w:rPr>
                <w:rFonts w:cs="Times New Roman"/>
                <w:sz w:val="22"/>
                <w:lang w:val="en-GB"/>
              </w:rPr>
            </w:pPr>
            <w:r w:rsidRPr="006174AA">
              <w:rPr>
                <w:rFonts w:cs="Times New Roman"/>
                <w:sz w:val="22"/>
                <w:lang w:val="en-GB"/>
              </w:rPr>
              <w:t>0.81</w:t>
            </w:r>
          </w:p>
          <w:p w14:paraId="6D811A0A" w14:textId="77777777" w:rsidR="00BE17CF" w:rsidRPr="006174AA" w:rsidRDefault="00BE17CF">
            <w:pPr>
              <w:jc w:val="center"/>
              <w:rPr>
                <w:rFonts w:cs="Times New Roman"/>
                <w:sz w:val="22"/>
                <w:lang w:val="en-GB"/>
              </w:rPr>
            </w:pPr>
            <w:r w:rsidRPr="006174AA">
              <w:rPr>
                <w:rFonts w:cs="Times New Roman"/>
                <w:sz w:val="22"/>
                <w:lang w:val="en-GB"/>
              </w:rPr>
              <w:t>(0.71, 0.89)</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CD0E1CE" w14:textId="77777777" w:rsidR="00BE17CF" w:rsidRPr="006174AA" w:rsidRDefault="00BE17CF">
            <w:pPr>
              <w:jc w:val="center"/>
              <w:rPr>
                <w:rFonts w:cs="Times New Roman"/>
                <w:sz w:val="22"/>
                <w:lang w:val="en-GB"/>
              </w:rPr>
            </w:pPr>
            <w:r w:rsidRPr="006174AA">
              <w:rPr>
                <w:rFonts w:cs="Times New Roman"/>
                <w:sz w:val="22"/>
                <w:lang w:val="en-GB"/>
              </w:rPr>
              <w:t>0.90</w:t>
            </w:r>
          </w:p>
          <w:p w14:paraId="44734C2A" w14:textId="77777777" w:rsidR="00BE17CF" w:rsidRPr="006174AA" w:rsidRDefault="00BE17CF">
            <w:pPr>
              <w:jc w:val="center"/>
              <w:rPr>
                <w:rFonts w:cs="Times New Roman"/>
                <w:sz w:val="22"/>
                <w:lang w:val="en-GB"/>
              </w:rPr>
            </w:pPr>
            <w:r w:rsidRPr="006174AA">
              <w:rPr>
                <w:rFonts w:cs="Times New Roman"/>
                <w:sz w:val="22"/>
                <w:lang w:val="en-GB"/>
              </w:rPr>
              <w:t>(0.81, 0.96)</w:t>
            </w:r>
          </w:p>
        </w:tc>
      </w:tr>
    </w:tbl>
    <w:p w14:paraId="5B0E8347" w14:textId="77777777" w:rsidR="00BE17CF" w:rsidRPr="006174AA" w:rsidRDefault="00BE17CF" w:rsidP="00BE17CF">
      <w:pPr>
        <w:rPr>
          <w:sz w:val="20"/>
          <w:lang w:val="en-GB" w:eastAsia="en-US"/>
        </w:rPr>
      </w:pPr>
      <w:r w:rsidRPr="006174AA">
        <w:rPr>
          <w:sz w:val="20"/>
          <w:vertAlign w:val="superscript"/>
          <w:lang w:val="en-GB"/>
        </w:rPr>
        <w:t>a</w:t>
      </w:r>
      <w:r w:rsidRPr="006174AA">
        <w:rPr>
          <w:sz w:val="20"/>
          <w:lang w:val="en-GB"/>
        </w:rPr>
        <w:t xml:space="preserve"> Patients with ALC &lt;0.9 x 10</w:t>
      </w:r>
      <w:r w:rsidRPr="006174AA">
        <w:rPr>
          <w:sz w:val="20"/>
          <w:vertAlign w:val="superscript"/>
          <w:lang w:val="en-GB"/>
        </w:rPr>
        <w:t>9</w:t>
      </w:r>
      <w:r w:rsidRPr="006174AA">
        <w:rPr>
          <w:sz w:val="20"/>
          <w:lang w:val="en-GB"/>
        </w:rPr>
        <w:t>/L and ≥0.8 x 10</w:t>
      </w:r>
      <w:r w:rsidRPr="006174AA">
        <w:rPr>
          <w:sz w:val="20"/>
          <w:vertAlign w:val="superscript"/>
          <w:lang w:val="en-GB"/>
        </w:rPr>
        <w:t>9</w:t>
      </w:r>
      <w:r w:rsidRPr="006174AA">
        <w:rPr>
          <w:sz w:val="20"/>
          <w:lang w:val="en-GB"/>
        </w:rPr>
        <w:t>/L at RBL, excluding patients with prolonged severe lymphopenia.</w:t>
      </w:r>
    </w:p>
    <w:p w14:paraId="56CF1FA5" w14:textId="77777777" w:rsidR="00BE17CF" w:rsidRPr="002800DB" w:rsidRDefault="00BE17CF" w:rsidP="00BE17CF">
      <w:pPr>
        <w:rPr>
          <w:sz w:val="24"/>
          <w:szCs w:val="24"/>
          <w:lang w:val="en-GB"/>
        </w:rPr>
      </w:pPr>
    </w:p>
    <w:p w14:paraId="62FDE983" w14:textId="77777777" w:rsidR="00BE17CF" w:rsidRPr="002800DB" w:rsidRDefault="00BE17CF" w:rsidP="00BE17CF">
      <w:pPr>
        <w:keepNext/>
        <w:ind w:left="1134" w:hanging="1134"/>
        <w:rPr>
          <w:b/>
          <w:sz w:val="24"/>
          <w:szCs w:val="24"/>
          <w:lang w:val="en-GB"/>
        </w:rPr>
      </w:pPr>
      <w:r w:rsidRPr="002800DB">
        <w:rPr>
          <w:b/>
          <w:sz w:val="24"/>
          <w:szCs w:val="24"/>
          <w:lang w:val="en-GB"/>
        </w:rPr>
        <w:t>Table 2:</w:t>
      </w:r>
      <w:r w:rsidRPr="002800DB">
        <w:rPr>
          <w:b/>
          <w:sz w:val="24"/>
          <w:szCs w:val="24"/>
          <w:lang w:val="en-GB"/>
        </w:rPr>
        <w:tab/>
        <w:t>Kaplan-Meier method; proportion of patients estimated to reach LLN, moderate lymphopenia at the recovery baseline (RBL), excluding patients with prolonged severe lymphopenia</w:t>
      </w:r>
    </w:p>
    <w:tbl>
      <w:tblPr>
        <w:tblStyle w:val="Tabel-Gitter"/>
        <w:tblW w:w="5000" w:type="pct"/>
        <w:tblInd w:w="0" w:type="dxa"/>
        <w:tblLook w:val="04A0" w:firstRow="1" w:lastRow="0" w:firstColumn="1" w:lastColumn="0" w:noHBand="0" w:noVBand="1"/>
      </w:tblPr>
      <w:tblGrid>
        <w:gridCol w:w="2407"/>
        <w:gridCol w:w="2407"/>
        <w:gridCol w:w="2407"/>
        <w:gridCol w:w="2407"/>
      </w:tblGrid>
      <w:tr w:rsidR="00BE17CF" w:rsidRPr="006174AA" w14:paraId="0B2801AB" w14:textId="77777777" w:rsidTr="00BE17CF">
        <w:trPr>
          <w:tblHeader/>
        </w:trPr>
        <w:tc>
          <w:tcPr>
            <w:tcW w:w="1250" w:type="pct"/>
            <w:tcBorders>
              <w:top w:val="single" w:sz="4" w:space="0" w:color="auto"/>
              <w:left w:val="single" w:sz="4" w:space="0" w:color="auto"/>
              <w:bottom w:val="single" w:sz="4" w:space="0" w:color="auto"/>
              <w:right w:val="single" w:sz="4" w:space="0" w:color="auto"/>
            </w:tcBorders>
            <w:hideMark/>
          </w:tcPr>
          <w:p w14:paraId="41F427FF" w14:textId="77777777" w:rsidR="00BE17CF" w:rsidRPr="006174AA" w:rsidRDefault="00BE17CF">
            <w:pPr>
              <w:rPr>
                <w:rFonts w:cs="Times New Roman"/>
                <w:sz w:val="22"/>
                <w:lang w:val="en-GB"/>
              </w:rPr>
            </w:pPr>
            <w:r w:rsidRPr="006174AA">
              <w:rPr>
                <w:rFonts w:cs="Times New Roman"/>
                <w:b/>
                <w:sz w:val="22"/>
                <w:lang w:val="en-GB"/>
              </w:rPr>
              <w:t xml:space="preserve">Number of patients with moderate </w:t>
            </w:r>
            <w:proofErr w:type="spellStart"/>
            <w:r w:rsidRPr="006174AA">
              <w:rPr>
                <w:rFonts w:cs="Times New Roman"/>
                <w:b/>
                <w:sz w:val="22"/>
                <w:lang w:val="en-GB"/>
              </w:rPr>
              <w:t>lymphopenia</w:t>
            </w:r>
            <w:r w:rsidRPr="006174AA">
              <w:rPr>
                <w:rFonts w:cs="Times New Roman"/>
                <w:b/>
                <w:sz w:val="22"/>
                <w:vertAlign w:val="superscript"/>
                <w:lang w:val="en-GB"/>
              </w:rPr>
              <w:t>a</w:t>
            </w:r>
            <w:proofErr w:type="spellEnd"/>
            <w:r w:rsidRPr="006174AA">
              <w:rPr>
                <w:rFonts w:cs="Times New Roman"/>
                <w:b/>
                <w:sz w:val="22"/>
                <w:lang w:val="en-GB"/>
              </w:rPr>
              <w:t xml:space="preserve"> at risk</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AF4092" w14:textId="77777777" w:rsidR="00BE17CF" w:rsidRPr="006174AA" w:rsidRDefault="00BE17CF">
            <w:pPr>
              <w:jc w:val="center"/>
              <w:rPr>
                <w:rFonts w:cs="Times New Roman"/>
                <w:b/>
                <w:sz w:val="22"/>
                <w:lang w:val="en-GB"/>
              </w:rPr>
            </w:pPr>
            <w:r w:rsidRPr="006174AA">
              <w:rPr>
                <w:rFonts w:cs="Times New Roman"/>
                <w:b/>
                <w:sz w:val="22"/>
                <w:lang w:val="en-GB"/>
              </w:rPr>
              <w:t>Baseline</w:t>
            </w:r>
          </w:p>
          <w:p w14:paraId="344D0033" w14:textId="77777777" w:rsidR="00BE17CF" w:rsidRPr="006174AA" w:rsidRDefault="00BE17CF">
            <w:pPr>
              <w:keepNext/>
              <w:jc w:val="center"/>
              <w:rPr>
                <w:rFonts w:cs="Times New Roman"/>
                <w:sz w:val="22"/>
                <w:lang w:val="en-GB"/>
              </w:rPr>
            </w:pPr>
            <w:r w:rsidRPr="006174AA">
              <w:rPr>
                <w:rFonts w:cs="Times New Roman"/>
                <w:b/>
                <w:sz w:val="22"/>
                <w:lang w:val="en-GB"/>
              </w:rPr>
              <w:t>N=124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0D723B" w14:textId="77777777" w:rsidR="00BE17CF" w:rsidRPr="006174AA" w:rsidRDefault="00BE17CF">
            <w:pPr>
              <w:jc w:val="center"/>
              <w:rPr>
                <w:rFonts w:cs="Times New Roman"/>
                <w:b/>
                <w:sz w:val="22"/>
                <w:lang w:val="en-GB"/>
              </w:rPr>
            </w:pPr>
            <w:r w:rsidRPr="006174AA">
              <w:rPr>
                <w:rFonts w:cs="Times New Roman"/>
                <w:b/>
                <w:sz w:val="22"/>
                <w:lang w:val="en-GB"/>
              </w:rPr>
              <w:t>Week 12</w:t>
            </w:r>
          </w:p>
          <w:p w14:paraId="63E402C5" w14:textId="77777777" w:rsidR="00BE17CF" w:rsidRPr="006174AA" w:rsidRDefault="00BE17CF">
            <w:pPr>
              <w:keepNext/>
              <w:jc w:val="center"/>
              <w:rPr>
                <w:rFonts w:cs="Times New Roman"/>
                <w:sz w:val="22"/>
                <w:lang w:val="en-GB"/>
              </w:rPr>
            </w:pPr>
            <w:r w:rsidRPr="006174AA">
              <w:rPr>
                <w:rFonts w:cs="Times New Roman"/>
                <w:b/>
                <w:sz w:val="22"/>
                <w:lang w:val="en-GB"/>
              </w:rPr>
              <w:t>N=33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4B2864" w14:textId="77777777" w:rsidR="00BE17CF" w:rsidRPr="006174AA" w:rsidRDefault="00BE17CF">
            <w:pPr>
              <w:jc w:val="center"/>
              <w:rPr>
                <w:rFonts w:cs="Times New Roman"/>
                <w:b/>
                <w:sz w:val="22"/>
                <w:lang w:val="en-GB"/>
              </w:rPr>
            </w:pPr>
            <w:r w:rsidRPr="006174AA">
              <w:rPr>
                <w:rFonts w:cs="Times New Roman"/>
                <w:b/>
                <w:sz w:val="22"/>
                <w:lang w:val="en-GB"/>
              </w:rPr>
              <w:t>Week 24</w:t>
            </w:r>
          </w:p>
          <w:p w14:paraId="07596297" w14:textId="77777777" w:rsidR="00BE17CF" w:rsidRPr="006174AA" w:rsidRDefault="00BE17CF">
            <w:pPr>
              <w:keepNext/>
              <w:jc w:val="center"/>
              <w:rPr>
                <w:rFonts w:cs="Times New Roman"/>
                <w:sz w:val="22"/>
                <w:lang w:val="en-GB"/>
              </w:rPr>
            </w:pPr>
            <w:r w:rsidRPr="006174AA">
              <w:rPr>
                <w:rFonts w:cs="Times New Roman"/>
                <w:b/>
                <w:sz w:val="22"/>
                <w:lang w:val="en-GB"/>
              </w:rPr>
              <w:t>N=17</w:t>
            </w:r>
          </w:p>
        </w:tc>
      </w:tr>
      <w:tr w:rsidR="00BE17CF" w:rsidRPr="006174AA" w14:paraId="7255A56D" w14:textId="77777777" w:rsidTr="00BE17CF">
        <w:tc>
          <w:tcPr>
            <w:tcW w:w="1250" w:type="pct"/>
            <w:tcBorders>
              <w:top w:val="single" w:sz="4" w:space="0" w:color="auto"/>
              <w:left w:val="single" w:sz="4" w:space="0" w:color="auto"/>
              <w:bottom w:val="single" w:sz="4" w:space="0" w:color="auto"/>
              <w:right w:val="single" w:sz="4" w:space="0" w:color="auto"/>
            </w:tcBorders>
            <w:hideMark/>
          </w:tcPr>
          <w:p w14:paraId="18D4A330" w14:textId="77777777" w:rsidR="00BE17CF" w:rsidRPr="006174AA" w:rsidRDefault="00BE17CF">
            <w:pPr>
              <w:rPr>
                <w:rFonts w:cs="Times New Roman"/>
                <w:sz w:val="22"/>
                <w:lang w:val="en-GB"/>
              </w:rPr>
            </w:pPr>
            <w:r w:rsidRPr="006174AA">
              <w:rPr>
                <w:rFonts w:cs="Times New Roman"/>
                <w:sz w:val="22"/>
                <w:lang w:val="en-GB"/>
              </w:rPr>
              <w:t>Proportion reaching LLN (95% CI)</w:t>
            </w:r>
          </w:p>
        </w:tc>
        <w:tc>
          <w:tcPr>
            <w:tcW w:w="1250" w:type="pct"/>
            <w:tcBorders>
              <w:top w:val="single" w:sz="4" w:space="0" w:color="auto"/>
              <w:left w:val="single" w:sz="4" w:space="0" w:color="auto"/>
              <w:bottom w:val="single" w:sz="4" w:space="0" w:color="auto"/>
              <w:right w:val="single" w:sz="4" w:space="0" w:color="auto"/>
            </w:tcBorders>
            <w:vAlign w:val="center"/>
          </w:tcPr>
          <w:p w14:paraId="30852668" w14:textId="77777777" w:rsidR="00BE17CF" w:rsidRPr="006174AA" w:rsidRDefault="00BE17CF">
            <w:pPr>
              <w:keepNext/>
              <w:jc w:val="center"/>
              <w:rPr>
                <w:rFonts w:cs="Times New Roman"/>
                <w:sz w:val="22"/>
                <w:lang w:val="en-GB"/>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F1F1F92" w14:textId="77777777" w:rsidR="00BE17CF" w:rsidRPr="006174AA" w:rsidRDefault="00BE17CF">
            <w:pPr>
              <w:keepNext/>
              <w:jc w:val="center"/>
              <w:rPr>
                <w:rFonts w:cs="Times New Roman"/>
                <w:sz w:val="22"/>
                <w:lang w:val="en-GB"/>
              </w:rPr>
            </w:pPr>
            <w:r w:rsidRPr="006174AA">
              <w:rPr>
                <w:rFonts w:cs="Times New Roman"/>
                <w:sz w:val="22"/>
                <w:lang w:val="en-GB"/>
              </w:rPr>
              <w:t>0.57</w:t>
            </w:r>
          </w:p>
          <w:p w14:paraId="680B224B" w14:textId="77777777" w:rsidR="00BE17CF" w:rsidRPr="006174AA" w:rsidRDefault="00BE17CF">
            <w:pPr>
              <w:keepNext/>
              <w:jc w:val="center"/>
              <w:rPr>
                <w:rFonts w:cs="Times New Roman"/>
                <w:sz w:val="22"/>
                <w:lang w:val="en-GB"/>
              </w:rPr>
            </w:pPr>
            <w:r w:rsidRPr="006174AA">
              <w:rPr>
                <w:rFonts w:cs="Times New Roman"/>
                <w:sz w:val="22"/>
                <w:lang w:val="en-GB"/>
              </w:rPr>
              <w:t>(0.46, 0.67)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E2F73A3" w14:textId="77777777" w:rsidR="00BE17CF" w:rsidRPr="006174AA" w:rsidRDefault="00BE17CF">
            <w:pPr>
              <w:keepNext/>
              <w:jc w:val="center"/>
              <w:rPr>
                <w:rFonts w:cs="Times New Roman"/>
                <w:sz w:val="22"/>
                <w:lang w:val="en-GB"/>
              </w:rPr>
            </w:pPr>
            <w:r w:rsidRPr="006174AA">
              <w:rPr>
                <w:rFonts w:cs="Times New Roman"/>
                <w:sz w:val="22"/>
                <w:lang w:val="en-GB"/>
              </w:rPr>
              <w:t>0.70</w:t>
            </w:r>
          </w:p>
          <w:p w14:paraId="4D73E644" w14:textId="77777777" w:rsidR="00BE17CF" w:rsidRPr="006174AA" w:rsidRDefault="00BE17CF">
            <w:pPr>
              <w:keepNext/>
              <w:jc w:val="center"/>
              <w:rPr>
                <w:rFonts w:cs="Times New Roman"/>
                <w:sz w:val="22"/>
                <w:lang w:val="en-GB"/>
              </w:rPr>
            </w:pPr>
            <w:r w:rsidRPr="006174AA">
              <w:rPr>
                <w:rFonts w:cs="Times New Roman"/>
                <w:sz w:val="22"/>
                <w:lang w:val="en-GB"/>
              </w:rPr>
              <w:t>(0.60, 0.80)</w:t>
            </w:r>
          </w:p>
        </w:tc>
      </w:tr>
    </w:tbl>
    <w:p w14:paraId="5AB847EC" w14:textId="77777777" w:rsidR="00BE17CF" w:rsidRPr="006174AA" w:rsidRDefault="00BE17CF" w:rsidP="00BE17CF">
      <w:pPr>
        <w:rPr>
          <w:sz w:val="20"/>
          <w:lang w:val="en-GB" w:eastAsia="en-US"/>
        </w:rPr>
      </w:pPr>
      <w:r w:rsidRPr="006174AA">
        <w:rPr>
          <w:sz w:val="20"/>
          <w:vertAlign w:val="superscript"/>
          <w:lang w:val="en-GB"/>
        </w:rPr>
        <w:t>a</w:t>
      </w:r>
      <w:r w:rsidRPr="006174AA">
        <w:rPr>
          <w:sz w:val="20"/>
          <w:lang w:val="en-GB"/>
        </w:rPr>
        <w:t xml:space="preserve"> Patients with ALC &lt;0.8 x 10</w:t>
      </w:r>
      <w:r w:rsidRPr="006174AA">
        <w:rPr>
          <w:sz w:val="20"/>
          <w:vertAlign w:val="superscript"/>
          <w:lang w:val="en-GB"/>
        </w:rPr>
        <w:t>9</w:t>
      </w:r>
      <w:r w:rsidRPr="006174AA">
        <w:rPr>
          <w:sz w:val="20"/>
          <w:lang w:val="en-GB"/>
        </w:rPr>
        <w:t>/L and ≥0.5 x 10</w:t>
      </w:r>
      <w:r w:rsidRPr="006174AA">
        <w:rPr>
          <w:sz w:val="20"/>
          <w:vertAlign w:val="superscript"/>
          <w:lang w:val="en-GB"/>
        </w:rPr>
        <w:t>9</w:t>
      </w:r>
      <w:r w:rsidRPr="006174AA">
        <w:rPr>
          <w:sz w:val="20"/>
          <w:lang w:val="en-GB"/>
        </w:rPr>
        <w:t>/L at RBL, excluding patients with prolonged severe lymphopenia.</w:t>
      </w:r>
    </w:p>
    <w:p w14:paraId="6AAC165A" w14:textId="77777777" w:rsidR="00BE17CF" w:rsidRPr="002800DB" w:rsidRDefault="00BE17CF" w:rsidP="00BE17CF">
      <w:pPr>
        <w:ind w:left="1134" w:hanging="1134"/>
        <w:rPr>
          <w:sz w:val="24"/>
          <w:szCs w:val="24"/>
          <w:lang w:val="en-GB"/>
        </w:rPr>
      </w:pPr>
    </w:p>
    <w:p w14:paraId="66E270EE" w14:textId="77777777" w:rsidR="00BE17CF" w:rsidRPr="002800DB" w:rsidRDefault="00BE17CF" w:rsidP="00BE17CF">
      <w:pPr>
        <w:keepNext/>
        <w:ind w:left="1134" w:hanging="1134"/>
        <w:rPr>
          <w:b/>
          <w:sz w:val="24"/>
          <w:szCs w:val="24"/>
          <w:lang w:val="en-GB"/>
        </w:rPr>
      </w:pPr>
      <w:r w:rsidRPr="002800DB">
        <w:rPr>
          <w:b/>
          <w:sz w:val="24"/>
          <w:szCs w:val="24"/>
          <w:lang w:val="en-GB"/>
        </w:rPr>
        <w:t>Table 3:</w:t>
      </w:r>
      <w:r w:rsidRPr="002800DB">
        <w:rPr>
          <w:b/>
          <w:sz w:val="24"/>
          <w:szCs w:val="24"/>
          <w:lang w:val="en-GB"/>
        </w:rPr>
        <w:tab/>
        <w:t>Kaplan-Meier method; proportion of patients estimated to reach LLN, severe lymphopenia at the recovery baseline (RBL), excluding patients with prolonged severe lymphopenia</w:t>
      </w:r>
    </w:p>
    <w:tbl>
      <w:tblPr>
        <w:tblStyle w:val="Tabel-Gitter"/>
        <w:tblW w:w="5000" w:type="pct"/>
        <w:tblInd w:w="0" w:type="dxa"/>
        <w:tblLook w:val="04A0" w:firstRow="1" w:lastRow="0" w:firstColumn="1" w:lastColumn="0" w:noHBand="0" w:noVBand="1"/>
      </w:tblPr>
      <w:tblGrid>
        <w:gridCol w:w="2407"/>
        <w:gridCol w:w="2407"/>
        <w:gridCol w:w="2407"/>
        <w:gridCol w:w="2407"/>
      </w:tblGrid>
      <w:tr w:rsidR="00BE17CF" w:rsidRPr="006174AA" w14:paraId="25DEBC0A" w14:textId="77777777" w:rsidTr="00BE17CF">
        <w:trPr>
          <w:tblHeader/>
        </w:trPr>
        <w:tc>
          <w:tcPr>
            <w:tcW w:w="1250" w:type="pct"/>
            <w:tcBorders>
              <w:top w:val="single" w:sz="4" w:space="0" w:color="auto"/>
              <w:left w:val="single" w:sz="4" w:space="0" w:color="auto"/>
              <w:bottom w:val="single" w:sz="4" w:space="0" w:color="auto"/>
              <w:right w:val="single" w:sz="4" w:space="0" w:color="auto"/>
            </w:tcBorders>
            <w:hideMark/>
          </w:tcPr>
          <w:p w14:paraId="18134C6E" w14:textId="77777777" w:rsidR="00BE17CF" w:rsidRPr="006174AA" w:rsidRDefault="00BE17CF">
            <w:pPr>
              <w:rPr>
                <w:rFonts w:cs="Times New Roman"/>
                <w:sz w:val="22"/>
                <w:lang w:val="en-GB"/>
              </w:rPr>
            </w:pPr>
            <w:r w:rsidRPr="006174AA">
              <w:rPr>
                <w:rFonts w:cs="Times New Roman"/>
                <w:b/>
                <w:sz w:val="22"/>
                <w:lang w:val="en-GB"/>
              </w:rPr>
              <w:t xml:space="preserve">Number of patients with severe </w:t>
            </w:r>
            <w:proofErr w:type="spellStart"/>
            <w:r w:rsidRPr="006174AA">
              <w:rPr>
                <w:rFonts w:cs="Times New Roman"/>
                <w:b/>
                <w:sz w:val="22"/>
                <w:lang w:val="en-GB"/>
              </w:rPr>
              <w:t>lymphopenia</w:t>
            </w:r>
            <w:r w:rsidRPr="006174AA">
              <w:rPr>
                <w:rFonts w:cs="Times New Roman"/>
                <w:b/>
                <w:sz w:val="22"/>
                <w:vertAlign w:val="superscript"/>
                <w:lang w:val="en-GB"/>
              </w:rPr>
              <w:t>a</w:t>
            </w:r>
            <w:proofErr w:type="spellEnd"/>
            <w:r w:rsidRPr="006174AA">
              <w:rPr>
                <w:rFonts w:cs="Times New Roman"/>
                <w:b/>
                <w:sz w:val="22"/>
                <w:lang w:val="en-GB"/>
              </w:rPr>
              <w:t xml:space="preserve"> at risk</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767D601" w14:textId="77777777" w:rsidR="00BE17CF" w:rsidRPr="006174AA" w:rsidRDefault="00BE17CF">
            <w:pPr>
              <w:jc w:val="center"/>
              <w:rPr>
                <w:rFonts w:cs="Times New Roman"/>
                <w:b/>
                <w:sz w:val="22"/>
                <w:lang w:val="en-GB"/>
              </w:rPr>
            </w:pPr>
            <w:r w:rsidRPr="006174AA">
              <w:rPr>
                <w:rFonts w:cs="Times New Roman"/>
                <w:b/>
                <w:sz w:val="22"/>
                <w:lang w:val="en-GB"/>
              </w:rPr>
              <w:t>Baseline</w:t>
            </w:r>
          </w:p>
          <w:p w14:paraId="2589A720" w14:textId="77777777" w:rsidR="00BE17CF" w:rsidRPr="006174AA" w:rsidRDefault="00BE17CF">
            <w:pPr>
              <w:keepNext/>
              <w:jc w:val="center"/>
              <w:rPr>
                <w:rFonts w:cs="Times New Roman"/>
                <w:sz w:val="22"/>
                <w:lang w:val="en-GB"/>
              </w:rPr>
            </w:pPr>
            <w:r w:rsidRPr="006174AA">
              <w:rPr>
                <w:rFonts w:cs="Times New Roman"/>
                <w:b/>
                <w:sz w:val="22"/>
                <w:lang w:val="en-GB"/>
              </w:rPr>
              <w:t>N=18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CDD4A65" w14:textId="77777777" w:rsidR="00BE17CF" w:rsidRPr="006174AA" w:rsidRDefault="00BE17CF">
            <w:pPr>
              <w:jc w:val="center"/>
              <w:rPr>
                <w:rFonts w:cs="Times New Roman"/>
                <w:b/>
                <w:sz w:val="22"/>
                <w:lang w:val="en-GB"/>
              </w:rPr>
            </w:pPr>
            <w:r w:rsidRPr="006174AA">
              <w:rPr>
                <w:rFonts w:cs="Times New Roman"/>
                <w:b/>
                <w:sz w:val="22"/>
                <w:lang w:val="en-GB"/>
              </w:rPr>
              <w:t>Week 12</w:t>
            </w:r>
          </w:p>
          <w:p w14:paraId="407BE161" w14:textId="77777777" w:rsidR="00BE17CF" w:rsidRPr="006174AA" w:rsidRDefault="00BE17CF">
            <w:pPr>
              <w:keepNext/>
              <w:jc w:val="center"/>
              <w:rPr>
                <w:rFonts w:cs="Times New Roman"/>
                <w:sz w:val="22"/>
                <w:lang w:val="en-GB"/>
              </w:rPr>
            </w:pPr>
            <w:r w:rsidRPr="006174AA">
              <w:rPr>
                <w:rFonts w:cs="Times New Roman"/>
                <w:b/>
                <w:sz w:val="22"/>
                <w:lang w:val="en-GB"/>
              </w:rPr>
              <w:t>N=6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B821429" w14:textId="77777777" w:rsidR="00BE17CF" w:rsidRPr="006174AA" w:rsidRDefault="00BE17CF">
            <w:pPr>
              <w:jc w:val="center"/>
              <w:rPr>
                <w:rFonts w:cs="Times New Roman"/>
                <w:b/>
                <w:sz w:val="22"/>
                <w:lang w:val="en-GB"/>
              </w:rPr>
            </w:pPr>
            <w:r w:rsidRPr="006174AA">
              <w:rPr>
                <w:rFonts w:cs="Times New Roman"/>
                <w:b/>
                <w:sz w:val="22"/>
                <w:lang w:val="en-GB"/>
              </w:rPr>
              <w:t>Week 24</w:t>
            </w:r>
          </w:p>
          <w:p w14:paraId="784C657F" w14:textId="77777777" w:rsidR="00BE17CF" w:rsidRPr="006174AA" w:rsidRDefault="00BE17CF">
            <w:pPr>
              <w:keepNext/>
              <w:jc w:val="center"/>
              <w:rPr>
                <w:rFonts w:cs="Times New Roman"/>
                <w:sz w:val="22"/>
                <w:lang w:val="en-GB"/>
              </w:rPr>
            </w:pPr>
            <w:r w:rsidRPr="006174AA">
              <w:rPr>
                <w:rFonts w:cs="Times New Roman"/>
                <w:b/>
                <w:sz w:val="22"/>
                <w:lang w:val="en-GB"/>
              </w:rPr>
              <w:t>N=4</w:t>
            </w:r>
          </w:p>
        </w:tc>
      </w:tr>
      <w:tr w:rsidR="00BE17CF" w:rsidRPr="006174AA" w14:paraId="64BE4ADE" w14:textId="77777777" w:rsidTr="00BE17CF">
        <w:tc>
          <w:tcPr>
            <w:tcW w:w="1250" w:type="pct"/>
            <w:tcBorders>
              <w:top w:val="single" w:sz="4" w:space="0" w:color="auto"/>
              <w:left w:val="single" w:sz="4" w:space="0" w:color="auto"/>
              <w:bottom w:val="single" w:sz="4" w:space="0" w:color="auto"/>
              <w:right w:val="single" w:sz="4" w:space="0" w:color="auto"/>
            </w:tcBorders>
            <w:hideMark/>
          </w:tcPr>
          <w:p w14:paraId="6CE08BB2" w14:textId="77777777" w:rsidR="00BE17CF" w:rsidRPr="006174AA" w:rsidRDefault="00BE17CF">
            <w:pPr>
              <w:rPr>
                <w:rFonts w:cs="Times New Roman"/>
                <w:sz w:val="22"/>
                <w:lang w:val="en-GB"/>
              </w:rPr>
            </w:pPr>
            <w:r w:rsidRPr="006174AA">
              <w:rPr>
                <w:rFonts w:cs="Times New Roman"/>
                <w:sz w:val="22"/>
                <w:lang w:val="en-GB"/>
              </w:rPr>
              <w:t>Proportion reaching LLN (95% CI)</w:t>
            </w:r>
          </w:p>
        </w:tc>
        <w:tc>
          <w:tcPr>
            <w:tcW w:w="1250" w:type="pct"/>
            <w:tcBorders>
              <w:top w:val="single" w:sz="4" w:space="0" w:color="auto"/>
              <w:left w:val="single" w:sz="4" w:space="0" w:color="auto"/>
              <w:bottom w:val="single" w:sz="4" w:space="0" w:color="auto"/>
              <w:right w:val="single" w:sz="4" w:space="0" w:color="auto"/>
            </w:tcBorders>
            <w:vAlign w:val="center"/>
          </w:tcPr>
          <w:p w14:paraId="7D5C111D" w14:textId="77777777" w:rsidR="00BE17CF" w:rsidRPr="006174AA" w:rsidRDefault="00BE17CF">
            <w:pPr>
              <w:keepNext/>
              <w:jc w:val="center"/>
              <w:rPr>
                <w:rFonts w:cs="Times New Roman"/>
                <w:sz w:val="22"/>
                <w:lang w:val="en-GB"/>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500983A4" w14:textId="77777777" w:rsidR="00BE17CF" w:rsidRPr="006174AA" w:rsidRDefault="00BE17CF">
            <w:pPr>
              <w:keepNext/>
              <w:jc w:val="center"/>
              <w:rPr>
                <w:rFonts w:cs="Times New Roman"/>
                <w:sz w:val="22"/>
                <w:lang w:val="en-GB"/>
              </w:rPr>
            </w:pPr>
            <w:r w:rsidRPr="006174AA">
              <w:rPr>
                <w:rFonts w:cs="Times New Roman"/>
                <w:sz w:val="22"/>
                <w:lang w:val="en-GB"/>
              </w:rPr>
              <w:t>0.43</w:t>
            </w:r>
          </w:p>
          <w:p w14:paraId="180BF908" w14:textId="77777777" w:rsidR="00BE17CF" w:rsidRPr="006174AA" w:rsidRDefault="00BE17CF">
            <w:pPr>
              <w:keepNext/>
              <w:jc w:val="center"/>
              <w:rPr>
                <w:rFonts w:cs="Times New Roman"/>
                <w:sz w:val="22"/>
                <w:lang w:val="en-GB"/>
              </w:rPr>
            </w:pPr>
            <w:r w:rsidRPr="006174AA">
              <w:rPr>
                <w:rFonts w:cs="Times New Roman"/>
                <w:sz w:val="22"/>
                <w:lang w:val="en-GB"/>
              </w:rPr>
              <w:t>(0.20, 0.75)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E5D6234" w14:textId="77777777" w:rsidR="00BE17CF" w:rsidRPr="006174AA" w:rsidRDefault="00BE17CF">
            <w:pPr>
              <w:keepNext/>
              <w:jc w:val="center"/>
              <w:rPr>
                <w:rFonts w:cs="Times New Roman"/>
                <w:sz w:val="22"/>
                <w:lang w:val="en-GB"/>
              </w:rPr>
            </w:pPr>
            <w:r w:rsidRPr="006174AA">
              <w:rPr>
                <w:rFonts w:cs="Times New Roman"/>
                <w:sz w:val="22"/>
                <w:lang w:val="en-GB"/>
              </w:rPr>
              <w:t>0.62</w:t>
            </w:r>
          </w:p>
          <w:p w14:paraId="7F8D2480" w14:textId="77777777" w:rsidR="00BE17CF" w:rsidRPr="006174AA" w:rsidRDefault="00BE17CF">
            <w:pPr>
              <w:keepNext/>
              <w:jc w:val="center"/>
              <w:rPr>
                <w:rFonts w:cs="Times New Roman"/>
                <w:sz w:val="22"/>
                <w:lang w:val="en-GB"/>
              </w:rPr>
            </w:pPr>
            <w:r w:rsidRPr="006174AA">
              <w:rPr>
                <w:rFonts w:cs="Times New Roman"/>
                <w:sz w:val="22"/>
                <w:lang w:val="en-GB"/>
              </w:rPr>
              <w:t>(0.35, 0.88)</w:t>
            </w:r>
          </w:p>
        </w:tc>
      </w:tr>
    </w:tbl>
    <w:p w14:paraId="734B16F7" w14:textId="77777777" w:rsidR="00BE17CF" w:rsidRPr="006174AA" w:rsidRDefault="00BE17CF" w:rsidP="00BE17CF">
      <w:pPr>
        <w:rPr>
          <w:sz w:val="20"/>
          <w:lang w:val="en-GB" w:eastAsia="en-US"/>
        </w:rPr>
      </w:pPr>
      <w:r w:rsidRPr="006174AA">
        <w:rPr>
          <w:sz w:val="20"/>
          <w:vertAlign w:val="superscript"/>
          <w:lang w:val="en-GB"/>
        </w:rPr>
        <w:t>a</w:t>
      </w:r>
      <w:r w:rsidRPr="006174AA">
        <w:rPr>
          <w:sz w:val="20"/>
          <w:lang w:val="en-GB"/>
        </w:rPr>
        <w:t xml:space="preserve"> Patients with ALC &lt;0.5 x 10</w:t>
      </w:r>
      <w:r w:rsidRPr="006174AA">
        <w:rPr>
          <w:sz w:val="20"/>
          <w:vertAlign w:val="superscript"/>
          <w:lang w:val="en-GB"/>
        </w:rPr>
        <w:t>9</w:t>
      </w:r>
      <w:r w:rsidRPr="006174AA">
        <w:rPr>
          <w:sz w:val="20"/>
          <w:lang w:val="en-GB"/>
        </w:rPr>
        <w:t>/L at RBL, excluding patients with prolonged severe lymphopenia.</w:t>
      </w:r>
    </w:p>
    <w:p w14:paraId="22BCE649" w14:textId="77777777" w:rsidR="00BE17CF" w:rsidRPr="002800DB" w:rsidRDefault="00BE17CF" w:rsidP="00BE17CF">
      <w:pPr>
        <w:rPr>
          <w:sz w:val="24"/>
          <w:szCs w:val="24"/>
          <w:lang w:val="en-GB"/>
        </w:rPr>
      </w:pPr>
    </w:p>
    <w:p w14:paraId="43DB4F5E" w14:textId="77777777" w:rsidR="00BE17CF" w:rsidRPr="006174AA" w:rsidRDefault="00BE17CF" w:rsidP="00AC6C51">
      <w:pPr>
        <w:ind w:left="851"/>
        <w:rPr>
          <w:sz w:val="24"/>
          <w:szCs w:val="24"/>
          <w:u w:val="single"/>
          <w:lang w:val="en-GB"/>
        </w:rPr>
      </w:pPr>
      <w:r w:rsidRPr="006174AA">
        <w:rPr>
          <w:sz w:val="24"/>
          <w:szCs w:val="24"/>
          <w:u w:val="single"/>
          <w:lang w:val="en-GB"/>
        </w:rPr>
        <w:lastRenderedPageBreak/>
        <w:t>Clinical efficacy and safety</w:t>
      </w:r>
    </w:p>
    <w:p w14:paraId="4F80A29D" w14:textId="77777777" w:rsidR="00BE17CF" w:rsidRPr="002800DB" w:rsidRDefault="00BE17CF" w:rsidP="00AC6C51">
      <w:pPr>
        <w:ind w:left="851"/>
        <w:rPr>
          <w:sz w:val="24"/>
          <w:szCs w:val="24"/>
          <w:lang w:val="en-GB"/>
        </w:rPr>
      </w:pPr>
      <w:r w:rsidRPr="002800DB">
        <w:rPr>
          <w:sz w:val="24"/>
          <w:szCs w:val="24"/>
          <w:lang w:val="en-GB"/>
        </w:rPr>
        <w:t>Two, 2 year, randomised, double-blind, placebo</w:t>
      </w:r>
      <w:r w:rsidRPr="002800DB">
        <w:rPr>
          <w:sz w:val="24"/>
          <w:szCs w:val="24"/>
          <w:lang w:val="en-GB"/>
        </w:rPr>
        <w:noBreakHyphen/>
        <w:t>controlled studies (DEFINE with 1 234 patients and CONFIRM with 1 417 patients) of patients with RRMS were performed. Patients with progressive forms of MS were not included in these studies.</w:t>
      </w:r>
    </w:p>
    <w:p w14:paraId="14EB363B" w14:textId="77777777" w:rsidR="00BE17CF" w:rsidRPr="002800DB" w:rsidRDefault="00BE17CF" w:rsidP="00AC6C51">
      <w:pPr>
        <w:ind w:left="851"/>
        <w:rPr>
          <w:sz w:val="24"/>
          <w:szCs w:val="24"/>
          <w:lang w:val="en-GB"/>
        </w:rPr>
      </w:pPr>
    </w:p>
    <w:p w14:paraId="1E8C3D11" w14:textId="77777777" w:rsidR="00BE17CF" w:rsidRPr="002800DB" w:rsidRDefault="00BE17CF" w:rsidP="00AC6C51">
      <w:pPr>
        <w:ind w:left="851"/>
        <w:rPr>
          <w:sz w:val="24"/>
          <w:szCs w:val="24"/>
          <w:lang w:val="en-GB"/>
        </w:rPr>
      </w:pPr>
      <w:r w:rsidRPr="002800DB">
        <w:rPr>
          <w:sz w:val="24"/>
          <w:szCs w:val="24"/>
          <w:lang w:val="en-GB"/>
        </w:rPr>
        <w:t>Efficacy (see Table 4) and safety were demonstrated in patients with expanded disability status scale (EDSS) scores ranging from 0 to 5 inclusive, who had experienced at least 1 relapse during the year prior to randomisation, or, in the 6 weeks before randomisation had a brain MRI demonstrating at least one gadolinium-enhancing (</w:t>
      </w:r>
      <w:proofErr w:type="spellStart"/>
      <w:r w:rsidRPr="002800DB">
        <w:rPr>
          <w:sz w:val="24"/>
          <w:szCs w:val="24"/>
          <w:lang w:val="en-GB"/>
        </w:rPr>
        <w:t>Gd</w:t>
      </w:r>
      <w:proofErr w:type="spellEnd"/>
      <w:r w:rsidRPr="002800DB">
        <w:rPr>
          <w:sz w:val="24"/>
          <w:szCs w:val="24"/>
          <w:lang w:val="en-GB"/>
        </w:rPr>
        <w:t>+) lesion.</w:t>
      </w:r>
    </w:p>
    <w:p w14:paraId="050F8188" w14:textId="77777777" w:rsidR="00BE17CF" w:rsidRPr="002800DB" w:rsidRDefault="00BE17CF" w:rsidP="00AC6C51">
      <w:pPr>
        <w:ind w:left="851"/>
        <w:rPr>
          <w:sz w:val="24"/>
          <w:szCs w:val="24"/>
          <w:lang w:val="en-GB"/>
        </w:rPr>
      </w:pPr>
      <w:r w:rsidRPr="002800DB">
        <w:rPr>
          <w:sz w:val="24"/>
          <w:szCs w:val="24"/>
          <w:lang w:val="en-GB"/>
        </w:rPr>
        <w:t xml:space="preserve">Study CONFIRM contained a </w:t>
      </w:r>
      <w:proofErr w:type="spellStart"/>
      <w:r w:rsidRPr="002800DB">
        <w:rPr>
          <w:sz w:val="24"/>
          <w:szCs w:val="24"/>
          <w:lang w:val="en-GB"/>
        </w:rPr>
        <w:t>rater</w:t>
      </w:r>
      <w:proofErr w:type="spellEnd"/>
      <w:r w:rsidRPr="002800DB">
        <w:rPr>
          <w:sz w:val="24"/>
          <w:szCs w:val="24"/>
          <w:lang w:val="en-GB"/>
        </w:rPr>
        <w:t>-blinded (i.e. study physician/ investigator assessing the response to study treatment was blinded) reference comparator of glatiramer acetate.</w:t>
      </w:r>
    </w:p>
    <w:p w14:paraId="3EE8F567" w14:textId="77777777" w:rsidR="00BE17CF" w:rsidRPr="002800DB" w:rsidRDefault="00BE17CF" w:rsidP="00AC6C51">
      <w:pPr>
        <w:ind w:left="851"/>
        <w:rPr>
          <w:sz w:val="24"/>
          <w:szCs w:val="24"/>
          <w:lang w:val="en-GB"/>
        </w:rPr>
      </w:pPr>
    </w:p>
    <w:p w14:paraId="0A1B56B3" w14:textId="77777777" w:rsidR="00BE17CF" w:rsidRPr="002800DB" w:rsidRDefault="00BE17CF" w:rsidP="00AC6C51">
      <w:pPr>
        <w:ind w:left="851"/>
        <w:rPr>
          <w:sz w:val="24"/>
          <w:szCs w:val="24"/>
          <w:lang w:val="en-GB"/>
        </w:rPr>
      </w:pPr>
      <w:r w:rsidRPr="002800DB">
        <w:rPr>
          <w:sz w:val="24"/>
          <w:szCs w:val="24"/>
          <w:lang w:val="en-GB"/>
        </w:rPr>
        <w:t xml:space="preserve">In DEFINE, patients had the following median baseline characteristics: age 39 years, disease duration 7.0 years, EDSS score 2.0. In addition, 16% of patients had an EDSS score &gt;3.5, 28% had ≥2 relapses in the prior year and 42% had previously received other approved MS treatments. In the MRI cohort 36% of patients entering the study had </w:t>
      </w:r>
      <w:proofErr w:type="spellStart"/>
      <w:r w:rsidRPr="002800DB">
        <w:rPr>
          <w:sz w:val="24"/>
          <w:szCs w:val="24"/>
          <w:lang w:val="en-GB"/>
        </w:rPr>
        <w:t>Gd</w:t>
      </w:r>
      <w:proofErr w:type="spellEnd"/>
      <w:r w:rsidRPr="002800DB">
        <w:rPr>
          <w:sz w:val="24"/>
          <w:szCs w:val="24"/>
          <w:lang w:val="en-GB"/>
        </w:rPr>
        <w:t xml:space="preserve">+ lesions at baseline (mean number of </w:t>
      </w:r>
      <w:proofErr w:type="spellStart"/>
      <w:r w:rsidRPr="002800DB">
        <w:rPr>
          <w:sz w:val="24"/>
          <w:szCs w:val="24"/>
          <w:lang w:val="en-GB"/>
        </w:rPr>
        <w:t>Gd</w:t>
      </w:r>
      <w:proofErr w:type="spellEnd"/>
      <w:r w:rsidRPr="002800DB">
        <w:rPr>
          <w:sz w:val="24"/>
          <w:szCs w:val="24"/>
          <w:lang w:val="en-GB"/>
        </w:rPr>
        <w:t>+ lesions 1.4).</w:t>
      </w:r>
    </w:p>
    <w:p w14:paraId="55D9C22E" w14:textId="77777777" w:rsidR="00BE17CF" w:rsidRPr="002800DB" w:rsidRDefault="00BE17CF" w:rsidP="00AC6C51">
      <w:pPr>
        <w:ind w:left="851"/>
        <w:rPr>
          <w:sz w:val="24"/>
          <w:szCs w:val="24"/>
          <w:lang w:val="en-GB"/>
        </w:rPr>
      </w:pPr>
    </w:p>
    <w:p w14:paraId="1DFB3E8C" w14:textId="77777777" w:rsidR="00BE17CF" w:rsidRPr="002800DB" w:rsidRDefault="00BE17CF" w:rsidP="00AC6C51">
      <w:pPr>
        <w:ind w:left="851"/>
        <w:rPr>
          <w:sz w:val="24"/>
          <w:szCs w:val="24"/>
          <w:lang w:val="en-GB"/>
        </w:rPr>
      </w:pPr>
      <w:r w:rsidRPr="002800DB">
        <w:rPr>
          <w:sz w:val="24"/>
          <w:szCs w:val="24"/>
          <w:lang w:val="en-GB"/>
        </w:rPr>
        <w:t xml:space="preserve">In CONFIRM, patients had the following median baseline characteristics: age 37 years, disease duration 6.0 years, EDSS score 2.5. In addition, 17% of patients had an EDSS score &gt;3.5, 32% had ≥2 relapses in the prior year and 30% had previously received other approved MS treatments. In the MRI cohort 45% of patients entering the study had </w:t>
      </w:r>
      <w:proofErr w:type="spellStart"/>
      <w:r w:rsidRPr="002800DB">
        <w:rPr>
          <w:sz w:val="24"/>
          <w:szCs w:val="24"/>
          <w:lang w:val="en-GB"/>
        </w:rPr>
        <w:t>Gd</w:t>
      </w:r>
      <w:proofErr w:type="spellEnd"/>
      <w:r w:rsidRPr="002800DB">
        <w:rPr>
          <w:sz w:val="24"/>
          <w:szCs w:val="24"/>
          <w:lang w:val="en-GB"/>
        </w:rPr>
        <w:t xml:space="preserve">+ lesions at baseline (mean number of </w:t>
      </w:r>
      <w:proofErr w:type="spellStart"/>
      <w:r w:rsidRPr="002800DB">
        <w:rPr>
          <w:sz w:val="24"/>
          <w:szCs w:val="24"/>
          <w:lang w:val="en-GB"/>
        </w:rPr>
        <w:t>Gd</w:t>
      </w:r>
      <w:proofErr w:type="spellEnd"/>
      <w:r w:rsidRPr="002800DB">
        <w:rPr>
          <w:sz w:val="24"/>
          <w:szCs w:val="24"/>
          <w:lang w:val="en-GB"/>
        </w:rPr>
        <w:t>+ lesions 2.4).</w:t>
      </w:r>
    </w:p>
    <w:p w14:paraId="4A9B408C" w14:textId="77777777" w:rsidR="00BE17CF" w:rsidRPr="002800DB" w:rsidRDefault="00BE17CF" w:rsidP="00AC6C51">
      <w:pPr>
        <w:ind w:left="851"/>
        <w:rPr>
          <w:sz w:val="24"/>
          <w:szCs w:val="24"/>
          <w:lang w:val="en-GB"/>
        </w:rPr>
      </w:pPr>
    </w:p>
    <w:p w14:paraId="410823D6" w14:textId="77777777" w:rsidR="00BE17CF" w:rsidRPr="002800DB" w:rsidRDefault="00BE17CF" w:rsidP="00AC6C51">
      <w:pPr>
        <w:ind w:left="851"/>
        <w:rPr>
          <w:sz w:val="24"/>
          <w:szCs w:val="24"/>
          <w:lang w:val="en-GB"/>
        </w:rPr>
      </w:pPr>
      <w:r w:rsidRPr="002800DB">
        <w:rPr>
          <w:sz w:val="24"/>
          <w:szCs w:val="24"/>
          <w:lang w:val="en-GB"/>
        </w:rPr>
        <w:t>Compared to placebo, patients treated with dimethyl fumarate had a clinically meaningful and statistically significant reduction on: the primary endpoint in study DEFINE, proportion of patients relapsed at 2 years; and the primary endpoint in study CONFIRM, annualised relapse rate (ARR) at 2 years.</w:t>
      </w:r>
    </w:p>
    <w:p w14:paraId="70538E93" w14:textId="77777777" w:rsidR="00BE17CF" w:rsidRPr="002800DB" w:rsidRDefault="00BE17CF" w:rsidP="00AC6C51">
      <w:pPr>
        <w:ind w:left="851"/>
        <w:rPr>
          <w:sz w:val="24"/>
          <w:szCs w:val="24"/>
          <w:lang w:val="en-GB"/>
        </w:rPr>
      </w:pPr>
    </w:p>
    <w:p w14:paraId="50918254" w14:textId="77777777" w:rsidR="00BE17CF" w:rsidRPr="002800DB" w:rsidRDefault="00BE17CF" w:rsidP="00BE17CF">
      <w:pPr>
        <w:keepNext/>
        <w:keepLines/>
        <w:ind w:left="1134" w:hanging="1134"/>
        <w:rPr>
          <w:b/>
          <w:sz w:val="24"/>
          <w:szCs w:val="24"/>
          <w:lang w:val="en-GB"/>
        </w:rPr>
      </w:pPr>
      <w:r w:rsidRPr="002800DB">
        <w:rPr>
          <w:b/>
          <w:sz w:val="24"/>
          <w:szCs w:val="24"/>
          <w:lang w:val="en-GB"/>
        </w:rPr>
        <w:t>Table 4</w:t>
      </w:r>
      <w:r w:rsidRPr="002800DB">
        <w:rPr>
          <w:b/>
          <w:sz w:val="24"/>
          <w:szCs w:val="24"/>
          <w:lang w:val="en-GB"/>
        </w:rPr>
        <w:tab/>
        <w:t>Clinical and MRI endpoints for studies DEFINE and CONFIRM</w:t>
      </w:r>
    </w:p>
    <w:p w14:paraId="7941C420" w14:textId="77777777" w:rsidR="00BE17CF" w:rsidRPr="002800DB" w:rsidRDefault="00BE17CF" w:rsidP="00BE17CF">
      <w:pPr>
        <w:keepNext/>
        <w:keepLines/>
        <w:ind w:left="567" w:hanging="567"/>
        <w:rPr>
          <w:sz w:val="24"/>
          <w:szCs w:val="24"/>
          <w:lang w:val="en-GB"/>
        </w:rPr>
      </w:pPr>
    </w:p>
    <w:tbl>
      <w:tblPr>
        <w:tblStyle w:val="Tabel-Gitter"/>
        <w:tblW w:w="5000" w:type="pct"/>
        <w:tblInd w:w="0" w:type="dxa"/>
        <w:tblLook w:val="04A0" w:firstRow="1" w:lastRow="0" w:firstColumn="1" w:lastColumn="0" w:noHBand="0" w:noVBand="1"/>
      </w:tblPr>
      <w:tblGrid>
        <w:gridCol w:w="3308"/>
        <w:gridCol w:w="1053"/>
        <w:gridCol w:w="1356"/>
        <w:gridCol w:w="1053"/>
        <w:gridCol w:w="1356"/>
        <w:gridCol w:w="1502"/>
      </w:tblGrid>
      <w:tr w:rsidR="00BE17CF" w:rsidRPr="006174AA" w14:paraId="500C1A94" w14:textId="77777777" w:rsidTr="00AC6C51">
        <w:trPr>
          <w:tblHeader/>
        </w:trPr>
        <w:tc>
          <w:tcPr>
            <w:tcW w:w="1718" w:type="pct"/>
            <w:tcBorders>
              <w:top w:val="single" w:sz="4" w:space="0" w:color="auto"/>
              <w:left w:val="single" w:sz="4" w:space="0" w:color="auto"/>
              <w:bottom w:val="single" w:sz="4" w:space="0" w:color="auto"/>
              <w:right w:val="single" w:sz="4" w:space="0" w:color="auto"/>
            </w:tcBorders>
          </w:tcPr>
          <w:p w14:paraId="6B0E0A3D" w14:textId="77777777" w:rsidR="00BE17CF" w:rsidRPr="006174AA" w:rsidRDefault="00BE17CF">
            <w:pPr>
              <w:keepNext/>
              <w:keepLines/>
              <w:rPr>
                <w:rFonts w:cs="Times New Roman"/>
                <w:sz w:val="22"/>
                <w:lang w:val="en-GB"/>
              </w:rPr>
            </w:pPr>
          </w:p>
        </w:tc>
        <w:tc>
          <w:tcPr>
            <w:tcW w:w="1251" w:type="pct"/>
            <w:gridSpan w:val="2"/>
            <w:tcBorders>
              <w:top w:val="single" w:sz="4" w:space="0" w:color="auto"/>
              <w:left w:val="single" w:sz="4" w:space="0" w:color="auto"/>
              <w:bottom w:val="single" w:sz="4" w:space="0" w:color="auto"/>
              <w:right w:val="single" w:sz="4" w:space="0" w:color="auto"/>
            </w:tcBorders>
            <w:hideMark/>
          </w:tcPr>
          <w:p w14:paraId="14ABC7DD" w14:textId="77777777" w:rsidR="00BE17CF" w:rsidRPr="006174AA" w:rsidRDefault="00BE17CF">
            <w:pPr>
              <w:keepNext/>
              <w:keepLines/>
              <w:ind w:left="-69" w:right="-102"/>
              <w:jc w:val="center"/>
              <w:rPr>
                <w:rFonts w:cs="Times New Roman"/>
                <w:b/>
                <w:sz w:val="22"/>
                <w:lang w:val="en-GB"/>
              </w:rPr>
            </w:pPr>
            <w:r w:rsidRPr="006174AA">
              <w:rPr>
                <w:rFonts w:cs="Times New Roman"/>
                <w:b/>
                <w:sz w:val="22"/>
                <w:lang w:val="en-GB"/>
              </w:rPr>
              <w:t>DEFINE</w:t>
            </w:r>
          </w:p>
        </w:tc>
        <w:tc>
          <w:tcPr>
            <w:tcW w:w="2031" w:type="pct"/>
            <w:gridSpan w:val="3"/>
            <w:tcBorders>
              <w:top w:val="single" w:sz="4" w:space="0" w:color="auto"/>
              <w:left w:val="single" w:sz="4" w:space="0" w:color="auto"/>
              <w:bottom w:val="single" w:sz="4" w:space="0" w:color="auto"/>
              <w:right w:val="single" w:sz="4" w:space="0" w:color="auto"/>
            </w:tcBorders>
            <w:hideMark/>
          </w:tcPr>
          <w:p w14:paraId="1D1F2CF3" w14:textId="77777777" w:rsidR="00BE17CF" w:rsidRPr="006174AA" w:rsidRDefault="00BE17CF">
            <w:pPr>
              <w:keepNext/>
              <w:keepLines/>
              <w:ind w:right="-110"/>
              <w:jc w:val="center"/>
              <w:rPr>
                <w:rFonts w:cs="Times New Roman"/>
                <w:b/>
                <w:sz w:val="22"/>
                <w:lang w:val="en-GB"/>
              </w:rPr>
            </w:pPr>
            <w:r w:rsidRPr="006174AA">
              <w:rPr>
                <w:rFonts w:cs="Times New Roman"/>
                <w:b/>
                <w:sz w:val="22"/>
                <w:lang w:val="en-GB"/>
              </w:rPr>
              <w:t>CONFIRM</w:t>
            </w:r>
          </w:p>
        </w:tc>
      </w:tr>
      <w:tr w:rsidR="00BE17CF" w:rsidRPr="006174AA" w14:paraId="2A0D4765" w14:textId="77777777" w:rsidTr="00AC6C51">
        <w:trPr>
          <w:tblHeader/>
        </w:trPr>
        <w:tc>
          <w:tcPr>
            <w:tcW w:w="1718" w:type="pct"/>
            <w:tcBorders>
              <w:top w:val="single" w:sz="4" w:space="0" w:color="auto"/>
              <w:left w:val="single" w:sz="4" w:space="0" w:color="auto"/>
              <w:bottom w:val="single" w:sz="4" w:space="0" w:color="auto"/>
              <w:right w:val="single" w:sz="4" w:space="0" w:color="auto"/>
            </w:tcBorders>
          </w:tcPr>
          <w:p w14:paraId="7B64715C" w14:textId="77777777" w:rsidR="00BE17CF" w:rsidRPr="006174AA" w:rsidRDefault="00BE17CF">
            <w:pPr>
              <w:rPr>
                <w:rFonts w:cs="Times New Roman"/>
                <w:sz w:val="22"/>
                <w:lang w:val="en-GB"/>
              </w:rPr>
            </w:pPr>
          </w:p>
        </w:tc>
        <w:tc>
          <w:tcPr>
            <w:tcW w:w="547" w:type="pct"/>
            <w:tcBorders>
              <w:top w:val="single" w:sz="4" w:space="0" w:color="auto"/>
              <w:left w:val="single" w:sz="4" w:space="0" w:color="auto"/>
              <w:bottom w:val="single" w:sz="4" w:space="0" w:color="auto"/>
              <w:right w:val="single" w:sz="4" w:space="0" w:color="auto"/>
            </w:tcBorders>
            <w:hideMark/>
          </w:tcPr>
          <w:p w14:paraId="575DCF35" w14:textId="77777777" w:rsidR="00BE17CF" w:rsidRPr="006174AA" w:rsidRDefault="00BE17CF">
            <w:pPr>
              <w:ind w:right="-247"/>
              <w:rPr>
                <w:rFonts w:cs="Times New Roman"/>
                <w:b/>
                <w:sz w:val="22"/>
                <w:lang w:val="en-GB"/>
              </w:rPr>
            </w:pPr>
            <w:r w:rsidRPr="006174AA">
              <w:rPr>
                <w:rFonts w:cs="Times New Roman"/>
                <w:b/>
                <w:sz w:val="22"/>
                <w:lang w:val="en-GB"/>
              </w:rPr>
              <w:t>Placebo</w:t>
            </w:r>
          </w:p>
        </w:tc>
        <w:tc>
          <w:tcPr>
            <w:tcW w:w="704" w:type="pct"/>
            <w:tcBorders>
              <w:top w:val="single" w:sz="4" w:space="0" w:color="auto"/>
              <w:left w:val="single" w:sz="4" w:space="0" w:color="auto"/>
              <w:bottom w:val="single" w:sz="4" w:space="0" w:color="auto"/>
              <w:right w:val="single" w:sz="4" w:space="0" w:color="auto"/>
            </w:tcBorders>
            <w:hideMark/>
          </w:tcPr>
          <w:p w14:paraId="44E2F69A" w14:textId="77777777" w:rsidR="00BE17CF" w:rsidRPr="006174AA" w:rsidRDefault="00BE17CF">
            <w:pPr>
              <w:ind w:right="-107" w:hanging="4"/>
              <w:rPr>
                <w:rFonts w:cs="Times New Roman"/>
                <w:b/>
                <w:sz w:val="22"/>
                <w:lang w:val="en-GB"/>
              </w:rPr>
            </w:pPr>
            <w:r w:rsidRPr="006174AA">
              <w:rPr>
                <w:rFonts w:cs="Times New Roman"/>
                <w:b/>
                <w:sz w:val="22"/>
                <w:lang w:val="en-GB"/>
              </w:rPr>
              <w:t>Dimethyl fumarate 240 mg twice a day</w:t>
            </w:r>
          </w:p>
        </w:tc>
        <w:tc>
          <w:tcPr>
            <w:tcW w:w="547" w:type="pct"/>
            <w:tcBorders>
              <w:top w:val="single" w:sz="4" w:space="0" w:color="auto"/>
              <w:left w:val="single" w:sz="4" w:space="0" w:color="auto"/>
              <w:bottom w:val="single" w:sz="4" w:space="0" w:color="auto"/>
              <w:right w:val="single" w:sz="4" w:space="0" w:color="auto"/>
            </w:tcBorders>
            <w:hideMark/>
          </w:tcPr>
          <w:p w14:paraId="521B3D53" w14:textId="77777777" w:rsidR="00BE17CF" w:rsidRPr="006174AA" w:rsidRDefault="00BE17CF">
            <w:pPr>
              <w:ind w:right="-247"/>
              <w:rPr>
                <w:rFonts w:cs="Times New Roman"/>
                <w:b/>
                <w:sz w:val="22"/>
                <w:lang w:val="en-GB"/>
              </w:rPr>
            </w:pPr>
            <w:r w:rsidRPr="006174AA">
              <w:rPr>
                <w:rFonts w:cs="Times New Roman"/>
                <w:b/>
                <w:sz w:val="22"/>
                <w:lang w:val="en-GB"/>
              </w:rPr>
              <w:t>Placebo</w:t>
            </w:r>
          </w:p>
        </w:tc>
        <w:tc>
          <w:tcPr>
            <w:tcW w:w="704" w:type="pct"/>
            <w:tcBorders>
              <w:top w:val="single" w:sz="4" w:space="0" w:color="auto"/>
              <w:left w:val="single" w:sz="4" w:space="0" w:color="auto"/>
              <w:bottom w:val="single" w:sz="4" w:space="0" w:color="auto"/>
              <w:right w:val="single" w:sz="4" w:space="0" w:color="auto"/>
            </w:tcBorders>
            <w:hideMark/>
          </w:tcPr>
          <w:p w14:paraId="7A0C68A6" w14:textId="77777777" w:rsidR="00BE17CF" w:rsidRPr="006174AA" w:rsidRDefault="00BE17CF">
            <w:pPr>
              <w:ind w:right="-117"/>
              <w:rPr>
                <w:rFonts w:cs="Times New Roman"/>
                <w:b/>
                <w:sz w:val="22"/>
                <w:lang w:val="en-GB"/>
              </w:rPr>
            </w:pPr>
            <w:r w:rsidRPr="006174AA">
              <w:rPr>
                <w:rFonts w:cs="Times New Roman"/>
                <w:b/>
                <w:sz w:val="22"/>
                <w:lang w:val="en-GB"/>
              </w:rPr>
              <w:t>Dimethyl fumarate 240 mg twice a day</w:t>
            </w:r>
          </w:p>
        </w:tc>
        <w:tc>
          <w:tcPr>
            <w:tcW w:w="780" w:type="pct"/>
            <w:tcBorders>
              <w:top w:val="single" w:sz="4" w:space="0" w:color="auto"/>
              <w:left w:val="single" w:sz="4" w:space="0" w:color="auto"/>
              <w:bottom w:val="single" w:sz="4" w:space="0" w:color="auto"/>
              <w:right w:val="single" w:sz="4" w:space="0" w:color="auto"/>
            </w:tcBorders>
            <w:hideMark/>
          </w:tcPr>
          <w:p w14:paraId="49179DCB" w14:textId="77777777" w:rsidR="00BE17CF" w:rsidRPr="006174AA" w:rsidRDefault="00BE17CF">
            <w:pPr>
              <w:ind w:right="-108"/>
              <w:rPr>
                <w:rFonts w:cs="Times New Roman"/>
                <w:b/>
                <w:sz w:val="22"/>
                <w:lang w:val="en-GB"/>
              </w:rPr>
            </w:pPr>
            <w:r w:rsidRPr="006174AA">
              <w:rPr>
                <w:rFonts w:cs="Times New Roman"/>
                <w:b/>
                <w:sz w:val="22"/>
                <w:lang w:val="en-GB"/>
              </w:rPr>
              <w:t>Glatiramer acetate</w:t>
            </w:r>
          </w:p>
        </w:tc>
      </w:tr>
      <w:tr w:rsidR="00BE17CF" w:rsidRPr="006174AA" w14:paraId="62CE4924" w14:textId="77777777" w:rsidTr="00AC6C51">
        <w:tc>
          <w:tcPr>
            <w:tcW w:w="5000" w:type="pct"/>
            <w:gridSpan w:val="6"/>
            <w:tcBorders>
              <w:top w:val="single" w:sz="4" w:space="0" w:color="auto"/>
              <w:left w:val="single" w:sz="4" w:space="0" w:color="auto"/>
              <w:bottom w:val="single" w:sz="4" w:space="0" w:color="auto"/>
              <w:right w:val="single" w:sz="4" w:space="0" w:color="auto"/>
            </w:tcBorders>
            <w:hideMark/>
          </w:tcPr>
          <w:p w14:paraId="5A78AE94" w14:textId="77777777" w:rsidR="00BE17CF" w:rsidRPr="006174AA" w:rsidRDefault="00BE17CF">
            <w:pPr>
              <w:ind w:right="-107"/>
              <w:rPr>
                <w:rFonts w:cs="Times New Roman"/>
                <w:b/>
                <w:sz w:val="22"/>
                <w:lang w:val="en-GB"/>
              </w:rPr>
            </w:pPr>
            <w:r w:rsidRPr="006174AA">
              <w:rPr>
                <w:rFonts w:cs="Times New Roman"/>
                <w:b/>
                <w:sz w:val="22"/>
                <w:lang w:val="en-GB"/>
              </w:rPr>
              <w:t xml:space="preserve">Clinical </w:t>
            </w:r>
            <w:proofErr w:type="spellStart"/>
            <w:r w:rsidRPr="006174AA">
              <w:rPr>
                <w:rFonts w:cs="Times New Roman"/>
                <w:b/>
                <w:sz w:val="22"/>
                <w:lang w:val="en-GB"/>
              </w:rPr>
              <w:t>endpoints</w:t>
            </w:r>
            <w:r w:rsidRPr="006174AA">
              <w:rPr>
                <w:rFonts w:cs="Times New Roman"/>
                <w:b/>
                <w:sz w:val="22"/>
                <w:vertAlign w:val="superscript"/>
                <w:lang w:val="en-GB"/>
              </w:rPr>
              <w:t>a</w:t>
            </w:r>
            <w:proofErr w:type="spellEnd"/>
          </w:p>
        </w:tc>
      </w:tr>
      <w:tr w:rsidR="00BE17CF" w:rsidRPr="006174AA" w14:paraId="266E3355"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1ED8E111" w14:textId="77777777" w:rsidR="00BE17CF" w:rsidRPr="006174AA" w:rsidRDefault="00BE17CF">
            <w:pPr>
              <w:ind w:right="-107"/>
              <w:rPr>
                <w:rFonts w:cs="Times New Roman"/>
                <w:sz w:val="22"/>
                <w:lang w:val="en-GB"/>
              </w:rPr>
            </w:pPr>
            <w:r w:rsidRPr="006174AA">
              <w:rPr>
                <w:rFonts w:cs="Times New Roman"/>
                <w:sz w:val="22"/>
                <w:lang w:val="en-GB"/>
              </w:rPr>
              <w:t>No. patients</w:t>
            </w:r>
          </w:p>
        </w:tc>
        <w:tc>
          <w:tcPr>
            <w:tcW w:w="547" w:type="pct"/>
            <w:tcBorders>
              <w:top w:val="single" w:sz="4" w:space="0" w:color="auto"/>
              <w:left w:val="single" w:sz="4" w:space="0" w:color="auto"/>
              <w:bottom w:val="single" w:sz="4" w:space="0" w:color="auto"/>
              <w:right w:val="single" w:sz="4" w:space="0" w:color="auto"/>
            </w:tcBorders>
            <w:hideMark/>
          </w:tcPr>
          <w:p w14:paraId="013F0DBD" w14:textId="77777777" w:rsidR="00BE17CF" w:rsidRPr="006174AA" w:rsidRDefault="00BE17CF">
            <w:pPr>
              <w:ind w:right="-107"/>
              <w:rPr>
                <w:rFonts w:cs="Times New Roman"/>
                <w:sz w:val="22"/>
                <w:lang w:val="en-GB"/>
              </w:rPr>
            </w:pPr>
            <w:r w:rsidRPr="006174AA">
              <w:rPr>
                <w:rFonts w:cs="Times New Roman"/>
                <w:sz w:val="22"/>
                <w:lang w:val="en-GB"/>
              </w:rPr>
              <w:t>408</w:t>
            </w:r>
          </w:p>
        </w:tc>
        <w:tc>
          <w:tcPr>
            <w:tcW w:w="704" w:type="pct"/>
            <w:tcBorders>
              <w:top w:val="single" w:sz="4" w:space="0" w:color="auto"/>
              <w:left w:val="single" w:sz="4" w:space="0" w:color="auto"/>
              <w:bottom w:val="single" w:sz="4" w:space="0" w:color="auto"/>
              <w:right w:val="single" w:sz="4" w:space="0" w:color="auto"/>
            </w:tcBorders>
            <w:hideMark/>
          </w:tcPr>
          <w:p w14:paraId="6AFEC6DA" w14:textId="77777777" w:rsidR="00BE17CF" w:rsidRPr="006174AA" w:rsidRDefault="00BE17CF">
            <w:pPr>
              <w:ind w:right="-107"/>
              <w:rPr>
                <w:rFonts w:cs="Times New Roman"/>
                <w:sz w:val="22"/>
                <w:lang w:val="en-GB"/>
              </w:rPr>
            </w:pPr>
            <w:r w:rsidRPr="006174AA">
              <w:rPr>
                <w:rFonts w:cs="Times New Roman"/>
                <w:sz w:val="22"/>
                <w:lang w:val="en-GB"/>
              </w:rPr>
              <w:t>410</w:t>
            </w:r>
          </w:p>
        </w:tc>
        <w:tc>
          <w:tcPr>
            <w:tcW w:w="547" w:type="pct"/>
            <w:tcBorders>
              <w:top w:val="single" w:sz="4" w:space="0" w:color="auto"/>
              <w:left w:val="single" w:sz="4" w:space="0" w:color="auto"/>
              <w:bottom w:val="single" w:sz="4" w:space="0" w:color="auto"/>
              <w:right w:val="single" w:sz="4" w:space="0" w:color="auto"/>
            </w:tcBorders>
            <w:hideMark/>
          </w:tcPr>
          <w:p w14:paraId="4B1F8611" w14:textId="77777777" w:rsidR="00BE17CF" w:rsidRPr="006174AA" w:rsidRDefault="00BE17CF">
            <w:pPr>
              <w:ind w:right="-107"/>
              <w:rPr>
                <w:rFonts w:cs="Times New Roman"/>
                <w:sz w:val="22"/>
                <w:lang w:val="en-GB"/>
              </w:rPr>
            </w:pPr>
            <w:r w:rsidRPr="006174AA">
              <w:rPr>
                <w:rFonts w:cs="Times New Roman"/>
                <w:sz w:val="22"/>
                <w:lang w:val="en-GB"/>
              </w:rPr>
              <w:t>363</w:t>
            </w:r>
          </w:p>
        </w:tc>
        <w:tc>
          <w:tcPr>
            <w:tcW w:w="704" w:type="pct"/>
            <w:tcBorders>
              <w:top w:val="single" w:sz="4" w:space="0" w:color="auto"/>
              <w:left w:val="single" w:sz="4" w:space="0" w:color="auto"/>
              <w:bottom w:val="single" w:sz="4" w:space="0" w:color="auto"/>
              <w:right w:val="single" w:sz="4" w:space="0" w:color="auto"/>
            </w:tcBorders>
            <w:hideMark/>
          </w:tcPr>
          <w:p w14:paraId="13671CB6" w14:textId="77777777" w:rsidR="00BE17CF" w:rsidRPr="006174AA" w:rsidRDefault="00BE17CF">
            <w:pPr>
              <w:ind w:right="-107"/>
              <w:rPr>
                <w:rFonts w:cs="Times New Roman"/>
                <w:sz w:val="22"/>
                <w:lang w:val="en-GB"/>
              </w:rPr>
            </w:pPr>
            <w:r w:rsidRPr="006174AA">
              <w:rPr>
                <w:rFonts w:cs="Times New Roman"/>
                <w:sz w:val="22"/>
                <w:lang w:val="en-GB"/>
              </w:rPr>
              <w:t>359</w:t>
            </w:r>
          </w:p>
        </w:tc>
        <w:tc>
          <w:tcPr>
            <w:tcW w:w="780" w:type="pct"/>
            <w:tcBorders>
              <w:top w:val="single" w:sz="4" w:space="0" w:color="auto"/>
              <w:left w:val="single" w:sz="4" w:space="0" w:color="auto"/>
              <w:bottom w:val="single" w:sz="4" w:space="0" w:color="auto"/>
              <w:right w:val="single" w:sz="4" w:space="0" w:color="auto"/>
            </w:tcBorders>
            <w:hideMark/>
          </w:tcPr>
          <w:p w14:paraId="75C5201F" w14:textId="77777777" w:rsidR="00BE17CF" w:rsidRPr="006174AA" w:rsidRDefault="00BE17CF">
            <w:pPr>
              <w:ind w:right="-107"/>
              <w:rPr>
                <w:rFonts w:cs="Times New Roman"/>
                <w:sz w:val="22"/>
                <w:lang w:val="en-GB"/>
              </w:rPr>
            </w:pPr>
            <w:r w:rsidRPr="006174AA">
              <w:rPr>
                <w:rFonts w:cs="Times New Roman"/>
                <w:sz w:val="22"/>
                <w:lang w:val="en-GB"/>
              </w:rPr>
              <w:t>350</w:t>
            </w:r>
          </w:p>
        </w:tc>
      </w:tr>
      <w:tr w:rsidR="00BE17CF" w:rsidRPr="006174AA" w14:paraId="592EE1EE"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6CB41746" w14:textId="77777777" w:rsidR="00BE17CF" w:rsidRPr="006174AA" w:rsidRDefault="00BE17CF">
            <w:pPr>
              <w:ind w:right="-107"/>
              <w:rPr>
                <w:rFonts w:cs="Times New Roman"/>
                <w:sz w:val="22"/>
                <w:lang w:val="en-GB"/>
              </w:rPr>
            </w:pPr>
            <w:r w:rsidRPr="006174AA">
              <w:rPr>
                <w:rFonts w:cs="Times New Roman"/>
                <w:sz w:val="22"/>
                <w:lang w:val="en-GB"/>
              </w:rPr>
              <w:t>Annualised relapse rate</w:t>
            </w:r>
          </w:p>
        </w:tc>
        <w:tc>
          <w:tcPr>
            <w:tcW w:w="547" w:type="pct"/>
            <w:tcBorders>
              <w:top w:val="single" w:sz="4" w:space="0" w:color="auto"/>
              <w:left w:val="single" w:sz="4" w:space="0" w:color="auto"/>
              <w:bottom w:val="single" w:sz="4" w:space="0" w:color="auto"/>
              <w:right w:val="single" w:sz="4" w:space="0" w:color="auto"/>
            </w:tcBorders>
            <w:hideMark/>
          </w:tcPr>
          <w:p w14:paraId="53EDB8A3" w14:textId="77777777" w:rsidR="00BE17CF" w:rsidRPr="006174AA" w:rsidRDefault="00BE17CF">
            <w:pPr>
              <w:ind w:right="-107"/>
              <w:rPr>
                <w:rFonts w:cs="Times New Roman"/>
                <w:sz w:val="22"/>
                <w:lang w:val="en-GB"/>
              </w:rPr>
            </w:pPr>
            <w:r w:rsidRPr="006174AA">
              <w:rPr>
                <w:rFonts w:cs="Times New Roman"/>
                <w:sz w:val="22"/>
                <w:lang w:val="en-GB"/>
              </w:rPr>
              <w:t>0.364</w:t>
            </w:r>
          </w:p>
        </w:tc>
        <w:tc>
          <w:tcPr>
            <w:tcW w:w="704" w:type="pct"/>
            <w:tcBorders>
              <w:top w:val="single" w:sz="4" w:space="0" w:color="auto"/>
              <w:left w:val="single" w:sz="4" w:space="0" w:color="auto"/>
              <w:bottom w:val="single" w:sz="4" w:space="0" w:color="auto"/>
              <w:right w:val="single" w:sz="4" w:space="0" w:color="auto"/>
            </w:tcBorders>
            <w:hideMark/>
          </w:tcPr>
          <w:p w14:paraId="61D127BE" w14:textId="77777777" w:rsidR="00BE17CF" w:rsidRPr="006174AA" w:rsidRDefault="00BE17CF">
            <w:pPr>
              <w:ind w:right="-107"/>
              <w:rPr>
                <w:rFonts w:cs="Times New Roman"/>
                <w:sz w:val="22"/>
                <w:lang w:val="en-GB"/>
              </w:rPr>
            </w:pPr>
            <w:r w:rsidRPr="006174AA">
              <w:rPr>
                <w:rFonts w:cs="Times New Roman"/>
                <w:sz w:val="22"/>
                <w:lang w:val="en-GB"/>
              </w:rPr>
              <w:t>0.172***</w:t>
            </w:r>
          </w:p>
        </w:tc>
        <w:tc>
          <w:tcPr>
            <w:tcW w:w="547" w:type="pct"/>
            <w:tcBorders>
              <w:top w:val="single" w:sz="4" w:space="0" w:color="auto"/>
              <w:left w:val="single" w:sz="4" w:space="0" w:color="auto"/>
              <w:bottom w:val="single" w:sz="4" w:space="0" w:color="auto"/>
              <w:right w:val="single" w:sz="4" w:space="0" w:color="auto"/>
            </w:tcBorders>
            <w:hideMark/>
          </w:tcPr>
          <w:p w14:paraId="2FEE9EC2" w14:textId="77777777" w:rsidR="00BE17CF" w:rsidRPr="006174AA" w:rsidRDefault="00BE17CF">
            <w:pPr>
              <w:ind w:right="-107"/>
              <w:rPr>
                <w:rFonts w:cs="Times New Roman"/>
                <w:sz w:val="22"/>
                <w:lang w:val="en-GB"/>
              </w:rPr>
            </w:pPr>
            <w:r w:rsidRPr="006174AA">
              <w:rPr>
                <w:rFonts w:cs="Times New Roman"/>
                <w:sz w:val="22"/>
                <w:lang w:val="en-GB"/>
              </w:rPr>
              <w:t>0.401</w:t>
            </w:r>
          </w:p>
        </w:tc>
        <w:tc>
          <w:tcPr>
            <w:tcW w:w="704" w:type="pct"/>
            <w:tcBorders>
              <w:top w:val="single" w:sz="4" w:space="0" w:color="auto"/>
              <w:left w:val="single" w:sz="4" w:space="0" w:color="auto"/>
              <w:bottom w:val="single" w:sz="4" w:space="0" w:color="auto"/>
              <w:right w:val="single" w:sz="4" w:space="0" w:color="auto"/>
            </w:tcBorders>
            <w:hideMark/>
          </w:tcPr>
          <w:p w14:paraId="704D402E" w14:textId="77777777" w:rsidR="00BE17CF" w:rsidRPr="006174AA" w:rsidRDefault="00BE17CF">
            <w:pPr>
              <w:ind w:right="-107"/>
              <w:rPr>
                <w:rFonts w:cs="Times New Roman"/>
                <w:sz w:val="22"/>
                <w:lang w:val="en-GB"/>
              </w:rPr>
            </w:pPr>
            <w:r w:rsidRPr="006174AA">
              <w:rPr>
                <w:rFonts w:cs="Times New Roman"/>
                <w:sz w:val="22"/>
                <w:lang w:val="en-GB"/>
              </w:rPr>
              <w:t>0.224***</w:t>
            </w:r>
          </w:p>
        </w:tc>
        <w:tc>
          <w:tcPr>
            <w:tcW w:w="780" w:type="pct"/>
            <w:tcBorders>
              <w:top w:val="single" w:sz="4" w:space="0" w:color="auto"/>
              <w:left w:val="single" w:sz="4" w:space="0" w:color="auto"/>
              <w:bottom w:val="single" w:sz="4" w:space="0" w:color="auto"/>
              <w:right w:val="single" w:sz="4" w:space="0" w:color="auto"/>
            </w:tcBorders>
            <w:hideMark/>
          </w:tcPr>
          <w:p w14:paraId="5EA41E65" w14:textId="77777777" w:rsidR="00BE17CF" w:rsidRPr="006174AA" w:rsidRDefault="00BE17CF">
            <w:pPr>
              <w:ind w:right="-107"/>
              <w:rPr>
                <w:rFonts w:cs="Times New Roman"/>
                <w:sz w:val="22"/>
                <w:lang w:val="en-GB"/>
              </w:rPr>
            </w:pPr>
            <w:r w:rsidRPr="006174AA">
              <w:rPr>
                <w:rFonts w:cs="Times New Roman"/>
                <w:sz w:val="22"/>
                <w:lang w:val="en-GB"/>
              </w:rPr>
              <w:t>0.286*</w:t>
            </w:r>
          </w:p>
        </w:tc>
      </w:tr>
      <w:tr w:rsidR="00BE17CF" w:rsidRPr="006174AA" w14:paraId="5CD70A6A"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769E4E1C" w14:textId="77777777" w:rsidR="00BE17CF" w:rsidRPr="006174AA" w:rsidRDefault="00BE17CF">
            <w:pPr>
              <w:ind w:left="601" w:right="602"/>
              <w:rPr>
                <w:rFonts w:cs="Times New Roman"/>
                <w:sz w:val="22"/>
                <w:lang w:val="en-GB"/>
              </w:rPr>
            </w:pPr>
            <w:r w:rsidRPr="006174AA">
              <w:rPr>
                <w:rFonts w:cs="Times New Roman"/>
                <w:sz w:val="22"/>
                <w:lang w:val="en-GB"/>
              </w:rPr>
              <w:t>Rate ratio (95% CI)</w:t>
            </w:r>
          </w:p>
        </w:tc>
        <w:tc>
          <w:tcPr>
            <w:tcW w:w="547" w:type="pct"/>
            <w:tcBorders>
              <w:top w:val="single" w:sz="4" w:space="0" w:color="auto"/>
              <w:left w:val="single" w:sz="4" w:space="0" w:color="auto"/>
              <w:bottom w:val="single" w:sz="4" w:space="0" w:color="auto"/>
              <w:right w:val="single" w:sz="4" w:space="0" w:color="auto"/>
            </w:tcBorders>
          </w:tcPr>
          <w:p w14:paraId="32278288" w14:textId="77777777" w:rsidR="00BE17CF" w:rsidRPr="006174AA" w:rsidRDefault="00BE17CF">
            <w:pPr>
              <w:ind w:right="-107"/>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30C766B6" w14:textId="77777777" w:rsidR="00BE17CF" w:rsidRPr="006174AA" w:rsidRDefault="00BE17CF">
            <w:pPr>
              <w:ind w:right="-107"/>
              <w:rPr>
                <w:rFonts w:cs="Times New Roman"/>
                <w:sz w:val="22"/>
                <w:lang w:val="en-GB"/>
              </w:rPr>
            </w:pPr>
            <w:r w:rsidRPr="006174AA">
              <w:rPr>
                <w:rFonts w:cs="Times New Roman"/>
                <w:sz w:val="22"/>
                <w:lang w:val="en-GB"/>
              </w:rPr>
              <w:t>0.47 (0.37, 0.61)</w:t>
            </w:r>
          </w:p>
        </w:tc>
        <w:tc>
          <w:tcPr>
            <w:tcW w:w="547" w:type="pct"/>
            <w:tcBorders>
              <w:top w:val="single" w:sz="4" w:space="0" w:color="auto"/>
              <w:left w:val="single" w:sz="4" w:space="0" w:color="auto"/>
              <w:bottom w:val="single" w:sz="4" w:space="0" w:color="auto"/>
              <w:right w:val="single" w:sz="4" w:space="0" w:color="auto"/>
            </w:tcBorders>
          </w:tcPr>
          <w:p w14:paraId="6CBC1CA5" w14:textId="77777777" w:rsidR="00BE17CF" w:rsidRPr="006174AA" w:rsidRDefault="00BE17CF">
            <w:pPr>
              <w:ind w:right="-107"/>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07A3DF8E" w14:textId="77777777" w:rsidR="00BE17CF" w:rsidRPr="006174AA" w:rsidRDefault="00BE17CF">
            <w:pPr>
              <w:ind w:right="-107"/>
              <w:rPr>
                <w:rFonts w:cs="Times New Roman"/>
                <w:sz w:val="22"/>
                <w:lang w:val="en-GB"/>
              </w:rPr>
            </w:pPr>
            <w:r w:rsidRPr="006174AA">
              <w:rPr>
                <w:rFonts w:cs="Times New Roman"/>
                <w:sz w:val="22"/>
                <w:lang w:val="en-GB"/>
              </w:rPr>
              <w:t>0.56 (0.42, 0.74)</w:t>
            </w:r>
          </w:p>
        </w:tc>
        <w:tc>
          <w:tcPr>
            <w:tcW w:w="780" w:type="pct"/>
            <w:tcBorders>
              <w:top w:val="single" w:sz="4" w:space="0" w:color="auto"/>
              <w:left w:val="single" w:sz="4" w:space="0" w:color="auto"/>
              <w:bottom w:val="single" w:sz="4" w:space="0" w:color="auto"/>
              <w:right w:val="single" w:sz="4" w:space="0" w:color="auto"/>
            </w:tcBorders>
            <w:hideMark/>
          </w:tcPr>
          <w:p w14:paraId="34C3F692" w14:textId="77777777" w:rsidR="00BE17CF" w:rsidRPr="006174AA" w:rsidRDefault="00BE17CF">
            <w:pPr>
              <w:ind w:right="-107"/>
              <w:rPr>
                <w:rFonts w:cs="Times New Roman"/>
                <w:sz w:val="22"/>
                <w:lang w:val="en-GB"/>
              </w:rPr>
            </w:pPr>
            <w:r w:rsidRPr="006174AA">
              <w:rPr>
                <w:rFonts w:cs="Times New Roman"/>
                <w:sz w:val="22"/>
                <w:lang w:val="en-GB"/>
              </w:rPr>
              <w:t>0.71 (0.55, 0.93)</w:t>
            </w:r>
          </w:p>
        </w:tc>
      </w:tr>
      <w:tr w:rsidR="00BE17CF" w:rsidRPr="006174AA" w14:paraId="3AF148B4"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40B77A5F" w14:textId="77777777" w:rsidR="00BE17CF" w:rsidRPr="006174AA" w:rsidRDefault="00BE17CF">
            <w:pPr>
              <w:ind w:right="-107"/>
              <w:rPr>
                <w:rFonts w:cs="Times New Roman"/>
                <w:sz w:val="22"/>
                <w:lang w:val="en-GB"/>
              </w:rPr>
            </w:pPr>
            <w:r w:rsidRPr="006174AA">
              <w:rPr>
                <w:rFonts w:cs="Times New Roman"/>
                <w:sz w:val="22"/>
                <w:lang w:val="en-GB"/>
              </w:rPr>
              <w:t>Proportion relapsed</w:t>
            </w:r>
          </w:p>
        </w:tc>
        <w:tc>
          <w:tcPr>
            <w:tcW w:w="547" w:type="pct"/>
            <w:tcBorders>
              <w:top w:val="single" w:sz="4" w:space="0" w:color="auto"/>
              <w:left w:val="single" w:sz="4" w:space="0" w:color="auto"/>
              <w:bottom w:val="single" w:sz="4" w:space="0" w:color="auto"/>
              <w:right w:val="single" w:sz="4" w:space="0" w:color="auto"/>
            </w:tcBorders>
            <w:hideMark/>
          </w:tcPr>
          <w:p w14:paraId="59DE5DA2" w14:textId="77777777" w:rsidR="00BE17CF" w:rsidRPr="006174AA" w:rsidRDefault="00BE17CF">
            <w:pPr>
              <w:ind w:right="-107"/>
              <w:rPr>
                <w:rFonts w:cs="Times New Roman"/>
                <w:sz w:val="22"/>
                <w:lang w:val="en-GB"/>
              </w:rPr>
            </w:pPr>
            <w:r w:rsidRPr="006174AA">
              <w:rPr>
                <w:rFonts w:cs="Times New Roman"/>
                <w:sz w:val="22"/>
                <w:lang w:val="en-GB"/>
              </w:rPr>
              <w:t>0.461</w:t>
            </w:r>
          </w:p>
        </w:tc>
        <w:tc>
          <w:tcPr>
            <w:tcW w:w="704" w:type="pct"/>
            <w:tcBorders>
              <w:top w:val="single" w:sz="4" w:space="0" w:color="auto"/>
              <w:left w:val="single" w:sz="4" w:space="0" w:color="auto"/>
              <w:bottom w:val="single" w:sz="4" w:space="0" w:color="auto"/>
              <w:right w:val="single" w:sz="4" w:space="0" w:color="auto"/>
            </w:tcBorders>
            <w:hideMark/>
          </w:tcPr>
          <w:p w14:paraId="42BB08DC" w14:textId="77777777" w:rsidR="00BE17CF" w:rsidRPr="006174AA" w:rsidRDefault="00BE17CF">
            <w:pPr>
              <w:ind w:right="-107"/>
              <w:rPr>
                <w:rFonts w:cs="Times New Roman"/>
                <w:sz w:val="22"/>
                <w:lang w:val="en-GB"/>
              </w:rPr>
            </w:pPr>
            <w:r w:rsidRPr="006174AA">
              <w:rPr>
                <w:rFonts w:cs="Times New Roman"/>
                <w:sz w:val="22"/>
                <w:lang w:val="en-GB"/>
              </w:rPr>
              <w:t>0.270***</w:t>
            </w:r>
          </w:p>
        </w:tc>
        <w:tc>
          <w:tcPr>
            <w:tcW w:w="547" w:type="pct"/>
            <w:tcBorders>
              <w:top w:val="single" w:sz="4" w:space="0" w:color="auto"/>
              <w:left w:val="single" w:sz="4" w:space="0" w:color="auto"/>
              <w:bottom w:val="single" w:sz="4" w:space="0" w:color="auto"/>
              <w:right w:val="single" w:sz="4" w:space="0" w:color="auto"/>
            </w:tcBorders>
            <w:hideMark/>
          </w:tcPr>
          <w:p w14:paraId="1C4FC72D" w14:textId="77777777" w:rsidR="00BE17CF" w:rsidRPr="006174AA" w:rsidRDefault="00BE17CF">
            <w:pPr>
              <w:ind w:right="-107"/>
              <w:rPr>
                <w:rFonts w:cs="Times New Roman"/>
                <w:sz w:val="22"/>
                <w:lang w:val="en-GB"/>
              </w:rPr>
            </w:pPr>
            <w:r w:rsidRPr="006174AA">
              <w:rPr>
                <w:rFonts w:cs="Times New Roman"/>
                <w:sz w:val="22"/>
                <w:lang w:val="en-GB"/>
              </w:rPr>
              <w:t>0.410</w:t>
            </w:r>
          </w:p>
        </w:tc>
        <w:tc>
          <w:tcPr>
            <w:tcW w:w="704" w:type="pct"/>
            <w:tcBorders>
              <w:top w:val="single" w:sz="4" w:space="0" w:color="auto"/>
              <w:left w:val="single" w:sz="4" w:space="0" w:color="auto"/>
              <w:bottom w:val="single" w:sz="4" w:space="0" w:color="auto"/>
              <w:right w:val="single" w:sz="4" w:space="0" w:color="auto"/>
            </w:tcBorders>
            <w:hideMark/>
          </w:tcPr>
          <w:p w14:paraId="3B98C85D" w14:textId="77777777" w:rsidR="00BE17CF" w:rsidRPr="006174AA" w:rsidRDefault="00BE17CF">
            <w:pPr>
              <w:ind w:right="-107"/>
              <w:rPr>
                <w:rFonts w:cs="Times New Roman"/>
                <w:sz w:val="22"/>
                <w:lang w:val="en-GB"/>
              </w:rPr>
            </w:pPr>
            <w:r w:rsidRPr="006174AA">
              <w:rPr>
                <w:rFonts w:cs="Times New Roman"/>
                <w:sz w:val="22"/>
                <w:lang w:val="en-GB"/>
              </w:rPr>
              <w:t>0.291**</w:t>
            </w:r>
          </w:p>
        </w:tc>
        <w:tc>
          <w:tcPr>
            <w:tcW w:w="780" w:type="pct"/>
            <w:tcBorders>
              <w:top w:val="single" w:sz="4" w:space="0" w:color="auto"/>
              <w:left w:val="single" w:sz="4" w:space="0" w:color="auto"/>
              <w:bottom w:val="single" w:sz="4" w:space="0" w:color="auto"/>
              <w:right w:val="single" w:sz="4" w:space="0" w:color="auto"/>
            </w:tcBorders>
            <w:hideMark/>
          </w:tcPr>
          <w:p w14:paraId="6F4B6868" w14:textId="77777777" w:rsidR="00BE17CF" w:rsidRPr="006174AA" w:rsidRDefault="00BE17CF">
            <w:pPr>
              <w:ind w:right="-107"/>
              <w:rPr>
                <w:rFonts w:cs="Times New Roman"/>
                <w:sz w:val="22"/>
                <w:lang w:val="en-GB"/>
              </w:rPr>
            </w:pPr>
            <w:r w:rsidRPr="006174AA">
              <w:rPr>
                <w:rFonts w:cs="Times New Roman"/>
                <w:sz w:val="22"/>
                <w:lang w:val="en-GB"/>
              </w:rPr>
              <w:t>0.321**</w:t>
            </w:r>
          </w:p>
        </w:tc>
      </w:tr>
      <w:tr w:rsidR="00BE17CF" w:rsidRPr="006174AA" w14:paraId="3B6E9112"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557F0305" w14:textId="77777777" w:rsidR="00BE17CF" w:rsidRPr="006174AA" w:rsidRDefault="00BE17CF">
            <w:pPr>
              <w:ind w:left="601" w:right="602"/>
              <w:rPr>
                <w:rFonts w:cs="Times New Roman"/>
                <w:sz w:val="22"/>
                <w:lang w:val="en-GB"/>
              </w:rPr>
            </w:pPr>
            <w:r w:rsidRPr="006174AA">
              <w:rPr>
                <w:rFonts w:cs="Times New Roman"/>
                <w:sz w:val="22"/>
                <w:lang w:val="en-GB"/>
              </w:rPr>
              <w:t>Hazard ratio (95% CI)</w:t>
            </w:r>
          </w:p>
        </w:tc>
        <w:tc>
          <w:tcPr>
            <w:tcW w:w="547" w:type="pct"/>
            <w:tcBorders>
              <w:top w:val="single" w:sz="4" w:space="0" w:color="auto"/>
              <w:left w:val="single" w:sz="4" w:space="0" w:color="auto"/>
              <w:bottom w:val="single" w:sz="4" w:space="0" w:color="auto"/>
              <w:right w:val="single" w:sz="4" w:space="0" w:color="auto"/>
            </w:tcBorders>
          </w:tcPr>
          <w:p w14:paraId="04A3CAA9"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1AA261D4" w14:textId="77777777" w:rsidR="00BE17CF" w:rsidRPr="006174AA" w:rsidRDefault="00BE17CF">
            <w:pPr>
              <w:rPr>
                <w:rFonts w:cs="Times New Roman"/>
                <w:sz w:val="22"/>
                <w:lang w:val="en-GB"/>
              </w:rPr>
            </w:pPr>
            <w:r w:rsidRPr="006174AA">
              <w:rPr>
                <w:rFonts w:cs="Times New Roman"/>
                <w:sz w:val="22"/>
                <w:lang w:val="en-GB"/>
              </w:rPr>
              <w:t>0.51 (0.40, 0.66)</w:t>
            </w:r>
          </w:p>
        </w:tc>
        <w:tc>
          <w:tcPr>
            <w:tcW w:w="547" w:type="pct"/>
            <w:tcBorders>
              <w:top w:val="single" w:sz="4" w:space="0" w:color="auto"/>
              <w:left w:val="single" w:sz="4" w:space="0" w:color="auto"/>
              <w:bottom w:val="single" w:sz="4" w:space="0" w:color="auto"/>
              <w:right w:val="single" w:sz="4" w:space="0" w:color="auto"/>
            </w:tcBorders>
          </w:tcPr>
          <w:p w14:paraId="628FD0D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424BA53E" w14:textId="77777777" w:rsidR="00BE17CF" w:rsidRPr="006174AA" w:rsidRDefault="00BE17CF">
            <w:pPr>
              <w:rPr>
                <w:rFonts w:cs="Times New Roman"/>
                <w:sz w:val="22"/>
                <w:lang w:val="en-GB"/>
              </w:rPr>
            </w:pPr>
            <w:r w:rsidRPr="006174AA">
              <w:rPr>
                <w:rFonts w:cs="Times New Roman"/>
                <w:sz w:val="22"/>
                <w:lang w:val="en-GB"/>
              </w:rPr>
              <w:t>0.66 (0.51, 0.86)</w:t>
            </w:r>
          </w:p>
        </w:tc>
        <w:tc>
          <w:tcPr>
            <w:tcW w:w="780" w:type="pct"/>
            <w:tcBorders>
              <w:top w:val="single" w:sz="4" w:space="0" w:color="auto"/>
              <w:left w:val="single" w:sz="4" w:space="0" w:color="auto"/>
              <w:bottom w:val="single" w:sz="4" w:space="0" w:color="auto"/>
              <w:right w:val="single" w:sz="4" w:space="0" w:color="auto"/>
            </w:tcBorders>
            <w:hideMark/>
          </w:tcPr>
          <w:p w14:paraId="6B0F0CE5" w14:textId="77777777" w:rsidR="00BE17CF" w:rsidRPr="006174AA" w:rsidRDefault="00BE17CF">
            <w:pPr>
              <w:rPr>
                <w:rFonts w:cs="Times New Roman"/>
                <w:sz w:val="22"/>
                <w:lang w:val="en-GB"/>
              </w:rPr>
            </w:pPr>
            <w:r w:rsidRPr="006174AA">
              <w:rPr>
                <w:rFonts w:cs="Times New Roman"/>
                <w:sz w:val="22"/>
                <w:lang w:val="en-GB"/>
              </w:rPr>
              <w:t>0.71 (0.55, 0.92)</w:t>
            </w:r>
          </w:p>
        </w:tc>
      </w:tr>
      <w:tr w:rsidR="00BE17CF" w:rsidRPr="006174AA" w14:paraId="66F5FCE9"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1BC03E53" w14:textId="77777777" w:rsidR="00BE17CF" w:rsidRPr="006174AA" w:rsidRDefault="00BE17CF">
            <w:pPr>
              <w:rPr>
                <w:rFonts w:cs="Times New Roman"/>
                <w:sz w:val="22"/>
                <w:lang w:val="en-GB"/>
              </w:rPr>
            </w:pPr>
            <w:r w:rsidRPr="006174AA">
              <w:rPr>
                <w:rFonts w:cs="Times New Roman"/>
                <w:sz w:val="22"/>
                <w:lang w:val="en-GB"/>
              </w:rPr>
              <w:t>Proportion with 12</w:t>
            </w:r>
            <w:r w:rsidRPr="006174AA">
              <w:rPr>
                <w:rFonts w:cs="Times New Roman"/>
                <w:sz w:val="22"/>
                <w:lang w:val="en-GB"/>
              </w:rPr>
              <w:noBreakHyphen/>
              <w:t>week confirmed disability progression</w:t>
            </w:r>
          </w:p>
        </w:tc>
        <w:tc>
          <w:tcPr>
            <w:tcW w:w="547" w:type="pct"/>
            <w:tcBorders>
              <w:top w:val="single" w:sz="4" w:space="0" w:color="auto"/>
              <w:left w:val="single" w:sz="4" w:space="0" w:color="auto"/>
              <w:bottom w:val="single" w:sz="4" w:space="0" w:color="auto"/>
              <w:right w:val="single" w:sz="4" w:space="0" w:color="auto"/>
            </w:tcBorders>
            <w:hideMark/>
          </w:tcPr>
          <w:p w14:paraId="3923C760" w14:textId="77777777" w:rsidR="00BE17CF" w:rsidRPr="006174AA" w:rsidRDefault="00BE17CF">
            <w:pPr>
              <w:rPr>
                <w:rFonts w:cs="Times New Roman"/>
                <w:sz w:val="22"/>
                <w:lang w:val="en-GB"/>
              </w:rPr>
            </w:pPr>
            <w:r w:rsidRPr="006174AA">
              <w:rPr>
                <w:rFonts w:cs="Times New Roman"/>
                <w:sz w:val="22"/>
                <w:lang w:val="en-GB"/>
              </w:rPr>
              <w:t>0.271</w:t>
            </w:r>
          </w:p>
        </w:tc>
        <w:tc>
          <w:tcPr>
            <w:tcW w:w="704" w:type="pct"/>
            <w:tcBorders>
              <w:top w:val="single" w:sz="4" w:space="0" w:color="auto"/>
              <w:left w:val="single" w:sz="4" w:space="0" w:color="auto"/>
              <w:bottom w:val="single" w:sz="4" w:space="0" w:color="auto"/>
              <w:right w:val="single" w:sz="4" w:space="0" w:color="auto"/>
            </w:tcBorders>
            <w:hideMark/>
          </w:tcPr>
          <w:p w14:paraId="2CA483D2" w14:textId="77777777" w:rsidR="00BE17CF" w:rsidRPr="006174AA" w:rsidRDefault="00BE17CF">
            <w:pPr>
              <w:rPr>
                <w:rFonts w:cs="Times New Roman"/>
                <w:sz w:val="22"/>
                <w:lang w:val="en-GB"/>
              </w:rPr>
            </w:pPr>
            <w:r w:rsidRPr="006174AA">
              <w:rPr>
                <w:rFonts w:cs="Times New Roman"/>
                <w:sz w:val="22"/>
                <w:lang w:val="en-GB"/>
              </w:rPr>
              <w:t>0.164**</w:t>
            </w:r>
          </w:p>
        </w:tc>
        <w:tc>
          <w:tcPr>
            <w:tcW w:w="547" w:type="pct"/>
            <w:tcBorders>
              <w:top w:val="single" w:sz="4" w:space="0" w:color="auto"/>
              <w:left w:val="single" w:sz="4" w:space="0" w:color="auto"/>
              <w:bottom w:val="single" w:sz="4" w:space="0" w:color="auto"/>
              <w:right w:val="single" w:sz="4" w:space="0" w:color="auto"/>
            </w:tcBorders>
            <w:hideMark/>
          </w:tcPr>
          <w:p w14:paraId="3E61CFE1" w14:textId="77777777" w:rsidR="00BE17CF" w:rsidRPr="006174AA" w:rsidRDefault="00BE17CF">
            <w:pPr>
              <w:rPr>
                <w:rFonts w:cs="Times New Roman"/>
                <w:sz w:val="22"/>
                <w:lang w:val="en-GB"/>
              </w:rPr>
            </w:pPr>
            <w:r w:rsidRPr="006174AA">
              <w:rPr>
                <w:rFonts w:cs="Times New Roman"/>
                <w:sz w:val="22"/>
                <w:lang w:val="en-GB"/>
              </w:rPr>
              <w:t>0.169</w:t>
            </w:r>
          </w:p>
        </w:tc>
        <w:tc>
          <w:tcPr>
            <w:tcW w:w="704" w:type="pct"/>
            <w:tcBorders>
              <w:top w:val="single" w:sz="4" w:space="0" w:color="auto"/>
              <w:left w:val="single" w:sz="4" w:space="0" w:color="auto"/>
              <w:bottom w:val="single" w:sz="4" w:space="0" w:color="auto"/>
              <w:right w:val="single" w:sz="4" w:space="0" w:color="auto"/>
            </w:tcBorders>
            <w:hideMark/>
          </w:tcPr>
          <w:p w14:paraId="4970B43E" w14:textId="77777777" w:rsidR="00BE17CF" w:rsidRPr="006174AA" w:rsidRDefault="00BE17CF">
            <w:pPr>
              <w:rPr>
                <w:rFonts w:cs="Times New Roman"/>
                <w:sz w:val="22"/>
                <w:lang w:val="en-GB"/>
              </w:rPr>
            </w:pPr>
            <w:r w:rsidRPr="006174AA">
              <w:rPr>
                <w:rFonts w:cs="Times New Roman"/>
                <w:sz w:val="22"/>
                <w:lang w:val="en-GB"/>
              </w:rPr>
              <w:t>0.128#</w:t>
            </w:r>
          </w:p>
        </w:tc>
        <w:tc>
          <w:tcPr>
            <w:tcW w:w="780" w:type="pct"/>
            <w:tcBorders>
              <w:top w:val="single" w:sz="4" w:space="0" w:color="auto"/>
              <w:left w:val="single" w:sz="4" w:space="0" w:color="auto"/>
              <w:bottom w:val="single" w:sz="4" w:space="0" w:color="auto"/>
              <w:right w:val="single" w:sz="4" w:space="0" w:color="auto"/>
            </w:tcBorders>
            <w:hideMark/>
          </w:tcPr>
          <w:p w14:paraId="03BF8FA2" w14:textId="77777777" w:rsidR="00BE17CF" w:rsidRPr="006174AA" w:rsidRDefault="00BE17CF">
            <w:pPr>
              <w:rPr>
                <w:rFonts w:cs="Times New Roman"/>
                <w:sz w:val="22"/>
                <w:lang w:val="en-GB"/>
              </w:rPr>
            </w:pPr>
            <w:r w:rsidRPr="006174AA">
              <w:rPr>
                <w:rFonts w:cs="Times New Roman"/>
                <w:sz w:val="22"/>
                <w:lang w:val="en-GB"/>
              </w:rPr>
              <w:t>0.156#</w:t>
            </w:r>
          </w:p>
        </w:tc>
      </w:tr>
      <w:tr w:rsidR="00BE17CF" w:rsidRPr="006174AA" w14:paraId="4B16114D"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05F4664B" w14:textId="77777777" w:rsidR="00BE17CF" w:rsidRPr="006174AA" w:rsidRDefault="00BE17CF">
            <w:pPr>
              <w:ind w:left="601" w:right="602"/>
              <w:rPr>
                <w:rFonts w:cs="Times New Roman"/>
                <w:sz w:val="22"/>
                <w:lang w:val="en-GB"/>
              </w:rPr>
            </w:pPr>
            <w:r w:rsidRPr="006174AA">
              <w:rPr>
                <w:rFonts w:cs="Times New Roman"/>
                <w:sz w:val="22"/>
                <w:lang w:val="en-GB"/>
              </w:rPr>
              <w:t>Hazard ratio (95% CI)</w:t>
            </w:r>
          </w:p>
        </w:tc>
        <w:tc>
          <w:tcPr>
            <w:tcW w:w="547" w:type="pct"/>
            <w:tcBorders>
              <w:top w:val="single" w:sz="4" w:space="0" w:color="auto"/>
              <w:left w:val="single" w:sz="4" w:space="0" w:color="auto"/>
              <w:bottom w:val="single" w:sz="4" w:space="0" w:color="auto"/>
              <w:right w:val="single" w:sz="4" w:space="0" w:color="auto"/>
            </w:tcBorders>
          </w:tcPr>
          <w:p w14:paraId="0C04F11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34A1A86B" w14:textId="77777777" w:rsidR="00BE17CF" w:rsidRPr="006174AA" w:rsidRDefault="00BE17CF">
            <w:pPr>
              <w:rPr>
                <w:rFonts w:cs="Times New Roman"/>
                <w:sz w:val="22"/>
                <w:lang w:val="en-GB"/>
              </w:rPr>
            </w:pPr>
            <w:r w:rsidRPr="006174AA">
              <w:rPr>
                <w:rFonts w:cs="Times New Roman"/>
                <w:sz w:val="22"/>
                <w:lang w:val="en-GB"/>
              </w:rPr>
              <w:t>0.62 (0.44, 0.87)</w:t>
            </w:r>
          </w:p>
        </w:tc>
        <w:tc>
          <w:tcPr>
            <w:tcW w:w="547" w:type="pct"/>
            <w:tcBorders>
              <w:top w:val="single" w:sz="4" w:space="0" w:color="auto"/>
              <w:left w:val="single" w:sz="4" w:space="0" w:color="auto"/>
              <w:bottom w:val="single" w:sz="4" w:space="0" w:color="auto"/>
              <w:right w:val="single" w:sz="4" w:space="0" w:color="auto"/>
            </w:tcBorders>
          </w:tcPr>
          <w:p w14:paraId="38C6D90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3F80B84F" w14:textId="77777777" w:rsidR="00BE17CF" w:rsidRPr="006174AA" w:rsidRDefault="00BE17CF">
            <w:pPr>
              <w:rPr>
                <w:rFonts w:cs="Times New Roman"/>
                <w:sz w:val="22"/>
                <w:lang w:val="en-GB"/>
              </w:rPr>
            </w:pPr>
            <w:r w:rsidRPr="006174AA">
              <w:rPr>
                <w:rFonts w:cs="Times New Roman"/>
                <w:sz w:val="22"/>
                <w:lang w:val="en-GB"/>
              </w:rPr>
              <w:t>0.79 (0.52, 1.19)</w:t>
            </w:r>
          </w:p>
        </w:tc>
        <w:tc>
          <w:tcPr>
            <w:tcW w:w="780" w:type="pct"/>
            <w:tcBorders>
              <w:top w:val="single" w:sz="4" w:space="0" w:color="auto"/>
              <w:left w:val="single" w:sz="4" w:space="0" w:color="auto"/>
              <w:bottom w:val="single" w:sz="4" w:space="0" w:color="auto"/>
              <w:right w:val="single" w:sz="4" w:space="0" w:color="auto"/>
            </w:tcBorders>
            <w:hideMark/>
          </w:tcPr>
          <w:p w14:paraId="482B9593" w14:textId="77777777" w:rsidR="00BE17CF" w:rsidRPr="006174AA" w:rsidRDefault="00BE17CF">
            <w:pPr>
              <w:rPr>
                <w:rFonts w:cs="Times New Roman"/>
                <w:sz w:val="22"/>
                <w:lang w:val="en-GB"/>
              </w:rPr>
            </w:pPr>
            <w:r w:rsidRPr="006174AA">
              <w:rPr>
                <w:rFonts w:cs="Times New Roman"/>
                <w:sz w:val="22"/>
                <w:lang w:val="en-GB"/>
              </w:rPr>
              <w:t>0.93 (0.63, 1.37)</w:t>
            </w:r>
          </w:p>
        </w:tc>
      </w:tr>
      <w:tr w:rsidR="00BE17CF" w:rsidRPr="006174AA" w14:paraId="31D38D4F"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28A29C34" w14:textId="77777777" w:rsidR="00BE17CF" w:rsidRPr="006174AA" w:rsidRDefault="00BE17CF">
            <w:pPr>
              <w:rPr>
                <w:rFonts w:cs="Times New Roman"/>
                <w:sz w:val="22"/>
                <w:lang w:val="en-GB"/>
              </w:rPr>
            </w:pPr>
            <w:r w:rsidRPr="006174AA">
              <w:rPr>
                <w:rFonts w:cs="Times New Roman"/>
                <w:sz w:val="22"/>
                <w:lang w:val="en-GB"/>
              </w:rPr>
              <w:t>Proportion with 24</w:t>
            </w:r>
            <w:r w:rsidRPr="006174AA">
              <w:rPr>
                <w:rFonts w:cs="Times New Roman"/>
                <w:sz w:val="22"/>
                <w:lang w:val="en-GB"/>
              </w:rPr>
              <w:noBreakHyphen/>
              <w:t>week confirmed disability progression</w:t>
            </w:r>
          </w:p>
        </w:tc>
        <w:tc>
          <w:tcPr>
            <w:tcW w:w="547" w:type="pct"/>
            <w:tcBorders>
              <w:top w:val="single" w:sz="4" w:space="0" w:color="auto"/>
              <w:left w:val="single" w:sz="4" w:space="0" w:color="auto"/>
              <w:bottom w:val="single" w:sz="4" w:space="0" w:color="auto"/>
              <w:right w:val="single" w:sz="4" w:space="0" w:color="auto"/>
            </w:tcBorders>
            <w:hideMark/>
          </w:tcPr>
          <w:p w14:paraId="014F3995" w14:textId="77777777" w:rsidR="00BE17CF" w:rsidRPr="006174AA" w:rsidRDefault="00BE17CF">
            <w:pPr>
              <w:rPr>
                <w:rFonts w:cs="Times New Roman"/>
                <w:sz w:val="22"/>
                <w:lang w:val="en-GB"/>
              </w:rPr>
            </w:pPr>
            <w:r w:rsidRPr="006174AA">
              <w:rPr>
                <w:rFonts w:cs="Times New Roman"/>
                <w:sz w:val="22"/>
                <w:lang w:val="en-GB"/>
              </w:rPr>
              <w:t>0.169</w:t>
            </w:r>
          </w:p>
        </w:tc>
        <w:tc>
          <w:tcPr>
            <w:tcW w:w="704" w:type="pct"/>
            <w:tcBorders>
              <w:top w:val="single" w:sz="4" w:space="0" w:color="auto"/>
              <w:left w:val="single" w:sz="4" w:space="0" w:color="auto"/>
              <w:bottom w:val="single" w:sz="4" w:space="0" w:color="auto"/>
              <w:right w:val="single" w:sz="4" w:space="0" w:color="auto"/>
            </w:tcBorders>
            <w:hideMark/>
          </w:tcPr>
          <w:p w14:paraId="5760AF91" w14:textId="77777777" w:rsidR="00BE17CF" w:rsidRPr="006174AA" w:rsidRDefault="00BE17CF">
            <w:pPr>
              <w:rPr>
                <w:rFonts w:cs="Times New Roman"/>
                <w:sz w:val="22"/>
                <w:lang w:val="en-GB"/>
              </w:rPr>
            </w:pPr>
            <w:r w:rsidRPr="006174AA">
              <w:rPr>
                <w:rFonts w:cs="Times New Roman"/>
                <w:sz w:val="22"/>
                <w:lang w:val="en-GB"/>
              </w:rPr>
              <w:t>0.128#</w:t>
            </w:r>
          </w:p>
        </w:tc>
        <w:tc>
          <w:tcPr>
            <w:tcW w:w="547" w:type="pct"/>
            <w:tcBorders>
              <w:top w:val="single" w:sz="4" w:space="0" w:color="auto"/>
              <w:left w:val="single" w:sz="4" w:space="0" w:color="auto"/>
              <w:bottom w:val="single" w:sz="4" w:space="0" w:color="auto"/>
              <w:right w:val="single" w:sz="4" w:space="0" w:color="auto"/>
            </w:tcBorders>
            <w:hideMark/>
          </w:tcPr>
          <w:p w14:paraId="333C2E7C" w14:textId="77777777" w:rsidR="00BE17CF" w:rsidRPr="006174AA" w:rsidRDefault="00BE17CF">
            <w:pPr>
              <w:rPr>
                <w:rFonts w:cs="Times New Roman"/>
                <w:sz w:val="22"/>
                <w:lang w:val="en-GB"/>
              </w:rPr>
            </w:pPr>
            <w:r w:rsidRPr="006174AA">
              <w:rPr>
                <w:rFonts w:cs="Times New Roman"/>
                <w:sz w:val="22"/>
                <w:lang w:val="en-GB"/>
              </w:rPr>
              <w:t>0.125</w:t>
            </w:r>
          </w:p>
        </w:tc>
        <w:tc>
          <w:tcPr>
            <w:tcW w:w="704" w:type="pct"/>
            <w:tcBorders>
              <w:top w:val="single" w:sz="4" w:space="0" w:color="auto"/>
              <w:left w:val="single" w:sz="4" w:space="0" w:color="auto"/>
              <w:bottom w:val="single" w:sz="4" w:space="0" w:color="auto"/>
              <w:right w:val="single" w:sz="4" w:space="0" w:color="auto"/>
            </w:tcBorders>
            <w:hideMark/>
          </w:tcPr>
          <w:p w14:paraId="26D02410" w14:textId="77777777" w:rsidR="00BE17CF" w:rsidRPr="006174AA" w:rsidRDefault="00BE17CF">
            <w:pPr>
              <w:rPr>
                <w:rFonts w:cs="Times New Roman"/>
                <w:sz w:val="22"/>
                <w:lang w:val="en-GB"/>
              </w:rPr>
            </w:pPr>
            <w:r w:rsidRPr="006174AA">
              <w:rPr>
                <w:rFonts w:cs="Times New Roman"/>
                <w:sz w:val="22"/>
                <w:lang w:val="en-GB"/>
              </w:rPr>
              <w:t>0.078#</w:t>
            </w:r>
          </w:p>
        </w:tc>
        <w:tc>
          <w:tcPr>
            <w:tcW w:w="780" w:type="pct"/>
            <w:tcBorders>
              <w:top w:val="single" w:sz="4" w:space="0" w:color="auto"/>
              <w:left w:val="single" w:sz="4" w:space="0" w:color="auto"/>
              <w:bottom w:val="single" w:sz="4" w:space="0" w:color="auto"/>
              <w:right w:val="single" w:sz="4" w:space="0" w:color="auto"/>
            </w:tcBorders>
            <w:hideMark/>
          </w:tcPr>
          <w:p w14:paraId="1A044B90" w14:textId="77777777" w:rsidR="00BE17CF" w:rsidRPr="006174AA" w:rsidRDefault="00BE17CF">
            <w:pPr>
              <w:rPr>
                <w:rFonts w:cs="Times New Roman"/>
                <w:sz w:val="22"/>
                <w:lang w:val="en-GB"/>
              </w:rPr>
            </w:pPr>
            <w:r w:rsidRPr="006174AA">
              <w:rPr>
                <w:rFonts w:cs="Times New Roman"/>
                <w:sz w:val="22"/>
                <w:lang w:val="en-GB"/>
              </w:rPr>
              <w:t>0.108#</w:t>
            </w:r>
          </w:p>
        </w:tc>
      </w:tr>
      <w:tr w:rsidR="00BE17CF" w:rsidRPr="006174AA" w14:paraId="78365648"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1BE0D9CE" w14:textId="77777777" w:rsidR="00BE17CF" w:rsidRPr="006174AA" w:rsidRDefault="00BE17CF">
            <w:pPr>
              <w:ind w:left="601" w:right="602"/>
              <w:rPr>
                <w:rFonts w:cs="Times New Roman"/>
                <w:sz w:val="22"/>
                <w:lang w:val="en-GB"/>
              </w:rPr>
            </w:pPr>
            <w:r w:rsidRPr="006174AA">
              <w:rPr>
                <w:rFonts w:cs="Times New Roman"/>
                <w:sz w:val="22"/>
                <w:lang w:val="en-GB"/>
              </w:rPr>
              <w:t>Hazard ratio (95% CI)</w:t>
            </w:r>
          </w:p>
        </w:tc>
        <w:tc>
          <w:tcPr>
            <w:tcW w:w="547" w:type="pct"/>
            <w:tcBorders>
              <w:top w:val="single" w:sz="4" w:space="0" w:color="auto"/>
              <w:left w:val="single" w:sz="4" w:space="0" w:color="auto"/>
              <w:bottom w:val="single" w:sz="4" w:space="0" w:color="auto"/>
              <w:right w:val="single" w:sz="4" w:space="0" w:color="auto"/>
            </w:tcBorders>
          </w:tcPr>
          <w:p w14:paraId="1C107FF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4009EF30" w14:textId="77777777" w:rsidR="00BE17CF" w:rsidRPr="006174AA" w:rsidRDefault="00BE17CF">
            <w:pPr>
              <w:rPr>
                <w:rFonts w:cs="Times New Roman"/>
                <w:sz w:val="22"/>
                <w:lang w:val="en-GB"/>
              </w:rPr>
            </w:pPr>
            <w:r w:rsidRPr="006174AA">
              <w:rPr>
                <w:rFonts w:cs="Times New Roman"/>
                <w:sz w:val="22"/>
                <w:lang w:val="en-GB"/>
              </w:rPr>
              <w:t>0.77 (0.52, 1.14)</w:t>
            </w:r>
          </w:p>
        </w:tc>
        <w:tc>
          <w:tcPr>
            <w:tcW w:w="547" w:type="pct"/>
            <w:tcBorders>
              <w:top w:val="single" w:sz="4" w:space="0" w:color="auto"/>
              <w:left w:val="single" w:sz="4" w:space="0" w:color="auto"/>
              <w:bottom w:val="single" w:sz="4" w:space="0" w:color="auto"/>
              <w:right w:val="single" w:sz="4" w:space="0" w:color="auto"/>
            </w:tcBorders>
          </w:tcPr>
          <w:p w14:paraId="5829D0B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5738D2D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0.62 (0.37, 1.03)</w:t>
            </w:r>
          </w:p>
        </w:tc>
        <w:tc>
          <w:tcPr>
            <w:tcW w:w="780" w:type="pct"/>
            <w:tcBorders>
              <w:top w:val="single" w:sz="4" w:space="0" w:color="auto"/>
              <w:left w:val="single" w:sz="4" w:space="0" w:color="auto"/>
              <w:bottom w:val="single" w:sz="4" w:space="0" w:color="auto"/>
              <w:right w:val="single" w:sz="4" w:space="0" w:color="auto"/>
            </w:tcBorders>
            <w:hideMark/>
          </w:tcPr>
          <w:p w14:paraId="39FE9F69"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0.87 (0.55, 1.38)</w:t>
            </w:r>
          </w:p>
        </w:tc>
      </w:tr>
      <w:tr w:rsidR="00BE17CF" w:rsidRPr="006174AA" w14:paraId="264F92D2" w14:textId="77777777" w:rsidTr="00AC6C51">
        <w:tc>
          <w:tcPr>
            <w:tcW w:w="5000" w:type="pct"/>
            <w:gridSpan w:val="6"/>
            <w:tcBorders>
              <w:top w:val="single" w:sz="4" w:space="0" w:color="auto"/>
              <w:left w:val="single" w:sz="4" w:space="0" w:color="auto"/>
              <w:bottom w:val="single" w:sz="4" w:space="0" w:color="auto"/>
              <w:right w:val="single" w:sz="4" w:space="0" w:color="auto"/>
            </w:tcBorders>
            <w:hideMark/>
          </w:tcPr>
          <w:p w14:paraId="579911E0" w14:textId="77777777" w:rsidR="00BE17CF" w:rsidRPr="006174AA" w:rsidRDefault="00BE17CF">
            <w:pPr>
              <w:rPr>
                <w:rFonts w:cs="Times New Roman"/>
                <w:sz w:val="22"/>
                <w:lang w:val="en-GB"/>
              </w:rPr>
            </w:pPr>
            <w:r w:rsidRPr="006174AA">
              <w:rPr>
                <w:rFonts w:cs="Times New Roman"/>
                <w:b/>
                <w:sz w:val="22"/>
                <w:lang w:val="en-GB"/>
              </w:rPr>
              <w:lastRenderedPageBreak/>
              <w:t xml:space="preserve">MRI </w:t>
            </w:r>
            <w:proofErr w:type="spellStart"/>
            <w:r w:rsidRPr="006174AA">
              <w:rPr>
                <w:rFonts w:cs="Times New Roman"/>
                <w:b/>
                <w:sz w:val="22"/>
                <w:lang w:val="en-GB"/>
              </w:rPr>
              <w:t>endpoints</w:t>
            </w:r>
            <w:r w:rsidRPr="006174AA">
              <w:rPr>
                <w:rFonts w:cs="Times New Roman"/>
                <w:b/>
                <w:sz w:val="22"/>
                <w:vertAlign w:val="superscript"/>
                <w:lang w:val="en-GB"/>
              </w:rPr>
              <w:t>b</w:t>
            </w:r>
            <w:proofErr w:type="spellEnd"/>
          </w:p>
        </w:tc>
      </w:tr>
      <w:tr w:rsidR="00BE17CF" w:rsidRPr="006174AA" w14:paraId="5C880074"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55C050F6" w14:textId="77777777" w:rsidR="00BE17CF" w:rsidRPr="006174AA" w:rsidRDefault="00BE17CF">
            <w:pPr>
              <w:rPr>
                <w:rFonts w:cs="Times New Roman"/>
                <w:sz w:val="22"/>
                <w:lang w:val="en-GB"/>
              </w:rPr>
            </w:pPr>
            <w:r w:rsidRPr="006174AA">
              <w:rPr>
                <w:rFonts w:cs="Times New Roman"/>
                <w:sz w:val="22"/>
                <w:lang w:val="en-GB"/>
              </w:rPr>
              <w:t>No. patients</w:t>
            </w:r>
          </w:p>
        </w:tc>
        <w:tc>
          <w:tcPr>
            <w:tcW w:w="547" w:type="pct"/>
            <w:tcBorders>
              <w:top w:val="single" w:sz="4" w:space="0" w:color="auto"/>
              <w:left w:val="single" w:sz="4" w:space="0" w:color="auto"/>
              <w:bottom w:val="single" w:sz="4" w:space="0" w:color="auto"/>
              <w:right w:val="single" w:sz="4" w:space="0" w:color="auto"/>
            </w:tcBorders>
            <w:hideMark/>
          </w:tcPr>
          <w:p w14:paraId="4DEEE2EE" w14:textId="77777777" w:rsidR="00BE17CF" w:rsidRPr="006174AA" w:rsidRDefault="00BE17CF">
            <w:pPr>
              <w:rPr>
                <w:rFonts w:cs="Times New Roman"/>
                <w:sz w:val="22"/>
                <w:lang w:val="en-GB"/>
              </w:rPr>
            </w:pPr>
            <w:r w:rsidRPr="006174AA">
              <w:rPr>
                <w:rFonts w:cs="Times New Roman"/>
                <w:sz w:val="22"/>
                <w:lang w:val="en-GB"/>
              </w:rPr>
              <w:t>165</w:t>
            </w:r>
          </w:p>
        </w:tc>
        <w:tc>
          <w:tcPr>
            <w:tcW w:w="704" w:type="pct"/>
            <w:tcBorders>
              <w:top w:val="single" w:sz="4" w:space="0" w:color="auto"/>
              <w:left w:val="single" w:sz="4" w:space="0" w:color="auto"/>
              <w:bottom w:val="single" w:sz="4" w:space="0" w:color="auto"/>
              <w:right w:val="single" w:sz="4" w:space="0" w:color="auto"/>
            </w:tcBorders>
            <w:hideMark/>
          </w:tcPr>
          <w:p w14:paraId="60849E13" w14:textId="77777777" w:rsidR="00BE17CF" w:rsidRPr="006174AA" w:rsidRDefault="00BE17CF">
            <w:pPr>
              <w:rPr>
                <w:rFonts w:cs="Times New Roman"/>
                <w:sz w:val="22"/>
                <w:lang w:val="en-GB"/>
              </w:rPr>
            </w:pPr>
            <w:r w:rsidRPr="006174AA">
              <w:rPr>
                <w:rFonts w:cs="Times New Roman"/>
                <w:sz w:val="22"/>
                <w:lang w:val="en-GB"/>
              </w:rPr>
              <w:t>152</w:t>
            </w:r>
          </w:p>
        </w:tc>
        <w:tc>
          <w:tcPr>
            <w:tcW w:w="547" w:type="pct"/>
            <w:tcBorders>
              <w:top w:val="single" w:sz="4" w:space="0" w:color="auto"/>
              <w:left w:val="single" w:sz="4" w:space="0" w:color="auto"/>
              <w:bottom w:val="single" w:sz="4" w:space="0" w:color="auto"/>
              <w:right w:val="single" w:sz="4" w:space="0" w:color="auto"/>
            </w:tcBorders>
            <w:hideMark/>
          </w:tcPr>
          <w:p w14:paraId="5AB12208" w14:textId="77777777" w:rsidR="00BE17CF" w:rsidRPr="006174AA" w:rsidRDefault="00BE17CF">
            <w:pPr>
              <w:rPr>
                <w:rFonts w:cs="Times New Roman"/>
                <w:sz w:val="22"/>
                <w:lang w:val="en-GB"/>
              </w:rPr>
            </w:pPr>
            <w:r w:rsidRPr="006174AA">
              <w:rPr>
                <w:rFonts w:cs="Times New Roman"/>
                <w:sz w:val="22"/>
                <w:lang w:val="en-GB"/>
              </w:rPr>
              <w:t>144</w:t>
            </w:r>
          </w:p>
        </w:tc>
        <w:tc>
          <w:tcPr>
            <w:tcW w:w="704" w:type="pct"/>
            <w:tcBorders>
              <w:top w:val="single" w:sz="4" w:space="0" w:color="auto"/>
              <w:left w:val="single" w:sz="4" w:space="0" w:color="auto"/>
              <w:bottom w:val="single" w:sz="4" w:space="0" w:color="auto"/>
              <w:right w:val="single" w:sz="4" w:space="0" w:color="auto"/>
            </w:tcBorders>
            <w:hideMark/>
          </w:tcPr>
          <w:p w14:paraId="587372A8" w14:textId="77777777" w:rsidR="00BE17CF" w:rsidRPr="006174AA" w:rsidRDefault="00BE17CF">
            <w:pPr>
              <w:rPr>
                <w:rFonts w:cs="Times New Roman"/>
                <w:sz w:val="22"/>
                <w:lang w:val="en-GB"/>
              </w:rPr>
            </w:pPr>
            <w:r w:rsidRPr="006174AA">
              <w:rPr>
                <w:rFonts w:cs="Times New Roman"/>
                <w:sz w:val="22"/>
                <w:lang w:val="en-GB"/>
              </w:rPr>
              <w:t>147</w:t>
            </w:r>
          </w:p>
        </w:tc>
        <w:tc>
          <w:tcPr>
            <w:tcW w:w="780" w:type="pct"/>
            <w:tcBorders>
              <w:top w:val="single" w:sz="4" w:space="0" w:color="auto"/>
              <w:left w:val="single" w:sz="4" w:space="0" w:color="auto"/>
              <w:bottom w:val="single" w:sz="4" w:space="0" w:color="auto"/>
              <w:right w:val="single" w:sz="4" w:space="0" w:color="auto"/>
            </w:tcBorders>
            <w:hideMark/>
          </w:tcPr>
          <w:p w14:paraId="60028A7E" w14:textId="77777777" w:rsidR="00BE17CF" w:rsidRPr="006174AA" w:rsidRDefault="00BE17CF">
            <w:pPr>
              <w:rPr>
                <w:rFonts w:cs="Times New Roman"/>
                <w:sz w:val="22"/>
                <w:lang w:val="en-GB"/>
              </w:rPr>
            </w:pPr>
            <w:r w:rsidRPr="006174AA">
              <w:rPr>
                <w:rFonts w:cs="Times New Roman"/>
                <w:sz w:val="22"/>
                <w:lang w:val="en-GB"/>
              </w:rPr>
              <w:t>161</w:t>
            </w:r>
          </w:p>
        </w:tc>
      </w:tr>
      <w:tr w:rsidR="00BE17CF" w:rsidRPr="006174AA" w14:paraId="56B077A1"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68864591" w14:textId="77777777" w:rsidR="00BE17CF" w:rsidRPr="006174AA" w:rsidRDefault="00BE17CF">
            <w:pPr>
              <w:rPr>
                <w:rFonts w:cs="Times New Roman"/>
                <w:sz w:val="22"/>
                <w:lang w:val="en-GB"/>
              </w:rPr>
            </w:pPr>
            <w:r w:rsidRPr="006174AA">
              <w:rPr>
                <w:rFonts w:cs="Times New Roman"/>
                <w:sz w:val="22"/>
                <w:lang w:val="en-GB"/>
              </w:rPr>
              <w:t>Mean (median) number of new or newly enlarging T2 lesions over 2 years</w:t>
            </w:r>
          </w:p>
        </w:tc>
        <w:tc>
          <w:tcPr>
            <w:tcW w:w="547" w:type="pct"/>
            <w:tcBorders>
              <w:top w:val="single" w:sz="4" w:space="0" w:color="auto"/>
              <w:left w:val="single" w:sz="4" w:space="0" w:color="auto"/>
              <w:bottom w:val="single" w:sz="4" w:space="0" w:color="auto"/>
              <w:right w:val="single" w:sz="4" w:space="0" w:color="auto"/>
            </w:tcBorders>
            <w:hideMark/>
          </w:tcPr>
          <w:p w14:paraId="0227CD4E" w14:textId="77777777" w:rsidR="00BE17CF" w:rsidRPr="006174AA" w:rsidRDefault="00BE17CF">
            <w:pPr>
              <w:autoSpaceDE w:val="0"/>
              <w:autoSpaceDN w:val="0"/>
              <w:adjustRightInd w:val="0"/>
              <w:ind w:right="-103"/>
              <w:rPr>
                <w:rFonts w:cs="Times New Roman"/>
                <w:sz w:val="22"/>
                <w:lang w:val="en-GB"/>
              </w:rPr>
            </w:pPr>
            <w:r w:rsidRPr="006174AA">
              <w:rPr>
                <w:rFonts w:cs="Times New Roman"/>
                <w:sz w:val="22"/>
                <w:lang w:val="en-GB"/>
              </w:rPr>
              <w:t xml:space="preserve">16.5 </w:t>
            </w:r>
          </w:p>
          <w:p w14:paraId="4BFBE5F4" w14:textId="77777777" w:rsidR="00BE17CF" w:rsidRPr="006174AA" w:rsidRDefault="00BE17CF">
            <w:pPr>
              <w:autoSpaceDE w:val="0"/>
              <w:autoSpaceDN w:val="0"/>
              <w:adjustRightInd w:val="0"/>
              <w:ind w:right="-103"/>
              <w:rPr>
                <w:rFonts w:cs="Times New Roman"/>
                <w:sz w:val="22"/>
                <w:lang w:val="en-GB"/>
              </w:rPr>
            </w:pPr>
            <w:r w:rsidRPr="006174AA">
              <w:rPr>
                <w:rFonts w:cs="Times New Roman"/>
                <w:sz w:val="22"/>
                <w:lang w:val="en-GB"/>
              </w:rPr>
              <w:t>(7.0)</w:t>
            </w:r>
          </w:p>
        </w:tc>
        <w:tc>
          <w:tcPr>
            <w:tcW w:w="704" w:type="pct"/>
            <w:tcBorders>
              <w:top w:val="single" w:sz="4" w:space="0" w:color="auto"/>
              <w:left w:val="single" w:sz="4" w:space="0" w:color="auto"/>
              <w:bottom w:val="single" w:sz="4" w:space="0" w:color="auto"/>
              <w:right w:val="single" w:sz="4" w:space="0" w:color="auto"/>
            </w:tcBorders>
            <w:hideMark/>
          </w:tcPr>
          <w:p w14:paraId="19B19976"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 xml:space="preserve">3.2 </w:t>
            </w:r>
          </w:p>
          <w:p w14:paraId="4D5909DA"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w:t>
            </w:r>
            <w:proofErr w:type="gramStart"/>
            <w:r w:rsidRPr="006174AA">
              <w:rPr>
                <w:rFonts w:cs="Times New Roman"/>
                <w:sz w:val="22"/>
                <w:lang w:val="en-GB"/>
              </w:rPr>
              <w:t>1.0)*</w:t>
            </w:r>
            <w:proofErr w:type="gramEnd"/>
            <w:r w:rsidRPr="006174AA">
              <w:rPr>
                <w:rFonts w:cs="Times New Roman"/>
                <w:sz w:val="22"/>
                <w:lang w:val="en-GB"/>
              </w:rPr>
              <w:t>**</w:t>
            </w:r>
          </w:p>
        </w:tc>
        <w:tc>
          <w:tcPr>
            <w:tcW w:w="547" w:type="pct"/>
            <w:tcBorders>
              <w:top w:val="single" w:sz="4" w:space="0" w:color="auto"/>
              <w:left w:val="single" w:sz="4" w:space="0" w:color="auto"/>
              <w:bottom w:val="single" w:sz="4" w:space="0" w:color="auto"/>
              <w:right w:val="single" w:sz="4" w:space="0" w:color="auto"/>
            </w:tcBorders>
            <w:hideMark/>
          </w:tcPr>
          <w:p w14:paraId="6BDBBCB2" w14:textId="77777777" w:rsidR="00BE17CF" w:rsidRPr="006174AA" w:rsidRDefault="00BE17CF">
            <w:pPr>
              <w:autoSpaceDE w:val="0"/>
              <w:autoSpaceDN w:val="0"/>
              <w:adjustRightInd w:val="0"/>
              <w:ind w:right="-103"/>
              <w:rPr>
                <w:rFonts w:cs="Times New Roman"/>
                <w:sz w:val="22"/>
                <w:lang w:val="en-GB"/>
              </w:rPr>
            </w:pPr>
            <w:r w:rsidRPr="006174AA">
              <w:rPr>
                <w:rFonts w:cs="Times New Roman"/>
                <w:sz w:val="22"/>
                <w:lang w:val="en-GB"/>
              </w:rPr>
              <w:t xml:space="preserve">19.9 </w:t>
            </w:r>
          </w:p>
          <w:p w14:paraId="67E2E3F6" w14:textId="77777777" w:rsidR="00BE17CF" w:rsidRPr="006174AA" w:rsidRDefault="00BE17CF">
            <w:pPr>
              <w:autoSpaceDE w:val="0"/>
              <w:autoSpaceDN w:val="0"/>
              <w:adjustRightInd w:val="0"/>
              <w:ind w:right="-103"/>
              <w:rPr>
                <w:rFonts w:cs="Times New Roman"/>
                <w:sz w:val="22"/>
                <w:lang w:val="en-GB"/>
              </w:rPr>
            </w:pPr>
            <w:r w:rsidRPr="006174AA">
              <w:rPr>
                <w:rFonts w:cs="Times New Roman"/>
                <w:sz w:val="22"/>
                <w:lang w:val="en-GB"/>
              </w:rPr>
              <w:t>(11.0)</w:t>
            </w:r>
          </w:p>
        </w:tc>
        <w:tc>
          <w:tcPr>
            <w:tcW w:w="704" w:type="pct"/>
            <w:tcBorders>
              <w:top w:val="single" w:sz="4" w:space="0" w:color="auto"/>
              <w:left w:val="single" w:sz="4" w:space="0" w:color="auto"/>
              <w:bottom w:val="single" w:sz="4" w:space="0" w:color="auto"/>
              <w:right w:val="single" w:sz="4" w:space="0" w:color="auto"/>
            </w:tcBorders>
            <w:hideMark/>
          </w:tcPr>
          <w:p w14:paraId="06503268"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 xml:space="preserve">5.7 </w:t>
            </w:r>
          </w:p>
          <w:p w14:paraId="4DAA71AF"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w:t>
            </w:r>
            <w:proofErr w:type="gramStart"/>
            <w:r w:rsidRPr="006174AA">
              <w:rPr>
                <w:rFonts w:cs="Times New Roman"/>
                <w:sz w:val="22"/>
                <w:lang w:val="en-GB"/>
              </w:rPr>
              <w:t>2.0)*</w:t>
            </w:r>
            <w:proofErr w:type="gramEnd"/>
            <w:r w:rsidRPr="006174AA">
              <w:rPr>
                <w:rFonts w:cs="Times New Roman"/>
                <w:sz w:val="22"/>
                <w:lang w:val="en-GB"/>
              </w:rPr>
              <w:t>**</w:t>
            </w:r>
          </w:p>
        </w:tc>
        <w:tc>
          <w:tcPr>
            <w:tcW w:w="780" w:type="pct"/>
            <w:tcBorders>
              <w:top w:val="single" w:sz="4" w:space="0" w:color="auto"/>
              <w:left w:val="single" w:sz="4" w:space="0" w:color="auto"/>
              <w:bottom w:val="single" w:sz="4" w:space="0" w:color="auto"/>
              <w:right w:val="single" w:sz="4" w:space="0" w:color="auto"/>
            </w:tcBorders>
            <w:hideMark/>
          </w:tcPr>
          <w:p w14:paraId="1ED81F5E"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9.6 </w:t>
            </w:r>
          </w:p>
          <w:p w14:paraId="643815FD"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w:t>
            </w:r>
            <w:proofErr w:type="gramStart"/>
            <w:r w:rsidRPr="006174AA">
              <w:rPr>
                <w:rFonts w:cs="Times New Roman"/>
                <w:sz w:val="22"/>
                <w:lang w:val="en-GB"/>
              </w:rPr>
              <w:t>3.0)*</w:t>
            </w:r>
            <w:proofErr w:type="gramEnd"/>
            <w:r w:rsidRPr="006174AA">
              <w:rPr>
                <w:rFonts w:cs="Times New Roman"/>
                <w:sz w:val="22"/>
                <w:lang w:val="en-GB"/>
              </w:rPr>
              <w:t>**</w:t>
            </w:r>
          </w:p>
        </w:tc>
      </w:tr>
      <w:tr w:rsidR="00BE17CF" w:rsidRPr="006174AA" w14:paraId="032A7B23"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4AEA4AD5" w14:textId="77777777" w:rsidR="00BE17CF" w:rsidRPr="006174AA" w:rsidRDefault="00BE17CF">
            <w:pPr>
              <w:ind w:left="601" w:right="602"/>
              <w:rPr>
                <w:rFonts w:cs="Times New Roman"/>
                <w:sz w:val="22"/>
                <w:lang w:val="en-GB"/>
              </w:rPr>
            </w:pPr>
            <w:r w:rsidRPr="006174AA">
              <w:rPr>
                <w:rFonts w:cs="Times New Roman"/>
                <w:sz w:val="22"/>
                <w:lang w:val="en-GB"/>
              </w:rPr>
              <w:t>Lesion mean ratio (95% CI)</w:t>
            </w:r>
          </w:p>
        </w:tc>
        <w:tc>
          <w:tcPr>
            <w:tcW w:w="547" w:type="pct"/>
            <w:tcBorders>
              <w:top w:val="single" w:sz="4" w:space="0" w:color="auto"/>
              <w:left w:val="single" w:sz="4" w:space="0" w:color="auto"/>
              <w:bottom w:val="single" w:sz="4" w:space="0" w:color="auto"/>
              <w:right w:val="single" w:sz="4" w:space="0" w:color="auto"/>
            </w:tcBorders>
          </w:tcPr>
          <w:p w14:paraId="1945A413"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1FB42673"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0.15 </w:t>
            </w:r>
          </w:p>
          <w:p w14:paraId="5D33D06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(0.10, 0.23)</w:t>
            </w:r>
          </w:p>
        </w:tc>
        <w:tc>
          <w:tcPr>
            <w:tcW w:w="547" w:type="pct"/>
            <w:tcBorders>
              <w:top w:val="single" w:sz="4" w:space="0" w:color="auto"/>
              <w:left w:val="single" w:sz="4" w:space="0" w:color="auto"/>
              <w:bottom w:val="single" w:sz="4" w:space="0" w:color="auto"/>
              <w:right w:val="single" w:sz="4" w:space="0" w:color="auto"/>
            </w:tcBorders>
          </w:tcPr>
          <w:p w14:paraId="27D0172E"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751605EA"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0.29 </w:t>
            </w:r>
          </w:p>
          <w:p w14:paraId="68EDE9C7"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(0.21, 0.41)</w:t>
            </w:r>
          </w:p>
        </w:tc>
        <w:tc>
          <w:tcPr>
            <w:tcW w:w="780" w:type="pct"/>
            <w:tcBorders>
              <w:top w:val="single" w:sz="4" w:space="0" w:color="auto"/>
              <w:left w:val="single" w:sz="4" w:space="0" w:color="auto"/>
              <w:bottom w:val="single" w:sz="4" w:space="0" w:color="auto"/>
              <w:right w:val="single" w:sz="4" w:space="0" w:color="auto"/>
            </w:tcBorders>
            <w:hideMark/>
          </w:tcPr>
          <w:p w14:paraId="0A2E563B"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0.46 </w:t>
            </w:r>
          </w:p>
          <w:p w14:paraId="2EAECE3B"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(0.33, 0.63)</w:t>
            </w:r>
          </w:p>
        </w:tc>
      </w:tr>
      <w:tr w:rsidR="00BE17CF" w:rsidRPr="006174AA" w14:paraId="4545EC14"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0FC2AF0E" w14:textId="77777777" w:rsidR="00BE17CF" w:rsidRPr="006174AA" w:rsidRDefault="00BE17CF">
            <w:pPr>
              <w:rPr>
                <w:rFonts w:cs="Times New Roman"/>
                <w:sz w:val="22"/>
                <w:lang w:val="en-GB"/>
              </w:rPr>
            </w:pPr>
            <w:r w:rsidRPr="006174AA">
              <w:rPr>
                <w:rFonts w:cs="Times New Roman"/>
                <w:sz w:val="22"/>
                <w:lang w:val="en-GB"/>
              </w:rPr>
              <w:t xml:space="preserve">Mean (median) number of </w:t>
            </w:r>
            <w:proofErr w:type="spellStart"/>
            <w:r w:rsidRPr="006174AA">
              <w:rPr>
                <w:rFonts w:cs="Times New Roman"/>
                <w:sz w:val="22"/>
                <w:lang w:val="en-GB"/>
              </w:rPr>
              <w:t>Gd</w:t>
            </w:r>
            <w:proofErr w:type="spellEnd"/>
            <w:r w:rsidRPr="006174AA">
              <w:rPr>
                <w:rFonts w:cs="Times New Roman"/>
                <w:sz w:val="22"/>
                <w:lang w:val="en-GB"/>
              </w:rPr>
              <w:t xml:space="preserve"> lesions at 2 years</w:t>
            </w:r>
          </w:p>
        </w:tc>
        <w:tc>
          <w:tcPr>
            <w:tcW w:w="547" w:type="pct"/>
            <w:tcBorders>
              <w:top w:val="single" w:sz="4" w:space="0" w:color="auto"/>
              <w:left w:val="single" w:sz="4" w:space="0" w:color="auto"/>
              <w:bottom w:val="single" w:sz="4" w:space="0" w:color="auto"/>
              <w:right w:val="single" w:sz="4" w:space="0" w:color="auto"/>
            </w:tcBorders>
            <w:hideMark/>
          </w:tcPr>
          <w:p w14:paraId="3AC26E8D"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1.8 </w:t>
            </w:r>
          </w:p>
          <w:p w14:paraId="5017E61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w:t>
            </w:r>
          </w:p>
        </w:tc>
        <w:tc>
          <w:tcPr>
            <w:tcW w:w="704" w:type="pct"/>
            <w:tcBorders>
              <w:top w:val="single" w:sz="4" w:space="0" w:color="auto"/>
              <w:left w:val="single" w:sz="4" w:space="0" w:color="auto"/>
              <w:bottom w:val="single" w:sz="4" w:space="0" w:color="auto"/>
              <w:right w:val="single" w:sz="4" w:space="0" w:color="auto"/>
            </w:tcBorders>
            <w:hideMark/>
          </w:tcPr>
          <w:p w14:paraId="3FE4175E"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0.1 </w:t>
            </w:r>
          </w:p>
          <w:p w14:paraId="2C613E67"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w:t>
            </w:r>
            <w:proofErr w:type="gramStart"/>
            <w:r w:rsidRPr="006174AA">
              <w:rPr>
                <w:rFonts w:cs="Times New Roman"/>
                <w:sz w:val="22"/>
                <w:lang w:val="en-GB"/>
              </w:rPr>
              <w:t>0)*</w:t>
            </w:r>
            <w:proofErr w:type="gramEnd"/>
            <w:r w:rsidRPr="006174AA">
              <w:rPr>
                <w:rFonts w:cs="Times New Roman"/>
                <w:sz w:val="22"/>
                <w:lang w:val="en-GB"/>
              </w:rPr>
              <w:t>**</w:t>
            </w:r>
          </w:p>
        </w:tc>
        <w:tc>
          <w:tcPr>
            <w:tcW w:w="547" w:type="pct"/>
            <w:tcBorders>
              <w:top w:val="single" w:sz="4" w:space="0" w:color="auto"/>
              <w:left w:val="single" w:sz="4" w:space="0" w:color="auto"/>
              <w:bottom w:val="single" w:sz="4" w:space="0" w:color="auto"/>
              <w:right w:val="single" w:sz="4" w:space="0" w:color="auto"/>
            </w:tcBorders>
            <w:hideMark/>
          </w:tcPr>
          <w:p w14:paraId="29A3B34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2.0 </w:t>
            </w:r>
          </w:p>
          <w:p w14:paraId="0822B8E4"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(0.0)</w:t>
            </w:r>
          </w:p>
        </w:tc>
        <w:tc>
          <w:tcPr>
            <w:tcW w:w="704" w:type="pct"/>
            <w:tcBorders>
              <w:top w:val="single" w:sz="4" w:space="0" w:color="auto"/>
              <w:left w:val="single" w:sz="4" w:space="0" w:color="auto"/>
              <w:bottom w:val="single" w:sz="4" w:space="0" w:color="auto"/>
              <w:right w:val="single" w:sz="4" w:space="0" w:color="auto"/>
            </w:tcBorders>
            <w:hideMark/>
          </w:tcPr>
          <w:p w14:paraId="371BB87A"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 xml:space="preserve">0.5 </w:t>
            </w:r>
          </w:p>
          <w:p w14:paraId="3D80FC42"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w:t>
            </w:r>
            <w:proofErr w:type="gramStart"/>
            <w:r w:rsidRPr="006174AA">
              <w:rPr>
                <w:rFonts w:cs="Times New Roman"/>
                <w:sz w:val="22"/>
                <w:lang w:val="en-GB"/>
              </w:rPr>
              <w:t>0.0)*</w:t>
            </w:r>
            <w:proofErr w:type="gramEnd"/>
            <w:r w:rsidRPr="006174AA">
              <w:rPr>
                <w:rFonts w:cs="Times New Roman"/>
                <w:sz w:val="22"/>
                <w:lang w:val="en-GB"/>
              </w:rPr>
              <w:t>**</w:t>
            </w:r>
          </w:p>
        </w:tc>
        <w:tc>
          <w:tcPr>
            <w:tcW w:w="780" w:type="pct"/>
            <w:tcBorders>
              <w:top w:val="single" w:sz="4" w:space="0" w:color="auto"/>
              <w:left w:val="single" w:sz="4" w:space="0" w:color="auto"/>
              <w:bottom w:val="single" w:sz="4" w:space="0" w:color="auto"/>
              <w:right w:val="single" w:sz="4" w:space="0" w:color="auto"/>
            </w:tcBorders>
            <w:hideMark/>
          </w:tcPr>
          <w:p w14:paraId="185A44F3"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0.7 </w:t>
            </w:r>
          </w:p>
          <w:p w14:paraId="5A13D101"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w:t>
            </w:r>
            <w:proofErr w:type="gramStart"/>
            <w:r w:rsidRPr="006174AA">
              <w:rPr>
                <w:rFonts w:cs="Times New Roman"/>
                <w:sz w:val="22"/>
                <w:lang w:val="en-GB"/>
              </w:rPr>
              <w:t>0.0)*</w:t>
            </w:r>
            <w:proofErr w:type="gramEnd"/>
            <w:r w:rsidRPr="006174AA">
              <w:rPr>
                <w:rFonts w:cs="Times New Roman"/>
                <w:sz w:val="22"/>
                <w:lang w:val="en-GB"/>
              </w:rPr>
              <w:t>*</w:t>
            </w:r>
          </w:p>
        </w:tc>
      </w:tr>
      <w:tr w:rsidR="00BE17CF" w:rsidRPr="006174AA" w14:paraId="5D57BA12"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267E9781" w14:textId="77777777" w:rsidR="00BE17CF" w:rsidRPr="006174AA" w:rsidRDefault="00BE17CF">
            <w:pPr>
              <w:ind w:left="601" w:right="602"/>
              <w:rPr>
                <w:rFonts w:cs="Times New Roman"/>
                <w:sz w:val="22"/>
                <w:lang w:val="en-GB"/>
              </w:rPr>
            </w:pPr>
            <w:r w:rsidRPr="006174AA">
              <w:rPr>
                <w:rFonts w:cs="Times New Roman"/>
                <w:sz w:val="22"/>
                <w:lang w:val="en-GB"/>
              </w:rPr>
              <w:t>Odds ratio (95% CI)</w:t>
            </w:r>
          </w:p>
        </w:tc>
        <w:tc>
          <w:tcPr>
            <w:tcW w:w="547" w:type="pct"/>
            <w:tcBorders>
              <w:top w:val="single" w:sz="4" w:space="0" w:color="auto"/>
              <w:left w:val="single" w:sz="4" w:space="0" w:color="auto"/>
              <w:bottom w:val="single" w:sz="4" w:space="0" w:color="auto"/>
              <w:right w:val="single" w:sz="4" w:space="0" w:color="auto"/>
            </w:tcBorders>
          </w:tcPr>
          <w:p w14:paraId="6186FA57"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123ECA94"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0.10 </w:t>
            </w:r>
          </w:p>
          <w:p w14:paraId="0DEE439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(0.05, 0.22)</w:t>
            </w:r>
          </w:p>
        </w:tc>
        <w:tc>
          <w:tcPr>
            <w:tcW w:w="547" w:type="pct"/>
            <w:tcBorders>
              <w:top w:val="single" w:sz="4" w:space="0" w:color="auto"/>
              <w:left w:val="single" w:sz="4" w:space="0" w:color="auto"/>
              <w:bottom w:val="single" w:sz="4" w:space="0" w:color="auto"/>
              <w:right w:val="single" w:sz="4" w:space="0" w:color="auto"/>
            </w:tcBorders>
          </w:tcPr>
          <w:p w14:paraId="08A4D28D" w14:textId="77777777" w:rsidR="00BE17CF" w:rsidRPr="006174AA" w:rsidRDefault="00BE17CF">
            <w:pPr>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362E3002"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0.26 </w:t>
            </w:r>
          </w:p>
          <w:p w14:paraId="24F48CD4"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(0.15, 0.46)</w:t>
            </w:r>
          </w:p>
        </w:tc>
        <w:tc>
          <w:tcPr>
            <w:tcW w:w="780" w:type="pct"/>
            <w:tcBorders>
              <w:top w:val="single" w:sz="4" w:space="0" w:color="auto"/>
              <w:left w:val="single" w:sz="4" w:space="0" w:color="auto"/>
              <w:bottom w:val="single" w:sz="4" w:space="0" w:color="auto"/>
              <w:right w:val="single" w:sz="4" w:space="0" w:color="auto"/>
            </w:tcBorders>
            <w:hideMark/>
          </w:tcPr>
          <w:p w14:paraId="54CB5B29"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0.39 </w:t>
            </w:r>
          </w:p>
          <w:p w14:paraId="18750BF0"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(0.24, 0.65)</w:t>
            </w:r>
          </w:p>
        </w:tc>
      </w:tr>
      <w:tr w:rsidR="00BE17CF" w:rsidRPr="006174AA" w14:paraId="0150480C"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098A341C" w14:textId="77777777" w:rsidR="00BE17CF" w:rsidRPr="006174AA" w:rsidRDefault="00BE17CF">
            <w:pPr>
              <w:rPr>
                <w:rFonts w:cs="Times New Roman"/>
                <w:sz w:val="22"/>
                <w:lang w:val="en-GB"/>
              </w:rPr>
            </w:pPr>
            <w:r w:rsidRPr="006174AA">
              <w:rPr>
                <w:rFonts w:cs="Times New Roman"/>
                <w:sz w:val="22"/>
                <w:lang w:val="en-GB"/>
              </w:rPr>
              <w:t>Mean (median) number of new T1 hypointense lesions over 2 years</w:t>
            </w:r>
          </w:p>
        </w:tc>
        <w:tc>
          <w:tcPr>
            <w:tcW w:w="547" w:type="pct"/>
            <w:tcBorders>
              <w:top w:val="single" w:sz="4" w:space="0" w:color="auto"/>
              <w:left w:val="single" w:sz="4" w:space="0" w:color="auto"/>
              <w:bottom w:val="single" w:sz="4" w:space="0" w:color="auto"/>
              <w:right w:val="single" w:sz="4" w:space="0" w:color="auto"/>
            </w:tcBorders>
            <w:hideMark/>
          </w:tcPr>
          <w:p w14:paraId="15FDDB69"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5.7 </w:t>
            </w:r>
          </w:p>
          <w:p w14:paraId="46D6F854"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(2.0)</w:t>
            </w:r>
          </w:p>
        </w:tc>
        <w:tc>
          <w:tcPr>
            <w:tcW w:w="704" w:type="pct"/>
            <w:tcBorders>
              <w:top w:val="single" w:sz="4" w:space="0" w:color="auto"/>
              <w:left w:val="single" w:sz="4" w:space="0" w:color="auto"/>
              <w:bottom w:val="single" w:sz="4" w:space="0" w:color="auto"/>
              <w:right w:val="single" w:sz="4" w:space="0" w:color="auto"/>
            </w:tcBorders>
            <w:hideMark/>
          </w:tcPr>
          <w:p w14:paraId="4001764C"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 xml:space="preserve">2.0 </w:t>
            </w:r>
          </w:p>
          <w:p w14:paraId="13241BE7"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w:t>
            </w:r>
            <w:proofErr w:type="gramStart"/>
            <w:r w:rsidRPr="006174AA">
              <w:rPr>
                <w:rFonts w:cs="Times New Roman"/>
                <w:sz w:val="22"/>
                <w:lang w:val="en-GB"/>
              </w:rPr>
              <w:t>1.0)*</w:t>
            </w:r>
            <w:proofErr w:type="gramEnd"/>
            <w:r w:rsidRPr="006174AA">
              <w:rPr>
                <w:rFonts w:cs="Times New Roman"/>
                <w:sz w:val="22"/>
                <w:lang w:val="en-GB"/>
              </w:rPr>
              <w:t>**</w:t>
            </w:r>
          </w:p>
        </w:tc>
        <w:tc>
          <w:tcPr>
            <w:tcW w:w="547" w:type="pct"/>
            <w:tcBorders>
              <w:top w:val="single" w:sz="4" w:space="0" w:color="auto"/>
              <w:left w:val="single" w:sz="4" w:space="0" w:color="auto"/>
              <w:bottom w:val="single" w:sz="4" w:space="0" w:color="auto"/>
              <w:right w:val="single" w:sz="4" w:space="0" w:color="auto"/>
            </w:tcBorders>
            <w:hideMark/>
          </w:tcPr>
          <w:p w14:paraId="6B4F1BAC"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8.1 </w:t>
            </w:r>
          </w:p>
          <w:p w14:paraId="54E57C83"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(4.0)</w:t>
            </w:r>
          </w:p>
        </w:tc>
        <w:tc>
          <w:tcPr>
            <w:tcW w:w="704" w:type="pct"/>
            <w:tcBorders>
              <w:top w:val="single" w:sz="4" w:space="0" w:color="auto"/>
              <w:left w:val="single" w:sz="4" w:space="0" w:color="auto"/>
              <w:bottom w:val="single" w:sz="4" w:space="0" w:color="auto"/>
              <w:right w:val="single" w:sz="4" w:space="0" w:color="auto"/>
            </w:tcBorders>
            <w:hideMark/>
          </w:tcPr>
          <w:p w14:paraId="02E67E24"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 xml:space="preserve">3.8 </w:t>
            </w:r>
          </w:p>
          <w:p w14:paraId="5F81E8AB" w14:textId="77777777" w:rsidR="00BE17CF" w:rsidRPr="006174AA" w:rsidRDefault="00BE17CF">
            <w:pPr>
              <w:autoSpaceDE w:val="0"/>
              <w:autoSpaceDN w:val="0"/>
              <w:adjustRightInd w:val="0"/>
              <w:ind w:right="-107"/>
              <w:rPr>
                <w:rFonts w:cs="Times New Roman"/>
                <w:sz w:val="22"/>
                <w:lang w:val="en-GB"/>
              </w:rPr>
            </w:pPr>
            <w:r w:rsidRPr="006174AA">
              <w:rPr>
                <w:rFonts w:cs="Times New Roman"/>
                <w:sz w:val="22"/>
                <w:lang w:val="en-GB"/>
              </w:rPr>
              <w:t>(</w:t>
            </w:r>
            <w:proofErr w:type="gramStart"/>
            <w:r w:rsidRPr="006174AA">
              <w:rPr>
                <w:rFonts w:cs="Times New Roman"/>
                <w:sz w:val="22"/>
                <w:lang w:val="en-GB"/>
              </w:rPr>
              <w:t>1.0)*</w:t>
            </w:r>
            <w:proofErr w:type="gramEnd"/>
            <w:r w:rsidRPr="006174AA">
              <w:rPr>
                <w:rFonts w:cs="Times New Roman"/>
                <w:sz w:val="22"/>
                <w:lang w:val="en-GB"/>
              </w:rPr>
              <w:t>**</w:t>
            </w:r>
          </w:p>
        </w:tc>
        <w:tc>
          <w:tcPr>
            <w:tcW w:w="780" w:type="pct"/>
            <w:tcBorders>
              <w:top w:val="single" w:sz="4" w:space="0" w:color="auto"/>
              <w:left w:val="single" w:sz="4" w:space="0" w:color="auto"/>
              <w:bottom w:val="single" w:sz="4" w:space="0" w:color="auto"/>
              <w:right w:val="single" w:sz="4" w:space="0" w:color="auto"/>
            </w:tcBorders>
            <w:hideMark/>
          </w:tcPr>
          <w:p w14:paraId="15C7CDCE"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4.5 </w:t>
            </w:r>
          </w:p>
          <w:p w14:paraId="2D2F0E9C"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w:t>
            </w:r>
            <w:proofErr w:type="gramStart"/>
            <w:r w:rsidRPr="006174AA">
              <w:rPr>
                <w:rFonts w:cs="Times New Roman"/>
                <w:sz w:val="22"/>
                <w:lang w:val="en-GB"/>
              </w:rPr>
              <w:t>2.0)*</w:t>
            </w:r>
            <w:proofErr w:type="gramEnd"/>
            <w:r w:rsidRPr="006174AA">
              <w:rPr>
                <w:rFonts w:cs="Times New Roman"/>
                <w:sz w:val="22"/>
                <w:lang w:val="en-GB"/>
              </w:rPr>
              <w:t>*</w:t>
            </w:r>
          </w:p>
        </w:tc>
      </w:tr>
      <w:tr w:rsidR="00BE17CF" w:rsidRPr="006174AA" w14:paraId="646B7053" w14:textId="77777777" w:rsidTr="00AC6C51">
        <w:tc>
          <w:tcPr>
            <w:tcW w:w="1718" w:type="pct"/>
            <w:tcBorders>
              <w:top w:val="single" w:sz="4" w:space="0" w:color="auto"/>
              <w:left w:val="single" w:sz="4" w:space="0" w:color="auto"/>
              <w:bottom w:val="single" w:sz="4" w:space="0" w:color="auto"/>
              <w:right w:val="single" w:sz="4" w:space="0" w:color="auto"/>
            </w:tcBorders>
            <w:hideMark/>
          </w:tcPr>
          <w:p w14:paraId="7FE8B1DF" w14:textId="77777777" w:rsidR="00BE17CF" w:rsidRPr="006174AA" w:rsidRDefault="00BE17CF">
            <w:pPr>
              <w:keepNext/>
              <w:ind w:left="601" w:right="602"/>
              <w:rPr>
                <w:rFonts w:cs="Times New Roman"/>
                <w:sz w:val="22"/>
                <w:lang w:val="en-GB"/>
              </w:rPr>
            </w:pPr>
            <w:r w:rsidRPr="006174AA">
              <w:rPr>
                <w:rFonts w:cs="Times New Roman"/>
                <w:sz w:val="22"/>
                <w:lang w:val="en-GB"/>
              </w:rPr>
              <w:t>Lesion mean ratio (95% CI)</w:t>
            </w:r>
          </w:p>
        </w:tc>
        <w:tc>
          <w:tcPr>
            <w:tcW w:w="547" w:type="pct"/>
            <w:tcBorders>
              <w:top w:val="single" w:sz="4" w:space="0" w:color="auto"/>
              <w:left w:val="single" w:sz="4" w:space="0" w:color="auto"/>
              <w:bottom w:val="single" w:sz="4" w:space="0" w:color="auto"/>
              <w:right w:val="single" w:sz="4" w:space="0" w:color="auto"/>
            </w:tcBorders>
          </w:tcPr>
          <w:p w14:paraId="1CFCBD17" w14:textId="77777777" w:rsidR="00BE17CF" w:rsidRPr="006174AA" w:rsidRDefault="00BE17CF">
            <w:pPr>
              <w:keepNext/>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26EECAC9"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0.28 </w:t>
            </w:r>
          </w:p>
          <w:p w14:paraId="31E65A09"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(0.20, 0.39)</w:t>
            </w:r>
          </w:p>
        </w:tc>
        <w:tc>
          <w:tcPr>
            <w:tcW w:w="547" w:type="pct"/>
            <w:tcBorders>
              <w:top w:val="single" w:sz="4" w:space="0" w:color="auto"/>
              <w:left w:val="single" w:sz="4" w:space="0" w:color="auto"/>
              <w:bottom w:val="single" w:sz="4" w:space="0" w:color="auto"/>
              <w:right w:val="single" w:sz="4" w:space="0" w:color="auto"/>
            </w:tcBorders>
          </w:tcPr>
          <w:p w14:paraId="6D18DD04" w14:textId="77777777" w:rsidR="00BE17CF" w:rsidRPr="006174AA" w:rsidRDefault="00BE17CF">
            <w:pPr>
              <w:keepNext/>
              <w:rPr>
                <w:rFonts w:cs="Times New Roman"/>
                <w:sz w:val="22"/>
                <w:lang w:val="en-GB"/>
              </w:rPr>
            </w:pPr>
          </w:p>
        </w:tc>
        <w:tc>
          <w:tcPr>
            <w:tcW w:w="704" w:type="pct"/>
            <w:tcBorders>
              <w:top w:val="single" w:sz="4" w:space="0" w:color="auto"/>
              <w:left w:val="single" w:sz="4" w:space="0" w:color="auto"/>
              <w:bottom w:val="single" w:sz="4" w:space="0" w:color="auto"/>
              <w:right w:val="single" w:sz="4" w:space="0" w:color="auto"/>
            </w:tcBorders>
            <w:hideMark/>
          </w:tcPr>
          <w:p w14:paraId="6DE3C2CF"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0.43 </w:t>
            </w:r>
          </w:p>
          <w:p w14:paraId="55B56FD1"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(0.30, 0.61)</w:t>
            </w:r>
          </w:p>
        </w:tc>
        <w:tc>
          <w:tcPr>
            <w:tcW w:w="780" w:type="pct"/>
            <w:tcBorders>
              <w:top w:val="single" w:sz="4" w:space="0" w:color="auto"/>
              <w:left w:val="single" w:sz="4" w:space="0" w:color="auto"/>
              <w:bottom w:val="single" w:sz="4" w:space="0" w:color="auto"/>
              <w:right w:val="single" w:sz="4" w:space="0" w:color="auto"/>
            </w:tcBorders>
            <w:hideMark/>
          </w:tcPr>
          <w:p w14:paraId="2C8F7F11"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 xml:space="preserve">0.59 </w:t>
            </w:r>
          </w:p>
          <w:p w14:paraId="180A765C" w14:textId="77777777" w:rsidR="00BE17CF" w:rsidRPr="006174AA" w:rsidRDefault="00BE17CF">
            <w:pPr>
              <w:autoSpaceDE w:val="0"/>
              <w:autoSpaceDN w:val="0"/>
              <w:adjustRightInd w:val="0"/>
              <w:rPr>
                <w:rFonts w:cs="Times New Roman"/>
                <w:sz w:val="22"/>
                <w:lang w:val="en-GB"/>
              </w:rPr>
            </w:pPr>
            <w:r w:rsidRPr="006174AA">
              <w:rPr>
                <w:rFonts w:cs="Times New Roman"/>
                <w:sz w:val="22"/>
                <w:lang w:val="en-GB"/>
              </w:rPr>
              <w:t>(0.42, 0.82</w:t>
            </w:r>
          </w:p>
        </w:tc>
      </w:tr>
    </w:tbl>
    <w:p w14:paraId="08C1163E" w14:textId="77777777" w:rsidR="00BE17CF" w:rsidRPr="006174AA" w:rsidRDefault="00BE17CF" w:rsidP="00BE17CF">
      <w:pPr>
        <w:keepLines/>
        <w:rPr>
          <w:sz w:val="20"/>
          <w:lang w:val="en-GB" w:eastAsia="en-US"/>
        </w:rPr>
      </w:pPr>
      <w:proofErr w:type="spellStart"/>
      <w:r w:rsidRPr="006174AA">
        <w:rPr>
          <w:sz w:val="20"/>
          <w:vertAlign w:val="superscript"/>
          <w:lang w:val="en-GB"/>
        </w:rPr>
        <w:t>a</w:t>
      </w:r>
      <w:proofErr w:type="spellEnd"/>
      <w:r w:rsidRPr="006174AA">
        <w:rPr>
          <w:sz w:val="20"/>
          <w:lang w:val="en-GB"/>
        </w:rPr>
        <w:t xml:space="preserve"> All analyses of clinical endpoints were intent-to-</w:t>
      </w:r>
      <w:proofErr w:type="gramStart"/>
      <w:r w:rsidRPr="006174AA">
        <w:rPr>
          <w:sz w:val="20"/>
          <w:lang w:val="en-GB"/>
        </w:rPr>
        <w:t>treat</w:t>
      </w:r>
      <w:proofErr w:type="gramEnd"/>
      <w:r w:rsidRPr="006174AA">
        <w:rPr>
          <w:sz w:val="20"/>
          <w:lang w:val="en-GB"/>
        </w:rPr>
        <w:t>;</w:t>
      </w:r>
    </w:p>
    <w:p w14:paraId="727F0630" w14:textId="77777777" w:rsidR="00BE17CF" w:rsidRPr="006174AA" w:rsidRDefault="00BE17CF" w:rsidP="00BE17CF">
      <w:pPr>
        <w:keepLines/>
        <w:rPr>
          <w:sz w:val="20"/>
          <w:lang w:val="en-GB"/>
        </w:rPr>
      </w:pPr>
      <w:r w:rsidRPr="006174AA">
        <w:rPr>
          <w:sz w:val="20"/>
          <w:vertAlign w:val="superscript"/>
          <w:lang w:val="en-GB"/>
        </w:rPr>
        <w:t>b</w:t>
      </w:r>
      <w:r w:rsidRPr="006174AA">
        <w:rPr>
          <w:sz w:val="20"/>
          <w:lang w:val="en-GB"/>
        </w:rPr>
        <w:t xml:space="preserve"> MRI analysis used MRI cohort</w:t>
      </w:r>
    </w:p>
    <w:p w14:paraId="0E1D4C16" w14:textId="77777777" w:rsidR="00BE17CF" w:rsidRPr="006174AA" w:rsidRDefault="00BE17CF" w:rsidP="00BE17CF">
      <w:pPr>
        <w:keepLines/>
        <w:rPr>
          <w:sz w:val="20"/>
          <w:lang w:val="en-GB"/>
        </w:rPr>
      </w:pPr>
      <w:r w:rsidRPr="006174AA">
        <w:rPr>
          <w:sz w:val="20"/>
          <w:lang w:val="en-GB"/>
        </w:rPr>
        <w:t>* P</w:t>
      </w:r>
      <w:r w:rsidRPr="006174AA">
        <w:rPr>
          <w:sz w:val="20"/>
          <w:lang w:val="en-GB"/>
        </w:rPr>
        <w:noBreakHyphen/>
        <w:t>value &lt;0.05; ** P</w:t>
      </w:r>
      <w:r w:rsidRPr="006174AA">
        <w:rPr>
          <w:sz w:val="20"/>
          <w:lang w:val="en-GB"/>
        </w:rPr>
        <w:noBreakHyphen/>
        <w:t>value &lt;0.01; *** P</w:t>
      </w:r>
      <w:r w:rsidRPr="006174AA">
        <w:rPr>
          <w:sz w:val="20"/>
          <w:lang w:val="en-GB"/>
        </w:rPr>
        <w:noBreakHyphen/>
        <w:t>value &lt;0.0001; # not statistically significant</w:t>
      </w:r>
    </w:p>
    <w:p w14:paraId="14FCAA28" w14:textId="77777777" w:rsidR="00BE17CF" w:rsidRPr="002800DB" w:rsidRDefault="00BE17CF" w:rsidP="00BE17CF">
      <w:pPr>
        <w:rPr>
          <w:sz w:val="24"/>
          <w:szCs w:val="24"/>
          <w:lang w:val="en-GB"/>
        </w:rPr>
      </w:pPr>
    </w:p>
    <w:p w14:paraId="3C1882EB" w14:textId="77777777" w:rsidR="00BE17CF" w:rsidRPr="002800DB" w:rsidRDefault="00BE17CF" w:rsidP="00AC6C51">
      <w:pPr>
        <w:ind w:left="851"/>
        <w:rPr>
          <w:sz w:val="24"/>
          <w:szCs w:val="24"/>
          <w:lang w:val="en-GB"/>
        </w:rPr>
      </w:pPr>
      <w:r w:rsidRPr="002800DB">
        <w:rPr>
          <w:sz w:val="24"/>
          <w:szCs w:val="24"/>
          <w:lang w:val="en-GB"/>
        </w:rPr>
        <w:t>An open non-controlled 8</w:t>
      </w:r>
      <w:r w:rsidRPr="002800DB">
        <w:rPr>
          <w:sz w:val="24"/>
          <w:szCs w:val="24"/>
          <w:lang w:val="en-GB"/>
        </w:rPr>
        <w:noBreakHyphen/>
        <w:t>year extension study (ENDORSE) enrolled 1 736 eligible RRMS patients from the pivotal studies (DEFINE and CONFIRM). The primary objective of the study was to assess the long-term safety of dimethyl fumarate in patients with RRMS. Of the 1 736 patients, approximately half (909, 52%) were treated for 6 years or longer. 501 patients were continuously treated with dimethyl fumarate 240 mg twice daily across all 3 studies and 249 patients who were previously treated with placebo in studies DEFINE and CONFIRM received treatment 240 mg twice daily in study ENDORSE. Patients who received treatment twice daily continuously were treated for up to 12 years.</w:t>
      </w:r>
    </w:p>
    <w:p w14:paraId="136348AA" w14:textId="77777777" w:rsidR="00BE17CF" w:rsidRPr="002800DB" w:rsidRDefault="00BE17CF" w:rsidP="00AC6C51">
      <w:pPr>
        <w:ind w:left="851"/>
        <w:rPr>
          <w:sz w:val="24"/>
          <w:szCs w:val="24"/>
          <w:lang w:val="en-GB"/>
        </w:rPr>
      </w:pPr>
    </w:p>
    <w:p w14:paraId="62E76CAF" w14:textId="77777777" w:rsidR="00BE17CF" w:rsidRPr="002800DB" w:rsidRDefault="00BE17CF" w:rsidP="00AC6C51">
      <w:pPr>
        <w:ind w:left="851"/>
        <w:rPr>
          <w:sz w:val="24"/>
          <w:szCs w:val="24"/>
          <w:lang w:val="en-GB"/>
        </w:rPr>
      </w:pPr>
      <w:r w:rsidRPr="002800DB">
        <w:rPr>
          <w:sz w:val="24"/>
          <w:szCs w:val="24"/>
          <w:lang w:val="en-GB"/>
        </w:rPr>
        <w:t>During study ENDORSE, more than half of all patients treated with dimethyl fumarate 240 mg twice daily did not have a relapse. For patients continuously treated twice daily across all 3 studies, the adjusted ARR was 0.187 (95% CI: 0.156, 0.224) in studies DEFINE and CONFIRM and 0.141 (95% CI: 0.119, 0.167) in study ENDORSE. For patients previously treated with placebo, the adjusted ARR decreased from 0.330 (95% CI: 0.266, 0.408) in studies DEFINE and CONFIRM to 0.149 (95% CI: 0.116, 0.190) in study ENDORSE.</w:t>
      </w:r>
    </w:p>
    <w:p w14:paraId="634167FD" w14:textId="77777777" w:rsidR="00BE17CF" w:rsidRPr="002800DB" w:rsidRDefault="00BE17CF" w:rsidP="00AC6C51">
      <w:pPr>
        <w:ind w:left="851"/>
        <w:rPr>
          <w:sz w:val="24"/>
          <w:szCs w:val="24"/>
          <w:lang w:val="en-GB"/>
        </w:rPr>
      </w:pPr>
    </w:p>
    <w:p w14:paraId="5F3F3CC2" w14:textId="77777777" w:rsidR="00BE17CF" w:rsidRPr="002800DB" w:rsidRDefault="00BE17CF" w:rsidP="00AC6C51">
      <w:pPr>
        <w:ind w:left="851"/>
        <w:rPr>
          <w:sz w:val="24"/>
          <w:szCs w:val="24"/>
          <w:lang w:val="en-GB"/>
        </w:rPr>
      </w:pPr>
      <w:r w:rsidRPr="002800DB">
        <w:rPr>
          <w:sz w:val="24"/>
          <w:szCs w:val="24"/>
          <w:lang w:val="en-GB"/>
        </w:rPr>
        <w:t>In study ENDORSE, the majority of patients (&gt;75%) did not have confirmed disability progression (measured as 6</w:t>
      </w:r>
      <w:r w:rsidRPr="002800DB">
        <w:rPr>
          <w:sz w:val="24"/>
          <w:szCs w:val="24"/>
          <w:lang w:val="en-GB"/>
        </w:rPr>
        <w:noBreakHyphen/>
        <w:t xml:space="preserve">month sustained disability progression). Pooled results from the three studies demonstrated dimethyl fumarate treated patients had consistent and low rates of confirmed disability progression with slight increase in mean EDSS scores across ENDORSE. MRI assessments (up to year 6, including 752 patients who had previously been included in the MRI cohort of studies DEFINE and CONFIRM showed that the majority of patients (approximately 90%) had no </w:t>
      </w:r>
      <w:proofErr w:type="spellStart"/>
      <w:r w:rsidRPr="002800DB">
        <w:rPr>
          <w:sz w:val="24"/>
          <w:szCs w:val="24"/>
          <w:lang w:val="en-GB"/>
        </w:rPr>
        <w:t>Gd</w:t>
      </w:r>
      <w:proofErr w:type="spellEnd"/>
      <w:r w:rsidRPr="002800DB">
        <w:rPr>
          <w:sz w:val="24"/>
          <w:szCs w:val="24"/>
          <w:lang w:val="en-GB"/>
        </w:rPr>
        <w:noBreakHyphen/>
        <w:t>enhancing lesions. Over the 6 years, the annual adjusted mean number of new or newly enlarging T2 and new T1 lesions remained low.</w:t>
      </w:r>
    </w:p>
    <w:p w14:paraId="180AD53E" w14:textId="092E2116" w:rsidR="00743C18" w:rsidRDefault="00743C18">
      <w:pPr>
        <w:rPr>
          <w:sz w:val="24"/>
          <w:szCs w:val="24"/>
          <w:lang w:val="en-GB"/>
        </w:rPr>
      </w:pPr>
      <w:r>
        <w:rPr>
          <w:sz w:val="24"/>
          <w:szCs w:val="24"/>
          <w:lang w:val="en-GB"/>
        </w:rPr>
        <w:br w:type="page"/>
      </w:r>
    </w:p>
    <w:p w14:paraId="49B8035C" w14:textId="77777777" w:rsidR="00BE17CF" w:rsidRPr="002800DB" w:rsidRDefault="00BE17CF" w:rsidP="00AC6C51">
      <w:pPr>
        <w:ind w:left="851"/>
        <w:rPr>
          <w:sz w:val="24"/>
          <w:szCs w:val="24"/>
          <w:lang w:val="en-GB"/>
        </w:rPr>
      </w:pPr>
    </w:p>
    <w:p w14:paraId="72A35B2D" w14:textId="77777777" w:rsidR="00BE17CF" w:rsidRPr="002800DB" w:rsidRDefault="00BE17CF" w:rsidP="00AC6C51">
      <w:pPr>
        <w:ind w:left="851"/>
        <w:rPr>
          <w:i/>
          <w:sz w:val="24"/>
          <w:szCs w:val="24"/>
          <w:lang w:val="en-GB"/>
        </w:rPr>
      </w:pPr>
      <w:r w:rsidRPr="002800DB">
        <w:rPr>
          <w:i/>
          <w:sz w:val="24"/>
          <w:szCs w:val="24"/>
          <w:lang w:val="en-GB"/>
        </w:rPr>
        <w:t>Efficacy in patients with high disease activity:</w:t>
      </w:r>
    </w:p>
    <w:p w14:paraId="7FEDBB44" w14:textId="77777777" w:rsidR="00BE17CF" w:rsidRPr="002800DB" w:rsidRDefault="00BE17CF" w:rsidP="00AC6C51">
      <w:pPr>
        <w:ind w:left="851"/>
        <w:rPr>
          <w:sz w:val="24"/>
          <w:szCs w:val="24"/>
          <w:lang w:val="en-GB"/>
        </w:rPr>
      </w:pPr>
      <w:r w:rsidRPr="002800DB">
        <w:rPr>
          <w:sz w:val="24"/>
          <w:szCs w:val="24"/>
          <w:lang w:val="en-GB"/>
        </w:rPr>
        <w:t>In studies DEFINE and CONFIRM, consistent treatment effect on relapses in a subgroup of patients with high disease activity was observed, whilst the effect on time to 3</w:t>
      </w:r>
      <w:r w:rsidRPr="002800DB">
        <w:rPr>
          <w:sz w:val="24"/>
          <w:szCs w:val="24"/>
          <w:lang w:val="en-GB"/>
        </w:rPr>
        <w:noBreakHyphen/>
        <w:t>month sustained disability progression was not clearly established. Due to the design of the studies, high disease activity was defined as follows:</w:t>
      </w:r>
    </w:p>
    <w:p w14:paraId="5E360B86" w14:textId="1780DE02" w:rsidR="00BE17CF" w:rsidRPr="006174AA" w:rsidRDefault="00BE17CF" w:rsidP="006174AA">
      <w:pPr>
        <w:pStyle w:val="Listeafsnit"/>
        <w:numPr>
          <w:ilvl w:val="0"/>
          <w:numId w:val="11"/>
        </w:numPr>
        <w:ind w:left="1276" w:hanging="425"/>
        <w:rPr>
          <w:sz w:val="24"/>
          <w:szCs w:val="24"/>
          <w:lang w:val="en-GB"/>
        </w:rPr>
      </w:pPr>
      <w:r w:rsidRPr="006174AA">
        <w:rPr>
          <w:sz w:val="24"/>
          <w:szCs w:val="24"/>
          <w:lang w:val="en-GB"/>
        </w:rPr>
        <w:t xml:space="preserve">Patients with 2 or more relapses in one year, and with one or more </w:t>
      </w:r>
      <w:proofErr w:type="spellStart"/>
      <w:r w:rsidRPr="006174AA">
        <w:rPr>
          <w:sz w:val="24"/>
          <w:szCs w:val="24"/>
          <w:lang w:val="en-GB"/>
        </w:rPr>
        <w:t>Gd</w:t>
      </w:r>
      <w:proofErr w:type="spellEnd"/>
      <w:r w:rsidRPr="006174AA">
        <w:rPr>
          <w:sz w:val="24"/>
          <w:szCs w:val="24"/>
          <w:lang w:val="en-GB"/>
        </w:rPr>
        <w:noBreakHyphen/>
        <w:t>enhancing lesions on brain MRI (n=42 in DEFINE; n=51 in CONFIRM) or,</w:t>
      </w:r>
    </w:p>
    <w:p w14:paraId="5A64FC34" w14:textId="4AD9E22F" w:rsidR="00BE17CF" w:rsidRPr="006174AA" w:rsidRDefault="00BE17CF" w:rsidP="006174AA">
      <w:pPr>
        <w:pStyle w:val="Listeafsnit"/>
        <w:numPr>
          <w:ilvl w:val="0"/>
          <w:numId w:val="11"/>
        </w:numPr>
        <w:ind w:left="1276" w:hanging="425"/>
        <w:rPr>
          <w:sz w:val="24"/>
          <w:szCs w:val="24"/>
          <w:lang w:val="en-GB"/>
        </w:rPr>
      </w:pPr>
      <w:r w:rsidRPr="006174AA">
        <w:rPr>
          <w:sz w:val="24"/>
          <w:szCs w:val="24"/>
          <w:lang w:val="en-GB"/>
        </w:rPr>
        <w:t>Patients who have failed to respond to a full and adequate course (at least one year of treatment) of beta-interferon, having had at least 1 relapse in the previous year while on therapy, and at least 9 T2</w:t>
      </w:r>
      <w:r w:rsidRPr="006174AA">
        <w:rPr>
          <w:sz w:val="24"/>
          <w:szCs w:val="24"/>
          <w:lang w:val="en-GB"/>
        </w:rPr>
        <w:noBreakHyphen/>
        <w:t>hyperintense lesions in cranial MRI or at least 1 </w:t>
      </w:r>
      <w:proofErr w:type="spellStart"/>
      <w:r w:rsidRPr="006174AA">
        <w:rPr>
          <w:sz w:val="24"/>
          <w:szCs w:val="24"/>
          <w:lang w:val="en-GB"/>
        </w:rPr>
        <w:t>Gd</w:t>
      </w:r>
      <w:proofErr w:type="spellEnd"/>
      <w:r w:rsidRPr="006174AA">
        <w:rPr>
          <w:sz w:val="24"/>
          <w:szCs w:val="24"/>
          <w:lang w:val="en-GB"/>
        </w:rPr>
        <w:noBreakHyphen/>
        <w:t>enhancing lesion, or patients having an unchanged or increased relapse rate in the prior year as compared to the previous 2 years (n=177 in DEFINE; n=141 in CONFIRM).</w:t>
      </w:r>
    </w:p>
    <w:p w14:paraId="6F2C3FA3" w14:textId="77777777" w:rsidR="00BE17CF" w:rsidRPr="002800DB" w:rsidRDefault="00BE17CF" w:rsidP="00AC6C51">
      <w:pPr>
        <w:ind w:left="851"/>
        <w:rPr>
          <w:sz w:val="24"/>
          <w:szCs w:val="24"/>
          <w:lang w:val="en-GB"/>
        </w:rPr>
      </w:pPr>
    </w:p>
    <w:p w14:paraId="0F924DDF" w14:textId="77777777" w:rsidR="00BE17CF" w:rsidRPr="002800DB" w:rsidRDefault="00BE17CF" w:rsidP="00AC6C51">
      <w:pPr>
        <w:ind w:left="851"/>
        <w:rPr>
          <w:sz w:val="24"/>
          <w:szCs w:val="24"/>
          <w:u w:val="single"/>
          <w:lang w:val="en-GB"/>
        </w:rPr>
      </w:pPr>
      <w:r w:rsidRPr="002800DB">
        <w:rPr>
          <w:sz w:val="24"/>
          <w:szCs w:val="24"/>
          <w:u w:val="single"/>
          <w:lang w:val="en-GB"/>
        </w:rPr>
        <w:t>Paediatric population</w:t>
      </w:r>
    </w:p>
    <w:p w14:paraId="7AC22F03" w14:textId="77777777" w:rsidR="00BE17CF" w:rsidRPr="002800DB" w:rsidRDefault="00BE17CF" w:rsidP="00AC6C51">
      <w:pPr>
        <w:ind w:left="851"/>
        <w:rPr>
          <w:sz w:val="24"/>
          <w:szCs w:val="24"/>
          <w:lang w:val="en-GB"/>
        </w:rPr>
      </w:pPr>
      <w:r w:rsidRPr="002800DB">
        <w:rPr>
          <w:sz w:val="24"/>
          <w:szCs w:val="24"/>
          <w:lang w:val="en-GB"/>
        </w:rPr>
        <w:t>The safety and efficacy of dimethyl fumarate in paediatric RRMS was evaluated in a randomised, open-label, active-controlled (interferon beta-1a) parallel group study in patients with RRMS aged 10 to less than 18 years of age. One hundred and fifty patients were randomised to dimethyl fumarate (240 mg twice daily oral) or interferon beta-1a (30 </w:t>
      </w:r>
      <w:proofErr w:type="spellStart"/>
      <w:r w:rsidRPr="002800DB">
        <w:rPr>
          <w:sz w:val="24"/>
          <w:szCs w:val="24"/>
          <w:lang w:val="en-GB"/>
        </w:rPr>
        <w:t>μg</w:t>
      </w:r>
      <w:proofErr w:type="spellEnd"/>
      <w:r w:rsidRPr="002800DB">
        <w:rPr>
          <w:sz w:val="24"/>
          <w:szCs w:val="24"/>
          <w:lang w:val="en-GB"/>
        </w:rPr>
        <w:t xml:space="preserve"> IM once a week) for 96 weeks. The primary endpoint was the proportion of patients free of new or newly enlarging T2 hyperintense lesions on brain MRI scans at week 96. The main secondary endpoint was the number of new or newly enlarging T2 hyperintense lesions on brain MRI scans at week 96. Descriptive statistics are presented as no confirmatory hypothesis was pre-planned for the primary endpoint.</w:t>
      </w:r>
    </w:p>
    <w:p w14:paraId="06927F7A" w14:textId="77777777" w:rsidR="00BE17CF" w:rsidRPr="002800DB" w:rsidRDefault="00BE17CF" w:rsidP="00AC6C51">
      <w:pPr>
        <w:ind w:left="851"/>
        <w:rPr>
          <w:sz w:val="24"/>
          <w:szCs w:val="24"/>
          <w:lang w:val="en-GB"/>
        </w:rPr>
      </w:pPr>
    </w:p>
    <w:p w14:paraId="3D3128B0" w14:textId="77777777" w:rsidR="00BE17CF" w:rsidRPr="002800DB" w:rsidRDefault="00BE17CF" w:rsidP="00AC6C51">
      <w:pPr>
        <w:ind w:left="851"/>
        <w:rPr>
          <w:sz w:val="24"/>
          <w:szCs w:val="24"/>
          <w:lang w:val="en-GB"/>
        </w:rPr>
      </w:pPr>
      <w:r w:rsidRPr="002800DB">
        <w:rPr>
          <w:sz w:val="24"/>
          <w:szCs w:val="24"/>
          <w:lang w:val="en-GB"/>
        </w:rPr>
        <w:t>The proportion of patients in the ITT population with no new or newly enlarging T2 MRI lesions at week 96 relative to baseline was 12.8% for dimethyl fumarate versus 2.8% in the interferon beta-1a group. The mean number of new or newly enlarging T2 lesions at week 96 relative to baseline, adjusted for baseline number of T2 lesions and age (ITT population excluding patients without MRI measurements) was 12.4 for dimethyl fumarate and 32.6 for interferon beta-1a.</w:t>
      </w:r>
    </w:p>
    <w:p w14:paraId="21F2B8B6" w14:textId="77777777" w:rsidR="00BE17CF" w:rsidRPr="002800DB" w:rsidRDefault="00BE17CF" w:rsidP="00AC6C51">
      <w:pPr>
        <w:ind w:left="851"/>
        <w:rPr>
          <w:sz w:val="24"/>
          <w:szCs w:val="24"/>
          <w:lang w:val="en-GB"/>
        </w:rPr>
      </w:pPr>
    </w:p>
    <w:p w14:paraId="77A4F09C" w14:textId="77777777" w:rsidR="00BE17CF" w:rsidRPr="002800DB" w:rsidRDefault="00BE17CF" w:rsidP="00AC6C51">
      <w:pPr>
        <w:ind w:left="851"/>
        <w:rPr>
          <w:sz w:val="24"/>
          <w:szCs w:val="24"/>
          <w:lang w:val="en-GB"/>
        </w:rPr>
      </w:pPr>
      <w:r w:rsidRPr="002800DB">
        <w:rPr>
          <w:sz w:val="24"/>
          <w:szCs w:val="24"/>
          <w:lang w:val="en-GB"/>
        </w:rPr>
        <w:t xml:space="preserve">The probability for clinical relapse was 34% in the dimethyl fumarate group and 48% in the interferon beta-1a group by the end of the </w:t>
      </w:r>
      <w:proofErr w:type="gramStart"/>
      <w:r w:rsidRPr="002800DB">
        <w:rPr>
          <w:sz w:val="24"/>
          <w:szCs w:val="24"/>
          <w:lang w:val="en-GB"/>
        </w:rPr>
        <w:t>96 week</w:t>
      </w:r>
      <w:proofErr w:type="gramEnd"/>
      <w:r w:rsidRPr="002800DB">
        <w:rPr>
          <w:sz w:val="24"/>
          <w:szCs w:val="24"/>
          <w:lang w:val="en-GB"/>
        </w:rPr>
        <w:t xml:space="preserve"> open-label study period.</w:t>
      </w:r>
    </w:p>
    <w:p w14:paraId="0DAF905A" w14:textId="77777777" w:rsidR="00BE17CF" w:rsidRPr="002800DB" w:rsidRDefault="00BE17CF" w:rsidP="00AC6C51">
      <w:pPr>
        <w:ind w:left="851"/>
        <w:rPr>
          <w:sz w:val="24"/>
          <w:szCs w:val="24"/>
          <w:lang w:val="en-GB"/>
        </w:rPr>
      </w:pPr>
    </w:p>
    <w:p w14:paraId="234193F4" w14:textId="77777777" w:rsidR="00BE17CF" w:rsidRPr="002800DB" w:rsidRDefault="00BE17CF" w:rsidP="00AC6C51">
      <w:pPr>
        <w:ind w:left="851"/>
        <w:rPr>
          <w:sz w:val="24"/>
          <w:szCs w:val="24"/>
          <w:lang w:val="en-GB"/>
        </w:rPr>
      </w:pPr>
      <w:r w:rsidRPr="002800DB">
        <w:rPr>
          <w:sz w:val="24"/>
          <w:szCs w:val="24"/>
          <w:lang w:val="en-GB"/>
        </w:rPr>
        <w:t>The safety profile in paediatric patients (aged 13 to less than 18 years of age) receiving dimethyl fumarate was qualitatively consistent with that previously observed in adult patients (see section 4.8).</w:t>
      </w:r>
    </w:p>
    <w:p w14:paraId="50016BBC" w14:textId="77777777" w:rsidR="007C5D2A" w:rsidRPr="002800DB" w:rsidRDefault="007C5D2A" w:rsidP="003E0341">
      <w:pPr>
        <w:tabs>
          <w:tab w:val="left" w:pos="851"/>
        </w:tabs>
        <w:ind w:left="851"/>
        <w:rPr>
          <w:sz w:val="24"/>
          <w:szCs w:val="24"/>
          <w:lang w:val="en-GB"/>
        </w:rPr>
      </w:pPr>
    </w:p>
    <w:p w14:paraId="618EF52B" w14:textId="7A584B2D" w:rsidR="007C5D2A" w:rsidRPr="002800DB" w:rsidRDefault="007C5D2A" w:rsidP="007C5D2A">
      <w:pPr>
        <w:tabs>
          <w:tab w:val="left" w:pos="851"/>
        </w:tabs>
        <w:ind w:left="851" w:hanging="851"/>
        <w:rPr>
          <w:b/>
          <w:sz w:val="24"/>
          <w:szCs w:val="24"/>
          <w:lang w:val="en-GB"/>
        </w:rPr>
      </w:pPr>
      <w:r w:rsidRPr="002800DB">
        <w:rPr>
          <w:b/>
          <w:sz w:val="24"/>
          <w:szCs w:val="24"/>
          <w:lang w:val="en-GB"/>
        </w:rPr>
        <w:t>5.2</w:t>
      </w:r>
      <w:r w:rsidRPr="002800DB">
        <w:rPr>
          <w:b/>
          <w:sz w:val="24"/>
          <w:szCs w:val="24"/>
          <w:lang w:val="en-GB"/>
        </w:rPr>
        <w:tab/>
        <w:t>Pharmacokinetic properties</w:t>
      </w:r>
    </w:p>
    <w:p w14:paraId="676E9C53" w14:textId="77777777" w:rsidR="00BE17CF" w:rsidRPr="002800DB" w:rsidRDefault="00BE17CF" w:rsidP="00AC6C51">
      <w:pPr>
        <w:ind w:left="851"/>
        <w:rPr>
          <w:sz w:val="24"/>
          <w:szCs w:val="24"/>
          <w:lang w:val="en-GB"/>
        </w:rPr>
      </w:pPr>
      <w:r w:rsidRPr="002800DB">
        <w:rPr>
          <w:sz w:val="24"/>
          <w:szCs w:val="24"/>
          <w:lang w:val="en-GB"/>
        </w:rPr>
        <w:t xml:space="preserve">Orally administered dimethyl fumarate undergoes rapid </w:t>
      </w:r>
      <w:proofErr w:type="spellStart"/>
      <w:r w:rsidRPr="002800DB">
        <w:rPr>
          <w:sz w:val="24"/>
          <w:szCs w:val="24"/>
          <w:lang w:val="en-GB"/>
        </w:rPr>
        <w:t>presystemic</w:t>
      </w:r>
      <w:proofErr w:type="spellEnd"/>
      <w:r w:rsidRPr="002800DB">
        <w:rPr>
          <w:sz w:val="24"/>
          <w:szCs w:val="24"/>
          <w:lang w:val="en-GB"/>
        </w:rPr>
        <w:t xml:space="preserve"> hydrolysis by </w:t>
      </w:r>
      <w:proofErr w:type="spellStart"/>
      <w:r w:rsidRPr="002800DB">
        <w:rPr>
          <w:sz w:val="24"/>
          <w:szCs w:val="24"/>
          <w:lang w:val="en-GB"/>
        </w:rPr>
        <w:t>esterases</w:t>
      </w:r>
      <w:proofErr w:type="spellEnd"/>
      <w:r w:rsidRPr="002800DB">
        <w:rPr>
          <w:sz w:val="24"/>
          <w:szCs w:val="24"/>
          <w:lang w:val="en-GB"/>
        </w:rPr>
        <w:t xml:space="preserve"> and is converted to its primary metabolite, monomethyl fumarate, which is also active.</w:t>
      </w:r>
    </w:p>
    <w:p w14:paraId="196FFFCF" w14:textId="77777777" w:rsidR="00BE17CF" w:rsidRPr="002800DB" w:rsidRDefault="00BE17CF" w:rsidP="00AC6C51">
      <w:pPr>
        <w:ind w:left="851"/>
        <w:rPr>
          <w:sz w:val="24"/>
          <w:szCs w:val="24"/>
          <w:lang w:val="en-GB"/>
        </w:rPr>
      </w:pPr>
      <w:r w:rsidRPr="002800DB">
        <w:rPr>
          <w:sz w:val="24"/>
          <w:szCs w:val="24"/>
          <w:lang w:val="en-GB"/>
        </w:rPr>
        <w:t>Dimethyl fumarate is not quantifiable in plasma following oral administration of dimethyl fumarate. Therefore, all pharmacokinetic analyses related to dimethyl fumarate were performed with plasma monomethyl fumarate concentrations.</w:t>
      </w:r>
    </w:p>
    <w:p w14:paraId="78B57200" w14:textId="77777777" w:rsidR="00BE17CF" w:rsidRPr="002800DB" w:rsidRDefault="00BE17CF" w:rsidP="00AC6C51">
      <w:pPr>
        <w:ind w:left="851"/>
        <w:rPr>
          <w:sz w:val="24"/>
          <w:szCs w:val="24"/>
          <w:lang w:val="en-GB"/>
        </w:rPr>
      </w:pPr>
      <w:r w:rsidRPr="002800DB">
        <w:rPr>
          <w:sz w:val="24"/>
          <w:szCs w:val="24"/>
          <w:lang w:val="en-GB"/>
        </w:rPr>
        <w:t>Pharmacokinetic data were obtained in subjects with multiple sclerosis and healthy volunteers.</w:t>
      </w:r>
    </w:p>
    <w:p w14:paraId="63E366FB" w14:textId="3365CD5E" w:rsidR="00743C18" w:rsidRDefault="00743C18">
      <w:pPr>
        <w:rPr>
          <w:sz w:val="24"/>
          <w:szCs w:val="24"/>
          <w:lang w:val="en-GB"/>
        </w:rPr>
      </w:pPr>
      <w:r>
        <w:rPr>
          <w:sz w:val="24"/>
          <w:szCs w:val="24"/>
          <w:lang w:val="en-GB"/>
        </w:rPr>
        <w:br w:type="page"/>
      </w:r>
    </w:p>
    <w:p w14:paraId="63846D08" w14:textId="77777777" w:rsidR="00BE17CF" w:rsidRPr="002800DB" w:rsidRDefault="00BE17CF" w:rsidP="00AC6C51">
      <w:pPr>
        <w:ind w:left="851"/>
        <w:rPr>
          <w:sz w:val="24"/>
          <w:szCs w:val="24"/>
          <w:lang w:val="en-GB"/>
        </w:rPr>
      </w:pPr>
    </w:p>
    <w:p w14:paraId="25F28420" w14:textId="77777777" w:rsidR="00BE17CF" w:rsidRPr="002800DB" w:rsidRDefault="00BE17CF" w:rsidP="00AC6C51">
      <w:pPr>
        <w:ind w:left="851"/>
        <w:rPr>
          <w:sz w:val="24"/>
          <w:szCs w:val="24"/>
          <w:u w:val="single"/>
          <w:lang w:val="en-GB"/>
        </w:rPr>
      </w:pPr>
      <w:r w:rsidRPr="002800DB">
        <w:rPr>
          <w:sz w:val="24"/>
          <w:szCs w:val="24"/>
          <w:u w:val="single"/>
          <w:lang w:val="en-GB"/>
        </w:rPr>
        <w:t>Absorption</w:t>
      </w:r>
    </w:p>
    <w:p w14:paraId="63C38A67" w14:textId="77777777" w:rsidR="00BE17CF" w:rsidRPr="002800DB" w:rsidRDefault="00BE17CF" w:rsidP="00AC6C51">
      <w:pPr>
        <w:ind w:left="851"/>
        <w:rPr>
          <w:sz w:val="24"/>
          <w:szCs w:val="24"/>
          <w:lang w:val="en-GB"/>
        </w:rPr>
      </w:pPr>
      <w:r w:rsidRPr="002800DB">
        <w:rPr>
          <w:sz w:val="24"/>
          <w:szCs w:val="24"/>
          <w:lang w:val="en-GB"/>
        </w:rPr>
        <w:t xml:space="preserve">The </w:t>
      </w:r>
      <w:proofErr w:type="spellStart"/>
      <w:r w:rsidRPr="002800DB">
        <w:rPr>
          <w:sz w:val="24"/>
          <w:szCs w:val="24"/>
          <w:lang w:val="en-GB"/>
        </w:rPr>
        <w:t>T</w:t>
      </w:r>
      <w:r w:rsidRPr="002800DB">
        <w:rPr>
          <w:sz w:val="24"/>
          <w:szCs w:val="24"/>
          <w:vertAlign w:val="subscript"/>
          <w:lang w:val="en-GB"/>
        </w:rPr>
        <w:t>max</w:t>
      </w:r>
      <w:proofErr w:type="spellEnd"/>
      <w:r w:rsidRPr="002800DB">
        <w:rPr>
          <w:sz w:val="24"/>
          <w:szCs w:val="24"/>
          <w:lang w:val="en-GB"/>
        </w:rPr>
        <w:t xml:space="preserve"> of monomethyl fumarate is 2 to 2.5 hours. As dimethyl fumarate gastro-resistant hard capsules contain minitablets, which are protected by an enteric coating, absorption does not commence until they leave the stomach (generally less than 1 hour).</w:t>
      </w:r>
    </w:p>
    <w:p w14:paraId="5FA175E5" w14:textId="77777777" w:rsidR="00BE17CF" w:rsidRPr="002800DB" w:rsidRDefault="00BE17CF" w:rsidP="00AC6C51">
      <w:pPr>
        <w:ind w:left="851"/>
        <w:rPr>
          <w:sz w:val="24"/>
          <w:szCs w:val="24"/>
          <w:lang w:val="en-GB"/>
        </w:rPr>
      </w:pPr>
      <w:r w:rsidRPr="002800DB">
        <w:rPr>
          <w:sz w:val="24"/>
          <w:szCs w:val="24"/>
          <w:lang w:val="en-GB"/>
        </w:rPr>
        <w:t>Following 240 mg twice a day administered with food, the median peak (</w:t>
      </w:r>
      <w:proofErr w:type="spellStart"/>
      <w:r w:rsidRPr="002800DB">
        <w:rPr>
          <w:sz w:val="24"/>
          <w:szCs w:val="24"/>
          <w:lang w:val="en-GB"/>
        </w:rPr>
        <w:t>C</w:t>
      </w:r>
      <w:r w:rsidRPr="002800DB">
        <w:rPr>
          <w:sz w:val="24"/>
          <w:szCs w:val="24"/>
          <w:vertAlign w:val="subscript"/>
          <w:lang w:val="en-GB"/>
        </w:rPr>
        <w:t>max</w:t>
      </w:r>
      <w:proofErr w:type="spellEnd"/>
      <w:r w:rsidRPr="002800DB">
        <w:rPr>
          <w:sz w:val="24"/>
          <w:szCs w:val="24"/>
          <w:lang w:val="en-GB"/>
        </w:rPr>
        <w:t xml:space="preserve">) was 1.72 mg/L and overall area under the curve (AUC) exposure was 8.02 h.mg/L in subjects with multiple sclerosis. Overall, </w:t>
      </w:r>
      <w:proofErr w:type="spellStart"/>
      <w:r w:rsidRPr="002800DB">
        <w:rPr>
          <w:sz w:val="24"/>
          <w:szCs w:val="24"/>
          <w:lang w:val="en-GB"/>
        </w:rPr>
        <w:t>C</w:t>
      </w:r>
      <w:r w:rsidRPr="002800DB">
        <w:rPr>
          <w:sz w:val="24"/>
          <w:szCs w:val="24"/>
          <w:vertAlign w:val="subscript"/>
          <w:lang w:val="en-GB"/>
        </w:rPr>
        <w:t>max</w:t>
      </w:r>
      <w:proofErr w:type="spellEnd"/>
      <w:r w:rsidRPr="002800DB">
        <w:rPr>
          <w:sz w:val="24"/>
          <w:szCs w:val="24"/>
          <w:lang w:val="en-GB"/>
        </w:rPr>
        <w:t xml:space="preserve"> and AUC increased approximately dose-proportionally in the dose range studied (120 mg to 360 mg). </w:t>
      </w:r>
    </w:p>
    <w:p w14:paraId="5034C249" w14:textId="77777777" w:rsidR="00BE17CF" w:rsidRPr="002800DB" w:rsidRDefault="00BE17CF" w:rsidP="00AC6C51">
      <w:pPr>
        <w:ind w:left="851"/>
        <w:rPr>
          <w:sz w:val="24"/>
          <w:szCs w:val="24"/>
          <w:lang w:val="en-GB"/>
        </w:rPr>
      </w:pPr>
      <w:r w:rsidRPr="002800DB">
        <w:rPr>
          <w:sz w:val="24"/>
          <w:szCs w:val="24"/>
          <w:lang w:val="en-GB"/>
        </w:rPr>
        <w:t xml:space="preserve">In subjects with multiple sclerosis, two 240 mg doses were administered 4 hours apart as part of </w:t>
      </w:r>
      <w:proofErr w:type="gramStart"/>
      <w:r w:rsidRPr="002800DB">
        <w:rPr>
          <w:sz w:val="24"/>
          <w:szCs w:val="24"/>
          <w:lang w:val="en-GB"/>
        </w:rPr>
        <w:t>a three times</w:t>
      </w:r>
      <w:proofErr w:type="gramEnd"/>
      <w:r w:rsidRPr="002800DB">
        <w:rPr>
          <w:sz w:val="24"/>
          <w:szCs w:val="24"/>
          <w:lang w:val="en-GB"/>
        </w:rPr>
        <w:t xml:space="preserve"> a day dosing regimen. This resulted in a minimal accumulation of exposure yielding an increase in the median </w:t>
      </w:r>
      <w:proofErr w:type="spellStart"/>
      <w:r w:rsidRPr="002800DB">
        <w:rPr>
          <w:sz w:val="24"/>
          <w:szCs w:val="24"/>
          <w:lang w:val="en-GB"/>
        </w:rPr>
        <w:t>C</w:t>
      </w:r>
      <w:r w:rsidRPr="002800DB">
        <w:rPr>
          <w:sz w:val="24"/>
          <w:szCs w:val="24"/>
          <w:vertAlign w:val="subscript"/>
          <w:lang w:val="en-GB"/>
        </w:rPr>
        <w:t>max</w:t>
      </w:r>
      <w:proofErr w:type="spellEnd"/>
      <w:r w:rsidRPr="002800DB">
        <w:rPr>
          <w:sz w:val="24"/>
          <w:szCs w:val="24"/>
          <w:lang w:val="en-GB"/>
        </w:rPr>
        <w:t xml:space="preserve"> of 12% compared to the twice daily dosing (1.72 mg/L for twice daily compared to 1.93 mg/L for three times daily) with no safety implications.</w:t>
      </w:r>
    </w:p>
    <w:p w14:paraId="130E3A2C" w14:textId="77777777" w:rsidR="00BE17CF" w:rsidRPr="002800DB" w:rsidRDefault="00BE17CF" w:rsidP="00AC6C51">
      <w:pPr>
        <w:ind w:left="851"/>
        <w:rPr>
          <w:sz w:val="24"/>
          <w:szCs w:val="24"/>
          <w:lang w:val="en-GB"/>
        </w:rPr>
      </w:pPr>
    </w:p>
    <w:p w14:paraId="23DA60AF" w14:textId="77777777" w:rsidR="00BE17CF" w:rsidRPr="002800DB" w:rsidRDefault="00BE17CF" w:rsidP="00AC6C51">
      <w:pPr>
        <w:ind w:left="851"/>
        <w:rPr>
          <w:sz w:val="24"/>
          <w:szCs w:val="24"/>
          <w:lang w:val="en-GB"/>
        </w:rPr>
      </w:pPr>
      <w:r w:rsidRPr="002800DB">
        <w:rPr>
          <w:sz w:val="24"/>
          <w:szCs w:val="24"/>
          <w:lang w:val="en-GB"/>
        </w:rPr>
        <w:t>Food does not have a clinically significant effect on exposure of dimethyl fumarate. However, this medicinal product should be taken with food due to improved tolerability with respect to flushing or gastrointestinal adverse events (see section 4.2).</w:t>
      </w:r>
    </w:p>
    <w:p w14:paraId="0BBBE3FB" w14:textId="77777777" w:rsidR="00BE17CF" w:rsidRPr="002800DB" w:rsidRDefault="00BE17CF" w:rsidP="00AC6C51">
      <w:pPr>
        <w:ind w:left="851"/>
        <w:rPr>
          <w:sz w:val="24"/>
          <w:szCs w:val="24"/>
          <w:lang w:val="en-GB"/>
        </w:rPr>
      </w:pPr>
    </w:p>
    <w:p w14:paraId="4225D5D2" w14:textId="77777777" w:rsidR="00BE17CF" w:rsidRPr="002800DB" w:rsidRDefault="00BE17CF" w:rsidP="00AC6C51">
      <w:pPr>
        <w:ind w:left="851"/>
        <w:rPr>
          <w:sz w:val="24"/>
          <w:szCs w:val="24"/>
          <w:u w:val="single"/>
          <w:lang w:val="en-GB"/>
        </w:rPr>
      </w:pPr>
      <w:r w:rsidRPr="002800DB">
        <w:rPr>
          <w:sz w:val="24"/>
          <w:szCs w:val="24"/>
          <w:u w:val="single"/>
          <w:lang w:val="en-GB"/>
        </w:rPr>
        <w:t>Distribution</w:t>
      </w:r>
    </w:p>
    <w:p w14:paraId="4088B7A0" w14:textId="77777777" w:rsidR="00BE17CF" w:rsidRPr="002800DB" w:rsidRDefault="00BE17CF" w:rsidP="00AC6C51">
      <w:pPr>
        <w:ind w:left="851"/>
        <w:rPr>
          <w:sz w:val="24"/>
          <w:szCs w:val="24"/>
          <w:lang w:val="en-GB"/>
        </w:rPr>
      </w:pPr>
      <w:r w:rsidRPr="002800DB">
        <w:rPr>
          <w:sz w:val="24"/>
          <w:szCs w:val="24"/>
          <w:lang w:val="en-GB"/>
        </w:rPr>
        <w:t>The apparent volume of distribution following oral administration of 240 mg dimethyl fumarate varies between 60 L and 90 L. Human plasma protein binding of monomethyl fumarate generally ranges between 27% and 40%.</w:t>
      </w:r>
    </w:p>
    <w:p w14:paraId="57F942E6" w14:textId="77777777" w:rsidR="00BE17CF" w:rsidRPr="002800DB" w:rsidRDefault="00BE17CF" w:rsidP="00AC6C51">
      <w:pPr>
        <w:ind w:left="851"/>
        <w:rPr>
          <w:sz w:val="24"/>
          <w:szCs w:val="24"/>
          <w:lang w:val="en-GB"/>
        </w:rPr>
      </w:pPr>
    </w:p>
    <w:p w14:paraId="1088603A" w14:textId="77777777" w:rsidR="00BE17CF" w:rsidRPr="002800DB" w:rsidRDefault="00BE17CF" w:rsidP="00AC6C51">
      <w:pPr>
        <w:ind w:left="851"/>
        <w:rPr>
          <w:sz w:val="24"/>
          <w:szCs w:val="24"/>
          <w:u w:val="single"/>
          <w:lang w:val="en-GB"/>
        </w:rPr>
      </w:pPr>
      <w:r w:rsidRPr="002800DB">
        <w:rPr>
          <w:sz w:val="24"/>
          <w:szCs w:val="24"/>
          <w:u w:val="single"/>
          <w:lang w:val="en-GB"/>
        </w:rPr>
        <w:t>Biotransformation</w:t>
      </w:r>
    </w:p>
    <w:p w14:paraId="5AE04F69" w14:textId="77777777" w:rsidR="00BE17CF" w:rsidRPr="002800DB" w:rsidRDefault="00BE17CF" w:rsidP="00AC6C51">
      <w:pPr>
        <w:ind w:left="851"/>
        <w:rPr>
          <w:sz w:val="24"/>
          <w:szCs w:val="24"/>
          <w:lang w:val="en-GB"/>
        </w:rPr>
      </w:pPr>
      <w:r w:rsidRPr="002800DB">
        <w:rPr>
          <w:sz w:val="24"/>
          <w:szCs w:val="24"/>
          <w:lang w:val="en-GB"/>
        </w:rPr>
        <w:t xml:space="preserve">In humans, dimethyl fumarate is extensively metabolised with less than 0.1% of the dose excreted as unchanged dimethyl fumarate in urine. It is initially metabolised by </w:t>
      </w:r>
      <w:proofErr w:type="spellStart"/>
      <w:r w:rsidRPr="002800DB">
        <w:rPr>
          <w:sz w:val="24"/>
          <w:szCs w:val="24"/>
          <w:lang w:val="en-GB"/>
        </w:rPr>
        <w:t>esterases</w:t>
      </w:r>
      <w:proofErr w:type="spellEnd"/>
      <w:r w:rsidRPr="002800DB">
        <w:rPr>
          <w:sz w:val="24"/>
          <w:szCs w:val="24"/>
          <w:lang w:val="en-GB"/>
        </w:rPr>
        <w:t>, which are ubiquitous in the gastrointestinal tract, blood and tissues, before it reaches the systemic circulation. Further metabolism occurs through the tricarboxylic acid cycle, with no involvement of the cytochrome P450 (CYP) system.</w:t>
      </w:r>
    </w:p>
    <w:p w14:paraId="6A534DC7" w14:textId="77777777" w:rsidR="00BE17CF" w:rsidRPr="002800DB" w:rsidRDefault="00BE17CF" w:rsidP="00AC6C51">
      <w:pPr>
        <w:ind w:left="851"/>
        <w:rPr>
          <w:sz w:val="24"/>
          <w:szCs w:val="24"/>
          <w:lang w:val="en-GB"/>
        </w:rPr>
      </w:pPr>
      <w:r w:rsidRPr="002800DB">
        <w:rPr>
          <w:sz w:val="24"/>
          <w:szCs w:val="24"/>
          <w:lang w:val="en-GB"/>
        </w:rPr>
        <w:t xml:space="preserve">A single 240 mg </w:t>
      </w:r>
      <w:r w:rsidRPr="002800DB">
        <w:rPr>
          <w:sz w:val="24"/>
          <w:szCs w:val="24"/>
          <w:vertAlign w:val="superscript"/>
          <w:lang w:val="en-GB"/>
        </w:rPr>
        <w:t>14</w:t>
      </w:r>
      <w:r w:rsidRPr="002800DB">
        <w:rPr>
          <w:sz w:val="24"/>
          <w:szCs w:val="24"/>
          <w:lang w:val="en-GB"/>
        </w:rPr>
        <w:t>C</w:t>
      </w:r>
      <w:r w:rsidRPr="002800DB">
        <w:rPr>
          <w:sz w:val="24"/>
          <w:szCs w:val="24"/>
          <w:lang w:val="en-GB"/>
        </w:rPr>
        <w:noBreakHyphen/>
        <w:t>dimethyl fumarate dose study identified glucose as the predominant metabolite in human plasma. Other circulating metabolites included fumaric acid, citric acid and monomethyl fumarate. The downstream metabolism of fumaric acid occurs through the tricarboxylic acid cycle, with exhalation of CO</w:t>
      </w:r>
      <w:r w:rsidRPr="002800DB">
        <w:rPr>
          <w:sz w:val="24"/>
          <w:szCs w:val="24"/>
          <w:vertAlign w:val="subscript"/>
          <w:lang w:val="en-GB"/>
        </w:rPr>
        <w:t>2</w:t>
      </w:r>
      <w:r w:rsidRPr="002800DB">
        <w:rPr>
          <w:sz w:val="24"/>
          <w:szCs w:val="24"/>
          <w:lang w:val="en-GB"/>
        </w:rPr>
        <w:t xml:space="preserve"> serving as the primary route of elimination.</w:t>
      </w:r>
    </w:p>
    <w:p w14:paraId="18DBB4F2" w14:textId="77777777" w:rsidR="00BE17CF" w:rsidRPr="002800DB" w:rsidRDefault="00BE17CF" w:rsidP="00AC6C51">
      <w:pPr>
        <w:ind w:left="851"/>
        <w:rPr>
          <w:sz w:val="24"/>
          <w:szCs w:val="24"/>
          <w:lang w:val="en-GB"/>
        </w:rPr>
      </w:pPr>
    </w:p>
    <w:p w14:paraId="3FB95FBC" w14:textId="77777777" w:rsidR="00BE17CF" w:rsidRPr="002800DB" w:rsidRDefault="00BE17CF" w:rsidP="00AC6C51">
      <w:pPr>
        <w:ind w:left="851"/>
        <w:rPr>
          <w:sz w:val="24"/>
          <w:szCs w:val="24"/>
          <w:u w:val="single"/>
          <w:lang w:val="en-GB"/>
        </w:rPr>
      </w:pPr>
      <w:r w:rsidRPr="002800DB">
        <w:rPr>
          <w:sz w:val="24"/>
          <w:szCs w:val="24"/>
          <w:u w:val="single"/>
          <w:lang w:val="en-GB"/>
        </w:rPr>
        <w:t>Elimination</w:t>
      </w:r>
    </w:p>
    <w:p w14:paraId="459A9580" w14:textId="77777777" w:rsidR="00BE17CF" w:rsidRPr="002800DB" w:rsidRDefault="00BE17CF" w:rsidP="00AC6C51">
      <w:pPr>
        <w:ind w:left="851"/>
        <w:rPr>
          <w:sz w:val="24"/>
          <w:szCs w:val="24"/>
          <w:lang w:val="en-GB"/>
        </w:rPr>
      </w:pPr>
      <w:r w:rsidRPr="002800DB">
        <w:rPr>
          <w:sz w:val="24"/>
          <w:szCs w:val="24"/>
          <w:lang w:val="en-GB"/>
        </w:rPr>
        <w:t>Exhalation of CO</w:t>
      </w:r>
      <w:r w:rsidRPr="002800DB">
        <w:rPr>
          <w:sz w:val="24"/>
          <w:szCs w:val="24"/>
          <w:vertAlign w:val="subscript"/>
          <w:lang w:val="en-GB"/>
        </w:rPr>
        <w:t>2</w:t>
      </w:r>
      <w:r w:rsidRPr="002800DB">
        <w:rPr>
          <w:sz w:val="24"/>
          <w:szCs w:val="24"/>
          <w:lang w:val="en-GB"/>
        </w:rPr>
        <w:t xml:space="preserve"> is the primary route of dimethyl fumarate elimination accounting for 60% of the dose.</w:t>
      </w:r>
    </w:p>
    <w:p w14:paraId="5666200C" w14:textId="77777777" w:rsidR="00BE17CF" w:rsidRPr="002800DB" w:rsidRDefault="00BE17CF" w:rsidP="00AC6C51">
      <w:pPr>
        <w:ind w:left="851"/>
        <w:rPr>
          <w:sz w:val="24"/>
          <w:szCs w:val="24"/>
          <w:lang w:val="en-GB"/>
        </w:rPr>
      </w:pPr>
      <w:r w:rsidRPr="002800DB">
        <w:rPr>
          <w:sz w:val="24"/>
          <w:szCs w:val="24"/>
          <w:lang w:val="en-GB"/>
        </w:rPr>
        <w:t>Renal and faecal elimination are secondary routes of elimination, accounting for 15.5% and 0.9% of the dose respectively.</w:t>
      </w:r>
    </w:p>
    <w:p w14:paraId="26E85051" w14:textId="77777777" w:rsidR="00BE17CF" w:rsidRPr="002800DB" w:rsidRDefault="00BE17CF" w:rsidP="00AC6C51">
      <w:pPr>
        <w:ind w:left="851"/>
        <w:rPr>
          <w:sz w:val="24"/>
          <w:szCs w:val="24"/>
          <w:lang w:val="en-GB"/>
        </w:rPr>
      </w:pPr>
    </w:p>
    <w:p w14:paraId="395DF2BE" w14:textId="77777777" w:rsidR="00BE17CF" w:rsidRPr="002800DB" w:rsidRDefault="00BE17CF" w:rsidP="00AC6C51">
      <w:pPr>
        <w:ind w:left="851"/>
        <w:rPr>
          <w:sz w:val="24"/>
          <w:szCs w:val="24"/>
          <w:lang w:val="en-GB"/>
        </w:rPr>
      </w:pPr>
      <w:r w:rsidRPr="002800DB">
        <w:rPr>
          <w:sz w:val="24"/>
          <w:szCs w:val="24"/>
          <w:lang w:val="en-GB"/>
        </w:rPr>
        <w:t>The terminal half-life of monomethyl fumarate is short (approximately 1 hour) and no circulating monomethyl fumarate is present at 24 hours in the majority of individuals. Accumulation of dimethyl fumarate or monomethyl fumarate does not occur with multiple doses of dimethyl fumarate at the therapeutic regimen.</w:t>
      </w:r>
    </w:p>
    <w:p w14:paraId="64362928" w14:textId="77777777" w:rsidR="00BE17CF" w:rsidRPr="002800DB" w:rsidRDefault="00BE17CF" w:rsidP="00AC6C51">
      <w:pPr>
        <w:ind w:left="851"/>
        <w:rPr>
          <w:sz w:val="24"/>
          <w:szCs w:val="24"/>
          <w:lang w:val="en-GB"/>
        </w:rPr>
      </w:pPr>
    </w:p>
    <w:p w14:paraId="0CD5BDF9" w14:textId="77777777" w:rsidR="00BE17CF" w:rsidRPr="002800DB" w:rsidRDefault="00BE17CF" w:rsidP="00AC6C51">
      <w:pPr>
        <w:ind w:left="851"/>
        <w:rPr>
          <w:sz w:val="24"/>
          <w:szCs w:val="24"/>
          <w:u w:val="single"/>
          <w:lang w:val="en-GB"/>
        </w:rPr>
      </w:pPr>
      <w:r w:rsidRPr="002800DB">
        <w:rPr>
          <w:sz w:val="24"/>
          <w:szCs w:val="24"/>
          <w:u w:val="single"/>
          <w:lang w:val="en-GB"/>
        </w:rPr>
        <w:t>Linearity</w:t>
      </w:r>
    </w:p>
    <w:p w14:paraId="7EE5B625" w14:textId="77777777" w:rsidR="00BE17CF" w:rsidRPr="002800DB" w:rsidRDefault="00BE17CF" w:rsidP="00AC6C51">
      <w:pPr>
        <w:ind w:left="851"/>
        <w:rPr>
          <w:sz w:val="24"/>
          <w:szCs w:val="24"/>
          <w:lang w:val="en-GB"/>
        </w:rPr>
      </w:pPr>
      <w:r w:rsidRPr="002800DB">
        <w:rPr>
          <w:sz w:val="24"/>
          <w:szCs w:val="24"/>
          <w:lang w:val="en-GB"/>
        </w:rPr>
        <w:t>Dimethyl fumarate exposure increases in an approximately dose proportional manner with single and multiple doses in the 120 mg to 360 mg dose range studied.</w:t>
      </w:r>
    </w:p>
    <w:p w14:paraId="4D89AE97" w14:textId="77777777" w:rsidR="00BE17CF" w:rsidRPr="002800DB" w:rsidRDefault="00BE17CF" w:rsidP="00AC6C51">
      <w:pPr>
        <w:ind w:left="851"/>
        <w:rPr>
          <w:sz w:val="24"/>
          <w:szCs w:val="24"/>
          <w:lang w:val="en-GB"/>
        </w:rPr>
      </w:pPr>
    </w:p>
    <w:p w14:paraId="35FBA827" w14:textId="77777777" w:rsidR="00BE17CF" w:rsidRPr="002800DB" w:rsidRDefault="00BE17CF" w:rsidP="00AC6C51">
      <w:pPr>
        <w:ind w:left="851"/>
        <w:rPr>
          <w:sz w:val="24"/>
          <w:szCs w:val="24"/>
          <w:u w:val="single"/>
          <w:lang w:val="en-GB"/>
        </w:rPr>
      </w:pPr>
      <w:r w:rsidRPr="002800DB">
        <w:rPr>
          <w:sz w:val="24"/>
          <w:szCs w:val="24"/>
          <w:u w:val="single"/>
          <w:lang w:val="en-GB"/>
        </w:rPr>
        <w:lastRenderedPageBreak/>
        <w:t>Pharmacokinetics in special patient groups</w:t>
      </w:r>
    </w:p>
    <w:p w14:paraId="126EBD15" w14:textId="77777777" w:rsidR="00BE17CF" w:rsidRPr="002800DB" w:rsidRDefault="00BE17CF" w:rsidP="00AC6C51">
      <w:pPr>
        <w:ind w:left="851"/>
        <w:rPr>
          <w:sz w:val="24"/>
          <w:szCs w:val="24"/>
          <w:lang w:val="en-GB"/>
        </w:rPr>
      </w:pPr>
      <w:r w:rsidRPr="002800DB">
        <w:rPr>
          <w:sz w:val="24"/>
          <w:szCs w:val="24"/>
          <w:lang w:val="en-GB"/>
        </w:rPr>
        <w:t xml:space="preserve">Based on the results of analysis of variance (ANOVA), body weight is the main covariate of exposure (by </w:t>
      </w:r>
      <w:proofErr w:type="spellStart"/>
      <w:r w:rsidRPr="002800DB">
        <w:rPr>
          <w:sz w:val="24"/>
          <w:szCs w:val="24"/>
          <w:lang w:val="en-GB"/>
        </w:rPr>
        <w:t>C</w:t>
      </w:r>
      <w:r w:rsidRPr="002800DB">
        <w:rPr>
          <w:sz w:val="24"/>
          <w:szCs w:val="24"/>
          <w:vertAlign w:val="subscript"/>
          <w:lang w:val="en-GB"/>
        </w:rPr>
        <w:t>max</w:t>
      </w:r>
      <w:proofErr w:type="spellEnd"/>
      <w:r w:rsidRPr="002800DB">
        <w:rPr>
          <w:sz w:val="24"/>
          <w:szCs w:val="24"/>
          <w:lang w:val="en-GB"/>
        </w:rPr>
        <w:t xml:space="preserve"> and AUC) in RRMS subjects, but did not affect safety and efficacy measures evaluated in the clinical studies.</w:t>
      </w:r>
    </w:p>
    <w:p w14:paraId="3D588B19" w14:textId="77777777" w:rsidR="00BE17CF" w:rsidRPr="002800DB" w:rsidRDefault="00BE17CF" w:rsidP="00AC6C51">
      <w:pPr>
        <w:ind w:left="851"/>
        <w:rPr>
          <w:sz w:val="24"/>
          <w:szCs w:val="24"/>
          <w:lang w:val="en-GB"/>
        </w:rPr>
      </w:pPr>
    </w:p>
    <w:p w14:paraId="08DD07F7" w14:textId="77777777" w:rsidR="00BE17CF" w:rsidRPr="002800DB" w:rsidRDefault="00BE17CF" w:rsidP="00AC6C51">
      <w:pPr>
        <w:ind w:left="851"/>
        <w:rPr>
          <w:sz w:val="24"/>
          <w:szCs w:val="24"/>
          <w:lang w:val="en-GB"/>
        </w:rPr>
      </w:pPr>
      <w:r w:rsidRPr="002800DB">
        <w:rPr>
          <w:sz w:val="24"/>
          <w:szCs w:val="24"/>
          <w:lang w:val="en-GB"/>
        </w:rPr>
        <w:t>Gender and age did not have a clinically significant impact on the pharmacokinetics of dimethyl fumarate. The pharmacokinetics in patients aged 65 and over has not been studied.</w:t>
      </w:r>
    </w:p>
    <w:p w14:paraId="228745F4" w14:textId="77777777" w:rsidR="00BE17CF" w:rsidRPr="002800DB" w:rsidRDefault="00BE17CF" w:rsidP="00AC6C51">
      <w:pPr>
        <w:ind w:left="851"/>
        <w:rPr>
          <w:sz w:val="24"/>
          <w:szCs w:val="24"/>
          <w:lang w:val="en-GB"/>
        </w:rPr>
      </w:pPr>
    </w:p>
    <w:p w14:paraId="3A937676" w14:textId="77777777" w:rsidR="00BE17CF" w:rsidRPr="002800DB" w:rsidRDefault="00BE17CF" w:rsidP="00AC6C51">
      <w:pPr>
        <w:ind w:left="851"/>
        <w:rPr>
          <w:i/>
          <w:sz w:val="24"/>
          <w:szCs w:val="24"/>
          <w:lang w:val="en-GB"/>
        </w:rPr>
      </w:pPr>
      <w:r w:rsidRPr="002800DB">
        <w:rPr>
          <w:i/>
          <w:sz w:val="24"/>
          <w:szCs w:val="24"/>
          <w:lang w:val="en-GB"/>
        </w:rPr>
        <w:t>Renal impairment</w:t>
      </w:r>
    </w:p>
    <w:p w14:paraId="46345805" w14:textId="77777777" w:rsidR="00BE17CF" w:rsidRPr="002800DB" w:rsidRDefault="00BE17CF" w:rsidP="00AC6C51">
      <w:pPr>
        <w:ind w:left="851"/>
        <w:rPr>
          <w:sz w:val="24"/>
          <w:szCs w:val="24"/>
          <w:lang w:val="en-GB"/>
        </w:rPr>
      </w:pPr>
      <w:r w:rsidRPr="002800DB">
        <w:rPr>
          <w:sz w:val="24"/>
          <w:szCs w:val="24"/>
          <w:lang w:val="en-GB"/>
        </w:rPr>
        <w:t>Since the renal pathway is a secondary route of elimination for dimethyl fumarate accounting for less than 16% of the dose administered, evaluation of pharmacokinetics in individuals with renal impairment was not conducted.</w:t>
      </w:r>
    </w:p>
    <w:p w14:paraId="612198C6" w14:textId="77777777" w:rsidR="00BE17CF" w:rsidRPr="002800DB" w:rsidRDefault="00BE17CF" w:rsidP="00AC6C51">
      <w:pPr>
        <w:ind w:left="851"/>
        <w:rPr>
          <w:sz w:val="24"/>
          <w:szCs w:val="24"/>
          <w:lang w:val="en-GB"/>
        </w:rPr>
      </w:pPr>
    </w:p>
    <w:p w14:paraId="60EEBF6A" w14:textId="77777777" w:rsidR="00BE17CF" w:rsidRPr="002800DB" w:rsidRDefault="00BE17CF" w:rsidP="00AC6C51">
      <w:pPr>
        <w:ind w:left="851"/>
        <w:rPr>
          <w:i/>
          <w:sz w:val="24"/>
          <w:szCs w:val="24"/>
          <w:lang w:val="en-GB"/>
        </w:rPr>
      </w:pPr>
      <w:r w:rsidRPr="002800DB">
        <w:rPr>
          <w:i/>
          <w:sz w:val="24"/>
          <w:szCs w:val="24"/>
          <w:lang w:val="en-GB"/>
        </w:rPr>
        <w:t>Hepatic impairment</w:t>
      </w:r>
    </w:p>
    <w:p w14:paraId="42323D65" w14:textId="77777777" w:rsidR="00BE17CF" w:rsidRPr="002800DB" w:rsidRDefault="00BE17CF" w:rsidP="00AC6C51">
      <w:pPr>
        <w:ind w:left="851"/>
        <w:rPr>
          <w:sz w:val="24"/>
          <w:szCs w:val="24"/>
          <w:lang w:val="en-GB"/>
        </w:rPr>
      </w:pPr>
      <w:r w:rsidRPr="002800DB">
        <w:rPr>
          <w:sz w:val="24"/>
          <w:szCs w:val="24"/>
          <w:lang w:val="en-GB"/>
        </w:rPr>
        <w:t xml:space="preserve">As dimethyl fumarate and monomethyl fumarate are metabolised by </w:t>
      </w:r>
      <w:proofErr w:type="spellStart"/>
      <w:r w:rsidRPr="002800DB">
        <w:rPr>
          <w:sz w:val="24"/>
          <w:szCs w:val="24"/>
          <w:lang w:val="en-GB"/>
        </w:rPr>
        <w:t>esterases</w:t>
      </w:r>
      <w:proofErr w:type="spellEnd"/>
      <w:r w:rsidRPr="002800DB">
        <w:rPr>
          <w:sz w:val="24"/>
          <w:szCs w:val="24"/>
          <w:lang w:val="en-GB"/>
        </w:rPr>
        <w:t>, without the involvement of the CYP450 system, evaluation of pharmacokinetics in individuals with hepatic impairment was not conducted.</w:t>
      </w:r>
    </w:p>
    <w:p w14:paraId="1C6A1726" w14:textId="77777777" w:rsidR="00BE17CF" w:rsidRPr="002800DB" w:rsidRDefault="00BE17CF" w:rsidP="00AC6C51">
      <w:pPr>
        <w:ind w:left="851"/>
        <w:rPr>
          <w:sz w:val="24"/>
          <w:szCs w:val="24"/>
          <w:lang w:val="en-GB"/>
        </w:rPr>
      </w:pPr>
    </w:p>
    <w:p w14:paraId="2D06BCE9" w14:textId="77777777" w:rsidR="00BE17CF" w:rsidRPr="002800DB" w:rsidRDefault="00BE17CF" w:rsidP="00AC6C51">
      <w:pPr>
        <w:ind w:left="851"/>
        <w:rPr>
          <w:i/>
          <w:sz w:val="24"/>
          <w:szCs w:val="24"/>
          <w:lang w:val="en-GB"/>
        </w:rPr>
      </w:pPr>
      <w:r w:rsidRPr="002800DB">
        <w:rPr>
          <w:i/>
          <w:sz w:val="24"/>
          <w:szCs w:val="24"/>
          <w:lang w:val="en-GB"/>
        </w:rPr>
        <w:t>Paediatric population</w:t>
      </w:r>
    </w:p>
    <w:p w14:paraId="768A01A5" w14:textId="77777777" w:rsidR="00BE17CF" w:rsidRPr="002800DB" w:rsidRDefault="00BE17CF" w:rsidP="00AC6C51">
      <w:pPr>
        <w:ind w:left="851"/>
        <w:rPr>
          <w:sz w:val="24"/>
          <w:szCs w:val="24"/>
          <w:lang w:val="en-GB"/>
        </w:rPr>
      </w:pPr>
      <w:r w:rsidRPr="002800DB">
        <w:rPr>
          <w:sz w:val="24"/>
          <w:szCs w:val="24"/>
          <w:lang w:val="en-GB"/>
        </w:rPr>
        <w:t>The pharmacokinetic profile of 240 mg dimethyl fumarate twice a day was evaluated in a small, open-label, uncontrolled study in patients with RRMS aged 13 to 17 years (n=21). The pharmacokinetics of dimethyl fumarate in these adolescent patients was consistent with that previously observed in adult patients (</w:t>
      </w:r>
      <w:proofErr w:type="spellStart"/>
      <w:r w:rsidRPr="002800DB">
        <w:rPr>
          <w:sz w:val="24"/>
          <w:szCs w:val="24"/>
          <w:lang w:val="en-GB"/>
        </w:rPr>
        <w:t>C</w:t>
      </w:r>
      <w:r w:rsidRPr="002800DB">
        <w:rPr>
          <w:sz w:val="24"/>
          <w:szCs w:val="24"/>
          <w:vertAlign w:val="subscript"/>
          <w:lang w:val="en-GB"/>
        </w:rPr>
        <w:t>max</w:t>
      </w:r>
      <w:proofErr w:type="spellEnd"/>
      <w:r w:rsidRPr="002800DB">
        <w:rPr>
          <w:sz w:val="24"/>
          <w:szCs w:val="24"/>
          <w:lang w:val="en-GB"/>
        </w:rPr>
        <w:t>: 2.00±1.29 mg/L; AUC</w:t>
      </w:r>
      <w:r w:rsidRPr="002800DB">
        <w:rPr>
          <w:sz w:val="24"/>
          <w:szCs w:val="24"/>
          <w:vertAlign w:val="subscript"/>
          <w:lang w:val="en-GB"/>
        </w:rPr>
        <w:t>0</w:t>
      </w:r>
      <w:r w:rsidRPr="002800DB">
        <w:rPr>
          <w:sz w:val="24"/>
          <w:szCs w:val="24"/>
          <w:vertAlign w:val="subscript"/>
          <w:lang w:val="en-GB"/>
        </w:rPr>
        <w:noBreakHyphen/>
        <w:t>12hr</w:t>
      </w:r>
      <w:r w:rsidRPr="002800DB">
        <w:rPr>
          <w:sz w:val="24"/>
          <w:szCs w:val="24"/>
          <w:lang w:val="en-GB"/>
        </w:rPr>
        <w:t>: 3.62±1.16 h.mg/L, which corresponds to an overall daily AUC of 7.24 h.mg/L).</w:t>
      </w:r>
    </w:p>
    <w:p w14:paraId="412AD0F5" w14:textId="77777777" w:rsidR="007C5D2A" w:rsidRPr="002800DB" w:rsidRDefault="007C5D2A" w:rsidP="003E0341">
      <w:pPr>
        <w:tabs>
          <w:tab w:val="left" w:pos="851"/>
        </w:tabs>
        <w:ind w:left="851"/>
        <w:rPr>
          <w:sz w:val="24"/>
          <w:szCs w:val="24"/>
          <w:lang w:val="en-GB"/>
        </w:rPr>
      </w:pPr>
    </w:p>
    <w:p w14:paraId="229F18AE" w14:textId="77777777" w:rsidR="007C5D2A" w:rsidRPr="002800DB" w:rsidRDefault="00180A12" w:rsidP="007C5D2A">
      <w:pPr>
        <w:tabs>
          <w:tab w:val="left" w:pos="851"/>
        </w:tabs>
        <w:ind w:left="851" w:hanging="851"/>
        <w:rPr>
          <w:b/>
          <w:sz w:val="24"/>
          <w:szCs w:val="24"/>
          <w:lang w:val="en-GB"/>
        </w:rPr>
      </w:pPr>
      <w:r w:rsidRPr="002800DB">
        <w:rPr>
          <w:b/>
          <w:sz w:val="24"/>
          <w:szCs w:val="24"/>
          <w:lang w:val="en-GB"/>
        </w:rPr>
        <w:t>5.3</w:t>
      </w:r>
      <w:r w:rsidRPr="002800DB">
        <w:rPr>
          <w:b/>
          <w:sz w:val="24"/>
          <w:szCs w:val="24"/>
          <w:lang w:val="en-GB"/>
        </w:rPr>
        <w:tab/>
        <w:t>Preclinical safety data</w:t>
      </w:r>
    </w:p>
    <w:p w14:paraId="11127781" w14:textId="77777777" w:rsidR="00BE17CF" w:rsidRPr="002800DB" w:rsidRDefault="00BE17CF" w:rsidP="00AC6C51">
      <w:pPr>
        <w:ind w:left="851"/>
        <w:rPr>
          <w:sz w:val="24"/>
          <w:szCs w:val="24"/>
          <w:lang w:val="en-GB"/>
        </w:rPr>
      </w:pPr>
      <w:r w:rsidRPr="002800DB">
        <w:rPr>
          <w:sz w:val="24"/>
          <w:szCs w:val="24"/>
          <w:lang w:val="en-GB"/>
        </w:rPr>
        <w:t>The adverse reactions described in the Toxicology and Reproduction toxicity sections below were not observed in clinical studies, but were seen in animals at exposure levels similar to clinical exposure levels.</w:t>
      </w:r>
    </w:p>
    <w:p w14:paraId="0C7F53FA" w14:textId="77777777" w:rsidR="00BE17CF" w:rsidRPr="002800DB" w:rsidRDefault="00BE17CF" w:rsidP="00AC6C51">
      <w:pPr>
        <w:ind w:left="851"/>
        <w:rPr>
          <w:sz w:val="24"/>
          <w:szCs w:val="24"/>
          <w:lang w:val="en-GB"/>
        </w:rPr>
      </w:pPr>
    </w:p>
    <w:p w14:paraId="0BC55592" w14:textId="77777777" w:rsidR="00BE17CF" w:rsidRPr="002800DB" w:rsidRDefault="00BE17CF" w:rsidP="00AC6C51">
      <w:pPr>
        <w:ind w:left="851"/>
        <w:rPr>
          <w:sz w:val="24"/>
          <w:szCs w:val="24"/>
          <w:u w:val="single"/>
          <w:lang w:val="en-GB"/>
        </w:rPr>
      </w:pPr>
      <w:r w:rsidRPr="002800DB">
        <w:rPr>
          <w:sz w:val="24"/>
          <w:szCs w:val="24"/>
          <w:u w:val="single"/>
          <w:lang w:val="en-GB"/>
        </w:rPr>
        <w:t>Genotoxicity</w:t>
      </w:r>
    </w:p>
    <w:p w14:paraId="2C707AE9" w14:textId="77777777" w:rsidR="00BE17CF" w:rsidRPr="002800DB" w:rsidRDefault="00BE17CF" w:rsidP="00AC6C51">
      <w:pPr>
        <w:ind w:left="851"/>
        <w:rPr>
          <w:sz w:val="24"/>
          <w:szCs w:val="24"/>
          <w:lang w:val="en-GB"/>
        </w:rPr>
      </w:pPr>
      <w:r w:rsidRPr="002800DB">
        <w:rPr>
          <w:sz w:val="24"/>
          <w:szCs w:val="24"/>
          <w:lang w:val="en-GB"/>
        </w:rPr>
        <w:t xml:space="preserve">Dimethyl fumarate and monomethyl fumarate were negative in a battery of </w:t>
      </w:r>
      <w:r w:rsidRPr="002800DB">
        <w:rPr>
          <w:i/>
          <w:sz w:val="24"/>
          <w:szCs w:val="24"/>
          <w:lang w:val="en-GB"/>
        </w:rPr>
        <w:t>in vitro</w:t>
      </w:r>
      <w:r w:rsidRPr="002800DB">
        <w:rPr>
          <w:sz w:val="24"/>
          <w:szCs w:val="24"/>
          <w:lang w:val="en-GB"/>
        </w:rPr>
        <w:t xml:space="preserve"> assays (Ames, chromosomal aberration in mammalian cells). Dimethyl fumarate was negative in the </w:t>
      </w:r>
      <w:r w:rsidRPr="002800DB">
        <w:rPr>
          <w:i/>
          <w:sz w:val="24"/>
          <w:szCs w:val="24"/>
          <w:lang w:val="en-GB"/>
        </w:rPr>
        <w:t xml:space="preserve">in vivo </w:t>
      </w:r>
      <w:r w:rsidRPr="002800DB">
        <w:rPr>
          <w:sz w:val="24"/>
          <w:szCs w:val="24"/>
          <w:lang w:val="en-GB"/>
        </w:rPr>
        <w:t>micronucleus assay in rats.</w:t>
      </w:r>
    </w:p>
    <w:p w14:paraId="72281150" w14:textId="77777777" w:rsidR="00BE17CF" w:rsidRPr="002800DB" w:rsidRDefault="00BE17CF" w:rsidP="00AC6C51">
      <w:pPr>
        <w:ind w:left="851"/>
        <w:rPr>
          <w:sz w:val="24"/>
          <w:szCs w:val="24"/>
          <w:lang w:val="en-GB"/>
        </w:rPr>
      </w:pPr>
    </w:p>
    <w:p w14:paraId="062D0DA5" w14:textId="77777777" w:rsidR="00BE17CF" w:rsidRPr="002800DB" w:rsidRDefault="00BE17CF" w:rsidP="00AC6C51">
      <w:pPr>
        <w:ind w:left="851"/>
        <w:rPr>
          <w:sz w:val="24"/>
          <w:szCs w:val="24"/>
          <w:u w:val="single"/>
          <w:lang w:val="en-GB"/>
        </w:rPr>
      </w:pPr>
      <w:r w:rsidRPr="002800DB">
        <w:rPr>
          <w:sz w:val="24"/>
          <w:szCs w:val="24"/>
          <w:u w:val="single"/>
          <w:lang w:val="en-GB"/>
        </w:rPr>
        <w:t>Carcinogenesis</w:t>
      </w:r>
    </w:p>
    <w:p w14:paraId="097135DB" w14:textId="77777777" w:rsidR="00BE17CF" w:rsidRPr="002800DB" w:rsidRDefault="00BE17CF" w:rsidP="00AC6C51">
      <w:pPr>
        <w:ind w:left="851"/>
        <w:rPr>
          <w:sz w:val="24"/>
          <w:szCs w:val="24"/>
          <w:lang w:val="en-GB"/>
        </w:rPr>
      </w:pPr>
      <w:r w:rsidRPr="002800DB">
        <w:rPr>
          <w:sz w:val="24"/>
          <w:szCs w:val="24"/>
          <w:lang w:val="en-GB"/>
        </w:rPr>
        <w:t>Carcinogenicity studies of dimethyl fumarate were conducted for up to 2 years in mice and rats. Dimethyl fumarate was administered orally at doses of 25, 75, 200 and 400 mg/kg/day in mice, and at doses of 25, 50, 100, and 150 mg/kg/day in rats. In mice, the incidence of renal tubular carcinoma was increased at 75 mg/kg/day, at equivalent exposure (AUC) to the recommended human dose. In rats, the incidence of renal tubular carcinoma and testicular Leydig cell adenoma was increased at 100 mg/kg/day, approximately 2 times higher exposure than the recommended human dose. The relevance of these findings to human risk is unknown.</w:t>
      </w:r>
    </w:p>
    <w:p w14:paraId="572BCDE7" w14:textId="77777777" w:rsidR="00BE17CF" w:rsidRPr="002800DB" w:rsidRDefault="00BE17CF" w:rsidP="00AC6C51">
      <w:pPr>
        <w:ind w:left="851"/>
        <w:rPr>
          <w:sz w:val="24"/>
          <w:szCs w:val="24"/>
          <w:lang w:val="en-GB"/>
        </w:rPr>
      </w:pPr>
    </w:p>
    <w:p w14:paraId="4686EB5D" w14:textId="77777777" w:rsidR="00BE17CF" w:rsidRPr="002800DB" w:rsidRDefault="00BE17CF" w:rsidP="00AC6C51">
      <w:pPr>
        <w:ind w:left="851"/>
        <w:rPr>
          <w:sz w:val="24"/>
          <w:szCs w:val="24"/>
          <w:lang w:val="en-GB"/>
        </w:rPr>
      </w:pPr>
      <w:r w:rsidRPr="002800DB">
        <w:rPr>
          <w:sz w:val="24"/>
          <w:szCs w:val="24"/>
          <w:lang w:val="en-GB"/>
        </w:rPr>
        <w:t xml:space="preserve">The incidence of squamous cell papilloma and carcinoma in the </w:t>
      </w:r>
      <w:proofErr w:type="spellStart"/>
      <w:r w:rsidRPr="002800DB">
        <w:rPr>
          <w:sz w:val="24"/>
          <w:szCs w:val="24"/>
          <w:lang w:val="en-GB"/>
        </w:rPr>
        <w:t>nonglandular</w:t>
      </w:r>
      <w:proofErr w:type="spellEnd"/>
      <w:r w:rsidRPr="002800DB">
        <w:rPr>
          <w:sz w:val="24"/>
          <w:szCs w:val="24"/>
          <w:lang w:val="en-GB"/>
        </w:rPr>
        <w:t xml:space="preserve"> stomach (forestomach) was increased at equivalent exposure to the recommended human dose in mice and below exposure to the recommended human dose in rats (based on AUC). The forestomach in rodents does not </w:t>
      </w:r>
      <w:proofErr w:type="gramStart"/>
      <w:r w:rsidRPr="002800DB">
        <w:rPr>
          <w:sz w:val="24"/>
          <w:szCs w:val="24"/>
          <w:lang w:val="en-GB"/>
        </w:rPr>
        <w:t>have</w:t>
      </w:r>
      <w:proofErr w:type="gramEnd"/>
      <w:r w:rsidRPr="002800DB">
        <w:rPr>
          <w:sz w:val="24"/>
          <w:szCs w:val="24"/>
          <w:lang w:val="en-GB"/>
        </w:rPr>
        <w:t xml:space="preserve"> a human counterpart.</w:t>
      </w:r>
    </w:p>
    <w:p w14:paraId="41001D76" w14:textId="77777777" w:rsidR="00BE17CF" w:rsidRPr="002800DB" w:rsidRDefault="00BE17CF" w:rsidP="00AC6C51">
      <w:pPr>
        <w:ind w:left="851"/>
        <w:rPr>
          <w:sz w:val="24"/>
          <w:szCs w:val="24"/>
          <w:lang w:val="en-GB"/>
        </w:rPr>
      </w:pPr>
    </w:p>
    <w:p w14:paraId="3C770711" w14:textId="77777777" w:rsidR="00BE17CF" w:rsidRPr="002800DB" w:rsidRDefault="00BE17CF" w:rsidP="00AC6C51">
      <w:pPr>
        <w:ind w:left="851"/>
        <w:rPr>
          <w:sz w:val="24"/>
          <w:szCs w:val="24"/>
          <w:u w:val="single"/>
          <w:lang w:val="en-GB"/>
        </w:rPr>
      </w:pPr>
      <w:r w:rsidRPr="002800DB">
        <w:rPr>
          <w:sz w:val="24"/>
          <w:szCs w:val="24"/>
          <w:u w:val="single"/>
          <w:lang w:val="en-GB"/>
        </w:rPr>
        <w:lastRenderedPageBreak/>
        <w:t>Toxicology</w:t>
      </w:r>
    </w:p>
    <w:p w14:paraId="3D56F0CA" w14:textId="77777777" w:rsidR="00BE17CF" w:rsidRPr="002800DB" w:rsidRDefault="00BE17CF" w:rsidP="00AC6C51">
      <w:pPr>
        <w:ind w:left="851"/>
        <w:rPr>
          <w:sz w:val="24"/>
          <w:szCs w:val="24"/>
          <w:lang w:val="en-GB"/>
        </w:rPr>
      </w:pPr>
      <w:r w:rsidRPr="002800DB">
        <w:rPr>
          <w:sz w:val="24"/>
          <w:szCs w:val="24"/>
          <w:lang w:val="en-GB"/>
        </w:rPr>
        <w:t>Nonclinical studies in rodent, rabbits, and monkeys were conducted with a dimethyl fumarate suspension (dimethyl fumarate in 0.8% hydroxypropyl methylcellulose) administered by oral gavage. The chronic toxicity study in dogs was conducted with oral administration of the dimethyl fumarate capsule.</w:t>
      </w:r>
    </w:p>
    <w:p w14:paraId="4B605883" w14:textId="77777777" w:rsidR="00BE17CF" w:rsidRPr="002800DB" w:rsidRDefault="00BE17CF" w:rsidP="00AC6C51">
      <w:pPr>
        <w:ind w:left="851"/>
        <w:rPr>
          <w:sz w:val="24"/>
          <w:szCs w:val="24"/>
          <w:lang w:val="en-GB"/>
        </w:rPr>
      </w:pPr>
    </w:p>
    <w:p w14:paraId="4A307F58" w14:textId="77777777" w:rsidR="00BE17CF" w:rsidRPr="002800DB" w:rsidRDefault="00BE17CF" w:rsidP="00AC6C51">
      <w:pPr>
        <w:ind w:left="851"/>
        <w:rPr>
          <w:sz w:val="24"/>
          <w:szCs w:val="24"/>
          <w:lang w:val="en-GB"/>
        </w:rPr>
      </w:pPr>
      <w:r w:rsidRPr="002800DB">
        <w:rPr>
          <w:sz w:val="24"/>
          <w:szCs w:val="24"/>
          <w:lang w:val="en-GB"/>
        </w:rPr>
        <w:t>Kidney changes were observed after repeated oral administration of dimethyl fumarate in mice, rats, dogs, and monkeys. Renal tubular epithelial regeneration, suggestive of injury, was observed in all species. Renal tubular hyperplasia was observed in rats with lifetime dosing (2</w:t>
      </w:r>
      <w:r w:rsidRPr="002800DB">
        <w:rPr>
          <w:sz w:val="24"/>
          <w:szCs w:val="24"/>
          <w:lang w:val="en-GB"/>
        </w:rPr>
        <w:noBreakHyphen/>
        <w:t>year study). In dogs that received daily oral doses of dimethyl fumarate for 11 months, the margin calculated for cortical atrophy was observed at 3 times the recommended dose based on AUC. In monkeys that received daily oral doses of dimethyl fumarate for 12 months, single cell necrosis was observed at 2 times the recommended dose based on AUC. Interstitial fibrosis and cortical atrophy were observed at 6 times the recommended dose based on AUC. The relevance of these findings to humans is not known.</w:t>
      </w:r>
    </w:p>
    <w:p w14:paraId="41922012" w14:textId="77777777" w:rsidR="00BE17CF" w:rsidRPr="002800DB" w:rsidRDefault="00BE17CF" w:rsidP="00AC6C51">
      <w:pPr>
        <w:ind w:left="851"/>
        <w:rPr>
          <w:sz w:val="24"/>
          <w:szCs w:val="24"/>
          <w:lang w:val="en-GB"/>
        </w:rPr>
      </w:pPr>
    </w:p>
    <w:p w14:paraId="1DE528DC" w14:textId="77777777" w:rsidR="00BE17CF" w:rsidRPr="002800DB" w:rsidRDefault="00BE17CF" w:rsidP="00AC6C51">
      <w:pPr>
        <w:ind w:left="851"/>
        <w:rPr>
          <w:sz w:val="24"/>
          <w:szCs w:val="24"/>
          <w:lang w:val="en-GB"/>
        </w:rPr>
      </w:pPr>
      <w:r w:rsidRPr="002800DB">
        <w:rPr>
          <w:sz w:val="24"/>
          <w:szCs w:val="24"/>
          <w:lang w:val="en-GB"/>
        </w:rPr>
        <w:t>In the testes, degeneration of the seminiferous epithelium was seen in rats and dogs. The findings were observed at approximately the recommended dose in rats and 3 times the recommended dose in dogs (AUC basis). The relevance of these findings to humans is not known.</w:t>
      </w:r>
    </w:p>
    <w:p w14:paraId="7B5D3CFC" w14:textId="77777777" w:rsidR="00BE17CF" w:rsidRPr="002800DB" w:rsidRDefault="00BE17CF" w:rsidP="00AC6C51">
      <w:pPr>
        <w:ind w:left="851"/>
        <w:rPr>
          <w:sz w:val="24"/>
          <w:szCs w:val="24"/>
          <w:lang w:val="en-GB"/>
        </w:rPr>
      </w:pPr>
    </w:p>
    <w:p w14:paraId="42F9912C" w14:textId="77777777" w:rsidR="00BE17CF" w:rsidRPr="002800DB" w:rsidRDefault="00BE17CF" w:rsidP="00AC6C51">
      <w:pPr>
        <w:ind w:left="851"/>
        <w:rPr>
          <w:sz w:val="24"/>
          <w:szCs w:val="24"/>
          <w:lang w:val="en-GB"/>
        </w:rPr>
      </w:pPr>
      <w:r w:rsidRPr="002800DB">
        <w:rPr>
          <w:sz w:val="24"/>
          <w:szCs w:val="24"/>
          <w:lang w:val="en-GB"/>
        </w:rPr>
        <w:t xml:space="preserve">Findings in the forestomach of mice and rats consisted of squamous epithelial hyperplasia and hyperkeratosis; inflammation; and squamous cell papilloma and carcinoma in studies of 3 months or longer in duration. The forestomach of mice and rats does not </w:t>
      </w:r>
      <w:proofErr w:type="gramStart"/>
      <w:r w:rsidRPr="002800DB">
        <w:rPr>
          <w:sz w:val="24"/>
          <w:szCs w:val="24"/>
          <w:lang w:val="en-GB"/>
        </w:rPr>
        <w:t>have</w:t>
      </w:r>
      <w:proofErr w:type="gramEnd"/>
      <w:r w:rsidRPr="002800DB">
        <w:rPr>
          <w:sz w:val="24"/>
          <w:szCs w:val="24"/>
          <w:lang w:val="en-GB"/>
        </w:rPr>
        <w:t xml:space="preserve"> a human counterpart.</w:t>
      </w:r>
    </w:p>
    <w:p w14:paraId="7B43281C" w14:textId="77777777" w:rsidR="00BE17CF" w:rsidRPr="002800DB" w:rsidRDefault="00BE17CF" w:rsidP="00AC6C51">
      <w:pPr>
        <w:ind w:left="851"/>
        <w:rPr>
          <w:sz w:val="24"/>
          <w:szCs w:val="24"/>
          <w:lang w:val="en-GB"/>
        </w:rPr>
      </w:pPr>
    </w:p>
    <w:p w14:paraId="5A66C649" w14:textId="77777777" w:rsidR="00BE17CF" w:rsidRPr="002800DB" w:rsidRDefault="00BE17CF" w:rsidP="00AC6C51">
      <w:pPr>
        <w:ind w:left="851"/>
        <w:rPr>
          <w:sz w:val="24"/>
          <w:szCs w:val="24"/>
          <w:u w:val="single"/>
          <w:lang w:val="en-GB"/>
        </w:rPr>
      </w:pPr>
      <w:r w:rsidRPr="002800DB">
        <w:rPr>
          <w:sz w:val="24"/>
          <w:szCs w:val="24"/>
          <w:u w:val="single"/>
          <w:lang w:val="en-GB"/>
        </w:rPr>
        <w:t>Toxicity to reproduction and development</w:t>
      </w:r>
    </w:p>
    <w:p w14:paraId="33D1D223" w14:textId="77777777" w:rsidR="00BE17CF" w:rsidRPr="002800DB" w:rsidRDefault="00BE17CF" w:rsidP="00AC6C51">
      <w:pPr>
        <w:ind w:left="851"/>
        <w:rPr>
          <w:sz w:val="24"/>
          <w:szCs w:val="24"/>
          <w:lang w:val="en-GB"/>
        </w:rPr>
      </w:pPr>
      <w:r w:rsidRPr="002800DB">
        <w:rPr>
          <w:sz w:val="24"/>
          <w:szCs w:val="24"/>
          <w:lang w:val="en-GB"/>
        </w:rPr>
        <w:t>Oral administration of dimethyl fumarate to male rats at 75, 250, and 375 mg/kg/day prior to and during mating had no effects on male fertility up to the highest dose tested (at least 2 times the recommended dose on an AUC basis). Oral administration of dimethyl fumarate to female rats at 25, 100, and 250 mg/kg/day prior to and during mating, and continuing to Day 7 of gestation, induced reduction in the number of oestrous stages per 14 days and increased the number of animals with prolonged dioestrus at the highest dose tested (11 times the recommended dose on an AUC basis). However, these changes did not affect fertility or the number of viable foetuses produced.</w:t>
      </w:r>
    </w:p>
    <w:p w14:paraId="1377469C" w14:textId="77777777" w:rsidR="00BE17CF" w:rsidRPr="002800DB" w:rsidRDefault="00BE17CF" w:rsidP="00AC6C51">
      <w:pPr>
        <w:ind w:left="851"/>
        <w:rPr>
          <w:sz w:val="24"/>
          <w:szCs w:val="24"/>
          <w:lang w:val="en-GB"/>
        </w:rPr>
      </w:pPr>
    </w:p>
    <w:p w14:paraId="61DC837F" w14:textId="77777777" w:rsidR="00BE17CF" w:rsidRPr="002800DB" w:rsidRDefault="00BE17CF" w:rsidP="00AC6C51">
      <w:pPr>
        <w:ind w:left="851"/>
        <w:rPr>
          <w:sz w:val="24"/>
          <w:szCs w:val="24"/>
          <w:lang w:val="en-GB"/>
        </w:rPr>
      </w:pPr>
      <w:r w:rsidRPr="002800DB">
        <w:rPr>
          <w:sz w:val="24"/>
          <w:szCs w:val="24"/>
          <w:lang w:val="en-GB"/>
        </w:rPr>
        <w:t>Dimethyl fumarate has been shown to cross the placental membrane into foetal blood in rats and rabbits, with ratios of foetal to maternal plasma concentrations of 0.48 to 0.64 and 0.1 respectively. No malformations were observed at any dose of dimethyl fumarate in rats or rabbits.</w:t>
      </w:r>
    </w:p>
    <w:p w14:paraId="63AD7B26" w14:textId="77777777" w:rsidR="00BE17CF" w:rsidRPr="002800DB" w:rsidRDefault="00BE17CF" w:rsidP="00AC6C51">
      <w:pPr>
        <w:ind w:left="851"/>
        <w:rPr>
          <w:sz w:val="24"/>
          <w:szCs w:val="24"/>
          <w:lang w:val="en-GB"/>
        </w:rPr>
      </w:pPr>
      <w:r w:rsidRPr="002800DB">
        <w:rPr>
          <w:sz w:val="24"/>
          <w:szCs w:val="24"/>
          <w:lang w:val="en-GB"/>
        </w:rPr>
        <w:t>Administration of dimethyl fumarate at oral doses of 25, 100, and 250 mg/kg/day to pregnant rats during the period of organogenesis resulted in maternal adverse effects at 4 times the recommended dose on an AUC basis, and low foetal weight and delayed ossification (metatarsals and hindlimb phalanges) at 11 times the recommended dose on an AUC basis. The lower foetal weight and delayed ossification were considered secondary to maternal toxicity (reduced body weight and food consumption).</w:t>
      </w:r>
    </w:p>
    <w:p w14:paraId="115A3CBF" w14:textId="77777777" w:rsidR="00BE17CF" w:rsidRPr="002800DB" w:rsidRDefault="00BE17CF" w:rsidP="00AC6C51">
      <w:pPr>
        <w:ind w:left="851"/>
        <w:rPr>
          <w:sz w:val="24"/>
          <w:szCs w:val="24"/>
          <w:lang w:val="en-GB"/>
        </w:rPr>
      </w:pPr>
    </w:p>
    <w:p w14:paraId="4DD919FE" w14:textId="77777777" w:rsidR="00BE17CF" w:rsidRPr="002800DB" w:rsidRDefault="00BE17CF" w:rsidP="00AC6C51">
      <w:pPr>
        <w:ind w:left="851"/>
        <w:rPr>
          <w:sz w:val="24"/>
          <w:szCs w:val="24"/>
          <w:lang w:val="en-GB"/>
        </w:rPr>
      </w:pPr>
      <w:r w:rsidRPr="002800DB">
        <w:rPr>
          <w:sz w:val="24"/>
          <w:szCs w:val="24"/>
          <w:lang w:val="en-GB"/>
        </w:rPr>
        <w:t xml:space="preserve">Oral administration of dimethyl fumarate at 25, 75, and 150 mg/kg/day to pregnant rabbits during organogenesis had no effect on embryo-foetal development and resulted in reduced </w:t>
      </w:r>
      <w:r w:rsidRPr="002800DB">
        <w:rPr>
          <w:sz w:val="24"/>
          <w:szCs w:val="24"/>
          <w:lang w:val="en-GB"/>
        </w:rPr>
        <w:lastRenderedPageBreak/>
        <w:t>maternal body weight at 7 times the recommended dose and increased abortion at 16 times the recommended dose, on an AUC basis.</w:t>
      </w:r>
    </w:p>
    <w:p w14:paraId="1CC6FE5E" w14:textId="77777777" w:rsidR="00BE17CF" w:rsidRPr="002800DB" w:rsidRDefault="00BE17CF" w:rsidP="00AC6C51">
      <w:pPr>
        <w:ind w:left="851"/>
        <w:rPr>
          <w:sz w:val="24"/>
          <w:szCs w:val="24"/>
          <w:lang w:val="en-GB"/>
        </w:rPr>
      </w:pPr>
    </w:p>
    <w:p w14:paraId="19190E81" w14:textId="77777777" w:rsidR="00BE17CF" w:rsidRPr="002800DB" w:rsidRDefault="00BE17CF" w:rsidP="00AC6C51">
      <w:pPr>
        <w:ind w:left="851"/>
        <w:rPr>
          <w:sz w:val="24"/>
          <w:szCs w:val="24"/>
          <w:lang w:val="en-GB"/>
        </w:rPr>
      </w:pPr>
      <w:r w:rsidRPr="002800DB">
        <w:rPr>
          <w:sz w:val="24"/>
          <w:szCs w:val="24"/>
          <w:lang w:val="en-GB"/>
        </w:rPr>
        <w:t>Oral administration of dimethyl fumarate at 25, 100, and 250 mg/kg/day to rats during pregnancy and lactation resulted in lower body weights in the F1 offspring, and delays in sexual maturation in F1 males at 11 times the recommended dose on an AUC basis. There were no effects on fertility in the F1 offspring. The lower offspring body weight was considered secondary to maternal toxicity.</w:t>
      </w:r>
    </w:p>
    <w:p w14:paraId="714E20BC" w14:textId="77777777" w:rsidR="00BE17CF" w:rsidRPr="002800DB" w:rsidRDefault="00BE17CF" w:rsidP="00AC6C51">
      <w:pPr>
        <w:ind w:left="851"/>
        <w:rPr>
          <w:sz w:val="24"/>
          <w:szCs w:val="24"/>
          <w:lang w:val="en-GB"/>
        </w:rPr>
      </w:pPr>
    </w:p>
    <w:p w14:paraId="5D4ABD23" w14:textId="77777777" w:rsidR="00BE17CF" w:rsidRPr="002800DB" w:rsidRDefault="00BE17CF" w:rsidP="00AC6C51">
      <w:pPr>
        <w:ind w:left="851"/>
        <w:rPr>
          <w:sz w:val="24"/>
          <w:szCs w:val="24"/>
          <w:u w:val="single"/>
          <w:lang w:val="en-GB"/>
        </w:rPr>
      </w:pPr>
      <w:r w:rsidRPr="002800DB">
        <w:rPr>
          <w:sz w:val="24"/>
          <w:szCs w:val="24"/>
          <w:u w:val="single"/>
          <w:lang w:val="en-GB"/>
        </w:rPr>
        <w:t>Toxicity in juvenile animals</w:t>
      </w:r>
    </w:p>
    <w:p w14:paraId="1746D6D6" w14:textId="77777777" w:rsidR="00BE17CF" w:rsidRPr="002800DB" w:rsidRDefault="00BE17CF" w:rsidP="00AC6C51">
      <w:pPr>
        <w:ind w:left="851"/>
        <w:rPr>
          <w:sz w:val="24"/>
          <w:szCs w:val="24"/>
          <w:lang w:val="en-GB"/>
        </w:rPr>
      </w:pPr>
      <w:r w:rsidRPr="002800DB">
        <w:rPr>
          <w:sz w:val="24"/>
          <w:szCs w:val="24"/>
          <w:lang w:val="en-GB"/>
        </w:rPr>
        <w:t xml:space="preserve">Two toxicity studies in juvenile rats with daily oral administration of dimethyl fumarate from postnatal day (PND) 28 through PND 90 to 93 (equivalent to approximately 3 years and older in humans) revealed similar target organ toxicities in the kidney and forestomach as observed in adult animals. In the first study, dimethyl fumarate did not affect development, neurobehavior or male and female fertility up to the highest dose of 140 mg/kg/day (approximately 4.6 times the recommended human dose based on limited AUC data in paediatric patients). Likewise, no effects on male reproductive and accessory organs were observed up to the highest dimethyl fumarate dose of 375 mg/kg/day in the second study in male juvenile rats (about 15-times the putative AUC at the recommended paediatric dose). However, decreased bone mineral content and density in the femur and lumbar vertebrae were evident in male juvenile rats. Bone densitometry changes were also observed in juvenile rats following oral </w:t>
      </w:r>
      <w:proofErr w:type="spellStart"/>
      <w:r w:rsidRPr="002800DB">
        <w:rPr>
          <w:sz w:val="24"/>
          <w:szCs w:val="24"/>
          <w:lang w:val="en-GB"/>
        </w:rPr>
        <w:t>diroximel</w:t>
      </w:r>
      <w:proofErr w:type="spellEnd"/>
      <w:r w:rsidRPr="002800DB">
        <w:rPr>
          <w:sz w:val="24"/>
          <w:szCs w:val="24"/>
          <w:lang w:val="en-GB"/>
        </w:rPr>
        <w:t xml:space="preserve"> fumarate administration, another fumaric ester that is metabolised to the same active metabolite monomethyl fumarate </w:t>
      </w:r>
      <w:r w:rsidRPr="002800DB">
        <w:rPr>
          <w:i/>
          <w:sz w:val="24"/>
          <w:szCs w:val="24"/>
          <w:lang w:val="en-GB"/>
        </w:rPr>
        <w:t>in vivo</w:t>
      </w:r>
      <w:r w:rsidRPr="002800DB">
        <w:rPr>
          <w:sz w:val="24"/>
          <w:szCs w:val="24"/>
          <w:lang w:val="en-GB"/>
        </w:rPr>
        <w:t xml:space="preserve">. The NOAEL for the densitometry changes in juvenile rats is approximately 1.5 times the presumptive AUC at the recommended paediatric dose. A relation of the bone effects to lower body weight is possible, but the involvement of a direct effect cannot be excluded. The bone findings are of limited relevance for adult patients. The relevance for paediatric patients is not known. </w:t>
      </w:r>
    </w:p>
    <w:p w14:paraId="4531B863" w14:textId="77777777" w:rsidR="007C5D2A" w:rsidRPr="002800DB" w:rsidRDefault="007C5D2A" w:rsidP="003E0341">
      <w:pPr>
        <w:tabs>
          <w:tab w:val="left" w:pos="851"/>
        </w:tabs>
        <w:ind w:left="851"/>
        <w:rPr>
          <w:sz w:val="24"/>
          <w:szCs w:val="24"/>
          <w:lang w:val="en-GB"/>
        </w:rPr>
      </w:pPr>
    </w:p>
    <w:p w14:paraId="1F7B79B8" w14:textId="77777777" w:rsidR="007C5D2A" w:rsidRPr="002800DB" w:rsidRDefault="007C5D2A" w:rsidP="003E0341">
      <w:pPr>
        <w:tabs>
          <w:tab w:val="left" w:pos="851"/>
        </w:tabs>
        <w:ind w:left="851"/>
        <w:rPr>
          <w:sz w:val="24"/>
          <w:szCs w:val="24"/>
          <w:lang w:val="en-GB"/>
        </w:rPr>
      </w:pPr>
    </w:p>
    <w:p w14:paraId="5EF953D2" w14:textId="77777777" w:rsidR="007C5D2A" w:rsidRPr="002800DB" w:rsidRDefault="009925C9" w:rsidP="007C5D2A">
      <w:pPr>
        <w:ind w:left="851" w:hanging="851"/>
        <w:rPr>
          <w:b/>
          <w:sz w:val="24"/>
          <w:szCs w:val="24"/>
          <w:lang w:val="en-GB"/>
        </w:rPr>
      </w:pPr>
      <w:r w:rsidRPr="002800DB">
        <w:rPr>
          <w:b/>
          <w:sz w:val="24"/>
          <w:szCs w:val="24"/>
          <w:lang w:val="en-GB"/>
        </w:rPr>
        <w:t>6.</w:t>
      </w:r>
      <w:r w:rsidR="007C5D2A" w:rsidRPr="002800DB">
        <w:rPr>
          <w:b/>
          <w:sz w:val="24"/>
          <w:szCs w:val="24"/>
          <w:lang w:val="en-GB"/>
        </w:rPr>
        <w:tab/>
        <w:t>PHARMACEUTICAL PARTICULARS</w:t>
      </w:r>
    </w:p>
    <w:p w14:paraId="1E11802C" w14:textId="77777777" w:rsidR="007C5D2A" w:rsidRPr="002800DB" w:rsidRDefault="007C5D2A" w:rsidP="003E0341">
      <w:pPr>
        <w:tabs>
          <w:tab w:val="left" w:pos="851"/>
        </w:tabs>
        <w:ind w:left="851"/>
        <w:rPr>
          <w:sz w:val="24"/>
          <w:szCs w:val="24"/>
          <w:lang w:val="en-GB"/>
        </w:rPr>
      </w:pPr>
    </w:p>
    <w:p w14:paraId="206EEC81" w14:textId="77777777" w:rsidR="007C5D2A" w:rsidRPr="002800DB" w:rsidRDefault="007C5D2A" w:rsidP="007C5D2A">
      <w:pPr>
        <w:ind w:left="851" w:hanging="851"/>
        <w:rPr>
          <w:b/>
          <w:sz w:val="24"/>
          <w:szCs w:val="24"/>
          <w:lang w:val="en-GB"/>
        </w:rPr>
      </w:pPr>
      <w:r w:rsidRPr="002800DB">
        <w:rPr>
          <w:b/>
          <w:sz w:val="24"/>
          <w:szCs w:val="24"/>
          <w:lang w:val="en-GB"/>
        </w:rPr>
        <w:t>6.1</w:t>
      </w:r>
      <w:r w:rsidRPr="002800DB">
        <w:rPr>
          <w:b/>
          <w:sz w:val="24"/>
          <w:szCs w:val="24"/>
          <w:lang w:val="en-GB"/>
        </w:rPr>
        <w:tab/>
        <w:t>List of excipients</w:t>
      </w:r>
    </w:p>
    <w:p w14:paraId="125965CD" w14:textId="77777777" w:rsidR="006174AA" w:rsidRDefault="006174AA" w:rsidP="00AC6C51">
      <w:pPr>
        <w:ind w:left="851"/>
        <w:rPr>
          <w:sz w:val="24"/>
          <w:szCs w:val="24"/>
          <w:lang w:val="en-GB"/>
        </w:rPr>
      </w:pPr>
    </w:p>
    <w:p w14:paraId="25AE52AF" w14:textId="2848F7DB" w:rsidR="00BE17CF" w:rsidRPr="006174AA" w:rsidRDefault="00BE17CF" w:rsidP="00AC6C51">
      <w:pPr>
        <w:ind w:left="851"/>
        <w:rPr>
          <w:sz w:val="24"/>
          <w:szCs w:val="24"/>
          <w:u w:val="single"/>
          <w:lang w:val="en-GB"/>
        </w:rPr>
      </w:pPr>
      <w:r w:rsidRPr="006174AA">
        <w:rPr>
          <w:sz w:val="24"/>
          <w:szCs w:val="24"/>
          <w:u w:val="single"/>
          <w:lang w:val="en-GB"/>
        </w:rPr>
        <w:t>Capsule contents (enteric-coated minitablets)</w:t>
      </w:r>
    </w:p>
    <w:p w14:paraId="2BA6DA31" w14:textId="77777777" w:rsidR="00BE17CF" w:rsidRPr="002800DB" w:rsidRDefault="00BE17CF" w:rsidP="00AC6C51">
      <w:pPr>
        <w:ind w:left="851"/>
        <w:rPr>
          <w:sz w:val="24"/>
          <w:szCs w:val="24"/>
          <w:highlight w:val="cyan"/>
          <w:lang w:val="en-GB"/>
        </w:rPr>
      </w:pPr>
      <w:r w:rsidRPr="002800DB">
        <w:rPr>
          <w:sz w:val="24"/>
          <w:szCs w:val="24"/>
          <w:lang w:val="en-GB"/>
        </w:rPr>
        <w:t xml:space="preserve">Cellulose, microcrystalline </w:t>
      </w:r>
    </w:p>
    <w:p w14:paraId="3B0D62BE" w14:textId="77777777" w:rsidR="00BE17CF" w:rsidRPr="002800DB" w:rsidRDefault="00BE17CF" w:rsidP="00AC6C51">
      <w:pPr>
        <w:ind w:left="851"/>
        <w:rPr>
          <w:sz w:val="24"/>
          <w:szCs w:val="24"/>
          <w:highlight w:val="cyan"/>
          <w:lang w:val="en-GB"/>
        </w:rPr>
      </w:pPr>
      <w:proofErr w:type="spellStart"/>
      <w:r w:rsidRPr="002800DB">
        <w:rPr>
          <w:sz w:val="24"/>
          <w:szCs w:val="24"/>
          <w:lang w:val="en-GB"/>
        </w:rPr>
        <w:t>Crospovidone</w:t>
      </w:r>
      <w:proofErr w:type="spellEnd"/>
    </w:p>
    <w:p w14:paraId="0B91DDCE" w14:textId="77777777" w:rsidR="00BE17CF" w:rsidRPr="002800DB" w:rsidRDefault="00BE17CF" w:rsidP="00AC6C51">
      <w:pPr>
        <w:ind w:left="851"/>
        <w:rPr>
          <w:sz w:val="24"/>
          <w:szCs w:val="24"/>
          <w:lang w:val="en-GB"/>
        </w:rPr>
      </w:pPr>
      <w:r w:rsidRPr="002800DB">
        <w:rPr>
          <w:sz w:val="24"/>
          <w:szCs w:val="24"/>
          <w:lang w:val="en-GB"/>
        </w:rPr>
        <w:t xml:space="preserve">Talc </w:t>
      </w:r>
    </w:p>
    <w:p w14:paraId="75F6E5F3" w14:textId="77777777" w:rsidR="00BE17CF" w:rsidRPr="002800DB" w:rsidRDefault="00BE17CF" w:rsidP="00AC6C51">
      <w:pPr>
        <w:ind w:left="851"/>
        <w:rPr>
          <w:sz w:val="24"/>
          <w:szCs w:val="24"/>
          <w:highlight w:val="cyan"/>
          <w:lang w:val="en-GB"/>
        </w:rPr>
      </w:pPr>
      <w:r w:rsidRPr="002800DB">
        <w:rPr>
          <w:sz w:val="24"/>
          <w:szCs w:val="24"/>
          <w:lang w:val="en-GB"/>
        </w:rPr>
        <w:t>Povidone</w:t>
      </w:r>
    </w:p>
    <w:p w14:paraId="1BE08B5F" w14:textId="77777777" w:rsidR="00BE17CF" w:rsidRPr="002800DB" w:rsidRDefault="00BE17CF" w:rsidP="00AC6C51">
      <w:pPr>
        <w:ind w:left="851"/>
        <w:rPr>
          <w:sz w:val="24"/>
          <w:szCs w:val="24"/>
          <w:lang w:val="en-GB"/>
        </w:rPr>
      </w:pPr>
      <w:r w:rsidRPr="002800DB">
        <w:rPr>
          <w:sz w:val="24"/>
          <w:szCs w:val="24"/>
          <w:lang w:val="en-GB"/>
        </w:rPr>
        <w:t xml:space="preserve">Silica, colloidal anhydrous </w:t>
      </w:r>
    </w:p>
    <w:p w14:paraId="104F8B2A" w14:textId="77777777" w:rsidR="00BE17CF" w:rsidRPr="002800DB" w:rsidRDefault="00BE17CF" w:rsidP="00AC6C51">
      <w:pPr>
        <w:ind w:left="851"/>
        <w:rPr>
          <w:sz w:val="24"/>
          <w:szCs w:val="24"/>
          <w:highlight w:val="yellow"/>
          <w:lang w:val="en-GB"/>
        </w:rPr>
      </w:pPr>
      <w:r w:rsidRPr="002800DB">
        <w:rPr>
          <w:sz w:val="24"/>
          <w:szCs w:val="24"/>
          <w:lang w:val="en-GB"/>
        </w:rPr>
        <w:t xml:space="preserve">Magnesium stearate </w:t>
      </w:r>
    </w:p>
    <w:p w14:paraId="569A80F4" w14:textId="77777777" w:rsidR="00BE17CF" w:rsidRPr="002800DB" w:rsidRDefault="00BE17CF" w:rsidP="00AC6C51">
      <w:pPr>
        <w:ind w:left="851"/>
        <w:rPr>
          <w:sz w:val="24"/>
          <w:szCs w:val="24"/>
          <w:highlight w:val="cyan"/>
          <w:lang w:val="en-GB"/>
        </w:rPr>
      </w:pPr>
      <w:r w:rsidRPr="002800DB">
        <w:rPr>
          <w:sz w:val="24"/>
          <w:szCs w:val="24"/>
          <w:lang w:val="en-GB"/>
        </w:rPr>
        <w:t xml:space="preserve">Triethyl citrate </w:t>
      </w:r>
    </w:p>
    <w:p w14:paraId="00520169" w14:textId="77777777" w:rsidR="00BE17CF" w:rsidRPr="002800DB" w:rsidRDefault="00BE17CF" w:rsidP="00AC6C51">
      <w:pPr>
        <w:ind w:left="851"/>
        <w:rPr>
          <w:sz w:val="24"/>
          <w:szCs w:val="24"/>
          <w:lang w:val="en-GB"/>
        </w:rPr>
      </w:pPr>
      <w:r w:rsidRPr="002800DB">
        <w:rPr>
          <w:sz w:val="24"/>
          <w:szCs w:val="24"/>
          <w:lang w:val="en-GB"/>
        </w:rPr>
        <w:t>Methacrylic acid/</w:t>
      </w:r>
      <w:proofErr w:type="spellStart"/>
      <w:r w:rsidRPr="002800DB">
        <w:rPr>
          <w:sz w:val="24"/>
          <w:szCs w:val="24"/>
          <w:lang w:val="en-GB"/>
        </w:rPr>
        <w:t>ethylacrylate</w:t>
      </w:r>
      <w:proofErr w:type="spellEnd"/>
      <w:r w:rsidRPr="002800DB">
        <w:rPr>
          <w:sz w:val="24"/>
          <w:szCs w:val="24"/>
          <w:lang w:val="en-GB"/>
        </w:rPr>
        <w:t xml:space="preserve"> copolymer (1:1)</w:t>
      </w:r>
    </w:p>
    <w:p w14:paraId="650CDAC8" w14:textId="77777777" w:rsidR="00BE17CF" w:rsidRPr="002800DB" w:rsidRDefault="00BE17CF" w:rsidP="00AC6C51">
      <w:pPr>
        <w:ind w:left="851"/>
        <w:rPr>
          <w:sz w:val="24"/>
          <w:szCs w:val="24"/>
          <w:lang w:val="en-GB"/>
        </w:rPr>
      </w:pPr>
      <w:r w:rsidRPr="002800DB">
        <w:rPr>
          <w:sz w:val="24"/>
          <w:szCs w:val="24"/>
          <w:lang w:val="en-GB"/>
        </w:rPr>
        <w:t>Hypromellose</w:t>
      </w:r>
    </w:p>
    <w:p w14:paraId="393208FE" w14:textId="77777777" w:rsidR="00BE17CF" w:rsidRPr="002800DB" w:rsidRDefault="00BE17CF" w:rsidP="00AC6C51">
      <w:pPr>
        <w:ind w:left="851"/>
        <w:rPr>
          <w:sz w:val="24"/>
          <w:szCs w:val="24"/>
          <w:highlight w:val="yellow"/>
          <w:lang w:val="en-GB"/>
        </w:rPr>
      </w:pPr>
      <w:r w:rsidRPr="002800DB">
        <w:rPr>
          <w:sz w:val="24"/>
          <w:szCs w:val="24"/>
          <w:lang w:val="en-GB"/>
        </w:rPr>
        <w:t>Titanium dioxide (E 171)</w:t>
      </w:r>
    </w:p>
    <w:p w14:paraId="4F8FD46F" w14:textId="77777777" w:rsidR="00BE17CF" w:rsidRPr="002800DB" w:rsidRDefault="00BE17CF" w:rsidP="00AC6C51">
      <w:pPr>
        <w:ind w:left="851"/>
        <w:rPr>
          <w:sz w:val="24"/>
          <w:szCs w:val="24"/>
          <w:highlight w:val="yellow"/>
          <w:lang w:val="en-GB"/>
        </w:rPr>
      </w:pPr>
      <w:r w:rsidRPr="002800DB">
        <w:rPr>
          <w:sz w:val="24"/>
          <w:szCs w:val="24"/>
          <w:lang w:val="en-GB"/>
        </w:rPr>
        <w:t xml:space="preserve">Triacetin </w:t>
      </w:r>
    </w:p>
    <w:p w14:paraId="5BD59032" w14:textId="77777777" w:rsidR="00BE17CF" w:rsidRPr="002800DB" w:rsidRDefault="00BE17CF" w:rsidP="00AC6C51">
      <w:pPr>
        <w:ind w:left="851"/>
        <w:rPr>
          <w:sz w:val="24"/>
          <w:szCs w:val="24"/>
          <w:lang w:val="en-GB"/>
        </w:rPr>
      </w:pPr>
    </w:p>
    <w:p w14:paraId="2B09C141" w14:textId="77777777" w:rsidR="00BE17CF" w:rsidRPr="006174AA" w:rsidRDefault="00BE17CF" w:rsidP="00AC6C51">
      <w:pPr>
        <w:ind w:left="851"/>
        <w:rPr>
          <w:sz w:val="24"/>
          <w:szCs w:val="24"/>
          <w:u w:val="single"/>
          <w:lang w:val="en-GB"/>
        </w:rPr>
      </w:pPr>
      <w:r w:rsidRPr="006174AA">
        <w:rPr>
          <w:sz w:val="24"/>
          <w:szCs w:val="24"/>
          <w:u w:val="single"/>
          <w:lang w:val="en-GB"/>
        </w:rPr>
        <w:t>Capsule shell</w:t>
      </w:r>
    </w:p>
    <w:p w14:paraId="3047B474" w14:textId="77777777" w:rsidR="00BE17CF" w:rsidRPr="002800DB" w:rsidRDefault="00BE17CF" w:rsidP="00AC6C51">
      <w:pPr>
        <w:ind w:left="851"/>
        <w:rPr>
          <w:sz w:val="24"/>
          <w:szCs w:val="24"/>
          <w:lang w:val="en-GB"/>
        </w:rPr>
      </w:pPr>
      <w:proofErr w:type="spellStart"/>
      <w:r w:rsidRPr="002800DB">
        <w:rPr>
          <w:sz w:val="24"/>
          <w:szCs w:val="24"/>
          <w:lang w:val="en-GB"/>
        </w:rPr>
        <w:t>Gelatin</w:t>
      </w:r>
      <w:proofErr w:type="spellEnd"/>
    </w:p>
    <w:p w14:paraId="49E297D0" w14:textId="77777777" w:rsidR="00BE17CF" w:rsidRPr="002800DB" w:rsidRDefault="00BE17CF" w:rsidP="00AC6C51">
      <w:pPr>
        <w:ind w:left="851"/>
        <w:rPr>
          <w:sz w:val="24"/>
          <w:szCs w:val="24"/>
          <w:highlight w:val="yellow"/>
          <w:lang w:val="en-GB"/>
        </w:rPr>
      </w:pPr>
      <w:r w:rsidRPr="002800DB">
        <w:rPr>
          <w:sz w:val="24"/>
          <w:szCs w:val="24"/>
          <w:lang w:val="en-GB"/>
        </w:rPr>
        <w:t>Titanium dioxide (E 171)</w:t>
      </w:r>
    </w:p>
    <w:p w14:paraId="14E6DFF4" w14:textId="77777777" w:rsidR="00BE17CF" w:rsidRPr="002800DB" w:rsidRDefault="00BE17CF" w:rsidP="00AC6C51">
      <w:pPr>
        <w:ind w:left="851"/>
        <w:rPr>
          <w:sz w:val="24"/>
          <w:szCs w:val="24"/>
          <w:highlight w:val="yellow"/>
          <w:lang w:val="en-GB"/>
        </w:rPr>
      </w:pPr>
      <w:r w:rsidRPr="002800DB">
        <w:rPr>
          <w:sz w:val="24"/>
          <w:szCs w:val="24"/>
          <w:lang w:val="en-GB"/>
        </w:rPr>
        <w:t>Brilliant blue FCF (E 133)</w:t>
      </w:r>
    </w:p>
    <w:p w14:paraId="782A61DD" w14:textId="77777777" w:rsidR="00BE17CF" w:rsidRPr="002800DB" w:rsidRDefault="00BE17CF" w:rsidP="00AC6C51">
      <w:pPr>
        <w:ind w:left="851"/>
        <w:rPr>
          <w:sz w:val="24"/>
          <w:szCs w:val="24"/>
          <w:lang w:val="en-GB"/>
        </w:rPr>
      </w:pPr>
      <w:r w:rsidRPr="002800DB">
        <w:rPr>
          <w:sz w:val="24"/>
          <w:szCs w:val="24"/>
          <w:lang w:val="en-GB"/>
        </w:rPr>
        <w:lastRenderedPageBreak/>
        <w:t>Yellow iron oxide (E 172)</w:t>
      </w:r>
    </w:p>
    <w:p w14:paraId="0CF94D68" w14:textId="77777777" w:rsidR="00BE17CF" w:rsidRPr="002800DB" w:rsidRDefault="00BE17CF" w:rsidP="00AC6C51">
      <w:pPr>
        <w:ind w:left="851"/>
        <w:rPr>
          <w:sz w:val="24"/>
          <w:szCs w:val="24"/>
          <w:lang w:val="en-GB"/>
        </w:rPr>
      </w:pPr>
    </w:p>
    <w:p w14:paraId="531B3478" w14:textId="77777777" w:rsidR="00BE17CF" w:rsidRPr="006174AA" w:rsidRDefault="00BE17CF" w:rsidP="00AC6C51">
      <w:pPr>
        <w:ind w:left="851"/>
        <w:rPr>
          <w:sz w:val="24"/>
          <w:szCs w:val="24"/>
          <w:u w:val="single"/>
          <w:lang w:val="en-GB"/>
        </w:rPr>
      </w:pPr>
      <w:r w:rsidRPr="006174AA">
        <w:rPr>
          <w:sz w:val="24"/>
          <w:szCs w:val="24"/>
          <w:u w:val="single"/>
          <w:lang w:val="en-GB"/>
        </w:rPr>
        <w:t>Capsule print (black ink)</w:t>
      </w:r>
    </w:p>
    <w:p w14:paraId="55B8C772" w14:textId="77777777" w:rsidR="00BE17CF" w:rsidRPr="002800DB" w:rsidRDefault="00BE17CF" w:rsidP="00AC6C51">
      <w:pPr>
        <w:ind w:left="851"/>
        <w:rPr>
          <w:sz w:val="24"/>
          <w:szCs w:val="24"/>
          <w:highlight w:val="yellow"/>
          <w:lang w:val="en-GB"/>
        </w:rPr>
      </w:pPr>
      <w:r w:rsidRPr="002800DB">
        <w:rPr>
          <w:sz w:val="24"/>
          <w:szCs w:val="24"/>
          <w:lang w:val="en-GB"/>
        </w:rPr>
        <w:t xml:space="preserve">Shellac </w:t>
      </w:r>
    </w:p>
    <w:p w14:paraId="2CC830D0" w14:textId="77777777" w:rsidR="00BE17CF" w:rsidRPr="002800DB" w:rsidRDefault="00BE17CF" w:rsidP="00AC6C51">
      <w:pPr>
        <w:ind w:left="851"/>
        <w:rPr>
          <w:sz w:val="24"/>
          <w:szCs w:val="24"/>
          <w:lang w:val="en-GB"/>
        </w:rPr>
      </w:pPr>
      <w:r w:rsidRPr="002800DB">
        <w:rPr>
          <w:sz w:val="24"/>
          <w:szCs w:val="24"/>
          <w:lang w:val="en-GB"/>
        </w:rPr>
        <w:t xml:space="preserve">Potassium hydroxide </w:t>
      </w:r>
    </w:p>
    <w:p w14:paraId="17057195" w14:textId="77777777" w:rsidR="00BE17CF" w:rsidRPr="002800DB" w:rsidRDefault="00BE17CF" w:rsidP="00AC6C51">
      <w:pPr>
        <w:ind w:left="851"/>
        <w:rPr>
          <w:sz w:val="24"/>
          <w:szCs w:val="24"/>
          <w:highlight w:val="yellow"/>
          <w:lang w:val="en-GB"/>
        </w:rPr>
      </w:pPr>
      <w:r w:rsidRPr="002800DB">
        <w:rPr>
          <w:sz w:val="24"/>
          <w:szCs w:val="24"/>
          <w:lang w:val="en-GB"/>
        </w:rPr>
        <w:t>Propylene glycol (E 1520)</w:t>
      </w:r>
    </w:p>
    <w:p w14:paraId="46E328AF" w14:textId="77777777" w:rsidR="00BE17CF" w:rsidRPr="002800DB" w:rsidRDefault="00BE17CF" w:rsidP="00AC6C51">
      <w:pPr>
        <w:ind w:left="851"/>
        <w:rPr>
          <w:sz w:val="24"/>
          <w:szCs w:val="24"/>
          <w:lang w:val="en-GB"/>
        </w:rPr>
      </w:pPr>
      <w:r w:rsidRPr="002800DB">
        <w:rPr>
          <w:sz w:val="24"/>
          <w:szCs w:val="24"/>
          <w:lang w:val="en-GB"/>
        </w:rPr>
        <w:t>Black iron oxide (E 172)</w:t>
      </w:r>
    </w:p>
    <w:p w14:paraId="139CAD53" w14:textId="77777777" w:rsidR="00BE17CF" w:rsidRPr="002800DB" w:rsidRDefault="00BE17CF" w:rsidP="00AC6C51">
      <w:pPr>
        <w:ind w:left="851"/>
        <w:rPr>
          <w:sz w:val="24"/>
          <w:szCs w:val="24"/>
          <w:lang w:val="en-GB"/>
        </w:rPr>
      </w:pPr>
      <w:r w:rsidRPr="002800DB">
        <w:rPr>
          <w:sz w:val="24"/>
          <w:szCs w:val="24"/>
          <w:lang w:val="en-GB"/>
        </w:rPr>
        <w:t xml:space="preserve">Strong ammonia solution </w:t>
      </w:r>
    </w:p>
    <w:p w14:paraId="2B5ED44E" w14:textId="77777777" w:rsidR="007C5D2A" w:rsidRPr="002800DB" w:rsidRDefault="007C5D2A" w:rsidP="003D727E">
      <w:pPr>
        <w:tabs>
          <w:tab w:val="left" w:pos="851"/>
        </w:tabs>
        <w:ind w:left="851"/>
        <w:rPr>
          <w:sz w:val="24"/>
          <w:szCs w:val="24"/>
          <w:lang w:val="en-GB"/>
        </w:rPr>
      </w:pPr>
    </w:p>
    <w:p w14:paraId="70038E52" w14:textId="77777777" w:rsidR="007C5D2A" w:rsidRPr="002800DB" w:rsidRDefault="007C5D2A" w:rsidP="007C5D2A">
      <w:pPr>
        <w:ind w:left="851" w:hanging="851"/>
        <w:rPr>
          <w:b/>
          <w:sz w:val="24"/>
          <w:szCs w:val="24"/>
          <w:lang w:val="en-GB"/>
        </w:rPr>
      </w:pPr>
      <w:r w:rsidRPr="002800DB">
        <w:rPr>
          <w:b/>
          <w:sz w:val="24"/>
          <w:szCs w:val="24"/>
          <w:lang w:val="en-GB"/>
        </w:rPr>
        <w:t>6.2</w:t>
      </w:r>
      <w:r w:rsidRPr="002800DB">
        <w:rPr>
          <w:b/>
          <w:sz w:val="24"/>
          <w:szCs w:val="24"/>
          <w:lang w:val="en-GB"/>
        </w:rPr>
        <w:tab/>
        <w:t>Incompatibilities</w:t>
      </w:r>
    </w:p>
    <w:p w14:paraId="033E7BD9" w14:textId="77777777" w:rsidR="00BE17CF" w:rsidRPr="002800DB" w:rsidRDefault="00BE17CF" w:rsidP="00AC6C51">
      <w:pPr>
        <w:ind w:left="851"/>
        <w:rPr>
          <w:sz w:val="24"/>
          <w:szCs w:val="24"/>
          <w:lang w:val="en-GB"/>
        </w:rPr>
      </w:pPr>
      <w:r w:rsidRPr="002800DB">
        <w:rPr>
          <w:sz w:val="24"/>
          <w:szCs w:val="24"/>
          <w:lang w:val="en-GB"/>
        </w:rPr>
        <w:t>Not applicable.</w:t>
      </w:r>
    </w:p>
    <w:p w14:paraId="39B63AFD" w14:textId="77777777" w:rsidR="007C5D2A" w:rsidRPr="002800DB" w:rsidRDefault="007C5D2A" w:rsidP="003E0341">
      <w:pPr>
        <w:tabs>
          <w:tab w:val="left" w:pos="851"/>
        </w:tabs>
        <w:ind w:left="851"/>
        <w:rPr>
          <w:sz w:val="24"/>
          <w:szCs w:val="24"/>
          <w:lang w:val="en-GB"/>
        </w:rPr>
      </w:pPr>
    </w:p>
    <w:p w14:paraId="1F01CAE3" w14:textId="77777777" w:rsidR="007C5D2A" w:rsidRPr="002800DB" w:rsidRDefault="007C5D2A" w:rsidP="007C5D2A">
      <w:pPr>
        <w:ind w:left="851" w:hanging="851"/>
        <w:rPr>
          <w:b/>
          <w:sz w:val="24"/>
          <w:szCs w:val="24"/>
          <w:lang w:val="en-GB"/>
        </w:rPr>
      </w:pPr>
      <w:r w:rsidRPr="002800DB">
        <w:rPr>
          <w:b/>
          <w:sz w:val="24"/>
          <w:szCs w:val="24"/>
          <w:lang w:val="en-GB"/>
        </w:rPr>
        <w:t>6.3</w:t>
      </w:r>
      <w:r w:rsidRPr="002800DB">
        <w:rPr>
          <w:b/>
          <w:sz w:val="24"/>
          <w:szCs w:val="24"/>
          <w:lang w:val="en-GB"/>
        </w:rPr>
        <w:tab/>
        <w:t>Shelf</w:t>
      </w:r>
      <w:r w:rsidR="00B45DC5" w:rsidRPr="002800DB">
        <w:rPr>
          <w:b/>
          <w:sz w:val="24"/>
          <w:szCs w:val="24"/>
          <w:lang w:val="en-GB"/>
        </w:rPr>
        <w:t xml:space="preserve"> </w:t>
      </w:r>
      <w:r w:rsidRPr="002800DB">
        <w:rPr>
          <w:b/>
          <w:sz w:val="24"/>
          <w:szCs w:val="24"/>
          <w:lang w:val="en-GB"/>
        </w:rPr>
        <w:t>life</w:t>
      </w:r>
    </w:p>
    <w:p w14:paraId="541740B2" w14:textId="77777777" w:rsidR="00BE17CF" w:rsidRPr="002800DB" w:rsidRDefault="00BE17CF" w:rsidP="00AC6C51">
      <w:pPr>
        <w:ind w:left="851"/>
        <w:rPr>
          <w:sz w:val="24"/>
          <w:szCs w:val="24"/>
          <w:lang w:val="en-GB"/>
        </w:rPr>
      </w:pPr>
      <w:r w:rsidRPr="002800DB">
        <w:rPr>
          <w:sz w:val="24"/>
          <w:szCs w:val="24"/>
          <w:lang w:val="en-GB"/>
        </w:rPr>
        <w:t>3 years</w:t>
      </w:r>
    </w:p>
    <w:p w14:paraId="4D72267A" w14:textId="77777777" w:rsidR="007C5D2A" w:rsidRPr="002800DB" w:rsidRDefault="007C5D2A" w:rsidP="003E0341">
      <w:pPr>
        <w:tabs>
          <w:tab w:val="left" w:pos="851"/>
        </w:tabs>
        <w:ind w:left="851"/>
        <w:rPr>
          <w:sz w:val="24"/>
          <w:szCs w:val="24"/>
          <w:lang w:val="en-GB"/>
        </w:rPr>
      </w:pPr>
    </w:p>
    <w:p w14:paraId="2F3AFAF3" w14:textId="77777777" w:rsidR="007C5D2A" w:rsidRPr="002800DB" w:rsidRDefault="007C5D2A" w:rsidP="007C5D2A">
      <w:pPr>
        <w:ind w:left="851" w:hanging="851"/>
        <w:rPr>
          <w:b/>
          <w:sz w:val="24"/>
          <w:szCs w:val="24"/>
          <w:lang w:val="en-GB"/>
        </w:rPr>
      </w:pPr>
      <w:r w:rsidRPr="002800DB">
        <w:rPr>
          <w:b/>
          <w:sz w:val="24"/>
          <w:szCs w:val="24"/>
          <w:lang w:val="en-GB"/>
        </w:rPr>
        <w:t>6.4</w:t>
      </w:r>
      <w:r w:rsidRPr="002800DB">
        <w:rPr>
          <w:b/>
          <w:sz w:val="24"/>
          <w:szCs w:val="24"/>
          <w:lang w:val="en-GB"/>
        </w:rPr>
        <w:tab/>
        <w:t>Special precautions for storage</w:t>
      </w:r>
    </w:p>
    <w:p w14:paraId="1E8693C4" w14:textId="77777777" w:rsidR="00BE17CF" w:rsidRPr="002800DB" w:rsidRDefault="00BE17CF" w:rsidP="00AC6C51">
      <w:pPr>
        <w:ind w:left="851"/>
        <w:rPr>
          <w:sz w:val="24"/>
          <w:szCs w:val="24"/>
          <w:lang w:val="en-GB"/>
        </w:rPr>
      </w:pPr>
      <w:r w:rsidRPr="002800DB">
        <w:rPr>
          <w:sz w:val="24"/>
          <w:szCs w:val="24"/>
          <w:lang w:val="en-GB"/>
        </w:rPr>
        <w:t>This medicinal product does not require any special temperature storage conditions.</w:t>
      </w:r>
    </w:p>
    <w:p w14:paraId="2BDF8645" w14:textId="77777777" w:rsidR="00BE17CF" w:rsidRPr="002800DB" w:rsidRDefault="00BE17CF" w:rsidP="00AC6C51">
      <w:pPr>
        <w:ind w:left="851"/>
        <w:rPr>
          <w:sz w:val="24"/>
          <w:szCs w:val="24"/>
          <w:lang w:val="en-GB"/>
        </w:rPr>
      </w:pPr>
      <w:r w:rsidRPr="002800DB">
        <w:rPr>
          <w:sz w:val="24"/>
          <w:szCs w:val="24"/>
          <w:lang w:val="en-GB"/>
        </w:rPr>
        <w:t>Store in the original package in order to protect from light.</w:t>
      </w:r>
    </w:p>
    <w:p w14:paraId="719BF251" w14:textId="77777777" w:rsidR="007C5D2A" w:rsidRPr="002800DB" w:rsidRDefault="007C5D2A" w:rsidP="003E0341">
      <w:pPr>
        <w:tabs>
          <w:tab w:val="left" w:pos="851"/>
        </w:tabs>
        <w:ind w:left="851"/>
        <w:rPr>
          <w:sz w:val="24"/>
          <w:szCs w:val="24"/>
          <w:lang w:val="en-GB"/>
        </w:rPr>
      </w:pPr>
    </w:p>
    <w:p w14:paraId="06AC119A" w14:textId="77777777" w:rsidR="007C5D2A" w:rsidRPr="002800DB" w:rsidRDefault="007C5D2A" w:rsidP="007C5D2A">
      <w:pPr>
        <w:ind w:left="851" w:hanging="851"/>
        <w:rPr>
          <w:b/>
          <w:sz w:val="24"/>
          <w:szCs w:val="24"/>
          <w:lang w:val="en-GB"/>
        </w:rPr>
      </w:pPr>
      <w:r w:rsidRPr="002800DB">
        <w:rPr>
          <w:b/>
          <w:sz w:val="24"/>
          <w:szCs w:val="24"/>
          <w:lang w:val="en-GB"/>
        </w:rPr>
        <w:t>6.5</w:t>
      </w:r>
      <w:r w:rsidRPr="002800DB">
        <w:rPr>
          <w:b/>
          <w:sz w:val="24"/>
          <w:szCs w:val="24"/>
          <w:lang w:val="en-GB"/>
        </w:rPr>
        <w:tab/>
        <w:t>Nature and contents of container</w:t>
      </w:r>
    </w:p>
    <w:p w14:paraId="16AB25F6" w14:textId="77777777" w:rsidR="00BE17CF" w:rsidRPr="002800DB" w:rsidRDefault="00BE17CF" w:rsidP="00AC6C51">
      <w:pPr>
        <w:ind w:left="851"/>
        <w:rPr>
          <w:sz w:val="24"/>
          <w:szCs w:val="24"/>
          <w:lang w:val="en-GB"/>
        </w:rPr>
      </w:pPr>
      <w:proofErr w:type="spellStart"/>
      <w:r w:rsidRPr="002800DB">
        <w:rPr>
          <w:sz w:val="24"/>
          <w:szCs w:val="24"/>
          <w:lang w:val="en-GB"/>
        </w:rPr>
        <w:t>oPA</w:t>
      </w:r>
      <w:proofErr w:type="spellEnd"/>
      <w:r w:rsidRPr="002800DB">
        <w:rPr>
          <w:sz w:val="24"/>
          <w:szCs w:val="24"/>
          <w:lang w:val="en-GB"/>
        </w:rPr>
        <w:t xml:space="preserve">/Alu/PVC//Alu blisters or </w:t>
      </w:r>
      <w:proofErr w:type="spellStart"/>
      <w:r w:rsidRPr="002800DB">
        <w:rPr>
          <w:sz w:val="24"/>
          <w:szCs w:val="24"/>
          <w:lang w:val="en-GB"/>
        </w:rPr>
        <w:t>oPA</w:t>
      </w:r>
      <w:proofErr w:type="spellEnd"/>
      <w:r w:rsidRPr="002800DB">
        <w:rPr>
          <w:sz w:val="24"/>
          <w:szCs w:val="24"/>
          <w:lang w:val="en-GB"/>
        </w:rPr>
        <w:t>/Alu/PVC//Alu perforated unit dose blisters.</w:t>
      </w:r>
    </w:p>
    <w:p w14:paraId="3EDC1C98" w14:textId="77777777" w:rsidR="00BE17CF" w:rsidRPr="002800DB" w:rsidRDefault="00BE17CF" w:rsidP="00AC6C51">
      <w:pPr>
        <w:ind w:left="851"/>
        <w:rPr>
          <w:sz w:val="24"/>
          <w:szCs w:val="24"/>
          <w:lang w:val="en-GB"/>
        </w:rPr>
      </w:pPr>
    </w:p>
    <w:p w14:paraId="1D41BEF9" w14:textId="650509B7" w:rsidR="00BE17CF" w:rsidRPr="002800DB" w:rsidRDefault="002800DB" w:rsidP="00AC6C51">
      <w:pPr>
        <w:ind w:left="851"/>
        <w:rPr>
          <w:sz w:val="24"/>
          <w:szCs w:val="24"/>
          <w:u w:val="single"/>
          <w:lang w:val="en-GB"/>
        </w:rPr>
      </w:pPr>
      <w:bookmarkStart w:id="1" w:name="_Hlk108624254"/>
      <w:r>
        <w:rPr>
          <w:sz w:val="24"/>
          <w:szCs w:val="24"/>
          <w:u w:val="single"/>
          <w:lang w:val="en-GB"/>
        </w:rPr>
        <w:t>Dimethyl fumarate "Teva"</w:t>
      </w:r>
      <w:r w:rsidR="00BE17CF" w:rsidRPr="002800DB">
        <w:rPr>
          <w:sz w:val="24"/>
          <w:szCs w:val="24"/>
          <w:u w:val="single"/>
          <w:lang w:val="en-GB"/>
        </w:rPr>
        <w:t xml:space="preserve"> 120 mg gastro-resistant hard capsules</w:t>
      </w:r>
    </w:p>
    <w:p w14:paraId="7E48226E" w14:textId="77777777" w:rsidR="00BE17CF" w:rsidRPr="002800DB" w:rsidRDefault="00BE17CF" w:rsidP="00AC6C51">
      <w:pPr>
        <w:ind w:left="851"/>
        <w:rPr>
          <w:sz w:val="24"/>
          <w:szCs w:val="24"/>
          <w:lang w:val="en-GB"/>
        </w:rPr>
      </w:pPr>
      <w:bookmarkStart w:id="2" w:name="_Hlk89359786"/>
      <w:r w:rsidRPr="002800DB">
        <w:rPr>
          <w:sz w:val="24"/>
          <w:szCs w:val="24"/>
          <w:lang w:val="en-GB"/>
        </w:rPr>
        <w:t>Pack sizes:</w:t>
      </w:r>
    </w:p>
    <w:p w14:paraId="305DDD35" w14:textId="77777777" w:rsidR="00BE17CF" w:rsidRPr="002800DB" w:rsidRDefault="00BE17CF" w:rsidP="00AC6C51">
      <w:pPr>
        <w:ind w:left="851"/>
        <w:rPr>
          <w:sz w:val="24"/>
          <w:szCs w:val="24"/>
          <w:lang w:val="en-GB"/>
        </w:rPr>
      </w:pPr>
      <w:r w:rsidRPr="002800DB">
        <w:rPr>
          <w:sz w:val="24"/>
          <w:szCs w:val="24"/>
          <w:lang w:val="en-GB"/>
        </w:rPr>
        <w:t>14 gastro-resistant capsules in blisters</w:t>
      </w:r>
    </w:p>
    <w:p w14:paraId="1BFC0EDA" w14:textId="42EB1A9D" w:rsidR="00BE17CF" w:rsidRPr="002800DB" w:rsidRDefault="00BE17CF" w:rsidP="00AC6C51">
      <w:pPr>
        <w:ind w:left="851"/>
        <w:rPr>
          <w:sz w:val="24"/>
          <w:szCs w:val="24"/>
          <w:lang w:val="en-GB"/>
        </w:rPr>
      </w:pPr>
      <w:r w:rsidRPr="002800DB">
        <w:rPr>
          <w:sz w:val="24"/>
          <w:szCs w:val="24"/>
          <w:lang w:val="en-GB"/>
        </w:rPr>
        <w:t>14 </w:t>
      </w:r>
      <w:r w:rsidR="00743C18">
        <w:rPr>
          <w:sz w:val="24"/>
          <w:szCs w:val="24"/>
          <w:lang w:val="en-GB"/>
        </w:rPr>
        <w:t>×</w:t>
      </w:r>
      <w:r w:rsidRPr="002800DB">
        <w:rPr>
          <w:sz w:val="24"/>
          <w:szCs w:val="24"/>
          <w:lang w:val="en-GB"/>
        </w:rPr>
        <w:t> 1 gastro-resistant capsules in perforated unit dose blisters</w:t>
      </w:r>
    </w:p>
    <w:bookmarkEnd w:id="2"/>
    <w:p w14:paraId="2FD27772" w14:textId="77777777" w:rsidR="00BE17CF" w:rsidRPr="002800DB" w:rsidRDefault="00BE17CF" w:rsidP="00AC6C51">
      <w:pPr>
        <w:ind w:left="851"/>
        <w:rPr>
          <w:sz w:val="24"/>
          <w:szCs w:val="24"/>
          <w:lang w:val="en-GB"/>
        </w:rPr>
      </w:pPr>
    </w:p>
    <w:p w14:paraId="383D175F" w14:textId="34EDE0FC" w:rsidR="00BE17CF" w:rsidRPr="002800DB" w:rsidRDefault="002800DB" w:rsidP="00AC6C51">
      <w:pPr>
        <w:ind w:left="851"/>
        <w:rPr>
          <w:sz w:val="24"/>
          <w:szCs w:val="24"/>
          <w:u w:val="single"/>
          <w:lang w:val="en-GB"/>
        </w:rPr>
      </w:pPr>
      <w:r>
        <w:rPr>
          <w:sz w:val="24"/>
          <w:szCs w:val="24"/>
          <w:u w:val="single"/>
          <w:lang w:val="en-GB"/>
        </w:rPr>
        <w:t>Dimethyl fumarate "Teva"</w:t>
      </w:r>
      <w:r w:rsidR="00BE17CF" w:rsidRPr="002800DB">
        <w:rPr>
          <w:sz w:val="24"/>
          <w:szCs w:val="24"/>
          <w:u w:val="single"/>
          <w:lang w:val="en-GB"/>
        </w:rPr>
        <w:t xml:space="preserve"> 240 mg gastro-resistant hard capsules</w:t>
      </w:r>
    </w:p>
    <w:p w14:paraId="1AB671E1" w14:textId="77777777" w:rsidR="00BE17CF" w:rsidRPr="002800DB" w:rsidRDefault="00BE17CF" w:rsidP="00AC6C51">
      <w:pPr>
        <w:ind w:left="851"/>
        <w:rPr>
          <w:sz w:val="24"/>
          <w:szCs w:val="24"/>
          <w:lang w:val="en-GB"/>
        </w:rPr>
      </w:pPr>
      <w:r w:rsidRPr="002800DB">
        <w:rPr>
          <w:sz w:val="24"/>
          <w:szCs w:val="24"/>
          <w:lang w:val="en-GB"/>
        </w:rPr>
        <w:t>Pack sizes:</w:t>
      </w:r>
    </w:p>
    <w:p w14:paraId="643B7A76" w14:textId="77777777" w:rsidR="00BE17CF" w:rsidRPr="002800DB" w:rsidRDefault="00BE17CF" w:rsidP="00AC6C51">
      <w:pPr>
        <w:ind w:left="851"/>
        <w:rPr>
          <w:sz w:val="24"/>
          <w:szCs w:val="24"/>
          <w:lang w:val="en-GB"/>
        </w:rPr>
      </w:pPr>
      <w:r w:rsidRPr="002800DB">
        <w:rPr>
          <w:sz w:val="24"/>
          <w:szCs w:val="24"/>
          <w:lang w:val="en-GB"/>
        </w:rPr>
        <w:t>56, 168 or 196 gastro-resistant capsules in blisters</w:t>
      </w:r>
    </w:p>
    <w:p w14:paraId="58D5E3C5" w14:textId="0A17F1E3" w:rsidR="00BE17CF" w:rsidRPr="002800DB" w:rsidRDefault="00BE17CF" w:rsidP="00AC6C51">
      <w:pPr>
        <w:ind w:left="851"/>
        <w:rPr>
          <w:sz w:val="24"/>
          <w:szCs w:val="24"/>
          <w:lang w:val="en-GB"/>
        </w:rPr>
      </w:pPr>
      <w:r w:rsidRPr="002800DB">
        <w:rPr>
          <w:sz w:val="24"/>
          <w:szCs w:val="24"/>
          <w:lang w:val="en-GB"/>
        </w:rPr>
        <w:t>56 </w:t>
      </w:r>
      <w:r w:rsidR="00743C18">
        <w:rPr>
          <w:sz w:val="24"/>
          <w:szCs w:val="24"/>
          <w:lang w:val="en-GB"/>
        </w:rPr>
        <w:t>×</w:t>
      </w:r>
      <w:r w:rsidRPr="002800DB">
        <w:rPr>
          <w:sz w:val="24"/>
          <w:szCs w:val="24"/>
          <w:lang w:val="en-GB"/>
        </w:rPr>
        <w:t xml:space="preserve"> 1, 168 </w:t>
      </w:r>
      <w:r w:rsidR="00743C18">
        <w:rPr>
          <w:sz w:val="24"/>
          <w:szCs w:val="24"/>
          <w:lang w:val="en-GB"/>
        </w:rPr>
        <w:t>×</w:t>
      </w:r>
      <w:r w:rsidRPr="002800DB">
        <w:rPr>
          <w:sz w:val="24"/>
          <w:szCs w:val="24"/>
          <w:lang w:val="en-GB"/>
        </w:rPr>
        <w:t xml:space="preserve"> 1 or 196 </w:t>
      </w:r>
      <w:r w:rsidR="00743C18">
        <w:rPr>
          <w:sz w:val="24"/>
          <w:szCs w:val="24"/>
          <w:lang w:val="en-GB"/>
        </w:rPr>
        <w:t>×</w:t>
      </w:r>
      <w:r w:rsidRPr="002800DB">
        <w:rPr>
          <w:sz w:val="24"/>
          <w:szCs w:val="24"/>
          <w:lang w:val="en-GB"/>
        </w:rPr>
        <w:t xml:space="preserve"> 1 gastro-resistant capsules in perforated unit dose blisters</w:t>
      </w:r>
    </w:p>
    <w:bookmarkEnd w:id="1"/>
    <w:p w14:paraId="208FF3C8" w14:textId="77777777" w:rsidR="00BE17CF" w:rsidRPr="002800DB" w:rsidRDefault="00BE17CF" w:rsidP="00AC6C51">
      <w:pPr>
        <w:ind w:left="851"/>
        <w:rPr>
          <w:sz w:val="24"/>
          <w:szCs w:val="24"/>
          <w:lang w:val="en-GB"/>
        </w:rPr>
      </w:pPr>
    </w:p>
    <w:p w14:paraId="4D87F2C2" w14:textId="77777777" w:rsidR="00BE17CF" w:rsidRPr="002800DB" w:rsidRDefault="00BE17CF" w:rsidP="00AC6C51">
      <w:pPr>
        <w:ind w:left="851"/>
        <w:rPr>
          <w:sz w:val="24"/>
          <w:szCs w:val="24"/>
          <w:lang w:val="en-GB"/>
        </w:rPr>
      </w:pPr>
      <w:r w:rsidRPr="002800DB">
        <w:rPr>
          <w:sz w:val="24"/>
          <w:szCs w:val="24"/>
          <w:lang w:val="en-GB"/>
        </w:rPr>
        <w:t>Not all pack sizes may be marketed.</w:t>
      </w:r>
    </w:p>
    <w:p w14:paraId="3DAE097D" w14:textId="77777777" w:rsidR="007C5D2A" w:rsidRPr="002800DB" w:rsidRDefault="007C5D2A" w:rsidP="003E0341">
      <w:pPr>
        <w:tabs>
          <w:tab w:val="left" w:pos="851"/>
        </w:tabs>
        <w:ind w:left="851"/>
        <w:rPr>
          <w:sz w:val="24"/>
          <w:szCs w:val="24"/>
          <w:lang w:val="en-GB"/>
        </w:rPr>
      </w:pPr>
    </w:p>
    <w:p w14:paraId="58AEE27D" w14:textId="77777777" w:rsidR="007C5D2A" w:rsidRPr="002800DB" w:rsidRDefault="007C5D2A" w:rsidP="007C5D2A">
      <w:pPr>
        <w:ind w:left="851" w:hanging="851"/>
        <w:rPr>
          <w:b/>
          <w:sz w:val="24"/>
          <w:szCs w:val="24"/>
          <w:lang w:val="en-GB"/>
        </w:rPr>
      </w:pPr>
      <w:r w:rsidRPr="002800DB">
        <w:rPr>
          <w:b/>
          <w:sz w:val="24"/>
          <w:szCs w:val="24"/>
          <w:lang w:val="en-GB"/>
        </w:rPr>
        <w:t>6.6</w:t>
      </w:r>
      <w:r w:rsidRPr="002800DB">
        <w:rPr>
          <w:b/>
          <w:sz w:val="24"/>
          <w:szCs w:val="24"/>
          <w:lang w:val="en-GB"/>
        </w:rPr>
        <w:tab/>
        <w:t>Special precautions for disposal and other handling</w:t>
      </w:r>
    </w:p>
    <w:p w14:paraId="2762F6D3" w14:textId="77777777" w:rsidR="00BE17CF" w:rsidRPr="002800DB" w:rsidRDefault="00BE17CF" w:rsidP="00AC6C51">
      <w:pPr>
        <w:ind w:left="851"/>
        <w:rPr>
          <w:sz w:val="24"/>
          <w:szCs w:val="24"/>
          <w:lang w:val="en-GB"/>
        </w:rPr>
      </w:pPr>
      <w:r w:rsidRPr="002800DB">
        <w:rPr>
          <w:sz w:val="24"/>
          <w:szCs w:val="24"/>
          <w:lang w:val="en-GB"/>
        </w:rPr>
        <w:t>Any unused medicinal product or waste material should be disposed of in accordance with local requirements.</w:t>
      </w:r>
    </w:p>
    <w:p w14:paraId="0640A91A" w14:textId="77777777" w:rsidR="007C5D2A" w:rsidRPr="002800DB" w:rsidRDefault="007C5D2A" w:rsidP="00AB4376">
      <w:pPr>
        <w:tabs>
          <w:tab w:val="left" w:pos="851"/>
        </w:tabs>
        <w:ind w:left="851"/>
        <w:rPr>
          <w:sz w:val="24"/>
          <w:szCs w:val="24"/>
          <w:lang w:val="en-GB"/>
        </w:rPr>
      </w:pPr>
    </w:p>
    <w:p w14:paraId="79A3F527" w14:textId="77777777" w:rsidR="007C5D2A" w:rsidRPr="002800DB" w:rsidRDefault="007C5D2A" w:rsidP="007C5D2A">
      <w:pPr>
        <w:tabs>
          <w:tab w:val="left" w:pos="851"/>
        </w:tabs>
        <w:ind w:left="851" w:hanging="851"/>
        <w:jc w:val="both"/>
        <w:rPr>
          <w:b/>
          <w:sz w:val="24"/>
          <w:szCs w:val="24"/>
          <w:lang w:val="en-GB"/>
        </w:rPr>
      </w:pPr>
      <w:r w:rsidRPr="002800DB">
        <w:rPr>
          <w:b/>
          <w:sz w:val="24"/>
          <w:szCs w:val="24"/>
          <w:lang w:val="en-GB"/>
        </w:rPr>
        <w:t>7.</w:t>
      </w:r>
      <w:r w:rsidRPr="002800DB">
        <w:rPr>
          <w:b/>
          <w:sz w:val="24"/>
          <w:szCs w:val="24"/>
          <w:lang w:val="en-GB"/>
        </w:rPr>
        <w:tab/>
        <w:t>MARKETING AUTHORISATION HOLDER</w:t>
      </w:r>
    </w:p>
    <w:p w14:paraId="2200C78A" w14:textId="6D59AEB2" w:rsidR="007C5D2A" w:rsidRPr="002800DB" w:rsidRDefault="00AC6C51" w:rsidP="00A85D26">
      <w:pPr>
        <w:tabs>
          <w:tab w:val="left" w:pos="851"/>
        </w:tabs>
        <w:ind w:left="851"/>
        <w:jc w:val="both"/>
        <w:rPr>
          <w:sz w:val="24"/>
          <w:szCs w:val="24"/>
          <w:lang w:val="en-GB"/>
        </w:rPr>
      </w:pPr>
      <w:r w:rsidRPr="002800DB">
        <w:rPr>
          <w:sz w:val="24"/>
          <w:szCs w:val="24"/>
          <w:lang w:val="en-GB"/>
        </w:rPr>
        <w:t>Teva GmbH</w:t>
      </w:r>
    </w:p>
    <w:p w14:paraId="248FD6E1" w14:textId="353F2403" w:rsidR="00AC6C51" w:rsidRPr="002800DB" w:rsidRDefault="00AC6C51" w:rsidP="00A85D26">
      <w:pPr>
        <w:tabs>
          <w:tab w:val="left" w:pos="851"/>
        </w:tabs>
        <w:ind w:left="851"/>
        <w:jc w:val="both"/>
        <w:rPr>
          <w:sz w:val="24"/>
          <w:szCs w:val="24"/>
          <w:lang w:val="en-GB"/>
        </w:rPr>
      </w:pPr>
      <w:r w:rsidRPr="002800DB">
        <w:rPr>
          <w:sz w:val="24"/>
          <w:szCs w:val="24"/>
          <w:lang w:val="en-GB"/>
        </w:rPr>
        <w:t>Graf-Arco-Str. 3</w:t>
      </w:r>
    </w:p>
    <w:p w14:paraId="52554847" w14:textId="7B78D718" w:rsidR="00AC6C51" w:rsidRPr="002800DB" w:rsidRDefault="00AC6C51" w:rsidP="00A85D26">
      <w:pPr>
        <w:tabs>
          <w:tab w:val="left" w:pos="851"/>
        </w:tabs>
        <w:ind w:left="851"/>
        <w:jc w:val="both"/>
        <w:rPr>
          <w:sz w:val="24"/>
          <w:szCs w:val="24"/>
          <w:lang w:val="en-GB"/>
        </w:rPr>
      </w:pPr>
      <w:r w:rsidRPr="002800DB">
        <w:rPr>
          <w:sz w:val="24"/>
          <w:szCs w:val="24"/>
          <w:lang w:val="en-GB"/>
        </w:rPr>
        <w:t>89079 Ulm</w:t>
      </w:r>
    </w:p>
    <w:p w14:paraId="65E0BF29" w14:textId="7E424AAF" w:rsidR="00AC6C51" w:rsidRPr="002800DB" w:rsidRDefault="00743C18" w:rsidP="00A85D26">
      <w:pPr>
        <w:tabs>
          <w:tab w:val="left" w:pos="851"/>
        </w:tabs>
        <w:ind w:left="851"/>
        <w:jc w:val="both"/>
        <w:rPr>
          <w:sz w:val="24"/>
          <w:szCs w:val="24"/>
          <w:lang w:val="en-GB"/>
        </w:rPr>
      </w:pPr>
      <w:proofErr w:type="spellStart"/>
      <w:r>
        <w:rPr>
          <w:sz w:val="24"/>
          <w:szCs w:val="24"/>
          <w:lang w:val="en-GB"/>
        </w:rPr>
        <w:t>Tyskland</w:t>
      </w:r>
      <w:proofErr w:type="spellEnd"/>
    </w:p>
    <w:p w14:paraId="12F3C20B" w14:textId="77777777" w:rsidR="007C5D2A" w:rsidRPr="002800DB" w:rsidRDefault="007C5D2A" w:rsidP="003E0341">
      <w:pPr>
        <w:tabs>
          <w:tab w:val="left" w:pos="851"/>
        </w:tabs>
        <w:ind w:left="851"/>
        <w:jc w:val="both"/>
        <w:rPr>
          <w:sz w:val="24"/>
          <w:szCs w:val="24"/>
          <w:lang w:val="en-GB"/>
        </w:rPr>
      </w:pPr>
    </w:p>
    <w:p w14:paraId="2C67C95C" w14:textId="77777777" w:rsidR="008A24F6" w:rsidRPr="002800DB" w:rsidRDefault="005A498B" w:rsidP="003E0341">
      <w:pPr>
        <w:tabs>
          <w:tab w:val="left" w:pos="851"/>
        </w:tabs>
        <w:ind w:left="851"/>
        <w:jc w:val="both"/>
        <w:rPr>
          <w:b/>
          <w:sz w:val="24"/>
          <w:szCs w:val="24"/>
          <w:lang w:val="en-GB"/>
        </w:rPr>
      </w:pPr>
      <w:r w:rsidRPr="002800DB">
        <w:rPr>
          <w:b/>
          <w:sz w:val="24"/>
          <w:szCs w:val="24"/>
          <w:lang w:val="en-GB"/>
        </w:rPr>
        <w:t>Representative</w:t>
      </w:r>
    </w:p>
    <w:p w14:paraId="24A48C17" w14:textId="3F945F3C" w:rsidR="005A498B" w:rsidRPr="002800DB" w:rsidRDefault="00AC6C51" w:rsidP="005A498B">
      <w:pPr>
        <w:tabs>
          <w:tab w:val="left" w:pos="851"/>
        </w:tabs>
        <w:ind w:left="851"/>
        <w:jc w:val="both"/>
        <w:rPr>
          <w:sz w:val="24"/>
          <w:szCs w:val="24"/>
          <w:lang w:val="en-GB"/>
        </w:rPr>
      </w:pPr>
      <w:r w:rsidRPr="002800DB">
        <w:rPr>
          <w:sz w:val="24"/>
          <w:szCs w:val="24"/>
          <w:lang w:val="en-GB"/>
        </w:rPr>
        <w:t>Teva Denmark A/S</w:t>
      </w:r>
    </w:p>
    <w:p w14:paraId="3A1650E5" w14:textId="1B3E84CE" w:rsidR="00AC6C51" w:rsidRPr="002800DB" w:rsidRDefault="00AC6C51" w:rsidP="005A498B">
      <w:pPr>
        <w:tabs>
          <w:tab w:val="left" w:pos="851"/>
        </w:tabs>
        <w:ind w:left="851"/>
        <w:jc w:val="both"/>
        <w:rPr>
          <w:sz w:val="24"/>
          <w:szCs w:val="24"/>
          <w:lang w:val="en-GB"/>
        </w:rPr>
      </w:pPr>
      <w:proofErr w:type="spellStart"/>
      <w:r w:rsidRPr="002800DB">
        <w:rPr>
          <w:sz w:val="24"/>
          <w:szCs w:val="24"/>
          <w:lang w:val="en-GB"/>
        </w:rPr>
        <w:t>Vandtårnsvej</w:t>
      </w:r>
      <w:proofErr w:type="spellEnd"/>
      <w:r w:rsidRPr="002800DB">
        <w:rPr>
          <w:sz w:val="24"/>
          <w:szCs w:val="24"/>
          <w:lang w:val="en-GB"/>
        </w:rPr>
        <w:t xml:space="preserve"> 83A</w:t>
      </w:r>
    </w:p>
    <w:p w14:paraId="48799812" w14:textId="5663D0E7" w:rsidR="00AC6C51" w:rsidRPr="002800DB" w:rsidRDefault="00AC6C51" w:rsidP="005A498B">
      <w:pPr>
        <w:tabs>
          <w:tab w:val="left" w:pos="851"/>
        </w:tabs>
        <w:ind w:left="851"/>
        <w:jc w:val="both"/>
        <w:rPr>
          <w:sz w:val="24"/>
          <w:szCs w:val="24"/>
          <w:lang w:val="en-GB"/>
        </w:rPr>
      </w:pPr>
      <w:r w:rsidRPr="002800DB">
        <w:rPr>
          <w:sz w:val="24"/>
          <w:szCs w:val="24"/>
          <w:lang w:val="en-GB"/>
        </w:rPr>
        <w:t xml:space="preserve">2860 </w:t>
      </w:r>
      <w:proofErr w:type="spellStart"/>
      <w:r w:rsidRPr="002800DB">
        <w:rPr>
          <w:sz w:val="24"/>
          <w:szCs w:val="24"/>
          <w:lang w:val="en-GB"/>
        </w:rPr>
        <w:t>Søborg</w:t>
      </w:r>
      <w:proofErr w:type="spellEnd"/>
    </w:p>
    <w:p w14:paraId="579F14A3" w14:textId="06249BC0" w:rsidR="00743C18" w:rsidRDefault="00743C18">
      <w:pPr>
        <w:rPr>
          <w:sz w:val="24"/>
          <w:szCs w:val="24"/>
          <w:lang w:val="en-GB"/>
        </w:rPr>
      </w:pPr>
      <w:r>
        <w:rPr>
          <w:sz w:val="24"/>
          <w:szCs w:val="24"/>
          <w:lang w:val="en-GB"/>
        </w:rPr>
        <w:br w:type="page"/>
      </w:r>
    </w:p>
    <w:p w14:paraId="4577BE8F" w14:textId="77777777" w:rsidR="008A24F6" w:rsidRPr="002800DB" w:rsidRDefault="008A24F6" w:rsidP="003E0341">
      <w:pPr>
        <w:tabs>
          <w:tab w:val="left" w:pos="851"/>
        </w:tabs>
        <w:ind w:left="851"/>
        <w:jc w:val="both"/>
        <w:rPr>
          <w:sz w:val="24"/>
          <w:szCs w:val="24"/>
          <w:lang w:val="en-GB"/>
        </w:rPr>
      </w:pPr>
    </w:p>
    <w:p w14:paraId="0CE79998" w14:textId="77777777" w:rsidR="007C5D2A" w:rsidRPr="002800DB" w:rsidRDefault="007C5D2A" w:rsidP="007C5D2A">
      <w:pPr>
        <w:ind w:left="851" w:hanging="851"/>
        <w:jc w:val="both"/>
        <w:rPr>
          <w:b/>
          <w:sz w:val="24"/>
          <w:szCs w:val="24"/>
          <w:lang w:val="en-GB"/>
        </w:rPr>
      </w:pPr>
      <w:r w:rsidRPr="002800DB">
        <w:rPr>
          <w:b/>
          <w:sz w:val="24"/>
          <w:szCs w:val="24"/>
          <w:lang w:val="en-GB"/>
        </w:rPr>
        <w:t>8.</w:t>
      </w:r>
      <w:r w:rsidRPr="002800DB">
        <w:rPr>
          <w:b/>
          <w:sz w:val="24"/>
          <w:szCs w:val="24"/>
          <w:lang w:val="en-GB"/>
        </w:rPr>
        <w:tab/>
        <w:t>MARKETING AUTHORISATION NUMBER(S)</w:t>
      </w:r>
    </w:p>
    <w:p w14:paraId="2BFC10AC" w14:textId="2DB4D2CF" w:rsidR="007C5D2A" w:rsidRPr="002800DB" w:rsidRDefault="007168AF" w:rsidP="00A85D26">
      <w:pPr>
        <w:tabs>
          <w:tab w:val="left" w:pos="851"/>
        </w:tabs>
        <w:ind w:left="851"/>
        <w:jc w:val="both"/>
        <w:rPr>
          <w:sz w:val="24"/>
          <w:szCs w:val="24"/>
          <w:lang w:val="en-GB"/>
        </w:rPr>
      </w:pPr>
      <w:r w:rsidRPr="002800DB">
        <w:rPr>
          <w:sz w:val="24"/>
          <w:szCs w:val="24"/>
          <w:lang w:val="en-GB"/>
        </w:rPr>
        <w:t>120 mg:</w:t>
      </w:r>
      <w:r w:rsidR="00D11579" w:rsidRPr="002800DB">
        <w:rPr>
          <w:sz w:val="24"/>
          <w:szCs w:val="24"/>
          <w:lang w:val="en-GB"/>
        </w:rPr>
        <w:t xml:space="preserve"> 70986</w:t>
      </w:r>
    </w:p>
    <w:p w14:paraId="240F1C28" w14:textId="7E1679FF" w:rsidR="007168AF" w:rsidRPr="002800DB" w:rsidRDefault="007168AF" w:rsidP="00A85D26">
      <w:pPr>
        <w:tabs>
          <w:tab w:val="left" w:pos="851"/>
        </w:tabs>
        <w:ind w:left="851"/>
        <w:jc w:val="both"/>
        <w:rPr>
          <w:sz w:val="24"/>
          <w:szCs w:val="24"/>
          <w:lang w:val="en-GB"/>
        </w:rPr>
      </w:pPr>
      <w:r w:rsidRPr="002800DB">
        <w:rPr>
          <w:sz w:val="24"/>
          <w:szCs w:val="24"/>
          <w:lang w:val="en-GB"/>
        </w:rPr>
        <w:t>240 mg:</w:t>
      </w:r>
      <w:r w:rsidR="00D11579" w:rsidRPr="002800DB">
        <w:rPr>
          <w:sz w:val="24"/>
          <w:szCs w:val="24"/>
          <w:lang w:val="en-GB"/>
        </w:rPr>
        <w:t xml:space="preserve"> 70987</w:t>
      </w:r>
    </w:p>
    <w:p w14:paraId="00184FA9" w14:textId="77777777" w:rsidR="007C5D2A" w:rsidRPr="002800DB" w:rsidRDefault="007C5D2A" w:rsidP="00180A12">
      <w:pPr>
        <w:tabs>
          <w:tab w:val="left" w:pos="851"/>
        </w:tabs>
        <w:ind w:left="851"/>
        <w:jc w:val="both"/>
        <w:rPr>
          <w:sz w:val="24"/>
          <w:szCs w:val="24"/>
          <w:lang w:val="en-GB"/>
        </w:rPr>
      </w:pPr>
    </w:p>
    <w:p w14:paraId="3FB4AA36" w14:textId="77777777" w:rsidR="007C5D2A" w:rsidRPr="002800DB" w:rsidRDefault="007C5D2A" w:rsidP="007C5D2A">
      <w:pPr>
        <w:tabs>
          <w:tab w:val="left" w:pos="851"/>
        </w:tabs>
        <w:jc w:val="both"/>
        <w:rPr>
          <w:sz w:val="24"/>
          <w:szCs w:val="24"/>
          <w:lang w:val="en-GB"/>
        </w:rPr>
      </w:pPr>
      <w:r w:rsidRPr="002800DB">
        <w:rPr>
          <w:b/>
          <w:sz w:val="24"/>
          <w:szCs w:val="24"/>
          <w:lang w:val="en-GB"/>
        </w:rPr>
        <w:t>9.</w:t>
      </w:r>
      <w:r w:rsidRPr="002800DB">
        <w:rPr>
          <w:b/>
          <w:sz w:val="24"/>
          <w:szCs w:val="24"/>
          <w:lang w:val="en-GB"/>
        </w:rPr>
        <w:tab/>
        <w:t>DATE OF FIRST AUTHORISATION</w:t>
      </w:r>
    </w:p>
    <w:p w14:paraId="10F2ACB8" w14:textId="08139B74" w:rsidR="007C5D2A" w:rsidRPr="002800DB" w:rsidRDefault="00677781" w:rsidP="00A85D26">
      <w:pPr>
        <w:ind w:left="851"/>
        <w:jc w:val="both"/>
        <w:rPr>
          <w:sz w:val="24"/>
          <w:szCs w:val="24"/>
          <w:lang w:val="en-GB"/>
        </w:rPr>
      </w:pPr>
      <w:r>
        <w:rPr>
          <w:sz w:val="24"/>
          <w:szCs w:val="24"/>
          <w:lang w:val="en-GB"/>
        </w:rPr>
        <w:t>27 May 2025</w:t>
      </w:r>
      <w:bookmarkStart w:id="3" w:name="_GoBack"/>
      <w:bookmarkEnd w:id="3"/>
    </w:p>
    <w:p w14:paraId="48D8BA74" w14:textId="77777777" w:rsidR="007C5D2A" w:rsidRPr="002800DB" w:rsidRDefault="007C5D2A" w:rsidP="003E0341">
      <w:pPr>
        <w:tabs>
          <w:tab w:val="left" w:pos="851"/>
        </w:tabs>
        <w:ind w:left="851"/>
        <w:jc w:val="both"/>
        <w:rPr>
          <w:sz w:val="24"/>
          <w:szCs w:val="24"/>
          <w:lang w:val="en-GB"/>
        </w:rPr>
      </w:pPr>
    </w:p>
    <w:p w14:paraId="3D75C30A" w14:textId="77777777" w:rsidR="007C5D2A" w:rsidRPr="002800DB" w:rsidRDefault="007C5D2A" w:rsidP="007C5D2A">
      <w:pPr>
        <w:tabs>
          <w:tab w:val="left" w:pos="851"/>
        </w:tabs>
        <w:jc w:val="both"/>
        <w:rPr>
          <w:sz w:val="24"/>
          <w:szCs w:val="24"/>
          <w:lang w:val="en-GB"/>
        </w:rPr>
      </w:pPr>
      <w:r w:rsidRPr="002800DB">
        <w:rPr>
          <w:b/>
          <w:sz w:val="24"/>
          <w:szCs w:val="24"/>
          <w:lang w:val="en-GB"/>
        </w:rPr>
        <w:t>10.</w:t>
      </w:r>
      <w:r w:rsidRPr="002800DB">
        <w:rPr>
          <w:b/>
          <w:sz w:val="24"/>
          <w:szCs w:val="24"/>
          <w:lang w:val="en-GB"/>
        </w:rPr>
        <w:tab/>
        <w:t>DATE OF REVISION OF THE TEXT</w:t>
      </w:r>
    </w:p>
    <w:p w14:paraId="69C83ABC" w14:textId="65CF5045" w:rsidR="007C5D2A" w:rsidRPr="002800DB" w:rsidRDefault="007168AF" w:rsidP="003E0341">
      <w:pPr>
        <w:tabs>
          <w:tab w:val="left" w:pos="851"/>
        </w:tabs>
        <w:ind w:left="851"/>
        <w:jc w:val="both"/>
        <w:rPr>
          <w:sz w:val="24"/>
          <w:szCs w:val="24"/>
          <w:lang w:val="en-GB"/>
        </w:rPr>
      </w:pPr>
      <w:r w:rsidRPr="002800DB">
        <w:rPr>
          <w:sz w:val="24"/>
          <w:szCs w:val="24"/>
          <w:lang w:val="en-GB"/>
        </w:rPr>
        <w:t>-</w:t>
      </w:r>
    </w:p>
    <w:sectPr w:rsidR="007C5D2A" w:rsidRPr="002800DB"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3560" w14:textId="77777777" w:rsidR="007168AF" w:rsidRDefault="007168AF">
      <w:r>
        <w:separator/>
      </w:r>
    </w:p>
  </w:endnote>
  <w:endnote w:type="continuationSeparator" w:id="0">
    <w:p w14:paraId="187EF6F6" w14:textId="77777777" w:rsidR="007168AF" w:rsidRDefault="007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FEA7" w14:textId="77777777" w:rsidR="007168AF" w:rsidRDefault="007168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4496" w14:textId="77777777" w:rsidR="007168AF" w:rsidRDefault="007168AF">
    <w:pPr>
      <w:pStyle w:val="Sidefod"/>
      <w:pBdr>
        <w:bottom w:val="single" w:sz="6" w:space="1" w:color="auto"/>
      </w:pBdr>
    </w:pPr>
  </w:p>
  <w:p w14:paraId="110DF1C9" w14:textId="77777777" w:rsidR="007168AF" w:rsidRDefault="007168AF">
    <w:pPr>
      <w:pStyle w:val="Sidefod"/>
      <w:tabs>
        <w:tab w:val="clear" w:pos="4819"/>
        <w:tab w:val="left" w:pos="8647"/>
      </w:tabs>
      <w:rPr>
        <w:i/>
        <w:snapToGrid w:val="0"/>
        <w:sz w:val="18"/>
      </w:rPr>
    </w:pPr>
  </w:p>
  <w:p w14:paraId="5F01547B" w14:textId="437E3884" w:rsidR="007168AF" w:rsidRDefault="007168A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43C18">
      <w:rPr>
        <w:i/>
        <w:noProof/>
        <w:snapToGrid w:val="0"/>
        <w:sz w:val="18"/>
      </w:rPr>
      <w:t>Dimethyl fumarate Teva, hårde enterokapsler 120 mg og 240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B325" w14:textId="77777777" w:rsidR="007168AF" w:rsidRDefault="007168AF">
    <w:pPr>
      <w:pStyle w:val="Sidefod"/>
      <w:pBdr>
        <w:bottom w:val="single" w:sz="6" w:space="1" w:color="auto"/>
      </w:pBdr>
      <w:tabs>
        <w:tab w:val="clear" w:pos="4819"/>
        <w:tab w:val="left" w:pos="8789"/>
      </w:tabs>
      <w:rPr>
        <w:i/>
        <w:snapToGrid w:val="0"/>
        <w:sz w:val="18"/>
      </w:rPr>
    </w:pPr>
  </w:p>
  <w:p w14:paraId="685C3654" w14:textId="77777777" w:rsidR="007168AF" w:rsidRDefault="007168AF">
    <w:pPr>
      <w:pStyle w:val="Sidefod"/>
      <w:tabs>
        <w:tab w:val="clear" w:pos="4819"/>
        <w:tab w:val="left" w:pos="8789"/>
      </w:tabs>
      <w:rPr>
        <w:i/>
        <w:snapToGrid w:val="0"/>
        <w:sz w:val="18"/>
      </w:rPr>
    </w:pPr>
  </w:p>
  <w:p w14:paraId="349D34F2" w14:textId="45E19573" w:rsidR="007168AF" w:rsidRDefault="007168A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43C18">
      <w:rPr>
        <w:i/>
        <w:noProof/>
        <w:snapToGrid w:val="0"/>
        <w:sz w:val="18"/>
      </w:rPr>
      <w:t>Dimethyl fumarate Teva, hårde enterokapsler 120 mg og 240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44E4" w14:textId="77777777" w:rsidR="007168AF" w:rsidRDefault="007168AF">
      <w:r>
        <w:separator/>
      </w:r>
    </w:p>
  </w:footnote>
  <w:footnote w:type="continuationSeparator" w:id="0">
    <w:p w14:paraId="3EB0044E" w14:textId="77777777" w:rsidR="007168AF" w:rsidRDefault="0071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E878" w14:textId="77777777" w:rsidR="007168AF" w:rsidRDefault="007168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022C" w14:textId="77777777" w:rsidR="007168AF" w:rsidRDefault="007168A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7CA9" w14:textId="77777777" w:rsidR="007168AF" w:rsidRDefault="007168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6B318D"/>
    <w:multiLevelType w:val="hybridMultilevel"/>
    <w:tmpl w:val="67B890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505B28"/>
    <w:multiLevelType w:val="hybridMultilevel"/>
    <w:tmpl w:val="D95C5BE4"/>
    <w:lvl w:ilvl="0" w:tplc="21BEDAC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7DE23FF"/>
    <w:multiLevelType w:val="hybridMultilevel"/>
    <w:tmpl w:val="460CBDBA"/>
    <w:lvl w:ilvl="0" w:tplc="19C624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FB342C4"/>
    <w:multiLevelType w:val="hybridMultilevel"/>
    <w:tmpl w:val="458C7E46"/>
    <w:lvl w:ilvl="0" w:tplc="19C624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A4D01E7"/>
    <w:multiLevelType w:val="hybridMultilevel"/>
    <w:tmpl w:val="31283AC6"/>
    <w:lvl w:ilvl="0" w:tplc="19C624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E0360B8"/>
    <w:multiLevelType w:val="hybridMultilevel"/>
    <w:tmpl w:val="2EC48A60"/>
    <w:lvl w:ilvl="0" w:tplc="19C624F4">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7B0C558E"/>
    <w:multiLevelType w:val="hybridMultilevel"/>
    <w:tmpl w:val="C886608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10"/>
  </w:num>
  <w:num w:numId="6">
    <w:abstractNumId w:val="8"/>
  </w:num>
  <w:num w:numId="7">
    <w:abstractNumId w:val="7"/>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2D"/>
    <w:rsid w:val="00056601"/>
    <w:rsid w:val="000C3846"/>
    <w:rsid w:val="000C6218"/>
    <w:rsid w:val="000D3C9D"/>
    <w:rsid w:val="000F0D47"/>
    <w:rsid w:val="001242DE"/>
    <w:rsid w:val="00180A12"/>
    <w:rsid w:val="00214331"/>
    <w:rsid w:val="00214CF4"/>
    <w:rsid w:val="002800DB"/>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179D7"/>
    <w:rsid w:val="00533AD4"/>
    <w:rsid w:val="00534849"/>
    <w:rsid w:val="00560102"/>
    <w:rsid w:val="00562EA1"/>
    <w:rsid w:val="005A498B"/>
    <w:rsid w:val="005D0E2D"/>
    <w:rsid w:val="006174AA"/>
    <w:rsid w:val="00617BB8"/>
    <w:rsid w:val="006207FF"/>
    <w:rsid w:val="00677781"/>
    <w:rsid w:val="00680052"/>
    <w:rsid w:val="00683267"/>
    <w:rsid w:val="006844E9"/>
    <w:rsid w:val="006B3847"/>
    <w:rsid w:val="007168AF"/>
    <w:rsid w:val="00743C18"/>
    <w:rsid w:val="0075453D"/>
    <w:rsid w:val="007A4CC6"/>
    <w:rsid w:val="007C3623"/>
    <w:rsid w:val="007C5D2A"/>
    <w:rsid w:val="007F1E00"/>
    <w:rsid w:val="00827444"/>
    <w:rsid w:val="008400E3"/>
    <w:rsid w:val="00864538"/>
    <w:rsid w:val="00873B4F"/>
    <w:rsid w:val="008A24F6"/>
    <w:rsid w:val="008E51AE"/>
    <w:rsid w:val="008F2F8C"/>
    <w:rsid w:val="00941516"/>
    <w:rsid w:val="009925C9"/>
    <w:rsid w:val="009B6E3C"/>
    <w:rsid w:val="00A179D0"/>
    <w:rsid w:val="00A358A3"/>
    <w:rsid w:val="00A46747"/>
    <w:rsid w:val="00A80446"/>
    <w:rsid w:val="00A85D26"/>
    <w:rsid w:val="00A9153A"/>
    <w:rsid w:val="00AB4376"/>
    <w:rsid w:val="00AC033C"/>
    <w:rsid w:val="00AC6C51"/>
    <w:rsid w:val="00AD2E36"/>
    <w:rsid w:val="00B45DC5"/>
    <w:rsid w:val="00BD3490"/>
    <w:rsid w:val="00BE17CF"/>
    <w:rsid w:val="00C26226"/>
    <w:rsid w:val="00C3571D"/>
    <w:rsid w:val="00C54F0B"/>
    <w:rsid w:val="00C82621"/>
    <w:rsid w:val="00CB1423"/>
    <w:rsid w:val="00D02508"/>
    <w:rsid w:val="00D11579"/>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4E71A"/>
  <w15:chartTrackingRefBased/>
  <w15:docId w15:val="{178D2D74-4BA6-4D9C-8C81-CA02958D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BE17CF"/>
    <w:rPr>
      <w:color w:val="0000FF"/>
      <w:u w:val="single"/>
    </w:rPr>
  </w:style>
  <w:style w:type="table" w:styleId="Tabel-Gitter">
    <w:name w:val="Table Grid"/>
    <w:basedOn w:val="Tabel-Normal"/>
    <w:uiPriority w:val="39"/>
    <w:rsid w:val="00BE17CF"/>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8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5659">
      <w:bodyDiv w:val="1"/>
      <w:marLeft w:val="0"/>
      <w:marRight w:val="0"/>
      <w:marTop w:val="0"/>
      <w:marBottom w:val="0"/>
      <w:divBdr>
        <w:top w:val="none" w:sz="0" w:space="0" w:color="auto"/>
        <w:left w:val="none" w:sz="0" w:space="0" w:color="auto"/>
        <w:bottom w:val="none" w:sz="0" w:space="0" w:color="auto"/>
        <w:right w:val="none" w:sz="0" w:space="0" w:color="auto"/>
      </w:divBdr>
    </w:div>
    <w:div w:id="275720183">
      <w:bodyDiv w:val="1"/>
      <w:marLeft w:val="0"/>
      <w:marRight w:val="0"/>
      <w:marTop w:val="0"/>
      <w:marBottom w:val="0"/>
      <w:divBdr>
        <w:top w:val="none" w:sz="0" w:space="0" w:color="auto"/>
        <w:left w:val="none" w:sz="0" w:space="0" w:color="auto"/>
        <w:bottom w:val="none" w:sz="0" w:space="0" w:color="auto"/>
        <w:right w:val="none" w:sz="0" w:space="0" w:color="auto"/>
      </w:divBdr>
    </w:div>
    <w:div w:id="312292942">
      <w:bodyDiv w:val="1"/>
      <w:marLeft w:val="0"/>
      <w:marRight w:val="0"/>
      <w:marTop w:val="0"/>
      <w:marBottom w:val="0"/>
      <w:divBdr>
        <w:top w:val="none" w:sz="0" w:space="0" w:color="auto"/>
        <w:left w:val="none" w:sz="0" w:space="0" w:color="auto"/>
        <w:bottom w:val="none" w:sz="0" w:space="0" w:color="auto"/>
        <w:right w:val="none" w:sz="0" w:space="0" w:color="auto"/>
      </w:divBdr>
    </w:div>
    <w:div w:id="751465335">
      <w:bodyDiv w:val="1"/>
      <w:marLeft w:val="0"/>
      <w:marRight w:val="0"/>
      <w:marTop w:val="0"/>
      <w:marBottom w:val="0"/>
      <w:divBdr>
        <w:top w:val="none" w:sz="0" w:space="0" w:color="auto"/>
        <w:left w:val="none" w:sz="0" w:space="0" w:color="auto"/>
        <w:bottom w:val="none" w:sz="0" w:space="0" w:color="auto"/>
        <w:right w:val="none" w:sz="0" w:space="0" w:color="auto"/>
      </w:divBdr>
    </w:div>
    <w:div w:id="851606081">
      <w:bodyDiv w:val="1"/>
      <w:marLeft w:val="0"/>
      <w:marRight w:val="0"/>
      <w:marTop w:val="0"/>
      <w:marBottom w:val="0"/>
      <w:divBdr>
        <w:top w:val="none" w:sz="0" w:space="0" w:color="auto"/>
        <w:left w:val="none" w:sz="0" w:space="0" w:color="auto"/>
        <w:bottom w:val="none" w:sz="0" w:space="0" w:color="auto"/>
        <w:right w:val="none" w:sz="0" w:space="0" w:color="auto"/>
      </w:divBdr>
    </w:div>
    <w:div w:id="889852390">
      <w:bodyDiv w:val="1"/>
      <w:marLeft w:val="0"/>
      <w:marRight w:val="0"/>
      <w:marTop w:val="0"/>
      <w:marBottom w:val="0"/>
      <w:divBdr>
        <w:top w:val="none" w:sz="0" w:space="0" w:color="auto"/>
        <w:left w:val="none" w:sz="0" w:space="0" w:color="auto"/>
        <w:bottom w:val="none" w:sz="0" w:space="0" w:color="auto"/>
        <w:right w:val="none" w:sz="0" w:space="0" w:color="auto"/>
      </w:divBdr>
    </w:div>
    <w:div w:id="903836085">
      <w:bodyDiv w:val="1"/>
      <w:marLeft w:val="0"/>
      <w:marRight w:val="0"/>
      <w:marTop w:val="0"/>
      <w:marBottom w:val="0"/>
      <w:divBdr>
        <w:top w:val="none" w:sz="0" w:space="0" w:color="auto"/>
        <w:left w:val="none" w:sz="0" w:space="0" w:color="auto"/>
        <w:bottom w:val="none" w:sz="0" w:space="0" w:color="auto"/>
        <w:right w:val="none" w:sz="0" w:space="0" w:color="auto"/>
      </w:divBdr>
    </w:div>
    <w:div w:id="920531336">
      <w:bodyDiv w:val="1"/>
      <w:marLeft w:val="0"/>
      <w:marRight w:val="0"/>
      <w:marTop w:val="0"/>
      <w:marBottom w:val="0"/>
      <w:divBdr>
        <w:top w:val="none" w:sz="0" w:space="0" w:color="auto"/>
        <w:left w:val="none" w:sz="0" w:space="0" w:color="auto"/>
        <w:bottom w:val="none" w:sz="0" w:space="0" w:color="auto"/>
        <w:right w:val="none" w:sz="0" w:space="0" w:color="auto"/>
      </w:divBdr>
    </w:div>
    <w:div w:id="1069496534">
      <w:bodyDiv w:val="1"/>
      <w:marLeft w:val="0"/>
      <w:marRight w:val="0"/>
      <w:marTop w:val="0"/>
      <w:marBottom w:val="0"/>
      <w:divBdr>
        <w:top w:val="none" w:sz="0" w:space="0" w:color="auto"/>
        <w:left w:val="none" w:sz="0" w:space="0" w:color="auto"/>
        <w:bottom w:val="none" w:sz="0" w:space="0" w:color="auto"/>
        <w:right w:val="none" w:sz="0" w:space="0" w:color="auto"/>
      </w:divBdr>
    </w:div>
    <w:div w:id="1098451932">
      <w:bodyDiv w:val="1"/>
      <w:marLeft w:val="0"/>
      <w:marRight w:val="0"/>
      <w:marTop w:val="0"/>
      <w:marBottom w:val="0"/>
      <w:divBdr>
        <w:top w:val="none" w:sz="0" w:space="0" w:color="auto"/>
        <w:left w:val="none" w:sz="0" w:space="0" w:color="auto"/>
        <w:bottom w:val="none" w:sz="0" w:space="0" w:color="auto"/>
        <w:right w:val="none" w:sz="0" w:space="0" w:color="auto"/>
      </w:divBdr>
    </w:div>
    <w:div w:id="1308045515">
      <w:bodyDiv w:val="1"/>
      <w:marLeft w:val="0"/>
      <w:marRight w:val="0"/>
      <w:marTop w:val="0"/>
      <w:marBottom w:val="0"/>
      <w:divBdr>
        <w:top w:val="none" w:sz="0" w:space="0" w:color="auto"/>
        <w:left w:val="none" w:sz="0" w:space="0" w:color="auto"/>
        <w:bottom w:val="none" w:sz="0" w:space="0" w:color="auto"/>
        <w:right w:val="none" w:sz="0" w:space="0" w:color="auto"/>
      </w:divBdr>
    </w:div>
    <w:div w:id="1372412687">
      <w:bodyDiv w:val="1"/>
      <w:marLeft w:val="0"/>
      <w:marRight w:val="0"/>
      <w:marTop w:val="0"/>
      <w:marBottom w:val="0"/>
      <w:divBdr>
        <w:top w:val="none" w:sz="0" w:space="0" w:color="auto"/>
        <w:left w:val="none" w:sz="0" w:space="0" w:color="auto"/>
        <w:bottom w:val="none" w:sz="0" w:space="0" w:color="auto"/>
        <w:right w:val="none" w:sz="0" w:space="0" w:color="auto"/>
      </w:divBdr>
    </w:div>
    <w:div w:id="1451389969">
      <w:bodyDiv w:val="1"/>
      <w:marLeft w:val="0"/>
      <w:marRight w:val="0"/>
      <w:marTop w:val="0"/>
      <w:marBottom w:val="0"/>
      <w:divBdr>
        <w:top w:val="none" w:sz="0" w:space="0" w:color="auto"/>
        <w:left w:val="none" w:sz="0" w:space="0" w:color="auto"/>
        <w:bottom w:val="none" w:sz="0" w:space="0" w:color="auto"/>
        <w:right w:val="none" w:sz="0" w:space="0" w:color="auto"/>
      </w:divBdr>
    </w:div>
    <w:div w:id="1532452864">
      <w:bodyDiv w:val="1"/>
      <w:marLeft w:val="0"/>
      <w:marRight w:val="0"/>
      <w:marTop w:val="0"/>
      <w:marBottom w:val="0"/>
      <w:divBdr>
        <w:top w:val="none" w:sz="0" w:space="0" w:color="auto"/>
        <w:left w:val="none" w:sz="0" w:space="0" w:color="auto"/>
        <w:bottom w:val="none" w:sz="0" w:space="0" w:color="auto"/>
        <w:right w:val="none" w:sz="0" w:space="0" w:color="auto"/>
      </w:divBdr>
    </w:div>
    <w:div w:id="1559052487">
      <w:bodyDiv w:val="1"/>
      <w:marLeft w:val="0"/>
      <w:marRight w:val="0"/>
      <w:marTop w:val="0"/>
      <w:marBottom w:val="0"/>
      <w:divBdr>
        <w:top w:val="none" w:sz="0" w:space="0" w:color="auto"/>
        <w:left w:val="none" w:sz="0" w:space="0" w:color="auto"/>
        <w:bottom w:val="none" w:sz="0" w:space="0" w:color="auto"/>
        <w:right w:val="none" w:sz="0" w:space="0" w:color="auto"/>
      </w:divBdr>
    </w:div>
    <w:div w:id="1696076297">
      <w:bodyDiv w:val="1"/>
      <w:marLeft w:val="0"/>
      <w:marRight w:val="0"/>
      <w:marTop w:val="0"/>
      <w:marBottom w:val="0"/>
      <w:divBdr>
        <w:top w:val="none" w:sz="0" w:space="0" w:color="auto"/>
        <w:left w:val="none" w:sz="0" w:space="0" w:color="auto"/>
        <w:bottom w:val="none" w:sz="0" w:space="0" w:color="auto"/>
        <w:right w:val="none" w:sz="0" w:space="0" w:color="auto"/>
      </w:divBdr>
    </w:div>
    <w:div w:id="1746873086">
      <w:bodyDiv w:val="1"/>
      <w:marLeft w:val="0"/>
      <w:marRight w:val="0"/>
      <w:marTop w:val="0"/>
      <w:marBottom w:val="0"/>
      <w:divBdr>
        <w:top w:val="none" w:sz="0" w:space="0" w:color="auto"/>
        <w:left w:val="none" w:sz="0" w:space="0" w:color="auto"/>
        <w:bottom w:val="none" w:sz="0" w:space="0" w:color="auto"/>
        <w:right w:val="none" w:sz="0" w:space="0" w:color="auto"/>
      </w:divBdr>
    </w:div>
    <w:div w:id="1870216400">
      <w:bodyDiv w:val="1"/>
      <w:marLeft w:val="0"/>
      <w:marRight w:val="0"/>
      <w:marTop w:val="0"/>
      <w:marBottom w:val="0"/>
      <w:divBdr>
        <w:top w:val="none" w:sz="0" w:space="0" w:color="auto"/>
        <w:left w:val="none" w:sz="0" w:space="0" w:color="auto"/>
        <w:bottom w:val="none" w:sz="0" w:space="0" w:color="auto"/>
        <w:right w:val="none" w:sz="0" w:space="0" w:color="auto"/>
      </w:divBdr>
    </w:div>
    <w:div w:id="1960062363">
      <w:bodyDiv w:val="1"/>
      <w:marLeft w:val="0"/>
      <w:marRight w:val="0"/>
      <w:marTop w:val="0"/>
      <w:marBottom w:val="0"/>
      <w:divBdr>
        <w:top w:val="none" w:sz="0" w:space="0" w:color="auto"/>
        <w:left w:val="none" w:sz="0" w:space="0" w:color="auto"/>
        <w:bottom w:val="none" w:sz="0" w:space="0" w:color="auto"/>
        <w:right w:val="none" w:sz="0" w:space="0" w:color="auto"/>
      </w:divBdr>
    </w:div>
    <w:div w:id="2085561153">
      <w:bodyDiv w:val="1"/>
      <w:marLeft w:val="0"/>
      <w:marRight w:val="0"/>
      <w:marTop w:val="0"/>
      <w:marBottom w:val="0"/>
      <w:divBdr>
        <w:top w:val="none" w:sz="0" w:space="0" w:color="auto"/>
        <w:left w:val="none" w:sz="0" w:space="0" w:color="auto"/>
        <w:bottom w:val="none" w:sz="0" w:space="0" w:color="auto"/>
        <w:right w:val="none" w:sz="0" w:space="0" w:color="auto"/>
      </w:divBdr>
    </w:div>
    <w:div w:id="21239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41</TotalTime>
  <Pages>24</Pages>
  <Words>9306</Words>
  <Characters>53618</Characters>
  <Application>Microsoft Office Word</Application>
  <DocSecurity>0</DocSecurity>
  <Lines>446</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2024010969, MT</dc:description>
  <cp:lastModifiedBy>Gitte Jørgensen</cp:lastModifiedBy>
  <cp:revision>11</cp:revision>
  <cp:lastPrinted>2006-02-24T09:31:00Z</cp:lastPrinted>
  <dcterms:created xsi:type="dcterms:W3CDTF">2025-05-27T07:29:00Z</dcterms:created>
  <dcterms:modified xsi:type="dcterms:W3CDTF">2025-05-27T10:37:00Z</dcterms:modified>
</cp:coreProperties>
</file>