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545" w:rsidRDefault="00F46545" w:rsidP="00F46545">
      <w:bookmarkStart w:id="0" w:name="_GoBack"/>
      <w:bookmarkEnd w:id="0"/>
    </w:p>
    <w:p w:rsidR="00F46545" w:rsidRDefault="00F46545" w:rsidP="00F46545"/>
    <w:p w:rsidR="00F46545" w:rsidRDefault="00F46545" w:rsidP="00F46545">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3B7FB8">
        <w:fldChar w:fldCharType="begin"/>
      </w:r>
      <w:r w:rsidR="003B7FB8">
        <w:instrText xml:space="preserve"> INCLUDEPICTURE  "cid:image004.jpg@01D117E9.E5553340" \* MERGEFORMATINET </w:instrText>
      </w:r>
      <w:r w:rsidR="003B7FB8">
        <w:fldChar w:fldCharType="separate"/>
      </w:r>
      <w:r w:rsidR="00883E32">
        <w:fldChar w:fldCharType="begin"/>
      </w:r>
      <w:r w:rsidR="00883E32">
        <w:instrText xml:space="preserve"> INCLUDEPICTURE  "cid:image004.jpg@01D117E9.E5553340" \* MERGEFORMATINET </w:instrText>
      </w:r>
      <w:r w:rsidR="00883E32">
        <w:fldChar w:fldCharType="separate"/>
      </w:r>
      <w:r w:rsidR="00883E32">
        <w:fldChar w:fldCharType="begin"/>
      </w:r>
      <w:r w:rsidR="00883E32">
        <w:instrText xml:space="preserve"> INCLUDEPICTURE  "cid:image004.jpg@01D117E9.E5553340" \* MERGEFORMATINET </w:instrText>
      </w:r>
      <w:r w:rsidR="00883E32">
        <w:fldChar w:fldCharType="separate"/>
      </w:r>
      <w:r w:rsidR="005F08F1">
        <w:fldChar w:fldCharType="begin"/>
      </w:r>
      <w:r w:rsidR="005F08F1">
        <w:instrText xml:space="preserve"> INCLUDEPICTURE  "cid:image004.jpg@01D117E9.E5553340" \* MERGEFORMATINET </w:instrText>
      </w:r>
      <w:r w:rsidR="005F08F1">
        <w:fldChar w:fldCharType="separate"/>
      </w:r>
      <w:r w:rsidR="00E53B39">
        <w:fldChar w:fldCharType="begin"/>
      </w:r>
      <w:r w:rsidR="00E53B39">
        <w:instrText xml:space="preserve"> INCLUDEPICTURE  "cid:image004.jpg@01D117E9.E5553340" \* MERGEFORMATINET </w:instrText>
      </w:r>
      <w:r w:rsidR="00E53B39">
        <w:fldChar w:fldCharType="separate"/>
      </w:r>
      <w:r w:rsidR="0087055D">
        <w:fldChar w:fldCharType="begin"/>
      </w:r>
      <w:r w:rsidR="0087055D">
        <w:instrText xml:space="preserve"> INCLUDEPICTURE  "cid:image004.jpg@01</w:instrText>
      </w:r>
      <w:r w:rsidR="0087055D">
        <w:instrText xml:space="preserve">D117E9.E5553340" \* MERGEFORMATINET </w:instrText>
      </w:r>
      <w:r w:rsidR="0087055D">
        <w:fldChar w:fldCharType="separate"/>
      </w:r>
      <w:r w:rsidR="0087055D">
        <w:fldChar w:fldCharType="begin"/>
      </w:r>
      <w:r w:rsidR="0087055D">
        <w:instrText xml:space="preserve"> </w:instrText>
      </w:r>
      <w:r w:rsidR="0087055D">
        <w:instrText>INCLUDEPICTURE  "cid:image004.jpg@01D117E9.E5553340" \* MERGEFORMATINET</w:instrText>
      </w:r>
      <w:r w:rsidR="0087055D">
        <w:instrText xml:space="preserve"> </w:instrText>
      </w:r>
      <w:r w:rsidR="0087055D">
        <w:fldChar w:fldCharType="separate"/>
      </w:r>
      <w:r w:rsidR="0087055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5.5pt">
            <v:imagedata r:id="rId7" r:href="rId8"/>
          </v:shape>
        </w:pict>
      </w:r>
      <w:r w:rsidR="0087055D">
        <w:fldChar w:fldCharType="end"/>
      </w:r>
      <w:r w:rsidR="0087055D">
        <w:fldChar w:fldCharType="end"/>
      </w:r>
      <w:r w:rsidR="00E53B39">
        <w:fldChar w:fldCharType="end"/>
      </w:r>
      <w:r w:rsidR="005F08F1">
        <w:fldChar w:fldCharType="end"/>
      </w:r>
      <w:r w:rsidR="00883E32">
        <w:fldChar w:fldCharType="end"/>
      </w:r>
      <w:r w:rsidR="00883E32">
        <w:fldChar w:fldCharType="end"/>
      </w:r>
      <w:r w:rsidR="003B7FB8">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00F46545" w:rsidRDefault="00F46545" w:rsidP="00F46545"/>
    <w:p w:rsidR="00F46545" w:rsidRDefault="00F46545" w:rsidP="00883E32">
      <w:pPr>
        <w:pStyle w:val="Titel"/>
        <w:tabs>
          <w:tab w:val="right" w:pos="9356"/>
        </w:tabs>
        <w:jc w:val="left"/>
        <w:rPr>
          <w:szCs w:val="24"/>
          <w:lang w:eastAsia="en-US"/>
        </w:rPr>
      </w:pPr>
      <w:r>
        <w:rPr>
          <w:b w:val="0"/>
          <w:sz w:val="23"/>
          <w:lang w:eastAsia="en-US"/>
        </w:rPr>
        <w:tab/>
      </w:r>
      <w:r w:rsidR="0087055D">
        <w:rPr>
          <w:szCs w:val="24"/>
          <w:lang w:eastAsia="en-US"/>
        </w:rPr>
        <w:t>4</w:t>
      </w:r>
      <w:r w:rsidR="001E6978">
        <w:rPr>
          <w:szCs w:val="24"/>
          <w:lang w:eastAsia="en-US"/>
        </w:rPr>
        <w:t>. oktober</w:t>
      </w:r>
      <w:r w:rsidR="00B85E2C" w:rsidRPr="00B85E2C">
        <w:rPr>
          <w:szCs w:val="24"/>
          <w:lang w:eastAsia="en-US"/>
        </w:rPr>
        <w:t xml:space="preserve"> 20</w:t>
      </w:r>
      <w:r w:rsidR="00883E32">
        <w:rPr>
          <w:szCs w:val="24"/>
          <w:lang w:eastAsia="en-US"/>
        </w:rPr>
        <w:t>2</w:t>
      </w:r>
      <w:r w:rsidR="00E53B39">
        <w:rPr>
          <w:szCs w:val="24"/>
          <w:lang w:eastAsia="en-US"/>
        </w:rPr>
        <w:t>3</w:t>
      </w:r>
    </w:p>
    <w:p w:rsidR="00883E32" w:rsidRDefault="00883E32" w:rsidP="00883E32">
      <w:pPr>
        <w:pStyle w:val="Titel"/>
        <w:tabs>
          <w:tab w:val="right" w:pos="9356"/>
        </w:tabs>
        <w:jc w:val="left"/>
        <w:rPr>
          <w:szCs w:val="24"/>
        </w:rPr>
      </w:pPr>
    </w:p>
    <w:p w:rsidR="00883E32" w:rsidRPr="00883E32" w:rsidRDefault="00883E32" w:rsidP="00883E32">
      <w:pPr>
        <w:pStyle w:val="Titel"/>
        <w:tabs>
          <w:tab w:val="right" w:pos="9356"/>
        </w:tabs>
        <w:jc w:val="left"/>
        <w:rPr>
          <w:szCs w:val="24"/>
        </w:rPr>
      </w:pPr>
    </w:p>
    <w:p w:rsidR="00F46545" w:rsidRPr="00EC0B9B" w:rsidRDefault="00F46545" w:rsidP="00F46545">
      <w:pPr>
        <w:jc w:val="center"/>
        <w:rPr>
          <w:b/>
          <w:sz w:val="24"/>
          <w:szCs w:val="24"/>
        </w:rPr>
      </w:pPr>
      <w:r w:rsidRPr="00EC0B9B">
        <w:rPr>
          <w:b/>
          <w:sz w:val="24"/>
          <w:szCs w:val="24"/>
        </w:rPr>
        <w:t>PRODUKTRESUMÉ</w:t>
      </w:r>
    </w:p>
    <w:p w:rsidR="00F46545" w:rsidRPr="00EC0B9B" w:rsidRDefault="00F46545" w:rsidP="00F46545">
      <w:pPr>
        <w:jc w:val="center"/>
        <w:rPr>
          <w:b/>
          <w:sz w:val="24"/>
          <w:szCs w:val="24"/>
        </w:rPr>
      </w:pPr>
    </w:p>
    <w:p w:rsidR="00F46545" w:rsidRPr="00EC0B9B" w:rsidRDefault="00F46545" w:rsidP="00F46545">
      <w:pPr>
        <w:jc w:val="center"/>
        <w:rPr>
          <w:b/>
          <w:sz w:val="24"/>
          <w:szCs w:val="24"/>
        </w:rPr>
      </w:pPr>
      <w:r w:rsidRPr="00EC0B9B">
        <w:rPr>
          <w:b/>
          <w:sz w:val="24"/>
          <w:szCs w:val="24"/>
        </w:rPr>
        <w:t>for</w:t>
      </w:r>
    </w:p>
    <w:p w:rsidR="00F46545" w:rsidRPr="00EC0B9B" w:rsidRDefault="00F46545" w:rsidP="00F46545">
      <w:pPr>
        <w:jc w:val="center"/>
        <w:rPr>
          <w:b/>
          <w:sz w:val="24"/>
          <w:szCs w:val="24"/>
        </w:rPr>
      </w:pPr>
    </w:p>
    <w:p w:rsidR="00F46545" w:rsidRDefault="00F46545" w:rsidP="00F46545">
      <w:pPr>
        <w:jc w:val="center"/>
        <w:rPr>
          <w:b/>
          <w:sz w:val="24"/>
          <w:szCs w:val="24"/>
        </w:rPr>
      </w:pPr>
      <w:r>
        <w:rPr>
          <w:b/>
          <w:sz w:val="24"/>
          <w:szCs w:val="24"/>
        </w:rPr>
        <w:t>Divisun, tabletter 20 mikrogram</w:t>
      </w:r>
    </w:p>
    <w:p w:rsidR="00F46545" w:rsidRPr="00EC0B9B" w:rsidRDefault="00F46545" w:rsidP="00F46545">
      <w:pPr>
        <w:jc w:val="both"/>
        <w:rPr>
          <w:sz w:val="24"/>
          <w:szCs w:val="24"/>
        </w:rPr>
      </w:pPr>
    </w:p>
    <w:p w:rsidR="00F46545" w:rsidRPr="000C5543" w:rsidRDefault="00F46545" w:rsidP="00F46545">
      <w:pPr>
        <w:ind w:left="851" w:hanging="851"/>
        <w:jc w:val="both"/>
        <w:rPr>
          <w:sz w:val="24"/>
          <w:szCs w:val="24"/>
        </w:rPr>
      </w:pPr>
    </w:p>
    <w:p w:rsidR="00F46545" w:rsidRPr="000C5543" w:rsidRDefault="00F46545" w:rsidP="00F46545">
      <w:pPr>
        <w:numPr>
          <w:ilvl w:val="0"/>
          <w:numId w:val="1"/>
        </w:numPr>
        <w:tabs>
          <w:tab w:val="clear" w:pos="855"/>
          <w:tab w:val="left" w:pos="851"/>
        </w:tabs>
        <w:ind w:left="851" w:hanging="851"/>
        <w:rPr>
          <w:b/>
          <w:sz w:val="24"/>
          <w:szCs w:val="24"/>
        </w:rPr>
      </w:pPr>
      <w:r w:rsidRPr="000C5543">
        <w:rPr>
          <w:b/>
          <w:sz w:val="24"/>
          <w:szCs w:val="24"/>
        </w:rPr>
        <w:t>D.SP.NR.</w:t>
      </w:r>
    </w:p>
    <w:p w:rsidR="00F46545" w:rsidRPr="000C5543" w:rsidRDefault="00F46545" w:rsidP="00F46545">
      <w:pPr>
        <w:tabs>
          <w:tab w:val="left" w:pos="851"/>
        </w:tabs>
        <w:ind w:left="851" w:hanging="851"/>
        <w:rPr>
          <w:sz w:val="24"/>
          <w:szCs w:val="24"/>
        </w:rPr>
      </w:pPr>
      <w:r w:rsidRPr="000C5543">
        <w:rPr>
          <w:sz w:val="24"/>
          <w:szCs w:val="24"/>
        </w:rPr>
        <w:tab/>
        <w:t>27801</w:t>
      </w:r>
    </w:p>
    <w:p w:rsidR="00F46545" w:rsidRPr="000C5543" w:rsidRDefault="00F46545" w:rsidP="00F46545">
      <w:pPr>
        <w:tabs>
          <w:tab w:val="left" w:pos="851"/>
        </w:tabs>
        <w:ind w:left="851" w:hanging="851"/>
        <w:rPr>
          <w:sz w:val="24"/>
          <w:szCs w:val="24"/>
        </w:rPr>
      </w:pPr>
    </w:p>
    <w:p w:rsidR="00F46545" w:rsidRPr="000C5543" w:rsidRDefault="00F46545" w:rsidP="00F46545">
      <w:pPr>
        <w:numPr>
          <w:ilvl w:val="0"/>
          <w:numId w:val="1"/>
        </w:numPr>
        <w:ind w:left="851" w:hanging="851"/>
        <w:rPr>
          <w:b/>
          <w:sz w:val="24"/>
          <w:szCs w:val="24"/>
        </w:rPr>
      </w:pPr>
      <w:r w:rsidRPr="000C5543">
        <w:rPr>
          <w:b/>
          <w:sz w:val="24"/>
          <w:szCs w:val="24"/>
        </w:rPr>
        <w:t>LÆGEMIDLETS NAVN</w:t>
      </w:r>
    </w:p>
    <w:p w:rsidR="00F46545" w:rsidRPr="000C5543" w:rsidRDefault="00F46545" w:rsidP="00F46545">
      <w:pPr>
        <w:tabs>
          <w:tab w:val="left" w:pos="851"/>
        </w:tabs>
        <w:ind w:left="851" w:hanging="851"/>
        <w:rPr>
          <w:sz w:val="24"/>
          <w:szCs w:val="24"/>
        </w:rPr>
      </w:pPr>
      <w:r w:rsidRPr="000C5543">
        <w:rPr>
          <w:sz w:val="24"/>
          <w:szCs w:val="24"/>
        </w:rPr>
        <w:tab/>
      </w:r>
      <w:proofErr w:type="spellStart"/>
      <w:r>
        <w:rPr>
          <w:sz w:val="24"/>
          <w:szCs w:val="24"/>
        </w:rPr>
        <w:t>Divisun</w:t>
      </w:r>
      <w:proofErr w:type="spellEnd"/>
    </w:p>
    <w:p w:rsidR="00F46545" w:rsidRPr="000C5543" w:rsidRDefault="00F46545" w:rsidP="00F46545">
      <w:pPr>
        <w:tabs>
          <w:tab w:val="left" w:pos="851"/>
        </w:tabs>
        <w:ind w:left="851" w:hanging="851"/>
        <w:rPr>
          <w:sz w:val="24"/>
          <w:szCs w:val="24"/>
        </w:rPr>
      </w:pPr>
      <w:r w:rsidRPr="000C5543">
        <w:rPr>
          <w:sz w:val="24"/>
          <w:szCs w:val="24"/>
        </w:rPr>
        <w:tab/>
      </w:r>
    </w:p>
    <w:p w:rsidR="00F46545" w:rsidRPr="000C5543" w:rsidRDefault="00F46545" w:rsidP="00F46545">
      <w:pPr>
        <w:numPr>
          <w:ilvl w:val="0"/>
          <w:numId w:val="1"/>
        </w:numPr>
        <w:ind w:left="851" w:hanging="851"/>
        <w:rPr>
          <w:b/>
          <w:sz w:val="24"/>
          <w:szCs w:val="24"/>
        </w:rPr>
      </w:pPr>
      <w:r w:rsidRPr="000C5543">
        <w:rPr>
          <w:b/>
          <w:sz w:val="24"/>
          <w:szCs w:val="24"/>
        </w:rPr>
        <w:t>KVALITATIV OG KVANTITATIV SAMMENSÆTNING</w:t>
      </w:r>
    </w:p>
    <w:p w:rsidR="00F46545" w:rsidRDefault="00F46545" w:rsidP="00F46545">
      <w:pPr>
        <w:ind w:left="851" w:hanging="851"/>
        <w:rPr>
          <w:sz w:val="24"/>
          <w:szCs w:val="24"/>
        </w:rPr>
      </w:pPr>
      <w:r w:rsidRPr="000C5543">
        <w:rPr>
          <w:sz w:val="24"/>
          <w:szCs w:val="24"/>
        </w:rPr>
        <w:tab/>
        <w:t>Hver tablet indeholder cholecalciferol (vitamin D</w:t>
      </w:r>
      <w:r w:rsidRPr="000C5543">
        <w:rPr>
          <w:sz w:val="24"/>
          <w:szCs w:val="24"/>
          <w:vertAlign w:val="subscript"/>
        </w:rPr>
        <w:t>3</w:t>
      </w:r>
      <w:r w:rsidRPr="000C5543">
        <w:rPr>
          <w:sz w:val="24"/>
          <w:szCs w:val="24"/>
        </w:rPr>
        <w:t>) 800 IE (svarende til 20 mikrogram vitamin D</w:t>
      </w:r>
      <w:r w:rsidRPr="000C5543">
        <w:rPr>
          <w:sz w:val="24"/>
          <w:szCs w:val="24"/>
          <w:vertAlign w:val="subscript"/>
        </w:rPr>
        <w:t>3</w:t>
      </w:r>
      <w:r w:rsidRPr="000C5543">
        <w:rPr>
          <w:sz w:val="24"/>
          <w:szCs w:val="24"/>
        </w:rPr>
        <w:t xml:space="preserve">). </w:t>
      </w:r>
    </w:p>
    <w:p w:rsidR="00F46545" w:rsidRDefault="00F46545" w:rsidP="00F46545">
      <w:pPr>
        <w:ind w:left="851" w:hanging="851"/>
        <w:rPr>
          <w:sz w:val="24"/>
          <w:szCs w:val="24"/>
        </w:rPr>
      </w:pPr>
    </w:p>
    <w:p w:rsidR="00F46545" w:rsidRPr="000C5543" w:rsidRDefault="00F46545" w:rsidP="00F46545">
      <w:pPr>
        <w:ind w:left="851"/>
        <w:rPr>
          <w:sz w:val="24"/>
          <w:szCs w:val="24"/>
        </w:rPr>
      </w:pPr>
      <w:r w:rsidRPr="000C5543">
        <w:rPr>
          <w:sz w:val="24"/>
          <w:szCs w:val="24"/>
        </w:rPr>
        <w:t>Hjælpestoffer, som behandleren skal være opmærksom på</w:t>
      </w:r>
      <w:r>
        <w:rPr>
          <w:sz w:val="24"/>
          <w:szCs w:val="24"/>
        </w:rPr>
        <w:t>:</w:t>
      </w:r>
    </w:p>
    <w:p w:rsidR="00F46545" w:rsidRPr="000C5543" w:rsidRDefault="00F46545" w:rsidP="00F46545">
      <w:pPr>
        <w:ind w:left="851"/>
        <w:rPr>
          <w:sz w:val="24"/>
          <w:szCs w:val="24"/>
        </w:rPr>
      </w:pPr>
      <w:r w:rsidRPr="000C5543">
        <w:rPr>
          <w:sz w:val="24"/>
          <w:szCs w:val="24"/>
        </w:rPr>
        <w:t>Hver tablet indeholder isomalt 91,0 mg og saccharose 1,68 mg.</w:t>
      </w:r>
    </w:p>
    <w:p w:rsidR="00F46545" w:rsidRPr="000C5543" w:rsidRDefault="00F46545" w:rsidP="00F46545">
      <w:pPr>
        <w:ind w:left="851" w:hanging="851"/>
        <w:rPr>
          <w:sz w:val="24"/>
          <w:szCs w:val="24"/>
        </w:rPr>
      </w:pPr>
    </w:p>
    <w:p w:rsidR="00F46545" w:rsidRPr="000C5543" w:rsidRDefault="00F46545" w:rsidP="00F46545">
      <w:pPr>
        <w:ind w:left="851"/>
        <w:rPr>
          <w:sz w:val="24"/>
          <w:szCs w:val="24"/>
        </w:rPr>
      </w:pPr>
      <w:r w:rsidRPr="000C5543">
        <w:rPr>
          <w:sz w:val="24"/>
          <w:szCs w:val="24"/>
        </w:rPr>
        <w:t>Alle hjælpestoffer er anført under pkt. 6.1.</w:t>
      </w:r>
    </w:p>
    <w:p w:rsidR="00F46545" w:rsidRPr="000C5543" w:rsidRDefault="00F46545" w:rsidP="00F46545">
      <w:pPr>
        <w:tabs>
          <w:tab w:val="left" w:pos="851"/>
        </w:tabs>
        <w:ind w:left="851" w:hanging="851"/>
        <w:rPr>
          <w:sz w:val="24"/>
          <w:szCs w:val="24"/>
        </w:rPr>
      </w:pPr>
    </w:p>
    <w:p w:rsidR="00F46545" w:rsidRPr="000C5543" w:rsidRDefault="00F46545" w:rsidP="00F46545">
      <w:pPr>
        <w:numPr>
          <w:ilvl w:val="0"/>
          <w:numId w:val="1"/>
        </w:numPr>
        <w:ind w:left="851" w:hanging="851"/>
        <w:rPr>
          <w:b/>
          <w:sz w:val="24"/>
          <w:szCs w:val="24"/>
        </w:rPr>
      </w:pPr>
      <w:r w:rsidRPr="000C5543">
        <w:rPr>
          <w:b/>
          <w:sz w:val="24"/>
          <w:szCs w:val="24"/>
        </w:rPr>
        <w:t>LÆGEMIDDELFORM</w:t>
      </w:r>
    </w:p>
    <w:p w:rsidR="00F46545" w:rsidRPr="000C5543" w:rsidRDefault="00F46545" w:rsidP="00F46545">
      <w:pPr>
        <w:ind w:left="851" w:hanging="851"/>
        <w:rPr>
          <w:sz w:val="24"/>
          <w:szCs w:val="24"/>
        </w:rPr>
      </w:pPr>
      <w:r w:rsidRPr="000C5543">
        <w:rPr>
          <w:sz w:val="24"/>
          <w:szCs w:val="24"/>
        </w:rPr>
        <w:tab/>
        <w:t>Tablet</w:t>
      </w:r>
    </w:p>
    <w:p w:rsidR="00F46545" w:rsidRPr="000C5543" w:rsidRDefault="00F46545" w:rsidP="00F46545">
      <w:pPr>
        <w:ind w:left="851"/>
        <w:rPr>
          <w:sz w:val="24"/>
          <w:szCs w:val="24"/>
        </w:rPr>
      </w:pPr>
      <w:r w:rsidRPr="000C5543">
        <w:rPr>
          <w:sz w:val="24"/>
          <w:szCs w:val="24"/>
        </w:rPr>
        <w:t xml:space="preserve">Hvid til lysegul, bikonveks, </w:t>
      </w:r>
      <w:smartTag w:uri="urn:schemas-microsoft-com:office:smarttags" w:element="metricconverter">
        <w:smartTagPr>
          <w:attr w:name="ProductID" w:val="7 mm"/>
        </w:smartTagPr>
        <w:r w:rsidRPr="000C5543">
          <w:rPr>
            <w:sz w:val="24"/>
            <w:szCs w:val="24"/>
          </w:rPr>
          <w:t>7 mm</w:t>
        </w:r>
      </w:smartTag>
      <w:r w:rsidRPr="000C5543">
        <w:rPr>
          <w:sz w:val="24"/>
          <w:szCs w:val="24"/>
        </w:rPr>
        <w:t xml:space="preserve"> i diameter.</w:t>
      </w:r>
    </w:p>
    <w:p w:rsidR="00F46545" w:rsidRPr="000C5543" w:rsidRDefault="00F46545" w:rsidP="00F46545">
      <w:pPr>
        <w:tabs>
          <w:tab w:val="left" w:pos="851"/>
        </w:tabs>
        <w:ind w:left="851" w:hanging="851"/>
        <w:rPr>
          <w:sz w:val="24"/>
          <w:szCs w:val="24"/>
        </w:rPr>
      </w:pPr>
    </w:p>
    <w:p w:rsidR="00F46545" w:rsidRPr="000C5543" w:rsidRDefault="00F46545" w:rsidP="00F46545">
      <w:pPr>
        <w:tabs>
          <w:tab w:val="left" w:pos="851"/>
        </w:tabs>
        <w:ind w:left="851" w:hanging="851"/>
        <w:rPr>
          <w:sz w:val="24"/>
          <w:szCs w:val="24"/>
        </w:rPr>
      </w:pPr>
    </w:p>
    <w:p w:rsidR="00F46545" w:rsidRPr="000C5543" w:rsidRDefault="00F46545" w:rsidP="00F46545">
      <w:pPr>
        <w:numPr>
          <w:ilvl w:val="0"/>
          <w:numId w:val="1"/>
        </w:numPr>
        <w:ind w:left="851" w:hanging="851"/>
        <w:rPr>
          <w:b/>
          <w:sz w:val="24"/>
          <w:szCs w:val="24"/>
        </w:rPr>
      </w:pPr>
      <w:r w:rsidRPr="000C5543">
        <w:rPr>
          <w:b/>
          <w:sz w:val="24"/>
          <w:szCs w:val="24"/>
        </w:rPr>
        <w:t>KLINISKE OPLYSNINGER</w:t>
      </w:r>
    </w:p>
    <w:p w:rsidR="00F46545" w:rsidRPr="000C5543" w:rsidRDefault="00F46545" w:rsidP="00F46545">
      <w:pPr>
        <w:tabs>
          <w:tab w:val="left" w:pos="851"/>
        </w:tabs>
        <w:ind w:left="851" w:hanging="851"/>
        <w:rPr>
          <w:b/>
          <w:sz w:val="24"/>
          <w:szCs w:val="24"/>
        </w:rPr>
      </w:pPr>
    </w:p>
    <w:p w:rsidR="00F46545" w:rsidRPr="000C5543" w:rsidRDefault="00F46545" w:rsidP="00F46545">
      <w:pPr>
        <w:numPr>
          <w:ilvl w:val="1"/>
          <w:numId w:val="1"/>
        </w:numPr>
        <w:ind w:left="851" w:hanging="851"/>
        <w:rPr>
          <w:b/>
          <w:sz w:val="24"/>
          <w:szCs w:val="24"/>
          <w:u w:val="single"/>
        </w:rPr>
      </w:pPr>
      <w:r w:rsidRPr="000C5543">
        <w:rPr>
          <w:b/>
          <w:sz w:val="24"/>
          <w:szCs w:val="24"/>
        </w:rPr>
        <w:t>Terapeutiske indikationer</w:t>
      </w:r>
    </w:p>
    <w:p w:rsidR="00F46545" w:rsidRDefault="00F46545" w:rsidP="00F46545">
      <w:pPr>
        <w:ind w:left="851" w:hanging="851"/>
        <w:rPr>
          <w:sz w:val="24"/>
          <w:szCs w:val="24"/>
        </w:rPr>
      </w:pPr>
      <w:r w:rsidRPr="000C5543">
        <w:rPr>
          <w:sz w:val="24"/>
          <w:szCs w:val="24"/>
        </w:rPr>
        <w:tab/>
      </w:r>
      <w:r>
        <w:rPr>
          <w:sz w:val="24"/>
          <w:szCs w:val="24"/>
        </w:rPr>
        <w:t>Forebyggelse og behandling af D-vitamin-mangel hos voksne og teenagere. D-vitamin mangel defineres som serum koncentration af 25-hydroxycholecalciferol (25(OH)D) &lt; 25 nmol/l.</w:t>
      </w:r>
    </w:p>
    <w:p w:rsidR="00F46545" w:rsidRDefault="00F46545" w:rsidP="00F46545">
      <w:pPr>
        <w:ind w:left="851" w:hanging="851"/>
        <w:rPr>
          <w:sz w:val="24"/>
          <w:szCs w:val="24"/>
        </w:rPr>
      </w:pPr>
    </w:p>
    <w:p w:rsidR="00F46545" w:rsidRDefault="00F46545" w:rsidP="00F46545">
      <w:pPr>
        <w:ind w:left="851"/>
        <w:rPr>
          <w:sz w:val="24"/>
          <w:szCs w:val="24"/>
        </w:rPr>
      </w:pPr>
      <w:r>
        <w:rPr>
          <w:sz w:val="24"/>
          <w:szCs w:val="24"/>
        </w:rPr>
        <w:t>Som supplement til specifik osteoporose-behandling af patienter med risiko for D-vitamin-mangel.</w:t>
      </w:r>
      <w:r>
        <w:t xml:space="preserve"> </w:t>
      </w:r>
      <w:r>
        <w:rPr>
          <w:sz w:val="24"/>
          <w:szCs w:val="24"/>
        </w:rPr>
        <w:t>Helst i kombination med calciumtilskud.</w:t>
      </w:r>
    </w:p>
    <w:p w:rsidR="00F46545" w:rsidRDefault="00F46545" w:rsidP="00F46545">
      <w:pPr>
        <w:tabs>
          <w:tab w:val="left" w:pos="851"/>
        </w:tabs>
        <w:ind w:left="851" w:hanging="851"/>
        <w:rPr>
          <w:sz w:val="24"/>
          <w:szCs w:val="24"/>
        </w:rPr>
      </w:pPr>
    </w:p>
    <w:p w:rsidR="00F46545" w:rsidRDefault="00F46545" w:rsidP="00F46545">
      <w:pPr>
        <w:numPr>
          <w:ilvl w:val="1"/>
          <w:numId w:val="1"/>
        </w:numPr>
        <w:ind w:left="851" w:hanging="851"/>
        <w:rPr>
          <w:b/>
          <w:sz w:val="24"/>
          <w:szCs w:val="24"/>
        </w:rPr>
      </w:pPr>
      <w:r>
        <w:rPr>
          <w:b/>
          <w:sz w:val="24"/>
          <w:szCs w:val="24"/>
        </w:rPr>
        <w:t>Dosering og administration</w:t>
      </w:r>
    </w:p>
    <w:p w:rsidR="001E6978" w:rsidRDefault="001E6978" w:rsidP="001E6978">
      <w:pPr>
        <w:ind w:left="851"/>
        <w:rPr>
          <w:sz w:val="24"/>
          <w:szCs w:val="24"/>
          <w:u w:val="single"/>
        </w:rPr>
      </w:pPr>
      <w:r>
        <w:rPr>
          <w:sz w:val="24"/>
          <w:szCs w:val="24"/>
          <w:u w:val="single"/>
        </w:rPr>
        <w:t>Dosering</w:t>
      </w:r>
    </w:p>
    <w:p w:rsidR="001E6978" w:rsidRDefault="001E6978" w:rsidP="001E6978">
      <w:pPr>
        <w:ind w:left="851"/>
        <w:rPr>
          <w:sz w:val="24"/>
          <w:szCs w:val="24"/>
        </w:rPr>
      </w:pPr>
      <w:r>
        <w:rPr>
          <w:sz w:val="24"/>
          <w:szCs w:val="24"/>
        </w:rPr>
        <w:t xml:space="preserve">Anbefalet dosis: Én tablet daglig. </w:t>
      </w:r>
    </w:p>
    <w:p w:rsidR="001E6978" w:rsidRDefault="001E6978" w:rsidP="001E6978">
      <w:pPr>
        <w:ind w:left="851" w:hanging="851"/>
        <w:rPr>
          <w:sz w:val="24"/>
          <w:szCs w:val="24"/>
        </w:rPr>
      </w:pPr>
    </w:p>
    <w:p w:rsidR="001E6978" w:rsidRDefault="001E6978" w:rsidP="001E6978">
      <w:pPr>
        <w:ind w:left="851"/>
        <w:rPr>
          <w:sz w:val="24"/>
          <w:szCs w:val="24"/>
        </w:rPr>
      </w:pPr>
      <w:r>
        <w:rPr>
          <w:sz w:val="24"/>
          <w:szCs w:val="24"/>
        </w:rPr>
        <w:lastRenderedPageBreak/>
        <w:t>Højere doser kan være nødvendige til behandling af D-vitamin mangel, hvor dosis bør justeres efter den ønskede 25-hydroxycholecalciferol (25(OH)D) serum koncentration, samt alvorligheden af sygdommen og patientens respons på behandlingen.</w:t>
      </w:r>
    </w:p>
    <w:p w:rsidR="001E6978" w:rsidRDefault="001E6978" w:rsidP="001E6978">
      <w:pPr>
        <w:ind w:left="851" w:hanging="851"/>
        <w:rPr>
          <w:sz w:val="24"/>
          <w:szCs w:val="24"/>
        </w:rPr>
      </w:pPr>
    </w:p>
    <w:p w:rsidR="001E6978" w:rsidRDefault="001E6978" w:rsidP="001E6978">
      <w:pPr>
        <w:ind w:left="851"/>
        <w:rPr>
          <w:sz w:val="24"/>
          <w:szCs w:val="24"/>
        </w:rPr>
      </w:pPr>
      <w:r>
        <w:rPr>
          <w:sz w:val="24"/>
          <w:szCs w:val="24"/>
        </w:rPr>
        <w:t>Den daglige dosis bør ikke overstige</w:t>
      </w:r>
      <w:r>
        <w:t xml:space="preserve"> </w:t>
      </w:r>
      <w:r>
        <w:rPr>
          <w:sz w:val="24"/>
          <w:szCs w:val="24"/>
        </w:rPr>
        <w:t>4000 IE, svarende til 100 mikrogram (5 tabletter daglig).</w:t>
      </w:r>
    </w:p>
    <w:p w:rsidR="001E6978" w:rsidRDefault="001E6978" w:rsidP="001E6978">
      <w:pPr>
        <w:ind w:left="851"/>
        <w:rPr>
          <w:sz w:val="24"/>
          <w:szCs w:val="24"/>
        </w:rPr>
      </w:pPr>
    </w:p>
    <w:p w:rsidR="001E6978" w:rsidRDefault="001E6978" w:rsidP="001E6978">
      <w:pPr>
        <w:ind w:left="851"/>
        <w:rPr>
          <w:sz w:val="24"/>
          <w:szCs w:val="24"/>
        </w:rPr>
      </w:pPr>
      <w:r>
        <w:rPr>
          <w:sz w:val="24"/>
          <w:szCs w:val="24"/>
        </w:rPr>
        <w:t>Pædiatrisk population</w:t>
      </w:r>
    </w:p>
    <w:p w:rsidR="001E6978" w:rsidRDefault="001E6978" w:rsidP="001E6978">
      <w:pPr>
        <w:ind w:left="851"/>
        <w:rPr>
          <w:sz w:val="24"/>
          <w:szCs w:val="24"/>
        </w:rPr>
      </w:pPr>
      <w:r>
        <w:rPr>
          <w:sz w:val="24"/>
          <w:szCs w:val="24"/>
        </w:rPr>
        <w:t xml:space="preserve">Sikkerhed og effekt af </w:t>
      </w:r>
      <w:proofErr w:type="spellStart"/>
      <w:r>
        <w:rPr>
          <w:sz w:val="24"/>
          <w:szCs w:val="24"/>
        </w:rPr>
        <w:t>Divisun</w:t>
      </w:r>
      <w:proofErr w:type="spellEnd"/>
      <w:r>
        <w:rPr>
          <w:sz w:val="24"/>
          <w:szCs w:val="24"/>
        </w:rPr>
        <w:t xml:space="preserve"> er ikke undersøgt for børn under 12 år.</w:t>
      </w:r>
    </w:p>
    <w:p w:rsidR="001E6978" w:rsidRDefault="001E6978" w:rsidP="001E6978">
      <w:pPr>
        <w:ind w:left="851" w:hanging="851"/>
        <w:rPr>
          <w:sz w:val="24"/>
          <w:szCs w:val="24"/>
        </w:rPr>
      </w:pPr>
    </w:p>
    <w:p w:rsidR="001E6978" w:rsidRDefault="001E6978" w:rsidP="001E6978">
      <w:pPr>
        <w:ind w:left="851"/>
        <w:rPr>
          <w:i/>
          <w:sz w:val="24"/>
          <w:szCs w:val="24"/>
        </w:rPr>
      </w:pPr>
      <w:r>
        <w:rPr>
          <w:i/>
          <w:sz w:val="24"/>
          <w:szCs w:val="24"/>
        </w:rPr>
        <w:t>Dosis ved nedsat leverfunktion</w:t>
      </w:r>
    </w:p>
    <w:p w:rsidR="001E6978" w:rsidRDefault="001E6978" w:rsidP="001E6978">
      <w:pPr>
        <w:ind w:left="851"/>
        <w:rPr>
          <w:sz w:val="24"/>
          <w:szCs w:val="24"/>
        </w:rPr>
      </w:pPr>
      <w:r>
        <w:rPr>
          <w:sz w:val="24"/>
          <w:szCs w:val="24"/>
        </w:rPr>
        <w:t>Dosisjustering er ikke nødvendig.</w:t>
      </w:r>
    </w:p>
    <w:p w:rsidR="001E6978" w:rsidRDefault="001E6978" w:rsidP="001E6978">
      <w:pPr>
        <w:ind w:left="851" w:hanging="851"/>
        <w:rPr>
          <w:sz w:val="24"/>
          <w:szCs w:val="24"/>
        </w:rPr>
      </w:pPr>
    </w:p>
    <w:p w:rsidR="001E6978" w:rsidRDefault="001E6978" w:rsidP="001E6978">
      <w:pPr>
        <w:ind w:left="851"/>
        <w:rPr>
          <w:i/>
          <w:sz w:val="24"/>
          <w:szCs w:val="24"/>
        </w:rPr>
      </w:pPr>
      <w:r>
        <w:rPr>
          <w:i/>
          <w:sz w:val="24"/>
          <w:szCs w:val="24"/>
        </w:rPr>
        <w:t>Dosis ved nedsat nyrefunktion</w:t>
      </w:r>
    </w:p>
    <w:p w:rsidR="001E6978" w:rsidRDefault="001E6978" w:rsidP="001E6978">
      <w:pPr>
        <w:ind w:left="851"/>
        <w:rPr>
          <w:sz w:val="24"/>
          <w:szCs w:val="24"/>
        </w:rPr>
      </w:pPr>
      <w:proofErr w:type="spellStart"/>
      <w:r>
        <w:rPr>
          <w:sz w:val="24"/>
          <w:szCs w:val="24"/>
        </w:rPr>
        <w:t>Divisun</w:t>
      </w:r>
      <w:proofErr w:type="spellEnd"/>
      <w:r>
        <w:rPr>
          <w:sz w:val="24"/>
          <w:szCs w:val="24"/>
        </w:rPr>
        <w:t xml:space="preserve"> bør bruges med forsigtighed til patienter med nedsat nyrefunktion (se pkt. 4.4).</w:t>
      </w:r>
    </w:p>
    <w:p w:rsidR="001E6978" w:rsidRDefault="001E6978" w:rsidP="001E6978">
      <w:pPr>
        <w:ind w:left="851" w:hanging="851"/>
        <w:rPr>
          <w:sz w:val="24"/>
          <w:szCs w:val="24"/>
        </w:rPr>
      </w:pPr>
    </w:p>
    <w:p w:rsidR="001E6978" w:rsidRDefault="001E6978" w:rsidP="001E6978">
      <w:pPr>
        <w:ind w:left="851"/>
        <w:rPr>
          <w:sz w:val="24"/>
          <w:szCs w:val="24"/>
          <w:u w:val="single"/>
        </w:rPr>
      </w:pPr>
      <w:r>
        <w:rPr>
          <w:sz w:val="24"/>
          <w:szCs w:val="24"/>
          <w:u w:val="single"/>
        </w:rPr>
        <w:t>Administration</w:t>
      </w:r>
    </w:p>
    <w:p w:rsidR="001E6978" w:rsidRDefault="001E6978" w:rsidP="001E6978">
      <w:pPr>
        <w:ind w:left="851"/>
        <w:rPr>
          <w:sz w:val="24"/>
          <w:szCs w:val="24"/>
        </w:rPr>
      </w:pPr>
      <w:r>
        <w:rPr>
          <w:sz w:val="24"/>
          <w:szCs w:val="24"/>
        </w:rPr>
        <w:t xml:space="preserve">Tabletterne kan synkes hele eller knuses. </w:t>
      </w:r>
      <w:proofErr w:type="spellStart"/>
      <w:r>
        <w:rPr>
          <w:sz w:val="24"/>
          <w:szCs w:val="24"/>
        </w:rPr>
        <w:t>Divisun</w:t>
      </w:r>
      <w:proofErr w:type="spellEnd"/>
      <w:r>
        <w:rPr>
          <w:sz w:val="24"/>
          <w:szCs w:val="24"/>
        </w:rPr>
        <w:t xml:space="preserve"> kan tages sammen med mad.</w:t>
      </w:r>
    </w:p>
    <w:p w:rsidR="00F46545" w:rsidRPr="000C5543" w:rsidRDefault="00F46545" w:rsidP="00F46545">
      <w:pPr>
        <w:ind w:left="851" w:hanging="851"/>
        <w:rPr>
          <w:sz w:val="24"/>
          <w:szCs w:val="24"/>
        </w:rPr>
      </w:pPr>
    </w:p>
    <w:p w:rsidR="00F46545" w:rsidRPr="000C5543" w:rsidRDefault="00F46545" w:rsidP="00F46545">
      <w:pPr>
        <w:numPr>
          <w:ilvl w:val="1"/>
          <w:numId w:val="1"/>
        </w:numPr>
        <w:ind w:left="851" w:hanging="851"/>
        <w:rPr>
          <w:b/>
          <w:sz w:val="24"/>
          <w:szCs w:val="24"/>
        </w:rPr>
      </w:pPr>
      <w:r w:rsidRPr="000C5543">
        <w:rPr>
          <w:b/>
          <w:sz w:val="24"/>
          <w:szCs w:val="24"/>
        </w:rPr>
        <w:t>Kontraindikationer</w:t>
      </w:r>
    </w:p>
    <w:p w:rsidR="00F46545" w:rsidRPr="000C5543" w:rsidRDefault="00F46545" w:rsidP="00F46545">
      <w:pPr>
        <w:numPr>
          <w:ilvl w:val="0"/>
          <w:numId w:val="6"/>
        </w:numPr>
        <w:tabs>
          <w:tab w:val="clear" w:pos="1211"/>
        </w:tabs>
        <w:ind w:left="1276" w:hanging="425"/>
        <w:rPr>
          <w:sz w:val="24"/>
          <w:szCs w:val="24"/>
        </w:rPr>
      </w:pPr>
      <w:r w:rsidRPr="000C5543">
        <w:rPr>
          <w:sz w:val="24"/>
          <w:szCs w:val="24"/>
        </w:rPr>
        <w:t>Sygdomme og/eller tilstande, der medfører hypercalcæmi eller hypercalciuri.</w:t>
      </w:r>
    </w:p>
    <w:p w:rsidR="00F46545" w:rsidRPr="000C5543" w:rsidRDefault="00F46545" w:rsidP="00F46545">
      <w:pPr>
        <w:numPr>
          <w:ilvl w:val="0"/>
          <w:numId w:val="6"/>
        </w:numPr>
        <w:tabs>
          <w:tab w:val="clear" w:pos="1211"/>
        </w:tabs>
        <w:ind w:left="1276" w:hanging="425"/>
        <w:rPr>
          <w:sz w:val="24"/>
          <w:szCs w:val="24"/>
        </w:rPr>
      </w:pPr>
      <w:r w:rsidRPr="000C5543">
        <w:rPr>
          <w:sz w:val="24"/>
          <w:szCs w:val="24"/>
        </w:rPr>
        <w:t>Nefrolitiasis.</w:t>
      </w:r>
    </w:p>
    <w:p w:rsidR="00F46545" w:rsidRPr="000C5543" w:rsidRDefault="00F46545" w:rsidP="00F46545">
      <w:pPr>
        <w:numPr>
          <w:ilvl w:val="0"/>
          <w:numId w:val="6"/>
        </w:numPr>
        <w:tabs>
          <w:tab w:val="clear" w:pos="1211"/>
        </w:tabs>
        <w:ind w:left="1276" w:hanging="425"/>
        <w:rPr>
          <w:sz w:val="24"/>
          <w:szCs w:val="24"/>
        </w:rPr>
      </w:pPr>
      <w:r w:rsidRPr="000C5543">
        <w:rPr>
          <w:sz w:val="24"/>
          <w:szCs w:val="24"/>
        </w:rPr>
        <w:t>Nefro</w:t>
      </w:r>
      <w:r>
        <w:rPr>
          <w:sz w:val="24"/>
          <w:szCs w:val="24"/>
        </w:rPr>
        <w:t>c</w:t>
      </w:r>
      <w:r w:rsidRPr="000C5543">
        <w:rPr>
          <w:sz w:val="24"/>
          <w:szCs w:val="24"/>
        </w:rPr>
        <w:t>alcinose.</w:t>
      </w:r>
    </w:p>
    <w:p w:rsidR="00F46545" w:rsidRPr="000C5543" w:rsidRDefault="00F46545" w:rsidP="00F46545">
      <w:pPr>
        <w:numPr>
          <w:ilvl w:val="0"/>
          <w:numId w:val="6"/>
        </w:numPr>
        <w:tabs>
          <w:tab w:val="clear" w:pos="1211"/>
        </w:tabs>
        <w:ind w:left="1276" w:hanging="425"/>
        <w:rPr>
          <w:sz w:val="24"/>
          <w:szCs w:val="24"/>
        </w:rPr>
      </w:pPr>
      <w:r w:rsidRPr="000C5543">
        <w:rPr>
          <w:sz w:val="24"/>
          <w:szCs w:val="24"/>
        </w:rPr>
        <w:t>Hypervitaminose D.</w:t>
      </w:r>
    </w:p>
    <w:p w:rsidR="00F46545" w:rsidRPr="000C5543" w:rsidRDefault="00F46545" w:rsidP="00F46545">
      <w:pPr>
        <w:numPr>
          <w:ilvl w:val="0"/>
          <w:numId w:val="6"/>
        </w:numPr>
        <w:tabs>
          <w:tab w:val="clear" w:pos="1211"/>
        </w:tabs>
        <w:ind w:left="1276" w:hanging="425"/>
        <w:rPr>
          <w:sz w:val="24"/>
          <w:szCs w:val="24"/>
        </w:rPr>
      </w:pPr>
      <w:r w:rsidRPr="000C5543">
        <w:rPr>
          <w:sz w:val="24"/>
          <w:szCs w:val="24"/>
        </w:rPr>
        <w:t>Overfølsomhed over for det aktive stof eller over for et eller flere af hjælpestofferne anført i pkt. 6.1.</w:t>
      </w:r>
    </w:p>
    <w:p w:rsidR="00F46545" w:rsidRPr="000C5543" w:rsidRDefault="00F46545" w:rsidP="00F46545">
      <w:pPr>
        <w:tabs>
          <w:tab w:val="left" w:pos="851"/>
        </w:tabs>
        <w:ind w:left="851" w:hanging="851"/>
        <w:rPr>
          <w:sz w:val="24"/>
          <w:szCs w:val="24"/>
        </w:rPr>
      </w:pPr>
    </w:p>
    <w:p w:rsidR="00F46545" w:rsidRPr="000C5543" w:rsidRDefault="00F46545" w:rsidP="00F46545">
      <w:pPr>
        <w:numPr>
          <w:ilvl w:val="1"/>
          <w:numId w:val="1"/>
        </w:numPr>
        <w:ind w:left="851" w:hanging="851"/>
        <w:rPr>
          <w:b/>
          <w:sz w:val="24"/>
          <w:szCs w:val="24"/>
        </w:rPr>
      </w:pPr>
      <w:r w:rsidRPr="000C5543">
        <w:rPr>
          <w:b/>
          <w:sz w:val="24"/>
          <w:szCs w:val="24"/>
        </w:rPr>
        <w:t>Særlige advarsler og forsigtighedsregler vedrørende brugen</w:t>
      </w:r>
    </w:p>
    <w:p w:rsidR="00F46545" w:rsidRPr="000C5543" w:rsidRDefault="00F46545" w:rsidP="00F46545">
      <w:pPr>
        <w:ind w:left="851"/>
        <w:rPr>
          <w:sz w:val="24"/>
          <w:szCs w:val="24"/>
        </w:rPr>
      </w:pPr>
      <w:proofErr w:type="spellStart"/>
      <w:r w:rsidRPr="000C5543">
        <w:rPr>
          <w:sz w:val="24"/>
          <w:szCs w:val="24"/>
        </w:rPr>
        <w:t>Divisun</w:t>
      </w:r>
      <w:proofErr w:type="spellEnd"/>
      <w:r w:rsidRPr="000C5543">
        <w:rPr>
          <w:sz w:val="24"/>
          <w:szCs w:val="24"/>
        </w:rPr>
        <w:t xml:space="preserve"> bør ordineres med forsigtighed til patienter med sarkoidose på grund af risikoen for forøget metabolisering af vitamin D til dets aktive form. Disse patienter bør overvåges med hensyn til calciumindholdet i serum og urin.</w:t>
      </w:r>
    </w:p>
    <w:p w:rsidR="00F46545" w:rsidRPr="000C5543" w:rsidRDefault="00F46545" w:rsidP="00F46545">
      <w:pPr>
        <w:ind w:left="851" w:hanging="851"/>
        <w:rPr>
          <w:sz w:val="24"/>
          <w:szCs w:val="24"/>
        </w:rPr>
      </w:pPr>
    </w:p>
    <w:p w:rsidR="00F46545" w:rsidRPr="000C5543" w:rsidRDefault="00F46545" w:rsidP="00F46545">
      <w:pPr>
        <w:ind w:left="851"/>
        <w:rPr>
          <w:sz w:val="24"/>
          <w:szCs w:val="24"/>
        </w:rPr>
      </w:pPr>
      <w:r w:rsidRPr="000C5543">
        <w:rPr>
          <w:sz w:val="24"/>
          <w:szCs w:val="24"/>
        </w:rPr>
        <w:t>Ved langvarig behandling skal serumcalcium følges, og nyrefunktionen skal overvåges ved måling af serumkreatinin. Det er særligt vigtigt at overvåge ældre patienter, der får samtidig behandling med hjerteglykosider eller diuretika (se pkt. 4.5), og patienter, der har stor tendens til at danne nyresten. I tilfælde af hypercalciuri (over 300 mg (7,5 mmol)/24 timer) eller tegn på nedsat nyrefunktion bør dosis reduceres eller behandlingen seponeres.</w:t>
      </w:r>
    </w:p>
    <w:p w:rsidR="00F46545" w:rsidRPr="000C5543" w:rsidRDefault="00F46545" w:rsidP="00F46545">
      <w:pPr>
        <w:ind w:left="851" w:hanging="851"/>
        <w:rPr>
          <w:sz w:val="24"/>
          <w:szCs w:val="24"/>
        </w:rPr>
      </w:pPr>
    </w:p>
    <w:p w:rsidR="00F46545" w:rsidRDefault="00F46545" w:rsidP="001E6978">
      <w:pPr>
        <w:ind w:left="851"/>
        <w:rPr>
          <w:sz w:val="24"/>
          <w:szCs w:val="24"/>
        </w:rPr>
      </w:pPr>
      <w:r w:rsidRPr="000C5543">
        <w:rPr>
          <w:sz w:val="24"/>
          <w:szCs w:val="24"/>
        </w:rPr>
        <w:t xml:space="preserve">Divisun bør anvendes med forsigtighed til patienter med nedsat nyrefunktion, og indvirkningen på calcium- og fosfatniveauerne bør overvåges. Der skal tages højde for risikoen for kalcifikation af blødt væv. </w:t>
      </w:r>
      <w:r w:rsidR="001E6978">
        <w:rPr>
          <w:sz w:val="24"/>
          <w:szCs w:val="24"/>
        </w:rPr>
        <w:t xml:space="preserve">Hos patienter med svær nyreinsufficiens </w:t>
      </w:r>
      <w:proofErr w:type="spellStart"/>
      <w:r w:rsidR="001E6978">
        <w:rPr>
          <w:sz w:val="24"/>
          <w:szCs w:val="24"/>
        </w:rPr>
        <w:t>metaboliseres</w:t>
      </w:r>
      <w:proofErr w:type="spellEnd"/>
      <w:r w:rsidR="001E6978">
        <w:rPr>
          <w:sz w:val="24"/>
          <w:szCs w:val="24"/>
        </w:rPr>
        <w:t xml:space="preserve"> vitamin D i form af </w:t>
      </w:r>
      <w:proofErr w:type="spellStart"/>
      <w:r w:rsidR="001E6978">
        <w:rPr>
          <w:sz w:val="24"/>
          <w:szCs w:val="24"/>
        </w:rPr>
        <w:t>cholecalciferol</w:t>
      </w:r>
      <w:proofErr w:type="spellEnd"/>
      <w:r w:rsidR="001E6978">
        <w:rPr>
          <w:sz w:val="24"/>
          <w:szCs w:val="24"/>
        </w:rPr>
        <w:t xml:space="preserve"> ikke normalt, og det kan derfor være nødvendigt at anvende andre former for vitamin D.</w:t>
      </w:r>
    </w:p>
    <w:p w:rsidR="001E6978" w:rsidRPr="000C5543" w:rsidRDefault="001E6978" w:rsidP="001E6978">
      <w:pPr>
        <w:ind w:left="851"/>
        <w:rPr>
          <w:sz w:val="24"/>
          <w:szCs w:val="24"/>
        </w:rPr>
      </w:pPr>
    </w:p>
    <w:p w:rsidR="00E53B39" w:rsidRPr="000C5543" w:rsidRDefault="00E53B39" w:rsidP="00E53B39">
      <w:pPr>
        <w:ind w:left="851"/>
        <w:rPr>
          <w:sz w:val="24"/>
          <w:szCs w:val="24"/>
        </w:rPr>
      </w:pPr>
      <w:r w:rsidRPr="000C5543">
        <w:rPr>
          <w:sz w:val="24"/>
          <w:szCs w:val="24"/>
        </w:rPr>
        <w:t xml:space="preserve">Der bør tages højde for indholdet af vitamin D (800 IE) i </w:t>
      </w:r>
      <w:proofErr w:type="spellStart"/>
      <w:r w:rsidRPr="000C5543">
        <w:rPr>
          <w:sz w:val="24"/>
          <w:szCs w:val="24"/>
        </w:rPr>
        <w:t>Divisun</w:t>
      </w:r>
      <w:proofErr w:type="spellEnd"/>
      <w:r w:rsidRPr="000C5543">
        <w:rPr>
          <w:sz w:val="24"/>
          <w:szCs w:val="24"/>
        </w:rPr>
        <w:t>, når der ordineres anden medicin med vitamin D. Supplerende doser af vitamin D bør tages under nøje medicinsk overvågning. I disse tilfælde er det nødvendigt at foretage hyppig overvågning af serumcalcium og udskillelsen af calcium i urinen.</w:t>
      </w:r>
    </w:p>
    <w:p w:rsidR="00E53B39" w:rsidRDefault="00E53B39" w:rsidP="00E53B39">
      <w:pPr>
        <w:ind w:left="851" w:hanging="851"/>
        <w:rPr>
          <w:sz w:val="24"/>
          <w:szCs w:val="24"/>
        </w:rPr>
      </w:pPr>
    </w:p>
    <w:p w:rsidR="00E53B39" w:rsidRDefault="00E53B39" w:rsidP="00E53B39">
      <w:pPr>
        <w:ind w:left="851" w:hanging="851"/>
        <w:rPr>
          <w:sz w:val="24"/>
          <w:szCs w:val="24"/>
        </w:rPr>
      </w:pPr>
    </w:p>
    <w:p w:rsidR="00E53B39" w:rsidRPr="000C5543" w:rsidRDefault="00E53B39" w:rsidP="00E53B39">
      <w:pPr>
        <w:ind w:left="851" w:hanging="851"/>
        <w:rPr>
          <w:sz w:val="24"/>
          <w:szCs w:val="24"/>
        </w:rPr>
      </w:pPr>
    </w:p>
    <w:p w:rsidR="00E53B39" w:rsidRDefault="00E53B39" w:rsidP="00E53B39">
      <w:pPr>
        <w:ind w:left="851"/>
        <w:rPr>
          <w:sz w:val="24"/>
          <w:szCs w:val="24"/>
          <w:u w:val="single"/>
        </w:rPr>
      </w:pPr>
      <w:r>
        <w:rPr>
          <w:sz w:val="24"/>
          <w:szCs w:val="24"/>
          <w:u w:val="single"/>
        </w:rPr>
        <w:lastRenderedPageBreak/>
        <w:t>Hjælpestoffer</w:t>
      </w:r>
    </w:p>
    <w:p w:rsidR="00E53B39" w:rsidRPr="006F0E18" w:rsidRDefault="00E53B39" w:rsidP="00E53B39">
      <w:pPr>
        <w:ind w:left="851"/>
        <w:rPr>
          <w:sz w:val="24"/>
          <w:szCs w:val="24"/>
          <w:u w:val="single"/>
        </w:rPr>
      </w:pPr>
    </w:p>
    <w:p w:rsidR="00E53B39" w:rsidRDefault="00E53B39" w:rsidP="00E53B39">
      <w:pPr>
        <w:ind w:left="851"/>
        <w:rPr>
          <w:sz w:val="24"/>
          <w:szCs w:val="24"/>
        </w:rPr>
      </w:pPr>
      <w:proofErr w:type="spellStart"/>
      <w:r w:rsidRPr="000C5543">
        <w:rPr>
          <w:sz w:val="24"/>
          <w:szCs w:val="24"/>
        </w:rPr>
        <w:t>Divisun</w:t>
      </w:r>
      <w:proofErr w:type="spellEnd"/>
      <w:r w:rsidRPr="000C5543">
        <w:rPr>
          <w:sz w:val="24"/>
          <w:szCs w:val="24"/>
        </w:rPr>
        <w:t xml:space="preserve"> indeholder </w:t>
      </w:r>
      <w:proofErr w:type="spellStart"/>
      <w:r w:rsidRPr="000C5543">
        <w:rPr>
          <w:sz w:val="24"/>
          <w:szCs w:val="24"/>
        </w:rPr>
        <w:t>saccharose</w:t>
      </w:r>
      <w:proofErr w:type="spellEnd"/>
      <w:r w:rsidRPr="000C5543">
        <w:rPr>
          <w:sz w:val="24"/>
          <w:szCs w:val="24"/>
        </w:rPr>
        <w:t xml:space="preserve"> og </w:t>
      </w:r>
      <w:proofErr w:type="spellStart"/>
      <w:r w:rsidRPr="000C5543">
        <w:rPr>
          <w:sz w:val="24"/>
          <w:szCs w:val="24"/>
        </w:rPr>
        <w:t>isomalt</w:t>
      </w:r>
      <w:proofErr w:type="spellEnd"/>
      <w:r w:rsidRPr="000C5543">
        <w:rPr>
          <w:sz w:val="24"/>
          <w:szCs w:val="24"/>
        </w:rPr>
        <w:t xml:space="preserve">. Patienter med sjældne arvelige problemer med </w:t>
      </w:r>
      <w:proofErr w:type="spellStart"/>
      <w:r w:rsidRPr="000C5543">
        <w:rPr>
          <w:sz w:val="24"/>
          <w:szCs w:val="24"/>
        </w:rPr>
        <w:t>fruktoseintolerans</w:t>
      </w:r>
      <w:proofErr w:type="spellEnd"/>
      <w:r w:rsidRPr="000C5543">
        <w:rPr>
          <w:sz w:val="24"/>
          <w:szCs w:val="24"/>
        </w:rPr>
        <w:t>, glukose-galaktose-</w:t>
      </w:r>
      <w:proofErr w:type="spellStart"/>
      <w:r w:rsidRPr="000C5543">
        <w:rPr>
          <w:sz w:val="24"/>
          <w:szCs w:val="24"/>
        </w:rPr>
        <w:t>malabsorption</w:t>
      </w:r>
      <w:proofErr w:type="spellEnd"/>
      <w:r w:rsidRPr="000C5543">
        <w:rPr>
          <w:sz w:val="24"/>
          <w:szCs w:val="24"/>
        </w:rPr>
        <w:t xml:space="preserve"> eller sukrase-</w:t>
      </w:r>
      <w:proofErr w:type="spellStart"/>
      <w:r w:rsidRPr="000C5543">
        <w:rPr>
          <w:sz w:val="24"/>
          <w:szCs w:val="24"/>
        </w:rPr>
        <w:t>isomaltase</w:t>
      </w:r>
      <w:proofErr w:type="spellEnd"/>
      <w:r w:rsidRPr="000C5543">
        <w:rPr>
          <w:sz w:val="24"/>
          <w:szCs w:val="24"/>
        </w:rPr>
        <w:t xml:space="preserve">-insufficiens bør ikke tage dette lægemiddel. </w:t>
      </w:r>
    </w:p>
    <w:p w:rsidR="00E53B39" w:rsidRDefault="00E53B39" w:rsidP="00E53B39">
      <w:pPr>
        <w:ind w:left="851"/>
        <w:rPr>
          <w:sz w:val="24"/>
          <w:szCs w:val="24"/>
        </w:rPr>
      </w:pPr>
    </w:p>
    <w:p w:rsidR="00E53B39" w:rsidRPr="000C5543" w:rsidRDefault="00E53B39" w:rsidP="00E53B39">
      <w:pPr>
        <w:ind w:left="851"/>
        <w:rPr>
          <w:sz w:val="24"/>
          <w:szCs w:val="24"/>
        </w:rPr>
      </w:pPr>
      <w:r>
        <w:rPr>
          <w:sz w:val="24"/>
          <w:szCs w:val="24"/>
        </w:rPr>
        <w:t>Dette lægemiddel indeholder mindre end 1 mmol (23 mg) natrium pr. tablet, dvs. det er i det væsentlige natriumfrit.</w:t>
      </w:r>
    </w:p>
    <w:p w:rsidR="00F46545" w:rsidRPr="000C5543" w:rsidRDefault="00F46545" w:rsidP="00F46545">
      <w:pPr>
        <w:tabs>
          <w:tab w:val="left" w:pos="851"/>
        </w:tabs>
        <w:ind w:left="851" w:hanging="851"/>
        <w:rPr>
          <w:sz w:val="24"/>
          <w:szCs w:val="24"/>
        </w:rPr>
      </w:pPr>
    </w:p>
    <w:p w:rsidR="00F46545" w:rsidRPr="000C5543" w:rsidRDefault="00F46545" w:rsidP="00F46545">
      <w:pPr>
        <w:numPr>
          <w:ilvl w:val="1"/>
          <w:numId w:val="1"/>
        </w:numPr>
        <w:ind w:left="851" w:hanging="851"/>
        <w:rPr>
          <w:b/>
          <w:sz w:val="24"/>
          <w:szCs w:val="24"/>
        </w:rPr>
      </w:pPr>
      <w:r w:rsidRPr="000C5543">
        <w:rPr>
          <w:b/>
          <w:sz w:val="24"/>
          <w:szCs w:val="24"/>
        </w:rPr>
        <w:t>Interaktion med andre lægemidler og andre former for interaktion</w:t>
      </w:r>
    </w:p>
    <w:p w:rsidR="001E6978" w:rsidRDefault="001E6978" w:rsidP="001E6978">
      <w:pPr>
        <w:ind w:left="851"/>
        <w:rPr>
          <w:sz w:val="24"/>
          <w:szCs w:val="24"/>
        </w:rPr>
      </w:pPr>
      <w:proofErr w:type="spellStart"/>
      <w:r>
        <w:rPr>
          <w:sz w:val="24"/>
          <w:szCs w:val="24"/>
        </w:rPr>
        <w:t>Thiaziddiuretika</w:t>
      </w:r>
      <w:proofErr w:type="spellEnd"/>
      <w:r>
        <w:rPr>
          <w:sz w:val="24"/>
          <w:szCs w:val="24"/>
        </w:rPr>
        <w:t xml:space="preserve"> reducerer udskillelsen af calcium i urinen. På grund af den øgede risiko for </w:t>
      </w:r>
      <w:proofErr w:type="spellStart"/>
      <w:r>
        <w:rPr>
          <w:sz w:val="24"/>
          <w:szCs w:val="24"/>
        </w:rPr>
        <w:t>hypercalcæmi</w:t>
      </w:r>
      <w:proofErr w:type="spellEnd"/>
      <w:r>
        <w:rPr>
          <w:sz w:val="24"/>
          <w:szCs w:val="24"/>
        </w:rPr>
        <w:t xml:space="preserve"> bør serumcalcium overvåges regelmæssigt ved samtidig brug af </w:t>
      </w:r>
      <w:proofErr w:type="spellStart"/>
      <w:r>
        <w:rPr>
          <w:sz w:val="24"/>
          <w:szCs w:val="24"/>
        </w:rPr>
        <w:t>thiaziddiuretika</w:t>
      </w:r>
      <w:proofErr w:type="spellEnd"/>
      <w:r>
        <w:rPr>
          <w:sz w:val="24"/>
          <w:szCs w:val="24"/>
        </w:rPr>
        <w:t>.</w:t>
      </w:r>
    </w:p>
    <w:p w:rsidR="001E6978" w:rsidRDefault="001E6978" w:rsidP="001E6978">
      <w:pPr>
        <w:ind w:left="851" w:hanging="851"/>
        <w:rPr>
          <w:sz w:val="24"/>
          <w:szCs w:val="24"/>
        </w:rPr>
      </w:pPr>
    </w:p>
    <w:p w:rsidR="001E6978" w:rsidRDefault="001E6978" w:rsidP="001E6978">
      <w:pPr>
        <w:ind w:left="851"/>
        <w:rPr>
          <w:sz w:val="24"/>
          <w:szCs w:val="24"/>
        </w:rPr>
      </w:pPr>
      <w:r>
        <w:rPr>
          <w:sz w:val="24"/>
          <w:szCs w:val="24"/>
        </w:rPr>
        <w:t xml:space="preserve">Samtidig brug af </w:t>
      </w:r>
      <w:proofErr w:type="spellStart"/>
      <w:r>
        <w:rPr>
          <w:sz w:val="24"/>
          <w:szCs w:val="24"/>
        </w:rPr>
        <w:t>phenytoin</w:t>
      </w:r>
      <w:proofErr w:type="spellEnd"/>
      <w:r>
        <w:rPr>
          <w:sz w:val="24"/>
          <w:szCs w:val="24"/>
        </w:rPr>
        <w:t xml:space="preserve"> eller barbiturater kan reducere virkningen af vitamin D, da </w:t>
      </w:r>
      <w:proofErr w:type="spellStart"/>
      <w:r>
        <w:rPr>
          <w:sz w:val="24"/>
          <w:szCs w:val="24"/>
        </w:rPr>
        <w:t>metaboliseringen</w:t>
      </w:r>
      <w:proofErr w:type="spellEnd"/>
      <w:r>
        <w:rPr>
          <w:sz w:val="24"/>
          <w:szCs w:val="24"/>
        </w:rPr>
        <w:t xml:space="preserve"> øges.</w:t>
      </w:r>
    </w:p>
    <w:p w:rsidR="001E6978" w:rsidRDefault="001E6978" w:rsidP="001E6978">
      <w:pPr>
        <w:ind w:left="851" w:hanging="851"/>
        <w:rPr>
          <w:sz w:val="24"/>
          <w:szCs w:val="24"/>
        </w:rPr>
      </w:pPr>
    </w:p>
    <w:p w:rsidR="001E6978" w:rsidRDefault="001E6978" w:rsidP="001E6978">
      <w:pPr>
        <w:ind w:left="851"/>
        <w:rPr>
          <w:sz w:val="24"/>
          <w:szCs w:val="24"/>
        </w:rPr>
      </w:pPr>
      <w:r>
        <w:rPr>
          <w:sz w:val="24"/>
          <w:szCs w:val="24"/>
        </w:rPr>
        <w:t xml:space="preserve">Overdrevne doser af vitamin D kan inducere </w:t>
      </w:r>
      <w:proofErr w:type="spellStart"/>
      <w:r>
        <w:rPr>
          <w:sz w:val="24"/>
          <w:szCs w:val="24"/>
        </w:rPr>
        <w:t>hypercalcæmi</w:t>
      </w:r>
      <w:proofErr w:type="spellEnd"/>
      <w:r>
        <w:rPr>
          <w:sz w:val="24"/>
          <w:szCs w:val="24"/>
        </w:rPr>
        <w:t xml:space="preserve">, hvilket kan øge risikoen for digitalistoksicitet og alvorlige </w:t>
      </w:r>
      <w:proofErr w:type="spellStart"/>
      <w:r>
        <w:rPr>
          <w:sz w:val="24"/>
          <w:szCs w:val="24"/>
        </w:rPr>
        <w:t>arytmier</w:t>
      </w:r>
      <w:proofErr w:type="spellEnd"/>
      <w:r>
        <w:rPr>
          <w:sz w:val="24"/>
          <w:szCs w:val="24"/>
        </w:rPr>
        <w:t xml:space="preserve"> på grund af den </w:t>
      </w:r>
      <w:proofErr w:type="spellStart"/>
      <w:r>
        <w:rPr>
          <w:sz w:val="24"/>
          <w:szCs w:val="24"/>
        </w:rPr>
        <w:t>additive</w:t>
      </w:r>
      <w:proofErr w:type="spellEnd"/>
      <w:r>
        <w:rPr>
          <w:sz w:val="24"/>
          <w:szCs w:val="24"/>
        </w:rPr>
        <w:t xml:space="preserve"> inotrope virkning. Patientens elektrokardiogram (EKG) og serumcalcium bør overvåges nøje.</w:t>
      </w:r>
    </w:p>
    <w:p w:rsidR="001E6978" w:rsidRDefault="001E6978" w:rsidP="001E6978">
      <w:pPr>
        <w:ind w:left="851" w:hanging="851"/>
        <w:rPr>
          <w:sz w:val="24"/>
          <w:szCs w:val="24"/>
        </w:rPr>
      </w:pPr>
    </w:p>
    <w:p w:rsidR="001E6978" w:rsidRDefault="001E6978" w:rsidP="001E6978">
      <w:pPr>
        <w:ind w:left="851"/>
        <w:rPr>
          <w:sz w:val="24"/>
          <w:szCs w:val="24"/>
        </w:rPr>
      </w:pPr>
      <w:proofErr w:type="spellStart"/>
      <w:r>
        <w:rPr>
          <w:sz w:val="24"/>
          <w:szCs w:val="24"/>
        </w:rPr>
        <w:t>Glukokortikosteroider</w:t>
      </w:r>
      <w:proofErr w:type="spellEnd"/>
      <w:r>
        <w:rPr>
          <w:sz w:val="24"/>
          <w:szCs w:val="24"/>
        </w:rPr>
        <w:t xml:space="preserve"> kan øge </w:t>
      </w:r>
      <w:proofErr w:type="spellStart"/>
      <w:r>
        <w:rPr>
          <w:sz w:val="24"/>
          <w:szCs w:val="24"/>
        </w:rPr>
        <w:t>metaboliseringen</w:t>
      </w:r>
      <w:proofErr w:type="spellEnd"/>
      <w:r>
        <w:rPr>
          <w:sz w:val="24"/>
          <w:szCs w:val="24"/>
        </w:rPr>
        <w:t xml:space="preserve"> og eliminationen af vitamin D. Ved samtidig brug heraf kan det være nødvendigt at øge dosis af </w:t>
      </w:r>
      <w:proofErr w:type="spellStart"/>
      <w:r>
        <w:rPr>
          <w:sz w:val="24"/>
          <w:szCs w:val="24"/>
        </w:rPr>
        <w:t>Divisun</w:t>
      </w:r>
      <w:proofErr w:type="spellEnd"/>
      <w:r>
        <w:rPr>
          <w:sz w:val="24"/>
          <w:szCs w:val="24"/>
        </w:rPr>
        <w:t>-tabletterne.</w:t>
      </w:r>
    </w:p>
    <w:p w:rsidR="001E6978" w:rsidRDefault="001E6978" w:rsidP="001E6978">
      <w:pPr>
        <w:ind w:left="851" w:hanging="851"/>
        <w:rPr>
          <w:sz w:val="24"/>
          <w:szCs w:val="24"/>
        </w:rPr>
      </w:pPr>
    </w:p>
    <w:p w:rsidR="001E6978" w:rsidRDefault="001E6978" w:rsidP="001E6978">
      <w:pPr>
        <w:ind w:left="851"/>
        <w:rPr>
          <w:sz w:val="24"/>
          <w:szCs w:val="24"/>
        </w:rPr>
      </w:pPr>
      <w:r>
        <w:rPr>
          <w:sz w:val="24"/>
          <w:szCs w:val="24"/>
        </w:rPr>
        <w:t xml:space="preserve">Samtidig behandling med </w:t>
      </w:r>
      <w:proofErr w:type="spellStart"/>
      <w:r>
        <w:rPr>
          <w:sz w:val="24"/>
          <w:szCs w:val="24"/>
        </w:rPr>
        <w:t>orlistat</w:t>
      </w:r>
      <w:proofErr w:type="spellEnd"/>
      <w:r>
        <w:rPr>
          <w:sz w:val="24"/>
          <w:szCs w:val="24"/>
        </w:rPr>
        <w:t xml:space="preserve"> eller ionbytter-</w:t>
      </w:r>
      <w:proofErr w:type="spellStart"/>
      <w:r>
        <w:rPr>
          <w:sz w:val="24"/>
          <w:szCs w:val="24"/>
        </w:rPr>
        <w:t>resiner</w:t>
      </w:r>
      <w:proofErr w:type="spellEnd"/>
      <w:r>
        <w:rPr>
          <w:sz w:val="24"/>
          <w:szCs w:val="24"/>
        </w:rPr>
        <w:t xml:space="preserve"> som f.eks. </w:t>
      </w:r>
      <w:proofErr w:type="spellStart"/>
      <w:r>
        <w:rPr>
          <w:sz w:val="24"/>
          <w:szCs w:val="24"/>
        </w:rPr>
        <w:t>cholestyramin</w:t>
      </w:r>
      <w:proofErr w:type="spellEnd"/>
      <w:r>
        <w:rPr>
          <w:sz w:val="24"/>
          <w:szCs w:val="24"/>
        </w:rPr>
        <w:t xml:space="preserve"> eller </w:t>
      </w:r>
      <w:proofErr w:type="spellStart"/>
      <w:r>
        <w:rPr>
          <w:sz w:val="24"/>
          <w:szCs w:val="24"/>
        </w:rPr>
        <w:t>laksantia</w:t>
      </w:r>
      <w:proofErr w:type="spellEnd"/>
      <w:r>
        <w:rPr>
          <w:sz w:val="24"/>
          <w:szCs w:val="24"/>
        </w:rPr>
        <w:t xml:space="preserve"> såsom paraffinolie kan reducere den </w:t>
      </w:r>
      <w:proofErr w:type="spellStart"/>
      <w:r>
        <w:rPr>
          <w:sz w:val="24"/>
          <w:szCs w:val="24"/>
        </w:rPr>
        <w:t>gastrointestinale</w:t>
      </w:r>
      <w:proofErr w:type="spellEnd"/>
      <w:r>
        <w:rPr>
          <w:sz w:val="24"/>
          <w:szCs w:val="24"/>
        </w:rPr>
        <w:t xml:space="preserve"> absorption af vitamin D.</w:t>
      </w:r>
    </w:p>
    <w:p w:rsidR="00F46545" w:rsidRPr="000C5543" w:rsidRDefault="00F46545" w:rsidP="00F46545">
      <w:pPr>
        <w:tabs>
          <w:tab w:val="left" w:pos="851"/>
        </w:tabs>
        <w:ind w:left="851" w:hanging="851"/>
        <w:rPr>
          <w:sz w:val="24"/>
          <w:szCs w:val="24"/>
        </w:rPr>
      </w:pPr>
    </w:p>
    <w:p w:rsidR="00F46545" w:rsidRPr="000C5543" w:rsidRDefault="00E53B39" w:rsidP="00F46545">
      <w:pPr>
        <w:numPr>
          <w:ilvl w:val="1"/>
          <w:numId w:val="1"/>
        </w:numPr>
        <w:ind w:left="851" w:hanging="851"/>
        <w:rPr>
          <w:b/>
          <w:sz w:val="24"/>
          <w:szCs w:val="24"/>
        </w:rPr>
      </w:pPr>
      <w:r>
        <w:rPr>
          <w:b/>
          <w:sz w:val="24"/>
          <w:szCs w:val="24"/>
        </w:rPr>
        <w:t>Fertilitet, g</w:t>
      </w:r>
      <w:r w:rsidR="00F46545" w:rsidRPr="000C5543">
        <w:rPr>
          <w:b/>
          <w:sz w:val="24"/>
          <w:szCs w:val="24"/>
        </w:rPr>
        <w:t>raviditet og amning</w:t>
      </w:r>
    </w:p>
    <w:p w:rsidR="00F46545" w:rsidRPr="000C5543" w:rsidRDefault="00F46545" w:rsidP="00F46545">
      <w:pPr>
        <w:ind w:left="851"/>
        <w:rPr>
          <w:sz w:val="24"/>
          <w:szCs w:val="24"/>
          <w:u w:val="single"/>
        </w:rPr>
      </w:pPr>
      <w:r w:rsidRPr="000C5543">
        <w:rPr>
          <w:sz w:val="24"/>
          <w:szCs w:val="24"/>
          <w:u w:val="single"/>
        </w:rPr>
        <w:t>Fertilitet</w:t>
      </w:r>
    </w:p>
    <w:p w:rsidR="00F46545" w:rsidRPr="000C5543" w:rsidRDefault="00F46545" w:rsidP="00F46545">
      <w:pPr>
        <w:ind w:left="851"/>
        <w:rPr>
          <w:i/>
          <w:sz w:val="24"/>
          <w:szCs w:val="24"/>
        </w:rPr>
      </w:pPr>
      <w:r w:rsidRPr="000C5543">
        <w:rPr>
          <w:sz w:val="24"/>
          <w:szCs w:val="24"/>
        </w:rPr>
        <w:t>Der foreligger ingen data om virkningen af Divisun på fertilitet. Normale endogene niveauer af vitamin D forventes dog ikke at have nogen bivirkninger, for så vidt angår fertilitet.</w:t>
      </w:r>
    </w:p>
    <w:p w:rsidR="00F46545" w:rsidRPr="000C5543" w:rsidRDefault="00F46545" w:rsidP="00F46545">
      <w:pPr>
        <w:ind w:left="851" w:hanging="851"/>
        <w:rPr>
          <w:i/>
          <w:sz w:val="24"/>
          <w:szCs w:val="24"/>
        </w:rPr>
      </w:pPr>
    </w:p>
    <w:p w:rsidR="00F46545" w:rsidRPr="000C5543" w:rsidRDefault="00F46545" w:rsidP="00F46545">
      <w:pPr>
        <w:ind w:left="851"/>
        <w:rPr>
          <w:sz w:val="24"/>
          <w:szCs w:val="24"/>
          <w:u w:val="single"/>
        </w:rPr>
      </w:pPr>
      <w:r w:rsidRPr="000C5543">
        <w:rPr>
          <w:sz w:val="24"/>
          <w:szCs w:val="24"/>
          <w:u w:val="single"/>
        </w:rPr>
        <w:t>Graviditet</w:t>
      </w:r>
    </w:p>
    <w:p w:rsidR="00F46545" w:rsidRPr="000C5543" w:rsidRDefault="00F46545" w:rsidP="00F46545">
      <w:pPr>
        <w:ind w:left="851"/>
        <w:rPr>
          <w:color w:val="000000"/>
          <w:sz w:val="24"/>
          <w:szCs w:val="24"/>
        </w:rPr>
      </w:pPr>
      <w:r w:rsidRPr="000C5543">
        <w:rPr>
          <w:sz w:val="24"/>
          <w:szCs w:val="24"/>
        </w:rPr>
        <w:t xml:space="preserve">Divisun bør kun tages under graviditet, hvis der er tale om D-vitamin-mangel. Divisun anbefales ikke til gravide kvinder, der ikke lider af D-vitamin-mangel, da det daglige indtag af vitamin D ikke bør overstige 600 IE. Forsøg med dyr har vist reproduktionstoksicitet ved høje doser vitamin D (se pkt. 5.3). </w:t>
      </w:r>
      <w:r w:rsidRPr="000C5543">
        <w:rPr>
          <w:color w:val="000000"/>
          <w:sz w:val="24"/>
          <w:szCs w:val="24"/>
        </w:rPr>
        <w:t xml:space="preserve">Der er ingen tegn på, at vitamin D ved terapeutiske doser er teratogent hos mennesker. </w:t>
      </w:r>
    </w:p>
    <w:p w:rsidR="00F46545" w:rsidRPr="000C5543" w:rsidRDefault="00F46545" w:rsidP="00F46545">
      <w:pPr>
        <w:ind w:left="851" w:hanging="851"/>
        <w:rPr>
          <w:i/>
          <w:sz w:val="24"/>
          <w:szCs w:val="24"/>
        </w:rPr>
      </w:pPr>
    </w:p>
    <w:p w:rsidR="00F46545" w:rsidRDefault="00F46545" w:rsidP="00F46545">
      <w:pPr>
        <w:ind w:left="851"/>
        <w:rPr>
          <w:sz w:val="24"/>
          <w:szCs w:val="24"/>
        </w:rPr>
      </w:pPr>
      <w:r>
        <w:rPr>
          <w:sz w:val="24"/>
          <w:szCs w:val="24"/>
        </w:rPr>
        <w:t>Vitamin D kan tages under amning. Vitamin D</w:t>
      </w:r>
      <w:r>
        <w:rPr>
          <w:sz w:val="24"/>
          <w:szCs w:val="24"/>
          <w:vertAlign w:val="subscript"/>
        </w:rPr>
        <w:t>3</w:t>
      </w:r>
      <w:r>
        <w:rPr>
          <w:sz w:val="24"/>
          <w:szCs w:val="24"/>
        </w:rPr>
        <w:t xml:space="preserve"> udskilles i modermælk. Det skal der tages højde for, når man giver D-vitamin-tilskud til barnet.</w:t>
      </w:r>
    </w:p>
    <w:p w:rsidR="00F46545" w:rsidRPr="000C5543" w:rsidRDefault="00F46545" w:rsidP="00F46545">
      <w:pPr>
        <w:tabs>
          <w:tab w:val="left" w:pos="851"/>
        </w:tabs>
        <w:ind w:left="851" w:hanging="851"/>
        <w:rPr>
          <w:sz w:val="24"/>
          <w:szCs w:val="24"/>
        </w:rPr>
      </w:pPr>
    </w:p>
    <w:p w:rsidR="00F46545" w:rsidRPr="000C5543" w:rsidRDefault="00F46545" w:rsidP="00F46545">
      <w:pPr>
        <w:numPr>
          <w:ilvl w:val="1"/>
          <w:numId w:val="1"/>
        </w:numPr>
        <w:ind w:left="851" w:hanging="851"/>
        <w:rPr>
          <w:b/>
          <w:sz w:val="24"/>
          <w:szCs w:val="24"/>
        </w:rPr>
      </w:pPr>
      <w:r w:rsidRPr="000C5543">
        <w:rPr>
          <w:b/>
          <w:sz w:val="24"/>
          <w:szCs w:val="24"/>
        </w:rPr>
        <w:t xml:space="preserve">Virkning på evnen til at føre motorkøretøj </w:t>
      </w:r>
      <w:r w:rsidR="00E53B39">
        <w:rPr>
          <w:b/>
          <w:sz w:val="24"/>
          <w:szCs w:val="24"/>
        </w:rPr>
        <w:t>og</w:t>
      </w:r>
      <w:r w:rsidRPr="000C5543">
        <w:rPr>
          <w:b/>
          <w:sz w:val="24"/>
          <w:szCs w:val="24"/>
        </w:rPr>
        <w:t xml:space="preserve"> betjene maskiner</w:t>
      </w:r>
    </w:p>
    <w:p w:rsidR="00F46545" w:rsidRDefault="00F46545" w:rsidP="00F46545">
      <w:pPr>
        <w:ind w:left="851" w:hanging="851"/>
        <w:rPr>
          <w:sz w:val="24"/>
          <w:szCs w:val="24"/>
        </w:rPr>
      </w:pPr>
      <w:r w:rsidRPr="000C5543">
        <w:rPr>
          <w:sz w:val="24"/>
          <w:szCs w:val="24"/>
        </w:rPr>
        <w:tab/>
        <w:t>Ikke mærkning</w:t>
      </w:r>
    </w:p>
    <w:p w:rsidR="00F46545" w:rsidRPr="000C5543" w:rsidRDefault="00F46545" w:rsidP="00F46545">
      <w:pPr>
        <w:ind w:left="851"/>
        <w:rPr>
          <w:sz w:val="24"/>
          <w:szCs w:val="24"/>
        </w:rPr>
      </w:pPr>
      <w:r w:rsidRPr="000C5543">
        <w:rPr>
          <w:sz w:val="24"/>
          <w:szCs w:val="24"/>
        </w:rPr>
        <w:t>Der foreligger ingen data om virkningen af Divisun på evnen til at føre motorkøretøj. En virkning herpå er dog usandsynlig.</w:t>
      </w:r>
    </w:p>
    <w:p w:rsidR="00F46545" w:rsidRPr="000C5543" w:rsidRDefault="00F46545" w:rsidP="00F46545">
      <w:pPr>
        <w:tabs>
          <w:tab w:val="left" w:pos="851"/>
        </w:tabs>
        <w:ind w:left="851" w:hanging="851"/>
        <w:rPr>
          <w:sz w:val="24"/>
          <w:szCs w:val="24"/>
        </w:rPr>
      </w:pPr>
    </w:p>
    <w:p w:rsidR="00F46545" w:rsidRPr="000C5543" w:rsidRDefault="00F46545" w:rsidP="00F46545">
      <w:pPr>
        <w:numPr>
          <w:ilvl w:val="1"/>
          <w:numId w:val="1"/>
        </w:numPr>
        <w:ind w:left="851" w:hanging="851"/>
        <w:rPr>
          <w:b/>
          <w:sz w:val="24"/>
          <w:szCs w:val="24"/>
        </w:rPr>
      </w:pPr>
      <w:r w:rsidRPr="000C5543">
        <w:rPr>
          <w:b/>
          <w:sz w:val="24"/>
          <w:szCs w:val="24"/>
        </w:rPr>
        <w:t>Bivirkninger</w:t>
      </w:r>
    </w:p>
    <w:p w:rsidR="00F46545" w:rsidRPr="000C5543" w:rsidRDefault="00F46545" w:rsidP="00F46545">
      <w:pPr>
        <w:ind w:left="851" w:hanging="851"/>
        <w:rPr>
          <w:sz w:val="24"/>
          <w:szCs w:val="24"/>
        </w:rPr>
      </w:pPr>
      <w:r w:rsidRPr="000C5543">
        <w:rPr>
          <w:sz w:val="24"/>
          <w:szCs w:val="24"/>
        </w:rPr>
        <w:tab/>
        <w:t>Hyppigheden af bivirkninger defineres som følger: ikke almindelig (≥ 1/1.000, &lt; 1/100), sjælden (≥ 1/10.000, &lt; 1/1.000) eller ikke kendt (kan ikke estimeres ud fra forhåndenværende data).</w:t>
      </w:r>
    </w:p>
    <w:p w:rsidR="00F46545" w:rsidRPr="000C5543" w:rsidRDefault="00F46545" w:rsidP="00F46545">
      <w:pPr>
        <w:ind w:left="851" w:hanging="851"/>
        <w:rPr>
          <w:sz w:val="24"/>
          <w:szCs w:val="24"/>
        </w:rPr>
      </w:pPr>
    </w:p>
    <w:p w:rsidR="00F46545" w:rsidRPr="000C5543" w:rsidRDefault="00F46545" w:rsidP="00F46545">
      <w:pPr>
        <w:ind w:left="851"/>
        <w:rPr>
          <w:sz w:val="24"/>
          <w:szCs w:val="24"/>
        </w:rPr>
      </w:pPr>
      <w:r w:rsidRPr="000C5543">
        <w:rPr>
          <w:i/>
          <w:sz w:val="24"/>
          <w:szCs w:val="24"/>
        </w:rPr>
        <w:t>Immunsystemet</w:t>
      </w:r>
    </w:p>
    <w:p w:rsidR="00F46545" w:rsidRPr="000C5543" w:rsidRDefault="00F46545" w:rsidP="00F46545">
      <w:pPr>
        <w:ind w:left="851"/>
        <w:rPr>
          <w:sz w:val="24"/>
          <w:szCs w:val="24"/>
        </w:rPr>
      </w:pPr>
      <w:r w:rsidRPr="000C5543">
        <w:rPr>
          <w:sz w:val="24"/>
          <w:szCs w:val="24"/>
        </w:rPr>
        <w:t>Ikke kendt (kan ikke estimeres ud fra forhåndenværende data): Overfølsomhedsreaktioner såsom angioødem eller larynxødem.</w:t>
      </w:r>
    </w:p>
    <w:p w:rsidR="00F46545" w:rsidRPr="000C5543" w:rsidRDefault="00F46545" w:rsidP="00F46545">
      <w:pPr>
        <w:ind w:left="851" w:hanging="851"/>
        <w:rPr>
          <w:sz w:val="24"/>
          <w:szCs w:val="24"/>
        </w:rPr>
      </w:pPr>
    </w:p>
    <w:p w:rsidR="00F46545" w:rsidRPr="000C5543" w:rsidRDefault="00F46545" w:rsidP="00F46545">
      <w:pPr>
        <w:ind w:left="851"/>
        <w:rPr>
          <w:i/>
          <w:sz w:val="24"/>
          <w:szCs w:val="24"/>
        </w:rPr>
      </w:pPr>
      <w:r w:rsidRPr="000C5543">
        <w:rPr>
          <w:i/>
          <w:sz w:val="24"/>
          <w:szCs w:val="24"/>
        </w:rPr>
        <w:t>Metabolisme og ernæring</w:t>
      </w:r>
    </w:p>
    <w:p w:rsidR="00F46545" w:rsidRPr="000C5543" w:rsidRDefault="00F46545" w:rsidP="00F46545">
      <w:pPr>
        <w:ind w:left="851"/>
        <w:rPr>
          <w:sz w:val="24"/>
          <w:szCs w:val="24"/>
        </w:rPr>
      </w:pPr>
      <w:r w:rsidRPr="000C5543">
        <w:rPr>
          <w:sz w:val="24"/>
          <w:szCs w:val="24"/>
        </w:rPr>
        <w:t>Ikke almindelig: Hypercalcæmi og hypercalciuri.</w:t>
      </w:r>
    </w:p>
    <w:p w:rsidR="00F46545" w:rsidRPr="000C5543" w:rsidRDefault="00F46545" w:rsidP="00F46545">
      <w:pPr>
        <w:ind w:left="851" w:hanging="851"/>
        <w:rPr>
          <w:sz w:val="24"/>
          <w:szCs w:val="24"/>
        </w:rPr>
      </w:pPr>
    </w:p>
    <w:p w:rsidR="00F46545" w:rsidRPr="000C5543" w:rsidRDefault="00F46545" w:rsidP="00F46545">
      <w:pPr>
        <w:ind w:left="851"/>
        <w:rPr>
          <w:sz w:val="24"/>
          <w:szCs w:val="24"/>
        </w:rPr>
      </w:pPr>
      <w:r w:rsidRPr="000C5543">
        <w:rPr>
          <w:i/>
          <w:sz w:val="24"/>
          <w:szCs w:val="24"/>
        </w:rPr>
        <w:t>Hud og subkutane væv</w:t>
      </w:r>
    </w:p>
    <w:p w:rsidR="00F46545" w:rsidRDefault="00F46545" w:rsidP="00F46545">
      <w:pPr>
        <w:ind w:left="851"/>
        <w:rPr>
          <w:sz w:val="24"/>
          <w:szCs w:val="24"/>
          <w:lang w:eastAsia="da-DK"/>
        </w:rPr>
      </w:pPr>
      <w:r w:rsidRPr="000C5543">
        <w:rPr>
          <w:sz w:val="24"/>
          <w:szCs w:val="24"/>
        </w:rPr>
        <w:t>Sjælden: Pruritus, udslæt og urtikaria.</w:t>
      </w:r>
      <w:r>
        <w:rPr>
          <w:sz w:val="24"/>
          <w:szCs w:val="24"/>
        </w:rPr>
        <w:t xml:space="preserve"> </w:t>
      </w:r>
    </w:p>
    <w:p w:rsidR="00F46545" w:rsidRDefault="00F46545" w:rsidP="00F46545">
      <w:pPr>
        <w:pStyle w:val="Sidehoved"/>
        <w:tabs>
          <w:tab w:val="left" w:pos="851"/>
        </w:tabs>
        <w:ind w:left="851" w:hanging="851"/>
        <w:rPr>
          <w:szCs w:val="24"/>
        </w:rPr>
      </w:pPr>
    </w:p>
    <w:p w:rsidR="00F46545" w:rsidRDefault="00F46545" w:rsidP="00F46545">
      <w:pPr>
        <w:autoSpaceDE w:val="0"/>
        <w:autoSpaceDN w:val="0"/>
        <w:ind w:left="851"/>
        <w:rPr>
          <w:sz w:val="24"/>
          <w:szCs w:val="24"/>
          <w:u w:val="single"/>
        </w:rPr>
      </w:pPr>
      <w:r>
        <w:rPr>
          <w:sz w:val="24"/>
          <w:szCs w:val="24"/>
          <w:u w:val="single"/>
        </w:rPr>
        <w:t>Indberetning af formodede bivirkninger</w:t>
      </w:r>
    </w:p>
    <w:p w:rsidR="00F46545" w:rsidRDefault="00F46545" w:rsidP="00F46545">
      <w:pPr>
        <w:ind w:left="851"/>
        <w:rPr>
          <w:sz w:val="24"/>
          <w:szCs w:val="24"/>
        </w:rPr>
      </w:pPr>
      <w:r>
        <w:rPr>
          <w:sz w:val="24"/>
          <w:szCs w:val="24"/>
        </w:rPr>
        <w:t xml:space="preserve">Når lægemidlet er godkendt, er indberetning af formodede bivirkninger vigtig. Det muliggør løbende overvågning af benefit/risk-forholdet for lægemidlet. </w:t>
      </w:r>
      <w:r w:rsidR="00883E32">
        <w:rPr>
          <w:sz w:val="24"/>
          <w:szCs w:val="24"/>
        </w:rPr>
        <w:t>S</w:t>
      </w:r>
      <w:r>
        <w:rPr>
          <w:sz w:val="24"/>
          <w:szCs w:val="24"/>
        </w:rPr>
        <w:t>undhedsperson</w:t>
      </w:r>
      <w:r w:rsidR="00883E32">
        <w:rPr>
          <w:sz w:val="24"/>
          <w:szCs w:val="24"/>
        </w:rPr>
        <w:t>er</w:t>
      </w:r>
      <w:r>
        <w:rPr>
          <w:sz w:val="24"/>
          <w:szCs w:val="24"/>
        </w:rPr>
        <w:t xml:space="preserve"> anmodes om at indberette alle formodede bivirkninger via:</w:t>
      </w:r>
    </w:p>
    <w:p w:rsidR="00F46545" w:rsidRDefault="00F46545" w:rsidP="00F46545">
      <w:pPr>
        <w:tabs>
          <w:tab w:val="left" w:pos="2440"/>
        </w:tabs>
        <w:ind w:left="851"/>
        <w:rPr>
          <w:sz w:val="24"/>
          <w:szCs w:val="24"/>
        </w:rPr>
      </w:pPr>
    </w:p>
    <w:p w:rsidR="00F46545" w:rsidRDefault="00F46545" w:rsidP="00F46545">
      <w:pPr>
        <w:ind w:left="851"/>
        <w:rPr>
          <w:sz w:val="24"/>
          <w:szCs w:val="24"/>
        </w:rPr>
      </w:pPr>
      <w:r>
        <w:rPr>
          <w:sz w:val="24"/>
          <w:szCs w:val="24"/>
        </w:rPr>
        <w:t>Lægemiddelstyrelsen</w:t>
      </w:r>
    </w:p>
    <w:p w:rsidR="00F46545" w:rsidRDefault="00F46545" w:rsidP="00F46545">
      <w:pPr>
        <w:ind w:left="851"/>
        <w:rPr>
          <w:sz w:val="24"/>
          <w:szCs w:val="24"/>
        </w:rPr>
      </w:pPr>
      <w:r>
        <w:rPr>
          <w:sz w:val="24"/>
          <w:szCs w:val="24"/>
        </w:rPr>
        <w:t>Axel Heides Gade 1</w:t>
      </w:r>
    </w:p>
    <w:p w:rsidR="00F46545" w:rsidRDefault="00F46545" w:rsidP="00F46545">
      <w:pPr>
        <w:ind w:left="851"/>
        <w:rPr>
          <w:sz w:val="24"/>
          <w:szCs w:val="24"/>
        </w:rPr>
      </w:pPr>
      <w:r>
        <w:rPr>
          <w:sz w:val="24"/>
          <w:szCs w:val="24"/>
        </w:rPr>
        <w:t>DK-2300 København S</w:t>
      </w:r>
    </w:p>
    <w:p w:rsidR="00F46545" w:rsidRPr="00E56C7E" w:rsidRDefault="00F46545" w:rsidP="00F46545">
      <w:pPr>
        <w:ind w:left="851"/>
        <w:rPr>
          <w:sz w:val="24"/>
          <w:szCs w:val="24"/>
        </w:rPr>
      </w:pPr>
      <w:r w:rsidRPr="00E56C7E">
        <w:rPr>
          <w:sz w:val="24"/>
          <w:szCs w:val="24"/>
        </w:rPr>
        <w:t xml:space="preserve">Websted: </w:t>
      </w:r>
      <w:hyperlink r:id="rId9" w:history="1">
        <w:r w:rsidRPr="00E56C7E">
          <w:rPr>
            <w:rStyle w:val="Hyperlink"/>
            <w:color w:val="0000FF"/>
            <w:sz w:val="24"/>
            <w:szCs w:val="24"/>
          </w:rPr>
          <w:t>www.meldenbivirkning.dk</w:t>
        </w:r>
      </w:hyperlink>
    </w:p>
    <w:p w:rsidR="00F46545" w:rsidRPr="00E56C7E" w:rsidRDefault="00F46545" w:rsidP="00F46545">
      <w:pPr>
        <w:pStyle w:val="Sidehoved"/>
        <w:tabs>
          <w:tab w:val="left" w:pos="851"/>
        </w:tabs>
        <w:ind w:left="851" w:hanging="851"/>
        <w:rPr>
          <w:szCs w:val="24"/>
        </w:rPr>
      </w:pPr>
    </w:p>
    <w:p w:rsidR="00F46545" w:rsidRPr="000C5543" w:rsidRDefault="00F46545" w:rsidP="00F46545">
      <w:pPr>
        <w:numPr>
          <w:ilvl w:val="1"/>
          <w:numId w:val="1"/>
        </w:numPr>
        <w:ind w:left="851" w:hanging="851"/>
        <w:rPr>
          <w:b/>
          <w:sz w:val="24"/>
          <w:szCs w:val="24"/>
        </w:rPr>
      </w:pPr>
      <w:r w:rsidRPr="000C5543">
        <w:rPr>
          <w:b/>
          <w:sz w:val="24"/>
          <w:szCs w:val="24"/>
        </w:rPr>
        <w:t>Overdosering</w:t>
      </w:r>
    </w:p>
    <w:p w:rsidR="00F46545" w:rsidRPr="000C5543" w:rsidRDefault="00F46545" w:rsidP="00F46545">
      <w:pPr>
        <w:ind w:left="851" w:hanging="851"/>
        <w:rPr>
          <w:sz w:val="24"/>
          <w:szCs w:val="24"/>
        </w:rPr>
      </w:pPr>
      <w:r w:rsidRPr="000C5543">
        <w:rPr>
          <w:sz w:val="24"/>
          <w:szCs w:val="24"/>
        </w:rPr>
        <w:tab/>
        <w:t>Overdosering kan medføre hypervitaminose D. For meget vitamin D forårsager unormalt høje calciumniveauer i blodet, hvilket med tiden kan give svære skader i blødt væv og i nyrerne. Det tolerable øvre indtagsniveau for vitamin D</w:t>
      </w:r>
      <w:r w:rsidRPr="000C5543">
        <w:rPr>
          <w:sz w:val="24"/>
          <w:szCs w:val="24"/>
          <w:vertAlign w:val="subscript"/>
        </w:rPr>
        <w:t>3</w:t>
      </w:r>
      <w:r w:rsidRPr="000C5543">
        <w:rPr>
          <w:sz w:val="24"/>
          <w:szCs w:val="24"/>
        </w:rPr>
        <w:t xml:space="preserve"> (cholecalciferol) er fastsat til 4.000 IE (100 µg) pr. dag. Vitamin D</w:t>
      </w:r>
      <w:r w:rsidRPr="000C5543">
        <w:rPr>
          <w:sz w:val="24"/>
          <w:szCs w:val="24"/>
          <w:vertAlign w:val="subscript"/>
        </w:rPr>
        <w:t>3</w:t>
      </w:r>
      <w:r w:rsidRPr="000C5543">
        <w:rPr>
          <w:sz w:val="24"/>
          <w:szCs w:val="24"/>
        </w:rPr>
        <w:t xml:space="preserve"> bør ikke forveksles med vitaminets aktive metabolitter, cholecalciferol.</w:t>
      </w:r>
    </w:p>
    <w:p w:rsidR="00F46545" w:rsidRPr="000C5543" w:rsidRDefault="00F46545" w:rsidP="00F46545">
      <w:pPr>
        <w:ind w:left="851" w:hanging="851"/>
        <w:rPr>
          <w:sz w:val="24"/>
          <w:szCs w:val="24"/>
        </w:rPr>
      </w:pPr>
    </w:p>
    <w:p w:rsidR="00F46545" w:rsidRPr="000C5543" w:rsidRDefault="00F46545" w:rsidP="00F46545">
      <w:pPr>
        <w:ind w:left="851"/>
        <w:rPr>
          <w:color w:val="333333"/>
          <w:sz w:val="24"/>
          <w:szCs w:val="24"/>
        </w:rPr>
      </w:pPr>
      <w:r w:rsidRPr="000C5543">
        <w:rPr>
          <w:sz w:val="24"/>
          <w:szCs w:val="24"/>
        </w:rPr>
        <w:t>Symptomer på hypercalcæmi kan omfatte anoreksi, tørst, kvalme, opkastning, forstoppelse, mavesmerter, muskelsvaghed, træthed, mentale forstyrrelser, polydipsi, polyuri, knoglesmerter, nefrocalcinose, nyresten og i svære tilfælde hjertearytmier. Ekstrem hypercalcæmi kan medføre koma og død. Vedvarende høje calciumniveauer kan medføre irreversibel nyreskade og calcifikation af blødt væv.</w:t>
      </w:r>
      <w:r w:rsidRPr="000C5543">
        <w:rPr>
          <w:color w:val="333333"/>
          <w:sz w:val="24"/>
          <w:szCs w:val="24"/>
        </w:rPr>
        <w:t xml:space="preserve"> </w:t>
      </w:r>
    </w:p>
    <w:p w:rsidR="00F46545" w:rsidRPr="000C5543" w:rsidRDefault="00F46545" w:rsidP="00F46545">
      <w:pPr>
        <w:ind w:left="851"/>
        <w:rPr>
          <w:sz w:val="24"/>
          <w:szCs w:val="24"/>
        </w:rPr>
      </w:pPr>
      <w:r w:rsidRPr="000C5543">
        <w:rPr>
          <w:sz w:val="24"/>
          <w:szCs w:val="24"/>
        </w:rPr>
        <w:t>Behandling af hypercalcæmi: Behandlingen med vitamin D skal seponeres. Behandling med thiaziddiuretika, lithium, vitamin A og hjerteglykosider skal også seponeres. Rehydrering og – alt efter sværhedsgraden – isoleret eller kombineret behandling med loop-diuretika, bisfosfonater, kalcitonin og kortikosteroider bør overvejes. Serumelektrolytter, nyrefunktion og diurese skal overvåges. I svære tilfælde bør EKG og CVP følges.</w:t>
      </w:r>
    </w:p>
    <w:p w:rsidR="00F46545" w:rsidRPr="000C5543" w:rsidRDefault="00F46545" w:rsidP="00F46545">
      <w:pPr>
        <w:tabs>
          <w:tab w:val="left" w:pos="851"/>
        </w:tabs>
        <w:ind w:left="851" w:hanging="851"/>
        <w:rPr>
          <w:sz w:val="24"/>
          <w:szCs w:val="24"/>
        </w:rPr>
      </w:pPr>
    </w:p>
    <w:p w:rsidR="00F46545" w:rsidRPr="000C5543" w:rsidRDefault="00F46545" w:rsidP="00F46545">
      <w:pPr>
        <w:numPr>
          <w:ilvl w:val="1"/>
          <w:numId w:val="1"/>
        </w:numPr>
        <w:ind w:left="851" w:hanging="851"/>
        <w:rPr>
          <w:b/>
          <w:sz w:val="24"/>
          <w:szCs w:val="24"/>
        </w:rPr>
      </w:pPr>
      <w:r w:rsidRPr="000C5543">
        <w:rPr>
          <w:b/>
          <w:sz w:val="24"/>
          <w:szCs w:val="24"/>
        </w:rPr>
        <w:t>Udlevering</w:t>
      </w:r>
    </w:p>
    <w:p w:rsidR="00F46545" w:rsidRPr="000C5543" w:rsidRDefault="00F46545" w:rsidP="00F46545">
      <w:pPr>
        <w:tabs>
          <w:tab w:val="left" w:pos="851"/>
        </w:tabs>
        <w:ind w:left="851" w:hanging="851"/>
        <w:rPr>
          <w:sz w:val="24"/>
          <w:szCs w:val="24"/>
        </w:rPr>
      </w:pPr>
      <w:r w:rsidRPr="000C5543">
        <w:rPr>
          <w:sz w:val="24"/>
          <w:szCs w:val="24"/>
        </w:rPr>
        <w:tab/>
        <w:t>B</w:t>
      </w:r>
    </w:p>
    <w:p w:rsidR="00F46545" w:rsidRPr="000C5543" w:rsidRDefault="00F46545" w:rsidP="00F46545">
      <w:pPr>
        <w:tabs>
          <w:tab w:val="left" w:pos="851"/>
        </w:tabs>
        <w:ind w:left="851" w:hanging="851"/>
        <w:rPr>
          <w:sz w:val="24"/>
          <w:szCs w:val="24"/>
        </w:rPr>
      </w:pPr>
    </w:p>
    <w:p w:rsidR="00F46545" w:rsidRPr="000C5543" w:rsidRDefault="00F46545" w:rsidP="00F46545">
      <w:pPr>
        <w:tabs>
          <w:tab w:val="left" w:pos="851"/>
        </w:tabs>
        <w:ind w:left="851" w:hanging="851"/>
        <w:rPr>
          <w:sz w:val="24"/>
          <w:szCs w:val="24"/>
        </w:rPr>
      </w:pPr>
    </w:p>
    <w:p w:rsidR="00F46545" w:rsidRPr="000C5543" w:rsidRDefault="00F46545" w:rsidP="00F46545">
      <w:pPr>
        <w:numPr>
          <w:ilvl w:val="0"/>
          <w:numId w:val="1"/>
        </w:numPr>
        <w:ind w:left="851" w:hanging="851"/>
        <w:rPr>
          <w:b/>
          <w:sz w:val="24"/>
          <w:szCs w:val="24"/>
        </w:rPr>
      </w:pPr>
      <w:r w:rsidRPr="000C5543">
        <w:rPr>
          <w:b/>
          <w:sz w:val="24"/>
          <w:szCs w:val="24"/>
        </w:rPr>
        <w:t>FARMAKOLOGISKE EGENSKABER</w:t>
      </w:r>
    </w:p>
    <w:p w:rsidR="00F46545" w:rsidRPr="000C5543" w:rsidRDefault="00F46545" w:rsidP="00F46545">
      <w:pPr>
        <w:tabs>
          <w:tab w:val="left" w:pos="851"/>
        </w:tabs>
        <w:ind w:left="851" w:hanging="851"/>
        <w:rPr>
          <w:sz w:val="24"/>
          <w:szCs w:val="24"/>
        </w:rPr>
      </w:pPr>
    </w:p>
    <w:p w:rsidR="00F46545" w:rsidRPr="000C5543" w:rsidRDefault="00F46545" w:rsidP="00F46545">
      <w:pPr>
        <w:numPr>
          <w:ilvl w:val="1"/>
          <w:numId w:val="2"/>
        </w:numPr>
        <w:tabs>
          <w:tab w:val="num" w:pos="851"/>
        </w:tabs>
        <w:ind w:left="851" w:hanging="851"/>
        <w:rPr>
          <w:b/>
          <w:sz w:val="24"/>
          <w:szCs w:val="24"/>
        </w:rPr>
      </w:pPr>
      <w:r w:rsidRPr="000C5543">
        <w:rPr>
          <w:b/>
          <w:sz w:val="24"/>
          <w:szCs w:val="24"/>
        </w:rPr>
        <w:t>Farmakodynamiske egenskaber</w:t>
      </w:r>
    </w:p>
    <w:p w:rsidR="00E53B39" w:rsidRDefault="00E53B39" w:rsidP="00E53B39">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0C5543">
        <w:rPr>
          <w:sz w:val="24"/>
          <w:szCs w:val="24"/>
        </w:rPr>
        <w:t>Vitamintilskud</w:t>
      </w:r>
      <w:r>
        <w:rPr>
          <w:sz w:val="24"/>
          <w:szCs w:val="24"/>
        </w:rPr>
        <w:t xml:space="preserve">. </w:t>
      </w:r>
      <w:r w:rsidRPr="000C5543">
        <w:rPr>
          <w:sz w:val="24"/>
          <w:szCs w:val="24"/>
        </w:rPr>
        <w:t>ATC-kode: A11 CC 05.</w:t>
      </w:r>
    </w:p>
    <w:p w:rsidR="00F46545" w:rsidRPr="000C5543" w:rsidRDefault="00F46545" w:rsidP="00E53B39">
      <w:pPr>
        <w:ind w:left="851"/>
        <w:rPr>
          <w:sz w:val="24"/>
          <w:szCs w:val="24"/>
        </w:rPr>
      </w:pPr>
      <w:r w:rsidRPr="000C5543">
        <w:rPr>
          <w:sz w:val="24"/>
          <w:szCs w:val="24"/>
        </w:rPr>
        <w:t xml:space="preserve">Vitamin D øger tarmenes absorption af calcium og fosfat. </w:t>
      </w:r>
    </w:p>
    <w:p w:rsidR="00F46545" w:rsidRPr="000C5543" w:rsidRDefault="00F46545" w:rsidP="00F46545">
      <w:pPr>
        <w:ind w:left="851"/>
        <w:rPr>
          <w:sz w:val="24"/>
          <w:szCs w:val="24"/>
        </w:rPr>
      </w:pPr>
      <w:r w:rsidRPr="000C5543">
        <w:rPr>
          <w:sz w:val="24"/>
          <w:szCs w:val="24"/>
        </w:rPr>
        <w:t>Administration af vitamin D</w:t>
      </w:r>
      <w:r w:rsidRPr="000C5543">
        <w:rPr>
          <w:sz w:val="24"/>
          <w:szCs w:val="24"/>
          <w:vertAlign w:val="subscript"/>
        </w:rPr>
        <w:t>3</w:t>
      </w:r>
      <w:r w:rsidRPr="000C5543">
        <w:rPr>
          <w:sz w:val="24"/>
          <w:szCs w:val="24"/>
        </w:rPr>
        <w:t xml:space="preserve"> modvirker udvikling af rakitis hos børn og osteomalaci hos voksne. Det modvirker også forhøjet parathyroideahormon (PTH), der forårsages af calciummangel, og som forårsager øget knogleresorption.</w:t>
      </w:r>
    </w:p>
    <w:p w:rsidR="00F46545" w:rsidRPr="000C5543" w:rsidRDefault="00F46545" w:rsidP="00F46545">
      <w:pPr>
        <w:ind w:left="851"/>
        <w:rPr>
          <w:sz w:val="24"/>
          <w:szCs w:val="24"/>
        </w:rPr>
      </w:pPr>
      <w:r w:rsidRPr="000C5543">
        <w:rPr>
          <w:sz w:val="24"/>
          <w:szCs w:val="24"/>
        </w:rPr>
        <w:lastRenderedPageBreak/>
        <w:t xml:space="preserve">Ud over knoglerne og tarmslimhinderne er der mange andre væv, der har D-vitamin-receptorer, som den aktive hormonelle form af vitamin D, calcitriol, binder til. </w:t>
      </w:r>
    </w:p>
    <w:p w:rsidR="00F46545" w:rsidRPr="000C5543" w:rsidRDefault="00F46545" w:rsidP="00F46545">
      <w:pPr>
        <w:tabs>
          <w:tab w:val="left" w:pos="851"/>
        </w:tabs>
        <w:ind w:left="851" w:hanging="851"/>
        <w:rPr>
          <w:sz w:val="24"/>
          <w:szCs w:val="24"/>
        </w:rPr>
      </w:pPr>
    </w:p>
    <w:p w:rsidR="00F46545" w:rsidRPr="000C5543" w:rsidRDefault="00F46545" w:rsidP="00F46545">
      <w:pPr>
        <w:numPr>
          <w:ilvl w:val="1"/>
          <w:numId w:val="3"/>
        </w:numPr>
        <w:ind w:left="851" w:hanging="851"/>
        <w:rPr>
          <w:b/>
          <w:sz w:val="24"/>
          <w:szCs w:val="24"/>
        </w:rPr>
      </w:pPr>
      <w:r w:rsidRPr="000C5543">
        <w:rPr>
          <w:b/>
          <w:sz w:val="24"/>
          <w:szCs w:val="24"/>
        </w:rPr>
        <w:t>Farmakokinetiske egenskaber</w:t>
      </w:r>
    </w:p>
    <w:p w:rsidR="00F46545" w:rsidRDefault="00F46545" w:rsidP="00F46545">
      <w:pPr>
        <w:ind w:left="851" w:hanging="851"/>
        <w:rPr>
          <w:i/>
          <w:sz w:val="24"/>
          <w:szCs w:val="24"/>
        </w:rPr>
      </w:pPr>
      <w:r w:rsidRPr="000C5543">
        <w:rPr>
          <w:sz w:val="24"/>
          <w:szCs w:val="24"/>
        </w:rPr>
        <w:tab/>
      </w:r>
      <w:r>
        <w:rPr>
          <w:i/>
          <w:sz w:val="24"/>
          <w:szCs w:val="24"/>
        </w:rPr>
        <w:t>Vitamin D</w:t>
      </w:r>
    </w:p>
    <w:p w:rsidR="00F46545" w:rsidRDefault="00F46545" w:rsidP="00F46545">
      <w:pPr>
        <w:ind w:left="851"/>
        <w:rPr>
          <w:sz w:val="24"/>
          <w:szCs w:val="24"/>
        </w:rPr>
      </w:pPr>
      <w:r>
        <w:rPr>
          <w:sz w:val="24"/>
          <w:szCs w:val="24"/>
          <w:u w:val="single"/>
        </w:rPr>
        <w:t>Absorption</w:t>
      </w:r>
    </w:p>
    <w:p w:rsidR="00F46545" w:rsidRDefault="00F46545" w:rsidP="00F46545">
      <w:pPr>
        <w:ind w:left="851"/>
        <w:rPr>
          <w:sz w:val="24"/>
          <w:szCs w:val="24"/>
        </w:rPr>
      </w:pPr>
      <w:r>
        <w:rPr>
          <w:sz w:val="24"/>
          <w:szCs w:val="24"/>
        </w:rPr>
        <w:t>Vitamin D absorberes let i tyndtarmen.</w:t>
      </w:r>
    </w:p>
    <w:p w:rsidR="00F46545" w:rsidRDefault="00F46545" w:rsidP="00F46545">
      <w:pPr>
        <w:ind w:left="851" w:hanging="851"/>
        <w:rPr>
          <w:sz w:val="24"/>
          <w:szCs w:val="24"/>
        </w:rPr>
      </w:pPr>
    </w:p>
    <w:p w:rsidR="00F46545" w:rsidRDefault="00F46545" w:rsidP="00F46545">
      <w:pPr>
        <w:ind w:left="851"/>
        <w:rPr>
          <w:sz w:val="24"/>
          <w:szCs w:val="24"/>
        </w:rPr>
      </w:pPr>
      <w:r>
        <w:rPr>
          <w:sz w:val="24"/>
          <w:szCs w:val="24"/>
          <w:u w:val="single"/>
        </w:rPr>
        <w:t>Fordeling og biotransformation</w:t>
      </w:r>
    </w:p>
    <w:p w:rsidR="00F46545" w:rsidRDefault="00F46545" w:rsidP="00F46545">
      <w:pPr>
        <w:ind w:left="851"/>
        <w:rPr>
          <w:sz w:val="24"/>
          <w:szCs w:val="24"/>
        </w:rPr>
      </w:pPr>
      <w:r>
        <w:rPr>
          <w:sz w:val="24"/>
          <w:szCs w:val="24"/>
        </w:rPr>
        <w:t>Cholecalciferol og dets metabolitter cirkulerer i blodet bundet til et specifikt globulin. Cholelcalciferol omdannes i leveren ved hydroxylering til 25-hydroxycholecalciferol. Derefter omdannes det videre i nyrerne til 1,25- dihydroxycholecalciferol. 1,25-dihydroxycholecalciferol er den aktive metabolit, der sørger for at øge calciumabsorptionen. Vitamin D, der ikke metaboliseres, lagres i fedt- og muskelvæv.</w:t>
      </w:r>
    </w:p>
    <w:p w:rsidR="00F46545" w:rsidRDefault="00F46545" w:rsidP="00F46545">
      <w:pPr>
        <w:ind w:left="851" w:hanging="851"/>
        <w:rPr>
          <w:sz w:val="24"/>
          <w:szCs w:val="24"/>
        </w:rPr>
      </w:pPr>
    </w:p>
    <w:p w:rsidR="00F46545" w:rsidRDefault="00F46545" w:rsidP="00F46545">
      <w:pPr>
        <w:ind w:left="851"/>
        <w:rPr>
          <w:sz w:val="24"/>
          <w:szCs w:val="24"/>
        </w:rPr>
      </w:pPr>
      <w:r>
        <w:rPr>
          <w:sz w:val="24"/>
          <w:szCs w:val="24"/>
          <w:u w:val="single"/>
        </w:rPr>
        <w:t>Elimination</w:t>
      </w:r>
    </w:p>
    <w:p w:rsidR="00F46545" w:rsidRDefault="00F46545" w:rsidP="00F46545">
      <w:pPr>
        <w:ind w:left="851"/>
        <w:rPr>
          <w:sz w:val="24"/>
          <w:szCs w:val="24"/>
        </w:rPr>
      </w:pPr>
      <w:r>
        <w:rPr>
          <w:sz w:val="24"/>
          <w:szCs w:val="24"/>
        </w:rPr>
        <w:t>Vitamin D udskilles i fæces og urin.</w:t>
      </w:r>
    </w:p>
    <w:p w:rsidR="00F46545" w:rsidRPr="000C5543" w:rsidRDefault="00F46545" w:rsidP="00F46545">
      <w:pPr>
        <w:ind w:left="851" w:hanging="851"/>
        <w:rPr>
          <w:sz w:val="24"/>
          <w:szCs w:val="24"/>
        </w:rPr>
      </w:pPr>
    </w:p>
    <w:p w:rsidR="00F46545" w:rsidRPr="000C5543" w:rsidRDefault="00E53B39" w:rsidP="00F46545">
      <w:pPr>
        <w:numPr>
          <w:ilvl w:val="1"/>
          <w:numId w:val="4"/>
        </w:numPr>
        <w:ind w:left="851" w:hanging="851"/>
        <w:rPr>
          <w:b/>
          <w:sz w:val="24"/>
          <w:szCs w:val="24"/>
        </w:rPr>
      </w:pPr>
      <w:r>
        <w:rPr>
          <w:b/>
          <w:sz w:val="24"/>
          <w:szCs w:val="24"/>
        </w:rPr>
        <w:t>Non-</w:t>
      </w:r>
      <w:r w:rsidR="00F46545" w:rsidRPr="000C5543">
        <w:rPr>
          <w:b/>
          <w:sz w:val="24"/>
          <w:szCs w:val="24"/>
        </w:rPr>
        <w:t>kliniske sikkerhedsdata</w:t>
      </w:r>
    </w:p>
    <w:p w:rsidR="00F46545" w:rsidRPr="000C5543" w:rsidRDefault="00F46545" w:rsidP="00F46545">
      <w:pPr>
        <w:ind w:left="851" w:hanging="851"/>
        <w:rPr>
          <w:sz w:val="24"/>
          <w:szCs w:val="24"/>
        </w:rPr>
      </w:pPr>
      <w:r w:rsidRPr="000C5543">
        <w:rPr>
          <w:sz w:val="24"/>
          <w:szCs w:val="24"/>
        </w:rPr>
        <w:tab/>
        <w:t>Ved doser, der ligger langt over de terapeutiske doser til mennesker, er teratogenicitet observeret i dyreforsøg. Der foreligger ikke yderligere data af relevans for sikkerhedsvurderingen ud over dem, der er anført andetsteds i produktresuméet.</w:t>
      </w:r>
    </w:p>
    <w:p w:rsidR="00F46545" w:rsidRPr="000C5543" w:rsidRDefault="00F46545" w:rsidP="00F46545">
      <w:pPr>
        <w:tabs>
          <w:tab w:val="left" w:pos="851"/>
        </w:tabs>
        <w:ind w:left="851" w:hanging="851"/>
        <w:rPr>
          <w:sz w:val="24"/>
          <w:szCs w:val="24"/>
        </w:rPr>
      </w:pPr>
    </w:p>
    <w:p w:rsidR="00F46545" w:rsidRPr="000C5543" w:rsidRDefault="00F46545" w:rsidP="00F46545">
      <w:pPr>
        <w:tabs>
          <w:tab w:val="left" w:pos="851"/>
        </w:tabs>
        <w:ind w:left="851" w:hanging="851"/>
        <w:rPr>
          <w:sz w:val="24"/>
          <w:szCs w:val="24"/>
        </w:rPr>
      </w:pPr>
    </w:p>
    <w:p w:rsidR="00F46545" w:rsidRPr="000C5543" w:rsidRDefault="00F46545" w:rsidP="00F46545">
      <w:pPr>
        <w:numPr>
          <w:ilvl w:val="0"/>
          <w:numId w:val="3"/>
        </w:numPr>
        <w:ind w:left="851" w:hanging="851"/>
        <w:rPr>
          <w:b/>
          <w:sz w:val="24"/>
          <w:szCs w:val="24"/>
        </w:rPr>
      </w:pPr>
      <w:r w:rsidRPr="000C5543">
        <w:rPr>
          <w:b/>
          <w:sz w:val="24"/>
          <w:szCs w:val="24"/>
        </w:rPr>
        <w:t>FARMACEUTISKE OPLYSNINGER</w:t>
      </w:r>
    </w:p>
    <w:p w:rsidR="00F46545" w:rsidRPr="000C5543" w:rsidRDefault="00F46545" w:rsidP="00F46545">
      <w:pPr>
        <w:tabs>
          <w:tab w:val="left" w:pos="851"/>
        </w:tabs>
        <w:ind w:left="851" w:hanging="851"/>
        <w:rPr>
          <w:b/>
          <w:sz w:val="24"/>
          <w:szCs w:val="24"/>
        </w:rPr>
      </w:pPr>
    </w:p>
    <w:p w:rsidR="00F46545" w:rsidRDefault="00F46545" w:rsidP="00F46545">
      <w:pPr>
        <w:numPr>
          <w:ilvl w:val="1"/>
          <w:numId w:val="5"/>
        </w:numPr>
        <w:ind w:left="851" w:hanging="851"/>
        <w:rPr>
          <w:b/>
          <w:sz w:val="24"/>
          <w:szCs w:val="24"/>
        </w:rPr>
      </w:pPr>
      <w:r w:rsidRPr="000C5543">
        <w:rPr>
          <w:b/>
          <w:sz w:val="24"/>
          <w:szCs w:val="24"/>
        </w:rPr>
        <w:t>Hjælpestoffer</w:t>
      </w:r>
    </w:p>
    <w:p w:rsidR="00F46545" w:rsidRDefault="00F46545" w:rsidP="00F46545">
      <w:pPr>
        <w:ind w:left="851"/>
        <w:rPr>
          <w:sz w:val="24"/>
          <w:szCs w:val="24"/>
        </w:rPr>
      </w:pPr>
      <w:r>
        <w:rPr>
          <w:sz w:val="24"/>
          <w:szCs w:val="24"/>
        </w:rPr>
        <w:t xml:space="preserve">Pregelatineret majsstivelse </w:t>
      </w:r>
    </w:p>
    <w:p w:rsidR="00F46545" w:rsidRDefault="00F46545" w:rsidP="00F46545">
      <w:pPr>
        <w:ind w:left="851"/>
        <w:rPr>
          <w:sz w:val="24"/>
          <w:szCs w:val="24"/>
        </w:rPr>
      </w:pPr>
      <w:r>
        <w:rPr>
          <w:sz w:val="24"/>
          <w:szCs w:val="24"/>
        </w:rPr>
        <w:t>Isomalt (E953)</w:t>
      </w:r>
    </w:p>
    <w:p w:rsidR="00F46545" w:rsidRDefault="00F46545" w:rsidP="00F46545">
      <w:pPr>
        <w:ind w:left="851"/>
        <w:rPr>
          <w:sz w:val="24"/>
          <w:szCs w:val="24"/>
        </w:rPr>
      </w:pPr>
      <w:r>
        <w:rPr>
          <w:sz w:val="24"/>
          <w:szCs w:val="24"/>
        </w:rPr>
        <w:t>Magnesiumstearat</w:t>
      </w:r>
    </w:p>
    <w:p w:rsidR="00F46545" w:rsidRDefault="00F46545" w:rsidP="00F46545">
      <w:pPr>
        <w:ind w:left="851"/>
        <w:rPr>
          <w:sz w:val="24"/>
          <w:szCs w:val="24"/>
        </w:rPr>
      </w:pPr>
      <w:r>
        <w:rPr>
          <w:sz w:val="24"/>
          <w:szCs w:val="24"/>
        </w:rPr>
        <w:t>Saccharose</w:t>
      </w:r>
    </w:p>
    <w:p w:rsidR="00F46545" w:rsidRDefault="00F46545" w:rsidP="00F46545">
      <w:pPr>
        <w:ind w:left="851"/>
        <w:rPr>
          <w:sz w:val="24"/>
          <w:szCs w:val="24"/>
        </w:rPr>
      </w:pPr>
      <w:r>
        <w:rPr>
          <w:sz w:val="24"/>
          <w:szCs w:val="24"/>
        </w:rPr>
        <w:t>Natriumascorbat</w:t>
      </w:r>
    </w:p>
    <w:p w:rsidR="00F46545" w:rsidRDefault="00F46545" w:rsidP="00F46545">
      <w:pPr>
        <w:ind w:left="851"/>
        <w:rPr>
          <w:sz w:val="24"/>
          <w:szCs w:val="24"/>
        </w:rPr>
      </w:pPr>
      <w:r>
        <w:rPr>
          <w:sz w:val="24"/>
          <w:szCs w:val="24"/>
        </w:rPr>
        <w:t>Mellemlange triglyceridkæder</w:t>
      </w:r>
    </w:p>
    <w:p w:rsidR="00F46545" w:rsidRDefault="00F46545" w:rsidP="00F46545">
      <w:pPr>
        <w:ind w:left="851"/>
        <w:rPr>
          <w:sz w:val="24"/>
          <w:szCs w:val="24"/>
        </w:rPr>
      </w:pPr>
      <w:r>
        <w:rPr>
          <w:sz w:val="24"/>
          <w:szCs w:val="24"/>
        </w:rPr>
        <w:t>Vandfri, kolloid silica</w:t>
      </w:r>
    </w:p>
    <w:p w:rsidR="00F46545" w:rsidRDefault="00F46545" w:rsidP="00F46545">
      <w:pPr>
        <w:ind w:left="851"/>
        <w:rPr>
          <w:sz w:val="24"/>
          <w:szCs w:val="24"/>
        </w:rPr>
      </w:pPr>
      <w:r>
        <w:rPr>
          <w:sz w:val="24"/>
          <w:szCs w:val="24"/>
          <w:lang w:val="en-US"/>
        </w:rPr>
        <w:t>Fødevare modificeret (majs) stivelse</w:t>
      </w:r>
    </w:p>
    <w:p w:rsidR="00F46545" w:rsidRDefault="00F46545" w:rsidP="00F46545">
      <w:pPr>
        <w:ind w:left="851"/>
        <w:rPr>
          <w:sz w:val="24"/>
          <w:szCs w:val="24"/>
        </w:rPr>
      </w:pPr>
      <w:r>
        <w:rPr>
          <w:sz w:val="24"/>
          <w:szCs w:val="24"/>
        </w:rPr>
        <w:t>All-rac-alfa-tocopherol</w:t>
      </w:r>
    </w:p>
    <w:p w:rsidR="00F46545" w:rsidRPr="000C5543" w:rsidRDefault="00F46545" w:rsidP="00F46545">
      <w:pPr>
        <w:tabs>
          <w:tab w:val="left" w:pos="851"/>
        </w:tabs>
        <w:ind w:left="851" w:hanging="851"/>
        <w:rPr>
          <w:sz w:val="24"/>
          <w:szCs w:val="24"/>
        </w:rPr>
      </w:pPr>
    </w:p>
    <w:p w:rsidR="00F46545" w:rsidRPr="000C5543" w:rsidRDefault="00F46545" w:rsidP="00F46545">
      <w:pPr>
        <w:numPr>
          <w:ilvl w:val="1"/>
          <w:numId w:val="5"/>
        </w:numPr>
        <w:ind w:left="851" w:hanging="851"/>
        <w:rPr>
          <w:b/>
          <w:sz w:val="24"/>
          <w:szCs w:val="24"/>
        </w:rPr>
      </w:pPr>
      <w:r w:rsidRPr="000C5543">
        <w:rPr>
          <w:b/>
          <w:sz w:val="24"/>
          <w:szCs w:val="24"/>
        </w:rPr>
        <w:t>Uforligeligheder</w:t>
      </w:r>
    </w:p>
    <w:p w:rsidR="00F46545" w:rsidRPr="000C5543" w:rsidRDefault="00F46545" w:rsidP="00F46545">
      <w:pPr>
        <w:ind w:left="851"/>
        <w:jc w:val="both"/>
        <w:rPr>
          <w:sz w:val="24"/>
          <w:szCs w:val="24"/>
        </w:rPr>
      </w:pPr>
      <w:r w:rsidRPr="000C5543">
        <w:rPr>
          <w:sz w:val="24"/>
          <w:szCs w:val="24"/>
        </w:rPr>
        <w:t>Ikke relevant.</w:t>
      </w:r>
    </w:p>
    <w:p w:rsidR="00F46545" w:rsidRPr="000C5543" w:rsidRDefault="00F46545" w:rsidP="00F46545">
      <w:pPr>
        <w:tabs>
          <w:tab w:val="left" w:pos="851"/>
        </w:tabs>
        <w:ind w:left="851" w:hanging="851"/>
        <w:rPr>
          <w:sz w:val="24"/>
          <w:szCs w:val="24"/>
        </w:rPr>
      </w:pPr>
    </w:p>
    <w:p w:rsidR="00F46545" w:rsidRPr="000C5543" w:rsidRDefault="00F46545" w:rsidP="00F46545">
      <w:pPr>
        <w:numPr>
          <w:ilvl w:val="1"/>
          <w:numId w:val="5"/>
        </w:numPr>
        <w:ind w:left="851" w:hanging="851"/>
        <w:rPr>
          <w:b/>
          <w:sz w:val="24"/>
          <w:szCs w:val="24"/>
        </w:rPr>
      </w:pPr>
      <w:r w:rsidRPr="000C5543">
        <w:rPr>
          <w:b/>
          <w:sz w:val="24"/>
          <w:szCs w:val="24"/>
        </w:rPr>
        <w:t>Opbevaringstid</w:t>
      </w:r>
    </w:p>
    <w:p w:rsidR="00F46545" w:rsidRPr="000C5543" w:rsidRDefault="00F46545" w:rsidP="00F46545">
      <w:pPr>
        <w:ind w:left="851" w:hanging="851"/>
        <w:jc w:val="both"/>
        <w:rPr>
          <w:sz w:val="24"/>
          <w:szCs w:val="24"/>
        </w:rPr>
      </w:pPr>
      <w:r w:rsidRPr="000C5543">
        <w:rPr>
          <w:sz w:val="24"/>
          <w:szCs w:val="24"/>
        </w:rPr>
        <w:tab/>
      </w:r>
      <w:r>
        <w:rPr>
          <w:sz w:val="24"/>
          <w:szCs w:val="24"/>
        </w:rPr>
        <w:t xml:space="preserve">3 </w:t>
      </w:r>
      <w:r w:rsidRPr="000C5543">
        <w:rPr>
          <w:sz w:val="24"/>
          <w:szCs w:val="24"/>
        </w:rPr>
        <w:t>år.</w:t>
      </w:r>
    </w:p>
    <w:p w:rsidR="00F46545" w:rsidRPr="000C5543" w:rsidRDefault="00F46545" w:rsidP="00F46545">
      <w:pPr>
        <w:tabs>
          <w:tab w:val="left" w:pos="851"/>
        </w:tabs>
        <w:ind w:left="851" w:hanging="851"/>
        <w:rPr>
          <w:sz w:val="24"/>
          <w:szCs w:val="24"/>
        </w:rPr>
      </w:pPr>
    </w:p>
    <w:p w:rsidR="00F46545" w:rsidRPr="000C5543" w:rsidRDefault="00F46545" w:rsidP="00F46545">
      <w:pPr>
        <w:numPr>
          <w:ilvl w:val="1"/>
          <w:numId w:val="5"/>
        </w:numPr>
        <w:ind w:left="851" w:hanging="851"/>
        <w:rPr>
          <w:b/>
          <w:sz w:val="24"/>
          <w:szCs w:val="24"/>
        </w:rPr>
      </w:pPr>
      <w:r w:rsidRPr="000C5543">
        <w:rPr>
          <w:b/>
          <w:sz w:val="24"/>
          <w:szCs w:val="24"/>
        </w:rPr>
        <w:t>Særlige opbevaringsforhold</w:t>
      </w:r>
    </w:p>
    <w:p w:rsidR="00F46545" w:rsidRDefault="00F46545" w:rsidP="00F46545">
      <w:pPr>
        <w:ind w:left="851" w:hanging="851"/>
        <w:rPr>
          <w:sz w:val="24"/>
          <w:szCs w:val="24"/>
        </w:rPr>
      </w:pPr>
      <w:r w:rsidRPr="000C5543">
        <w:rPr>
          <w:sz w:val="24"/>
          <w:szCs w:val="24"/>
        </w:rPr>
        <w:tab/>
      </w:r>
      <w:r>
        <w:rPr>
          <w:sz w:val="24"/>
          <w:szCs w:val="24"/>
        </w:rPr>
        <w:t>Må ikke opbevares ved temperaturer over 30 °C.</w:t>
      </w:r>
    </w:p>
    <w:p w:rsidR="00F46545" w:rsidRDefault="00F46545" w:rsidP="00F46545">
      <w:pPr>
        <w:ind w:left="851"/>
        <w:rPr>
          <w:sz w:val="24"/>
          <w:szCs w:val="24"/>
        </w:rPr>
      </w:pPr>
      <w:r>
        <w:rPr>
          <w:sz w:val="24"/>
          <w:szCs w:val="24"/>
        </w:rPr>
        <w:t>Opbevares i den originale beholder for at beskytte mod lys. Hold beholderen tæt tillukket for at beskytte mod fugt.</w:t>
      </w:r>
    </w:p>
    <w:p w:rsidR="00F46545" w:rsidRPr="000C5543" w:rsidRDefault="00F46545" w:rsidP="00F46545">
      <w:pPr>
        <w:ind w:left="851" w:hanging="851"/>
        <w:rPr>
          <w:sz w:val="24"/>
          <w:szCs w:val="24"/>
        </w:rPr>
      </w:pPr>
    </w:p>
    <w:p w:rsidR="00F46545" w:rsidRPr="000C5543" w:rsidRDefault="00F46545" w:rsidP="00F46545">
      <w:pPr>
        <w:numPr>
          <w:ilvl w:val="1"/>
          <w:numId w:val="5"/>
        </w:numPr>
        <w:ind w:left="851" w:hanging="851"/>
        <w:rPr>
          <w:b/>
          <w:sz w:val="24"/>
          <w:szCs w:val="24"/>
        </w:rPr>
      </w:pPr>
      <w:r w:rsidRPr="000C5543">
        <w:rPr>
          <w:b/>
          <w:sz w:val="24"/>
          <w:szCs w:val="24"/>
        </w:rPr>
        <w:t>Emballagetype og pakningsstørrelser</w:t>
      </w:r>
    </w:p>
    <w:p w:rsidR="00F46545" w:rsidRPr="000C5543" w:rsidRDefault="00F46545" w:rsidP="00F46545">
      <w:pPr>
        <w:ind w:left="851" w:hanging="851"/>
        <w:rPr>
          <w:sz w:val="24"/>
          <w:szCs w:val="24"/>
        </w:rPr>
      </w:pPr>
      <w:r w:rsidRPr="000C5543">
        <w:rPr>
          <w:sz w:val="24"/>
          <w:szCs w:val="24"/>
        </w:rPr>
        <w:tab/>
        <w:t xml:space="preserve">30, 60, 90 i hvide, ugennemsigtige PVC/PVDC/aluminiumsblistere i ydre karton. </w:t>
      </w:r>
    </w:p>
    <w:p w:rsidR="00F46545" w:rsidRPr="000C5543" w:rsidRDefault="00F46545" w:rsidP="00F46545">
      <w:pPr>
        <w:ind w:left="851"/>
        <w:rPr>
          <w:sz w:val="24"/>
          <w:szCs w:val="24"/>
        </w:rPr>
      </w:pPr>
      <w:r w:rsidRPr="000C5543">
        <w:rPr>
          <w:sz w:val="24"/>
          <w:szCs w:val="24"/>
        </w:rPr>
        <w:t>250 tabletter i plastbeholdere af HDPE med kliklåg af LDPE.</w:t>
      </w:r>
    </w:p>
    <w:p w:rsidR="00F46545" w:rsidRPr="000C5543" w:rsidRDefault="00F46545" w:rsidP="00F46545">
      <w:pPr>
        <w:ind w:left="851" w:hanging="851"/>
        <w:jc w:val="both"/>
        <w:rPr>
          <w:sz w:val="24"/>
          <w:szCs w:val="24"/>
        </w:rPr>
      </w:pPr>
    </w:p>
    <w:p w:rsidR="00F46545" w:rsidRPr="000C5543" w:rsidRDefault="00F46545" w:rsidP="00F46545">
      <w:pPr>
        <w:ind w:left="851"/>
        <w:jc w:val="both"/>
        <w:rPr>
          <w:sz w:val="24"/>
          <w:szCs w:val="24"/>
        </w:rPr>
      </w:pPr>
      <w:r w:rsidRPr="000C5543">
        <w:rPr>
          <w:sz w:val="24"/>
          <w:szCs w:val="24"/>
        </w:rPr>
        <w:lastRenderedPageBreak/>
        <w:t>Ikke alle pakningsstørrelser er nødvendigvis markedsført.</w:t>
      </w:r>
    </w:p>
    <w:p w:rsidR="00883E32" w:rsidRPr="000C5543" w:rsidRDefault="00883E32" w:rsidP="001E6978">
      <w:pPr>
        <w:tabs>
          <w:tab w:val="left" w:pos="851"/>
        </w:tabs>
        <w:rPr>
          <w:sz w:val="24"/>
          <w:szCs w:val="24"/>
        </w:rPr>
      </w:pPr>
    </w:p>
    <w:p w:rsidR="00F46545" w:rsidRPr="000C5543" w:rsidRDefault="00F46545" w:rsidP="00F46545">
      <w:pPr>
        <w:numPr>
          <w:ilvl w:val="1"/>
          <w:numId w:val="5"/>
        </w:numPr>
        <w:ind w:left="851" w:hanging="851"/>
        <w:rPr>
          <w:b/>
          <w:sz w:val="24"/>
          <w:szCs w:val="24"/>
        </w:rPr>
      </w:pPr>
      <w:r w:rsidRPr="000C5543">
        <w:rPr>
          <w:b/>
          <w:sz w:val="24"/>
          <w:szCs w:val="24"/>
        </w:rPr>
        <w:t xml:space="preserve">Regler for </w:t>
      </w:r>
      <w:r w:rsidR="00E53B39">
        <w:rPr>
          <w:b/>
          <w:sz w:val="24"/>
          <w:szCs w:val="24"/>
        </w:rPr>
        <w:t>bortskaffelse</w:t>
      </w:r>
      <w:r w:rsidRPr="000C5543">
        <w:rPr>
          <w:b/>
          <w:sz w:val="24"/>
          <w:szCs w:val="24"/>
        </w:rPr>
        <w:t xml:space="preserve"> og anden håndtering</w:t>
      </w:r>
    </w:p>
    <w:p w:rsidR="00F46545" w:rsidRDefault="00F46545" w:rsidP="00F46545">
      <w:pPr>
        <w:ind w:left="851" w:hanging="851"/>
        <w:jc w:val="both"/>
        <w:rPr>
          <w:sz w:val="24"/>
          <w:szCs w:val="24"/>
        </w:rPr>
      </w:pPr>
      <w:r w:rsidRPr="000C5543">
        <w:rPr>
          <w:sz w:val="24"/>
          <w:szCs w:val="24"/>
        </w:rPr>
        <w:tab/>
        <w:t>Ingen særlige forholdsregler.</w:t>
      </w:r>
      <w:r>
        <w:rPr>
          <w:sz w:val="24"/>
          <w:szCs w:val="24"/>
        </w:rPr>
        <w:t xml:space="preserve"> </w:t>
      </w:r>
    </w:p>
    <w:p w:rsidR="00F46545" w:rsidRPr="000C5543" w:rsidRDefault="00F46545" w:rsidP="00F46545">
      <w:pPr>
        <w:tabs>
          <w:tab w:val="left" w:pos="851"/>
        </w:tabs>
        <w:ind w:left="851" w:hanging="851"/>
        <w:jc w:val="both"/>
        <w:rPr>
          <w:sz w:val="24"/>
          <w:szCs w:val="24"/>
        </w:rPr>
      </w:pPr>
    </w:p>
    <w:p w:rsidR="00F46545" w:rsidRPr="000C5543" w:rsidRDefault="00F46545" w:rsidP="00F46545">
      <w:pPr>
        <w:tabs>
          <w:tab w:val="left" w:pos="851"/>
        </w:tabs>
        <w:ind w:left="851" w:hanging="851"/>
        <w:rPr>
          <w:b/>
          <w:sz w:val="24"/>
          <w:szCs w:val="24"/>
        </w:rPr>
      </w:pPr>
      <w:r w:rsidRPr="000C5543">
        <w:rPr>
          <w:b/>
          <w:sz w:val="24"/>
          <w:szCs w:val="24"/>
        </w:rPr>
        <w:t>7.</w:t>
      </w:r>
      <w:r w:rsidRPr="000C5543">
        <w:rPr>
          <w:b/>
          <w:sz w:val="24"/>
          <w:szCs w:val="24"/>
        </w:rPr>
        <w:tab/>
        <w:t>INDEHAVER AF MARKEDSFØRINGSTILLADELSEN</w:t>
      </w:r>
    </w:p>
    <w:p w:rsidR="005F08F1" w:rsidRPr="00544C13" w:rsidRDefault="00883E32" w:rsidP="005F08F1">
      <w:pPr>
        <w:tabs>
          <w:tab w:val="left" w:pos="0"/>
          <w:tab w:val="left" w:pos="851"/>
        </w:tabs>
        <w:ind w:left="850" w:hanging="850"/>
        <w:jc w:val="both"/>
        <w:rPr>
          <w:sz w:val="24"/>
          <w:szCs w:val="24"/>
        </w:rPr>
      </w:pPr>
      <w:r w:rsidRPr="00E56C7E">
        <w:tab/>
      </w:r>
      <w:proofErr w:type="spellStart"/>
      <w:r w:rsidR="005F08F1" w:rsidRPr="00544C13">
        <w:rPr>
          <w:sz w:val="24"/>
          <w:szCs w:val="24"/>
        </w:rPr>
        <w:t>Viatris</w:t>
      </w:r>
      <w:proofErr w:type="spellEnd"/>
      <w:r w:rsidR="005F08F1" w:rsidRPr="00544C13">
        <w:rPr>
          <w:sz w:val="24"/>
          <w:szCs w:val="24"/>
        </w:rPr>
        <w:t xml:space="preserve"> ApS</w:t>
      </w:r>
    </w:p>
    <w:p w:rsidR="005F08F1" w:rsidRPr="00544C13" w:rsidRDefault="005F08F1" w:rsidP="005F08F1">
      <w:pPr>
        <w:tabs>
          <w:tab w:val="left" w:pos="0"/>
          <w:tab w:val="left" w:pos="851"/>
        </w:tabs>
        <w:ind w:left="850" w:hanging="850"/>
        <w:jc w:val="both"/>
        <w:rPr>
          <w:sz w:val="24"/>
          <w:szCs w:val="24"/>
        </w:rPr>
      </w:pPr>
      <w:r w:rsidRPr="00544C13">
        <w:rPr>
          <w:sz w:val="24"/>
          <w:szCs w:val="24"/>
        </w:rPr>
        <w:tab/>
        <w:t>Borupvang 1</w:t>
      </w:r>
    </w:p>
    <w:p w:rsidR="00F46545" w:rsidRPr="00544C13" w:rsidRDefault="005F08F1" w:rsidP="005F08F1">
      <w:pPr>
        <w:tabs>
          <w:tab w:val="left" w:pos="0"/>
          <w:tab w:val="left" w:pos="851"/>
        </w:tabs>
        <w:ind w:left="850" w:hanging="850"/>
        <w:jc w:val="both"/>
      </w:pPr>
      <w:r w:rsidRPr="00544C13">
        <w:rPr>
          <w:sz w:val="24"/>
          <w:szCs w:val="24"/>
        </w:rPr>
        <w:tab/>
        <w:t>2750 Ballerup</w:t>
      </w:r>
    </w:p>
    <w:p w:rsidR="005F08F1" w:rsidRPr="000C5543" w:rsidRDefault="005F08F1" w:rsidP="005F08F1">
      <w:pPr>
        <w:tabs>
          <w:tab w:val="left" w:pos="0"/>
          <w:tab w:val="left" w:pos="851"/>
        </w:tabs>
        <w:ind w:left="850" w:hanging="850"/>
        <w:jc w:val="both"/>
        <w:rPr>
          <w:sz w:val="24"/>
          <w:szCs w:val="24"/>
        </w:rPr>
      </w:pPr>
    </w:p>
    <w:p w:rsidR="00F46545" w:rsidRPr="000C5543" w:rsidRDefault="00F46545" w:rsidP="00F46545">
      <w:pPr>
        <w:tabs>
          <w:tab w:val="left" w:pos="851"/>
        </w:tabs>
        <w:ind w:left="851" w:hanging="851"/>
        <w:rPr>
          <w:b/>
          <w:sz w:val="24"/>
          <w:szCs w:val="24"/>
        </w:rPr>
      </w:pPr>
      <w:r w:rsidRPr="000C5543">
        <w:rPr>
          <w:b/>
          <w:sz w:val="24"/>
          <w:szCs w:val="24"/>
        </w:rPr>
        <w:t>8.</w:t>
      </w:r>
      <w:r w:rsidRPr="000C5543">
        <w:rPr>
          <w:b/>
          <w:sz w:val="24"/>
          <w:szCs w:val="24"/>
        </w:rPr>
        <w:tab/>
        <w:t>MARKEDSFØRINGSTILLADELSESNUMMER (</w:t>
      </w:r>
      <w:r w:rsidR="00E53B39">
        <w:rPr>
          <w:b/>
          <w:sz w:val="24"/>
          <w:szCs w:val="24"/>
        </w:rPr>
        <w:t>-</w:t>
      </w:r>
      <w:r w:rsidRPr="000C5543">
        <w:rPr>
          <w:b/>
          <w:sz w:val="24"/>
          <w:szCs w:val="24"/>
        </w:rPr>
        <w:t>NUMRE)</w:t>
      </w:r>
    </w:p>
    <w:p w:rsidR="00F46545" w:rsidRPr="000C5543" w:rsidRDefault="00F46545" w:rsidP="00F46545">
      <w:pPr>
        <w:tabs>
          <w:tab w:val="left" w:pos="851"/>
        </w:tabs>
        <w:ind w:left="851" w:hanging="851"/>
        <w:rPr>
          <w:sz w:val="24"/>
          <w:szCs w:val="24"/>
        </w:rPr>
      </w:pPr>
      <w:r w:rsidRPr="000C5543">
        <w:rPr>
          <w:sz w:val="24"/>
          <w:szCs w:val="24"/>
        </w:rPr>
        <w:tab/>
        <w:t>48745</w:t>
      </w:r>
    </w:p>
    <w:p w:rsidR="00F46545" w:rsidRPr="000C5543" w:rsidRDefault="00F46545" w:rsidP="00F46545">
      <w:pPr>
        <w:tabs>
          <w:tab w:val="left" w:pos="851"/>
        </w:tabs>
        <w:ind w:left="851" w:hanging="851"/>
        <w:jc w:val="both"/>
        <w:rPr>
          <w:sz w:val="24"/>
          <w:szCs w:val="24"/>
        </w:rPr>
      </w:pPr>
    </w:p>
    <w:p w:rsidR="00F46545" w:rsidRPr="000C5543" w:rsidRDefault="00F46545" w:rsidP="00F46545">
      <w:pPr>
        <w:tabs>
          <w:tab w:val="left" w:pos="851"/>
        </w:tabs>
        <w:ind w:left="851" w:hanging="851"/>
        <w:rPr>
          <w:b/>
          <w:sz w:val="24"/>
          <w:szCs w:val="24"/>
        </w:rPr>
      </w:pPr>
      <w:r w:rsidRPr="000C5543">
        <w:rPr>
          <w:b/>
          <w:sz w:val="24"/>
          <w:szCs w:val="24"/>
        </w:rPr>
        <w:t>9.</w:t>
      </w:r>
      <w:r w:rsidRPr="000C5543">
        <w:rPr>
          <w:b/>
          <w:sz w:val="24"/>
          <w:szCs w:val="24"/>
        </w:rPr>
        <w:tab/>
        <w:t>DATO FOR FØRSTE MARKEDSFØRINGSTILLADELSE</w:t>
      </w:r>
    </w:p>
    <w:p w:rsidR="00F46545" w:rsidRPr="000C5543" w:rsidRDefault="00F46545" w:rsidP="00F46545">
      <w:pPr>
        <w:tabs>
          <w:tab w:val="left" w:pos="851"/>
        </w:tabs>
        <w:ind w:left="851" w:hanging="851"/>
        <w:rPr>
          <w:sz w:val="24"/>
          <w:szCs w:val="24"/>
        </w:rPr>
      </w:pPr>
      <w:r w:rsidRPr="000C5543">
        <w:rPr>
          <w:sz w:val="24"/>
          <w:szCs w:val="24"/>
        </w:rPr>
        <w:tab/>
        <w:t>22. maj 2012</w:t>
      </w:r>
    </w:p>
    <w:p w:rsidR="00F46545" w:rsidRPr="000C5543" w:rsidRDefault="00F46545" w:rsidP="00F46545">
      <w:pPr>
        <w:tabs>
          <w:tab w:val="left" w:pos="851"/>
        </w:tabs>
        <w:ind w:left="851" w:hanging="851"/>
        <w:rPr>
          <w:sz w:val="24"/>
          <w:szCs w:val="24"/>
        </w:rPr>
      </w:pPr>
    </w:p>
    <w:p w:rsidR="00F46545" w:rsidRPr="000C5543" w:rsidRDefault="00F46545" w:rsidP="00F46545">
      <w:pPr>
        <w:tabs>
          <w:tab w:val="left" w:pos="851"/>
        </w:tabs>
        <w:ind w:left="851" w:hanging="851"/>
        <w:rPr>
          <w:b/>
          <w:sz w:val="24"/>
          <w:szCs w:val="24"/>
        </w:rPr>
      </w:pPr>
      <w:r w:rsidRPr="000C5543">
        <w:rPr>
          <w:b/>
          <w:sz w:val="24"/>
          <w:szCs w:val="24"/>
        </w:rPr>
        <w:t>10.</w:t>
      </w:r>
      <w:r w:rsidRPr="000C5543">
        <w:rPr>
          <w:b/>
          <w:sz w:val="24"/>
          <w:szCs w:val="24"/>
        </w:rPr>
        <w:tab/>
        <w:t>DATO FOR ÆNDRING AF TEKSTEN</w:t>
      </w:r>
    </w:p>
    <w:p w:rsidR="00F46545" w:rsidRDefault="00F46545" w:rsidP="00F46545">
      <w:pPr>
        <w:tabs>
          <w:tab w:val="left" w:pos="851"/>
        </w:tabs>
        <w:ind w:left="851" w:hanging="851"/>
        <w:rPr>
          <w:sz w:val="24"/>
          <w:szCs w:val="24"/>
        </w:rPr>
      </w:pPr>
      <w:r w:rsidRPr="000C5543">
        <w:rPr>
          <w:sz w:val="24"/>
          <w:szCs w:val="24"/>
        </w:rPr>
        <w:tab/>
      </w:r>
      <w:r w:rsidR="0087055D">
        <w:rPr>
          <w:sz w:val="24"/>
          <w:szCs w:val="24"/>
        </w:rPr>
        <w:t>4</w:t>
      </w:r>
      <w:r w:rsidR="001E6978" w:rsidRPr="001E6978">
        <w:rPr>
          <w:sz w:val="24"/>
          <w:szCs w:val="24"/>
        </w:rPr>
        <w:t>. oktober 2023</w:t>
      </w:r>
    </w:p>
    <w:p w:rsidR="00F46545" w:rsidRDefault="00F46545" w:rsidP="00F46545">
      <w:pPr>
        <w:tabs>
          <w:tab w:val="left" w:pos="851"/>
        </w:tabs>
        <w:ind w:left="851" w:hanging="851"/>
        <w:rPr>
          <w:sz w:val="24"/>
          <w:szCs w:val="24"/>
        </w:rPr>
      </w:pPr>
    </w:p>
    <w:p w:rsidR="00F46545" w:rsidRPr="000C5543" w:rsidRDefault="00F46545" w:rsidP="00F46545">
      <w:pPr>
        <w:tabs>
          <w:tab w:val="left" w:pos="851"/>
        </w:tabs>
        <w:ind w:left="851" w:hanging="851"/>
        <w:rPr>
          <w:sz w:val="24"/>
          <w:szCs w:val="24"/>
        </w:rPr>
      </w:pPr>
    </w:p>
    <w:p w:rsidR="00F46545" w:rsidRPr="00E02BA7" w:rsidRDefault="00F46545" w:rsidP="00F46545"/>
    <w:p w:rsidR="00F46545" w:rsidRPr="005519FD" w:rsidRDefault="00F46545" w:rsidP="00F46545"/>
    <w:p w:rsidR="009260DE" w:rsidRPr="00F46545" w:rsidRDefault="009260DE" w:rsidP="00F46545"/>
    <w:sectPr w:rsidR="009260DE" w:rsidRPr="00F46545" w:rsidSect="00883E32">
      <w:footerReference w:type="default" r:id="rId10"/>
      <w:pgSz w:w="11906" w:h="16838" w:code="9"/>
      <w:pgMar w:top="709"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545" w:rsidRDefault="00F46545">
      <w:r>
        <w:separator/>
      </w:r>
    </w:p>
  </w:endnote>
  <w:endnote w:type="continuationSeparator" w:id="0">
    <w:p w:rsidR="00F46545" w:rsidRDefault="00F4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14798">
      <w:rPr>
        <w:i/>
        <w:noProof/>
        <w:sz w:val="18"/>
        <w:szCs w:val="18"/>
      </w:rPr>
      <w:t>Divisun, tabletter 20 mikrogram</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545" w:rsidRDefault="00F46545">
      <w:r>
        <w:separator/>
      </w:r>
    </w:p>
  </w:footnote>
  <w:footnote w:type="continuationSeparator" w:id="0">
    <w:p w:rsidR="00F46545" w:rsidRDefault="00F46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1D30712"/>
    <w:multiLevelType w:val="hybridMultilevel"/>
    <w:tmpl w:val="3E2A4A6A"/>
    <w:lvl w:ilvl="0" w:tplc="FFFFFFFF">
      <w:start w:val="1"/>
      <w:numFmt w:val="bullet"/>
      <w:lvlText w:val=""/>
      <w:lvlJc w:val="left"/>
      <w:pPr>
        <w:tabs>
          <w:tab w:val="num" w:pos="1211"/>
        </w:tabs>
        <w:ind w:left="1211"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545"/>
    <w:rsid w:val="000259B9"/>
    <w:rsid w:val="000269F3"/>
    <w:rsid w:val="00041491"/>
    <w:rsid w:val="00050D16"/>
    <w:rsid w:val="00074F2A"/>
    <w:rsid w:val="000A1CA8"/>
    <w:rsid w:val="000A466B"/>
    <w:rsid w:val="000B058C"/>
    <w:rsid w:val="000E4EE6"/>
    <w:rsid w:val="001454E2"/>
    <w:rsid w:val="001E6978"/>
    <w:rsid w:val="00206CE8"/>
    <w:rsid w:val="0021526C"/>
    <w:rsid w:val="00283A2B"/>
    <w:rsid w:val="002B30AD"/>
    <w:rsid w:val="002B3C72"/>
    <w:rsid w:val="002C2C01"/>
    <w:rsid w:val="003A29AE"/>
    <w:rsid w:val="003A32D7"/>
    <w:rsid w:val="003B4074"/>
    <w:rsid w:val="003B7FB8"/>
    <w:rsid w:val="003C769A"/>
    <w:rsid w:val="003F1838"/>
    <w:rsid w:val="00405EAC"/>
    <w:rsid w:val="0045746C"/>
    <w:rsid w:val="0049104B"/>
    <w:rsid w:val="004E3B12"/>
    <w:rsid w:val="00532310"/>
    <w:rsid w:val="00544C13"/>
    <w:rsid w:val="00560ECC"/>
    <w:rsid w:val="00563404"/>
    <w:rsid w:val="00565F0F"/>
    <w:rsid w:val="00594A86"/>
    <w:rsid w:val="00596D86"/>
    <w:rsid w:val="005F08F1"/>
    <w:rsid w:val="00637F5A"/>
    <w:rsid w:val="006560B1"/>
    <w:rsid w:val="006756DD"/>
    <w:rsid w:val="00737275"/>
    <w:rsid w:val="00740EEC"/>
    <w:rsid w:val="0078011A"/>
    <w:rsid w:val="00782AF4"/>
    <w:rsid w:val="00790EE7"/>
    <w:rsid w:val="007B6649"/>
    <w:rsid w:val="0081546F"/>
    <w:rsid w:val="0082576E"/>
    <w:rsid w:val="008526F0"/>
    <w:rsid w:val="0087055D"/>
    <w:rsid w:val="00883E32"/>
    <w:rsid w:val="008C1D56"/>
    <w:rsid w:val="008E5E08"/>
    <w:rsid w:val="00907F75"/>
    <w:rsid w:val="009260DE"/>
    <w:rsid w:val="0093258A"/>
    <w:rsid w:val="0096161C"/>
    <w:rsid w:val="009C7BA3"/>
    <w:rsid w:val="009D1F5A"/>
    <w:rsid w:val="00A14798"/>
    <w:rsid w:val="00AE33E2"/>
    <w:rsid w:val="00B003BF"/>
    <w:rsid w:val="00B373D7"/>
    <w:rsid w:val="00B85E2C"/>
    <w:rsid w:val="00BE6CFB"/>
    <w:rsid w:val="00C36276"/>
    <w:rsid w:val="00C42586"/>
    <w:rsid w:val="00C60CCD"/>
    <w:rsid w:val="00C812C3"/>
    <w:rsid w:val="00C84483"/>
    <w:rsid w:val="00C95551"/>
    <w:rsid w:val="00CB20D7"/>
    <w:rsid w:val="00D020B0"/>
    <w:rsid w:val="00D11748"/>
    <w:rsid w:val="00D366CF"/>
    <w:rsid w:val="00DD57B7"/>
    <w:rsid w:val="00E108AA"/>
    <w:rsid w:val="00E31812"/>
    <w:rsid w:val="00E3749A"/>
    <w:rsid w:val="00E53B39"/>
    <w:rsid w:val="00E56C7E"/>
    <w:rsid w:val="00E7437F"/>
    <w:rsid w:val="00E865B8"/>
    <w:rsid w:val="00EC0B9B"/>
    <w:rsid w:val="00ED5E9F"/>
    <w:rsid w:val="00F46545"/>
    <w:rsid w:val="00F601A3"/>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4:docId w14:val="0C218FDC"/>
  <w15:chartTrackingRefBased/>
  <w15:docId w15:val="{48AAE917-13B6-4391-9A7A-7D0EED926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F465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8364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33100399">
      <w:bodyDiv w:val="1"/>
      <w:marLeft w:val="0"/>
      <w:marRight w:val="0"/>
      <w:marTop w:val="0"/>
      <w:marBottom w:val="0"/>
      <w:divBdr>
        <w:top w:val="none" w:sz="0" w:space="0" w:color="auto"/>
        <w:left w:val="none" w:sz="0" w:space="0" w:color="auto"/>
        <w:bottom w:val="none" w:sz="0" w:space="0" w:color="auto"/>
        <w:right w:val="none" w:sz="0" w:space="0" w:color="auto"/>
      </w:divBdr>
    </w:div>
    <w:div w:id="764693184">
      <w:bodyDiv w:val="1"/>
      <w:marLeft w:val="0"/>
      <w:marRight w:val="0"/>
      <w:marTop w:val="0"/>
      <w:marBottom w:val="0"/>
      <w:divBdr>
        <w:top w:val="none" w:sz="0" w:space="0" w:color="auto"/>
        <w:left w:val="none" w:sz="0" w:space="0" w:color="auto"/>
        <w:bottom w:val="none" w:sz="0" w:space="0" w:color="auto"/>
        <w:right w:val="none" w:sz="0" w:space="0" w:color="auto"/>
      </w:divBdr>
    </w:div>
    <w:div w:id="998118135">
      <w:bodyDiv w:val="1"/>
      <w:marLeft w:val="0"/>
      <w:marRight w:val="0"/>
      <w:marTop w:val="0"/>
      <w:marBottom w:val="0"/>
      <w:divBdr>
        <w:top w:val="none" w:sz="0" w:space="0" w:color="auto"/>
        <w:left w:val="none" w:sz="0" w:space="0" w:color="auto"/>
        <w:bottom w:val="none" w:sz="0" w:space="0" w:color="auto"/>
        <w:right w:val="none" w:sz="0" w:space="0" w:color="auto"/>
      </w:divBdr>
    </w:div>
    <w:div w:id="1502163250">
      <w:bodyDiv w:val="1"/>
      <w:marLeft w:val="0"/>
      <w:marRight w:val="0"/>
      <w:marTop w:val="0"/>
      <w:marBottom w:val="0"/>
      <w:divBdr>
        <w:top w:val="none" w:sz="0" w:space="0" w:color="auto"/>
        <w:left w:val="none" w:sz="0" w:space="0" w:color="auto"/>
        <w:bottom w:val="none" w:sz="0" w:space="0" w:color="auto"/>
        <w:right w:val="none" w:sz="0" w:space="0" w:color="auto"/>
      </w:divBdr>
    </w:div>
    <w:div w:id="1962884546">
      <w:bodyDiv w:val="1"/>
      <w:marLeft w:val="0"/>
      <w:marRight w:val="0"/>
      <w:marTop w:val="0"/>
      <w:marBottom w:val="0"/>
      <w:divBdr>
        <w:top w:val="none" w:sz="0" w:space="0" w:color="auto"/>
        <w:left w:val="none" w:sz="0" w:space="0" w:color="auto"/>
        <w:bottom w:val="none" w:sz="0" w:space="0" w:color="auto"/>
        <w:right w:val="none" w:sz="0" w:space="0" w:color="auto"/>
      </w:divBdr>
    </w:div>
    <w:div w:id="2075926401">
      <w:bodyDiv w:val="1"/>
      <w:marLeft w:val="0"/>
      <w:marRight w:val="0"/>
      <w:marTop w:val="0"/>
      <w:marBottom w:val="0"/>
      <w:divBdr>
        <w:top w:val="none" w:sz="0" w:space="0" w:color="auto"/>
        <w:left w:val="none" w:sz="0" w:space="0" w:color="auto"/>
        <w:bottom w:val="none" w:sz="0" w:space="0" w:color="auto"/>
        <w:right w:val="none" w:sz="0" w:space="0" w:color="auto"/>
      </w:divBdr>
    </w:div>
    <w:div w:id="210776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11</TotalTime>
  <Pages>6</Pages>
  <Words>1357</Words>
  <Characters>9983</Characters>
  <Application>Microsoft Office Word</Application>
  <DocSecurity>0</DocSecurity>
  <Lines>83</Lines>
  <Paragraphs>22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Becker</dc:creator>
  <cp:keywords/>
  <dc:description>2022111776_x000d_
Pkt. 4.2, 4.4, 4.5</dc:description>
  <cp:lastModifiedBy>Marianne Ott Jensen</cp:lastModifiedBy>
  <cp:revision>5</cp:revision>
  <cp:lastPrinted>2012-08-22T08:53:00Z</cp:lastPrinted>
  <dcterms:created xsi:type="dcterms:W3CDTF">2023-09-28T08:39:00Z</dcterms:created>
  <dcterms:modified xsi:type="dcterms:W3CDTF">2023-10-04T06:54:00Z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