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BFDB9" w14:textId="77777777" w:rsidR="006B34A1" w:rsidRPr="00C84483" w:rsidRDefault="006B34A1" w:rsidP="006B34A1">
      <w:pPr>
        <w:rPr>
          <w:sz w:val="24"/>
          <w:szCs w:val="24"/>
        </w:rPr>
      </w:pPr>
      <w:r>
        <w:rPr>
          <w:noProof/>
          <w:sz w:val="24"/>
          <w:szCs w:val="24"/>
          <w:lang w:eastAsia="da-DK"/>
        </w:rPr>
        <w:drawing>
          <wp:inline distT="0" distB="0" distL="0" distR="0" wp14:anchorId="60DFFD6D" wp14:editId="0C0A2900">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14:paraId="4AE15C20" w14:textId="77777777" w:rsidR="006B34A1" w:rsidRPr="00C84483" w:rsidRDefault="006B34A1" w:rsidP="006B34A1">
      <w:pPr>
        <w:pStyle w:val="Titel"/>
        <w:tabs>
          <w:tab w:val="right" w:pos="9356"/>
        </w:tabs>
        <w:jc w:val="left"/>
        <w:rPr>
          <w:b w:val="0"/>
          <w:szCs w:val="24"/>
          <w:lang w:eastAsia="en-US"/>
        </w:rPr>
      </w:pPr>
    </w:p>
    <w:p w14:paraId="42982120" w14:textId="605291CE" w:rsidR="006B34A1" w:rsidRPr="00C84483" w:rsidRDefault="006B34A1" w:rsidP="006B34A1">
      <w:pPr>
        <w:pStyle w:val="Titel"/>
        <w:tabs>
          <w:tab w:val="right" w:pos="9356"/>
        </w:tabs>
        <w:jc w:val="left"/>
        <w:rPr>
          <w:b w:val="0"/>
          <w:szCs w:val="24"/>
          <w:lang w:eastAsia="en-US"/>
        </w:rPr>
      </w:pPr>
      <w:r w:rsidRPr="00C84483">
        <w:rPr>
          <w:b w:val="0"/>
          <w:szCs w:val="24"/>
          <w:lang w:eastAsia="en-US"/>
        </w:rPr>
        <w:tab/>
      </w:r>
      <w:r w:rsidR="002535BC">
        <w:rPr>
          <w:szCs w:val="24"/>
        </w:rPr>
        <w:t>20</w:t>
      </w:r>
      <w:r w:rsidR="00505D09">
        <w:rPr>
          <w:szCs w:val="24"/>
        </w:rPr>
        <w:t>. februar 2025</w:t>
      </w:r>
    </w:p>
    <w:p w14:paraId="613B98DF" w14:textId="054D2088" w:rsidR="006B34A1" w:rsidRPr="00C84483" w:rsidRDefault="006B34A1" w:rsidP="006B34A1">
      <w:pPr>
        <w:pStyle w:val="Titel"/>
        <w:tabs>
          <w:tab w:val="left" w:pos="8222"/>
        </w:tabs>
        <w:jc w:val="left"/>
        <w:rPr>
          <w:b w:val="0"/>
          <w:szCs w:val="24"/>
        </w:rPr>
      </w:pPr>
    </w:p>
    <w:p w14:paraId="46649175" w14:textId="77777777" w:rsidR="006B34A1" w:rsidRPr="00C84483" w:rsidRDefault="006B34A1" w:rsidP="006B34A1">
      <w:pPr>
        <w:pStyle w:val="Titel"/>
        <w:jc w:val="left"/>
        <w:rPr>
          <w:b w:val="0"/>
          <w:szCs w:val="24"/>
        </w:rPr>
      </w:pPr>
    </w:p>
    <w:p w14:paraId="1B2D054E" w14:textId="77777777" w:rsidR="002A7D83" w:rsidRDefault="002A7D83" w:rsidP="006B34A1">
      <w:pPr>
        <w:jc w:val="center"/>
        <w:rPr>
          <w:b/>
          <w:sz w:val="24"/>
          <w:szCs w:val="24"/>
        </w:rPr>
      </w:pPr>
    </w:p>
    <w:p w14:paraId="293145F9" w14:textId="77777777" w:rsidR="006B34A1" w:rsidRPr="00C84483" w:rsidRDefault="006B34A1" w:rsidP="006B34A1">
      <w:pPr>
        <w:jc w:val="center"/>
        <w:rPr>
          <w:b/>
          <w:sz w:val="24"/>
          <w:szCs w:val="24"/>
        </w:rPr>
      </w:pPr>
      <w:r w:rsidRPr="00C84483">
        <w:rPr>
          <w:b/>
          <w:sz w:val="24"/>
          <w:szCs w:val="24"/>
        </w:rPr>
        <w:t>PRODUKTRESUMÉ</w:t>
      </w:r>
    </w:p>
    <w:p w14:paraId="6256239E" w14:textId="63787CEA" w:rsidR="006B34A1" w:rsidRPr="00C84483" w:rsidRDefault="006B34A1" w:rsidP="00822F6D">
      <w:pPr>
        <w:rPr>
          <w:b/>
          <w:sz w:val="24"/>
          <w:szCs w:val="24"/>
        </w:rPr>
      </w:pPr>
    </w:p>
    <w:p w14:paraId="1DA14D27" w14:textId="4F20DE89" w:rsidR="006B34A1" w:rsidRPr="00C84483" w:rsidRDefault="00FE4E30" w:rsidP="00FE4E30">
      <w:pPr>
        <w:tabs>
          <w:tab w:val="center" w:pos="4819"/>
        </w:tabs>
        <w:rPr>
          <w:b/>
          <w:sz w:val="24"/>
          <w:szCs w:val="24"/>
        </w:rPr>
      </w:pPr>
      <w:r>
        <w:rPr>
          <w:b/>
          <w:sz w:val="24"/>
          <w:szCs w:val="24"/>
        </w:rPr>
        <w:tab/>
      </w:r>
      <w:r w:rsidR="006B34A1" w:rsidRPr="00C84483">
        <w:rPr>
          <w:b/>
          <w:sz w:val="24"/>
          <w:szCs w:val="24"/>
        </w:rPr>
        <w:t>for</w:t>
      </w:r>
    </w:p>
    <w:p w14:paraId="50198218" w14:textId="77777777" w:rsidR="006B34A1" w:rsidRPr="00C84483" w:rsidRDefault="006B34A1" w:rsidP="006B34A1">
      <w:pPr>
        <w:jc w:val="center"/>
        <w:rPr>
          <w:b/>
          <w:sz w:val="24"/>
          <w:szCs w:val="24"/>
        </w:rPr>
      </w:pPr>
    </w:p>
    <w:p w14:paraId="7DA0C402" w14:textId="77777777" w:rsidR="006B34A1" w:rsidRPr="00C84483" w:rsidRDefault="002A7D83" w:rsidP="006B34A1">
      <w:pPr>
        <w:jc w:val="center"/>
        <w:rPr>
          <w:b/>
          <w:sz w:val="24"/>
          <w:szCs w:val="24"/>
        </w:rPr>
      </w:pPr>
      <w:r>
        <w:rPr>
          <w:b/>
          <w:sz w:val="24"/>
          <w:szCs w:val="24"/>
        </w:rPr>
        <w:t>Docetaxel "Nordic"</w:t>
      </w:r>
      <w:r w:rsidR="006B34A1">
        <w:rPr>
          <w:b/>
          <w:sz w:val="24"/>
          <w:szCs w:val="24"/>
        </w:rPr>
        <w:t>, koncentrat til infusionsvæske, opløsning</w:t>
      </w:r>
    </w:p>
    <w:p w14:paraId="1B8C7325" w14:textId="77777777" w:rsidR="006B34A1" w:rsidRPr="00C84483" w:rsidRDefault="006B34A1" w:rsidP="006B34A1">
      <w:pPr>
        <w:jc w:val="both"/>
        <w:rPr>
          <w:sz w:val="24"/>
          <w:szCs w:val="24"/>
        </w:rPr>
      </w:pPr>
    </w:p>
    <w:p w14:paraId="762A1400" w14:textId="77777777" w:rsidR="006B34A1" w:rsidRPr="008D45EF" w:rsidRDefault="006B34A1" w:rsidP="006B34A1">
      <w:pPr>
        <w:ind w:left="851" w:hanging="851"/>
        <w:jc w:val="both"/>
        <w:rPr>
          <w:sz w:val="24"/>
          <w:szCs w:val="24"/>
        </w:rPr>
      </w:pPr>
    </w:p>
    <w:p w14:paraId="474E41BB" w14:textId="77777777" w:rsidR="006B34A1" w:rsidRPr="008D45EF" w:rsidRDefault="006B34A1" w:rsidP="006B34A1">
      <w:pPr>
        <w:ind w:left="851" w:hanging="851"/>
        <w:rPr>
          <w:b/>
          <w:sz w:val="24"/>
          <w:szCs w:val="24"/>
        </w:rPr>
      </w:pPr>
      <w:r w:rsidRPr="008D45EF">
        <w:rPr>
          <w:b/>
          <w:sz w:val="24"/>
          <w:szCs w:val="24"/>
        </w:rPr>
        <w:t>0.</w:t>
      </w:r>
      <w:r w:rsidRPr="008D45EF">
        <w:rPr>
          <w:b/>
          <w:sz w:val="24"/>
          <w:szCs w:val="24"/>
        </w:rPr>
        <w:tab/>
        <w:t>D.SP.NR.</w:t>
      </w:r>
    </w:p>
    <w:p w14:paraId="65311766" w14:textId="7CF3A09C" w:rsidR="00231685" w:rsidRPr="003D4A39" w:rsidRDefault="00231685" w:rsidP="00231685">
      <w:pPr>
        <w:ind w:left="851"/>
        <w:rPr>
          <w:sz w:val="24"/>
          <w:szCs w:val="24"/>
        </w:rPr>
      </w:pPr>
      <w:r w:rsidRPr="003D4A39">
        <w:rPr>
          <w:sz w:val="24"/>
          <w:szCs w:val="24"/>
        </w:rPr>
        <w:t>28171</w:t>
      </w:r>
    </w:p>
    <w:p w14:paraId="4A60970D" w14:textId="77777777" w:rsidR="006B34A1" w:rsidRPr="008D45EF" w:rsidRDefault="006B34A1" w:rsidP="0081699D">
      <w:pPr>
        <w:ind w:left="851"/>
        <w:rPr>
          <w:sz w:val="24"/>
          <w:szCs w:val="24"/>
        </w:rPr>
      </w:pPr>
    </w:p>
    <w:p w14:paraId="768FADB4" w14:textId="77777777" w:rsidR="006B34A1" w:rsidRPr="008D45EF" w:rsidRDefault="006B34A1" w:rsidP="002D7470">
      <w:pPr>
        <w:ind w:left="851" w:hanging="851"/>
        <w:rPr>
          <w:b/>
          <w:sz w:val="24"/>
          <w:szCs w:val="24"/>
        </w:rPr>
      </w:pPr>
      <w:r w:rsidRPr="008D45EF">
        <w:rPr>
          <w:b/>
          <w:sz w:val="24"/>
          <w:szCs w:val="24"/>
        </w:rPr>
        <w:t>1.</w:t>
      </w:r>
      <w:r w:rsidRPr="008D45EF">
        <w:rPr>
          <w:b/>
          <w:sz w:val="24"/>
          <w:szCs w:val="24"/>
        </w:rPr>
        <w:tab/>
        <w:t>LÆGEMIDLETS NAVN</w:t>
      </w:r>
    </w:p>
    <w:p w14:paraId="0107C662" w14:textId="77777777" w:rsidR="006B34A1" w:rsidRPr="00C533F0" w:rsidRDefault="002A7D83" w:rsidP="0081699D">
      <w:pPr>
        <w:ind w:left="851"/>
        <w:rPr>
          <w:sz w:val="24"/>
          <w:szCs w:val="24"/>
        </w:rPr>
      </w:pPr>
      <w:r>
        <w:rPr>
          <w:sz w:val="24"/>
          <w:szCs w:val="24"/>
        </w:rPr>
        <w:t>Docetaxel "Nordic"</w:t>
      </w:r>
    </w:p>
    <w:p w14:paraId="225257F9" w14:textId="77777777" w:rsidR="006B34A1" w:rsidRPr="008D45EF" w:rsidRDefault="006B34A1" w:rsidP="0081699D">
      <w:pPr>
        <w:ind w:left="851"/>
        <w:rPr>
          <w:sz w:val="24"/>
          <w:szCs w:val="24"/>
        </w:rPr>
      </w:pPr>
      <w:r w:rsidRPr="008D45EF">
        <w:rPr>
          <w:sz w:val="24"/>
          <w:szCs w:val="24"/>
        </w:rPr>
        <w:tab/>
      </w:r>
    </w:p>
    <w:p w14:paraId="4C05B20A" w14:textId="77777777" w:rsidR="006B34A1" w:rsidRPr="008D45EF" w:rsidRDefault="006B34A1" w:rsidP="002D7470">
      <w:pPr>
        <w:ind w:left="851" w:hanging="851"/>
        <w:rPr>
          <w:b/>
          <w:sz w:val="24"/>
          <w:szCs w:val="24"/>
        </w:rPr>
      </w:pPr>
      <w:r w:rsidRPr="008D45EF">
        <w:rPr>
          <w:b/>
          <w:sz w:val="24"/>
          <w:szCs w:val="24"/>
        </w:rPr>
        <w:t>2.</w:t>
      </w:r>
      <w:r w:rsidRPr="008D45EF">
        <w:rPr>
          <w:b/>
          <w:sz w:val="24"/>
          <w:szCs w:val="24"/>
        </w:rPr>
        <w:tab/>
        <w:t>KVALITATIV OG KVANTITATIV SAMMENSÆTNING</w:t>
      </w:r>
    </w:p>
    <w:p w14:paraId="118C1306" w14:textId="77777777" w:rsidR="006B34A1" w:rsidRPr="008D45EF" w:rsidRDefault="006B34A1" w:rsidP="0081699D">
      <w:pPr>
        <w:ind w:left="851"/>
        <w:rPr>
          <w:sz w:val="24"/>
          <w:szCs w:val="24"/>
        </w:rPr>
      </w:pPr>
      <w:r w:rsidRPr="008D45EF">
        <w:rPr>
          <w:sz w:val="24"/>
          <w:szCs w:val="24"/>
        </w:rPr>
        <w:t>Hver ml koncentrat indeholder 20 mg docetaxel.</w:t>
      </w:r>
    </w:p>
    <w:p w14:paraId="45C27FD5" w14:textId="77777777" w:rsidR="006B34A1" w:rsidRPr="008D45EF" w:rsidRDefault="006B34A1" w:rsidP="0081699D">
      <w:pPr>
        <w:ind w:left="851"/>
        <w:rPr>
          <w:sz w:val="24"/>
          <w:szCs w:val="24"/>
        </w:rPr>
      </w:pPr>
    </w:p>
    <w:p w14:paraId="51AEE020" w14:textId="77777777" w:rsidR="006B34A1" w:rsidRPr="008D45EF" w:rsidRDefault="006B34A1" w:rsidP="0081699D">
      <w:pPr>
        <w:ind w:left="851"/>
        <w:rPr>
          <w:sz w:val="24"/>
          <w:szCs w:val="24"/>
        </w:rPr>
      </w:pPr>
      <w:r w:rsidRPr="008D45EF">
        <w:rPr>
          <w:sz w:val="24"/>
          <w:szCs w:val="24"/>
        </w:rPr>
        <w:t>1 hætteglas på 1 ml koncentrat indeholder 20 mg docetaxel.</w:t>
      </w:r>
    </w:p>
    <w:p w14:paraId="3CD90BFC" w14:textId="77777777" w:rsidR="006B34A1" w:rsidRPr="008D45EF" w:rsidRDefault="006B34A1" w:rsidP="0081699D">
      <w:pPr>
        <w:ind w:left="851"/>
        <w:rPr>
          <w:sz w:val="24"/>
          <w:szCs w:val="24"/>
        </w:rPr>
      </w:pPr>
      <w:r w:rsidRPr="008D45EF">
        <w:rPr>
          <w:sz w:val="24"/>
          <w:szCs w:val="24"/>
        </w:rPr>
        <w:t>1 hætteglas på 4 ml koncentrat indeholder 80 mg docetaxel.</w:t>
      </w:r>
    </w:p>
    <w:p w14:paraId="6DAD8CA6" w14:textId="77777777" w:rsidR="006B34A1" w:rsidRPr="008D45EF" w:rsidRDefault="006B34A1" w:rsidP="0081699D">
      <w:pPr>
        <w:ind w:left="851"/>
        <w:rPr>
          <w:sz w:val="24"/>
          <w:szCs w:val="24"/>
        </w:rPr>
      </w:pPr>
      <w:r w:rsidRPr="008D45EF">
        <w:rPr>
          <w:sz w:val="24"/>
          <w:szCs w:val="24"/>
        </w:rPr>
        <w:t>1 hætteglas på 8 ml koncentrat indeholder 160 mg docetaxel.</w:t>
      </w:r>
    </w:p>
    <w:p w14:paraId="35F9AECC" w14:textId="77777777" w:rsidR="006B34A1" w:rsidRPr="008D45EF" w:rsidRDefault="006B34A1" w:rsidP="0081699D">
      <w:pPr>
        <w:ind w:left="851"/>
        <w:rPr>
          <w:sz w:val="24"/>
          <w:szCs w:val="24"/>
        </w:rPr>
      </w:pPr>
    </w:p>
    <w:p w14:paraId="46B39091" w14:textId="77777777" w:rsidR="006B34A1" w:rsidRPr="008D45EF" w:rsidRDefault="006B34A1" w:rsidP="0081699D">
      <w:pPr>
        <w:ind w:left="851"/>
        <w:rPr>
          <w:sz w:val="24"/>
          <w:szCs w:val="24"/>
          <w:u w:val="single"/>
        </w:rPr>
      </w:pPr>
      <w:r w:rsidRPr="008D45EF">
        <w:rPr>
          <w:sz w:val="24"/>
          <w:szCs w:val="24"/>
          <w:u w:val="single"/>
        </w:rPr>
        <w:t>Hjælpestof, som behandleren skal være opmærksom på</w:t>
      </w:r>
    </w:p>
    <w:p w14:paraId="71BDD6F3" w14:textId="77777777" w:rsidR="006B34A1" w:rsidRPr="00F61F9B" w:rsidRDefault="006B34A1" w:rsidP="0081699D">
      <w:pPr>
        <w:kinsoku w:val="0"/>
        <w:overflowPunct w:val="0"/>
        <w:autoSpaceDE w:val="0"/>
        <w:autoSpaceDN w:val="0"/>
        <w:adjustRightInd w:val="0"/>
        <w:snapToGrid w:val="0"/>
        <w:ind w:left="851" w:right="36"/>
        <w:rPr>
          <w:sz w:val="24"/>
          <w:szCs w:val="24"/>
          <w:lang w:eastAsia="zh-CN"/>
        </w:rPr>
      </w:pPr>
      <w:r w:rsidRPr="00F61F9B">
        <w:rPr>
          <w:sz w:val="24"/>
          <w:szCs w:val="24"/>
        </w:rPr>
        <w:t xml:space="preserve">Hvert hætteglas med 1 ml koncentrat indeholder 0,5 ml vandfri ethanol </w:t>
      </w:r>
      <w:r w:rsidR="00E33BE9">
        <w:rPr>
          <w:sz w:val="24"/>
          <w:szCs w:val="24"/>
        </w:rPr>
        <w:t>(</w:t>
      </w:r>
      <w:r w:rsidRPr="00F61F9B">
        <w:rPr>
          <w:sz w:val="24"/>
          <w:szCs w:val="24"/>
        </w:rPr>
        <w:t>395 mg</w:t>
      </w:r>
      <w:r w:rsidR="00E33BE9">
        <w:rPr>
          <w:sz w:val="24"/>
          <w:szCs w:val="24"/>
        </w:rPr>
        <w:t>)</w:t>
      </w:r>
      <w:r w:rsidRPr="00F61F9B">
        <w:rPr>
          <w:sz w:val="24"/>
          <w:szCs w:val="24"/>
        </w:rPr>
        <w:t>.</w:t>
      </w:r>
    </w:p>
    <w:p w14:paraId="1AEC2509" w14:textId="77777777" w:rsidR="006B34A1" w:rsidRPr="00F61F9B" w:rsidRDefault="006B34A1" w:rsidP="0081699D">
      <w:pPr>
        <w:kinsoku w:val="0"/>
        <w:overflowPunct w:val="0"/>
        <w:autoSpaceDE w:val="0"/>
        <w:autoSpaceDN w:val="0"/>
        <w:adjustRightInd w:val="0"/>
        <w:snapToGrid w:val="0"/>
        <w:ind w:left="851" w:right="36"/>
        <w:rPr>
          <w:sz w:val="24"/>
          <w:szCs w:val="24"/>
        </w:rPr>
      </w:pPr>
      <w:r w:rsidRPr="00F61F9B">
        <w:rPr>
          <w:sz w:val="24"/>
          <w:szCs w:val="24"/>
        </w:rPr>
        <w:t>Hvert hætteglas med 4 ml koncentrat indeholder 2 ml vandfri ethanol (1580 mg</w:t>
      </w:r>
      <w:r w:rsidR="00E33BE9">
        <w:rPr>
          <w:sz w:val="24"/>
          <w:szCs w:val="24"/>
        </w:rPr>
        <w:t>)</w:t>
      </w:r>
      <w:r w:rsidRPr="00F61F9B">
        <w:rPr>
          <w:sz w:val="24"/>
          <w:szCs w:val="24"/>
        </w:rPr>
        <w:t>.</w:t>
      </w:r>
    </w:p>
    <w:p w14:paraId="70558E60" w14:textId="77777777" w:rsidR="006B34A1" w:rsidRDefault="006B34A1" w:rsidP="0081699D">
      <w:pPr>
        <w:kinsoku w:val="0"/>
        <w:overflowPunct w:val="0"/>
        <w:autoSpaceDE w:val="0"/>
        <w:autoSpaceDN w:val="0"/>
        <w:adjustRightInd w:val="0"/>
        <w:snapToGrid w:val="0"/>
        <w:ind w:left="851" w:right="36"/>
        <w:rPr>
          <w:sz w:val="22"/>
          <w:szCs w:val="22"/>
        </w:rPr>
      </w:pPr>
      <w:r w:rsidRPr="00F61F9B">
        <w:rPr>
          <w:sz w:val="24"/>
          <w:szCs w:val="24"/>
        </w:rPr>
        <w:t>Hvert hætteglas med 8 ml koncentrat indeholder 4 ml vandfri ethanol (3160 mg).</w:t>
      </w:r>
    </w:p>
    <w:p w14:paraId="1D43FD5A" w14:textId="77777777" w:rsidR="006B34A1" w:rsidRPr="008D45EF" w:rsidRDefault="006B34A1" w:rsidP="0081699D">
      <w:pPr>
        <w:ind w:left="851"/>
        <w:rPr>
          <w:sz w:val="24"/>
          <w:szCs w:val="24"/>
        </w:rPr>
      </w:pPr>
    </w:p>
    <w:p w14:paraId="545B1E91" w14:textId="77777777" w:rsidR="006B34A1" w:rsidRPr="008D45EF" w:rsidRDefault="006B34A1" w:rsidP="0081699D">
      <w:pPr>
        <w:ind w:left="851"/>
        <w:rPr>
          <w:sz w:val="24"/>
          <w:szCs w:val="24"/>
        </w:rPr>
      </w:pPr>
      <w:r w:rsidRPr="008D45EF">
        <w:rPr>
          <w:sz w:val="24"/>
          <w:szCs w:val="24"/>
        </w:rPr>
        <w:t>Alle hjælpestoffer er anført under pkt. 6.1.</w:t>
      </w:r>
    </w:p>
    <w:p w14:paraId="46B07558" w14:textId="77777777" w:rsidR="006B34A1" w:rsidRPr="008D45EF" w:rsidRDefault="006B34A1" w:rsidP="0081699D">
      <w:pPr>
        <w:ind w:left="851"/>
        <w:rPr>
          <w:sz w:val="24"/>
          <w:szCs w:val="24"/>
        </w:rPr>
      </w:pPr>
    </w:p>
    <w:p w14:paraId="7A92948C" w14:textId="77777777" w:rsidR="006B34A1" w:rsidRPr="008D45EF" w:rsidRDefault="006B34A1" w:rsidP="002D7470">
      <w:pPr>
        <w:ind w:left="851" w:hanging="851"/>
        <w:rPr>
          <w:b/>
          <w:sz w:val="24"/>
          <w:szCs w:val="24"/>
        </w:rPr>
      </w:pPr>
      <w:r w:rsidRPr="008D45EF">
        <w:rPr>
          <w:b/>
          <w:sz w:val="24"/>
          <w:szCs w:val="24"/>
        </w:rPr>
        <w:t>3.</w:t>
      </w:r>
      <w:r w:rsidRPr="008D45EF">
        <w:rPr>
          <w:b/>
          <w:sz w:val="24"/>
          <w:szCs w:val="24"/>
        </w:rPr>
        <w:tab/>
        <w:t>LÆGEMIDDELFORM</w:t>
      </w:r>
    </w:p>
    <w:p w14:paraId="4EEA6ADE" w14:textId="3D209322" w:rsidR="00231685" w:rsidRPr="003D4A39" w:rsidRDefault="00231685" w:rsidP="00231685">
      <w:pPr>
        <w:ind w:left="851"/>
        <w:rPr>
          <w:sz w:val="24"/>
          <w:szCs w:val="24"/>
        </w:rPr>
      </w:pPr>
      <w:r w:rsidRPr="003D4A39">
        <w:rPr>
          <w:sz w:val="24"/>
          <w:szCs w:val="24"/>
        </w:rPr>
        <w:t xml:space="preserve">Koncentrat til infusionsvæske, opløsning </w:t>
      </w:r>
      <w:r w:rsidRPr="003D4A39">
        <w:rPr>
          <w:sz w:val="22"/>
          <w:szCs w:val="22"/>
        </w:rPr>
        <w:t xml:space="preserve">(sterilt </w:t>
      </w:r>
      <w:r>
        <w:rPr>
          <w:sz w:val="22"/>
          <w:szCs w:val="22"/>
        </w:rPr>
        <w:t>k</w:t>
      </w:r>
      <w:r w:rsidRPr="003D4A39">
        <w:rPr>
          <w:sz w:val="22"/>
          <w:szCs w:val="22"/>
        </w:rPr>
        <w:t>oncentrat).</w:t>
      </w:r>
    </w:p>
    <w:p w14:paraId="1212B120" w14:textId="77777777" w:rsidR="00231685" w:rsidRPr="003D4A39" w:rsidRDefault="00231685" w:rsidP="00231685">
      <w:pPr>
        <w:ind w:left="851"/>
        <w:rPr>
          <w:sz w:val="24"/>
          <w:szCs w:val="24"/>
        </w:rPr>
      </w:pPr>
    </w:p>
    <w:p w14:paraId="7221D05E" w14:textId="25B9438A" w:rsidR="00231685" w:rsidRPr="003D4A39" w:rsidRDefault="00231685" w:rsidP="00231685">
      <w:pPr>
        <w:ind w:left="851"/>
        <w:rPr>
          <w:sz w:val="24"/>
          <w:szCs w:val="24"/>
        </w:rPr>
      </w:pPr>
      <w:r w:rsidRPr="003D4A39">
        <w:rPr>
          <w:sz w:val="24"/>
          <w:szCs w:val="24"/>
        </w:rPr>
        <w:t>Koncentratet er en gul til brunliggul klar, olieret opløsning.</w:t>
      </w:r>
    </w:p>
    <w:p w14:paraId="2EDE48AA" w14:textId="77777777" w:rsidR="006B34A1" w:rsidRPr="008D45EF" w:rsidRDefault="006B34A1" w:rsidP="0081699D">
      <w:pPr>
        <w:ind w:left="851"/>
        <w:rPr>
          <w:sz w:val="24"/>
          <w:szCs w:val="24"/>
        </w:rPr>
      </w:pPr>
    </w:p>
    <w:p w14:paraId="2096747B" w14:textId="77777777" w:rsidR="006B34A1" w:rsidRPr="008D45EF" w:rsidRDefault="006B34A1" w:rsidP="0081699D">
      <w:pPr>
        <w:ind w:left="851"/>
        <w:rPr>
          <w:sz w:val="24"/>
          <w:szCs w:val="24"/>
        </w:rPr>
      </w:pPr>
    </w:p>
    <w:p w14:paraId="46FF660B" w14:textId="77777777" w:rsidR="006B34A1" w:rsidRPr="008D45EF" w:rsidRDefault="006B34A1" w:rsidP="002D7470">
      <w:pPr>
        <w:ind w:left="851" w:hanging="851"/>
        <w:rPr>
          <w:b/>
          <w:sz w:val="24"/>
          <w:szCs w:val="24"/>
        </w:rPr>
      </w:pPr>
      <w:r w:rsidRPr="008D45EF">
        <w:rPr>
          <w:b/>
          <w:sz w:val="24"/>
          <w:szCs w:val="24"/>
        </w:rPr>
        <w:t>4.</w:t>
      </w:r>
      <w:r w:rsidRPr="008D45EF">
        <w:rPr>
          <w:b/>
          <w:sz w:val="24"/>
          <w:szCs w:val="24"/>
        </w:rPr>
        <w:tab/>
        <w:t>KLINISKE OPLYSNINGER</w:t>
      </w:r>
    </w:p>
    <w:p w14:paraId="4EFA7D8A" w14:textId="77777777" w:rsidR="006B34A1" w:rsidRPr="008D45EF" w:rsidRDefault="006B34A1" w:rsidP="0081699D">
      <w:pPr>
        <w:ind w:left="851"/>
        <w:rPr>
          <w:b/>
          <w:sz w:val="24"/>
          <w:szCs w:val="24"/>
        </w:rPr>
      </w:pPr>
    </w:p>
    <w:p w14:paraId="7AAEE880" w14:textId="77777777" w:rsidR="006B34A1" w:rsidRPr="008D45EF" w:rsidRDefault="006B34A1" w:rsidP="002D7470">
      <w:pPr>
        <w:ind w:left="851" w:hanging="851"/>
        <w:rPr>
          <w:b/>
          <w:sz w:val="24"/>
          <w:szCs w:val="24"/>
          <w:u w:val="single"/>
        </w:rPr>
      </w:pPr>
      <w:r w:rsidRPr="008D45EF">
        <w:rPr>
          <w:b/>
          <w:sz w:val="24"/>
          <w:szCs w:val="24"/>
        </w:rPr>
        <w:t>4.1</w:t>
      </w:r>
      <w:r w:rsidRPr="008D45EF">
        <w:rPr>
          <w:b/>
          <w:sz w:val="24"/>
          <w:szCs w:val="24"/>
        </w:rPr>
        <w:tab/>
        <w:t>Terapeutiske indikationer</w:t>
      </w:r>
    </w:p>
    <w:p w14:paraId="231A80BF" w14:textId="77777777" w:rsidR="007B6FF9" w:rsidRDefault="007B6FF9" w:rsidP="0081699D">
      <w:pPr>
        <w:ind w:left="851"/>
        <w:rPr>
          <w:sz w:val="24"/>
          <w:szCs w:val="24"/>
        </w:rPr>
      </w:pPr>
    </w:p>
    <w:p w14:paraId="4AC9D7CF" w14:textId="77777777" w:rsidR="006B34A1" w:rsidRPr="008D45EF" w:rsidRDefault="006B34A1" w:rsidP="0081699D">
      <w:pPr>
        <w:ind w:left="851"/>
        <w:rPr>
          <w:sz w:val="24"/>
          <w:szCs w:val="24"/>
          <w:u w:val="single"/>
        </w:rPr>
      </w:pPr>
      <w:r w:rsidRPr="008D45EF">
        <w:rPr>
          <w:sz w:val="24"/>
          <w:szCs w:val="24"/>
          <w:u w:val="single"/>
        </w:rPr>
        <w:t>Brystkræft</w:t>
      </w:r>
    </w:p>
    <w:p w14:paraId="3C68F16C" w14:textId="4F60C3D9" w:rsidR="006B34A1" w:rsidRDefault="006B34A1" w:rsidP="0081699D">
      <w:pPr>
        <w:ind w:left="851"/>
        <w:rPr>
          <w:sz w:val="24"/>
          <w:szCs w:val="24"/>
        </w:rPr>
      </w:pPr>
      <w:r w:rsidRPr="008D45EF">
        <w:rPr>
          <w:sz w:val="24"/>
          <w:szCs w:val="24"/>
        </w:rPr>
        <w:t>Docetaxel i kombination med doxorubicin og cyclophosphamid er indiceret til adjuverende behandling af patienter med:</w:t>
      </w:r>
    </w:p>
    <w:p w14:paraId="4E4636F2" w14:textId="77777777" w:rsidR="00231685" w:rsidRDefault="00231685" w:rsidP="0081699D">
      <w:pPr>
        <w:ind w:left="851"/>
        <w:rPr>
          <w:sz w:val="24"/>
          <w:szCs w:val="24"/>
        </w:rPr>
      </w:pPr>
    </w:p>
    <w:p w14:paraId="2102922E" w14:textId="77777777" w:rsidR="006B34A1" w:rsidRPr="008D45EF" w:rsidRDefault="006B34A1" w:rsidP="000B3D5B">
      <w:pPr>
        <w:numPr>
          <w:ilvl w:val="0"/>
          <w:numId w:val="9"/>
        </w:numPr>
        <w:ind w:left="1134" w:hanging="283"/>
        <w:rPr>
          <w:sz w:val="24"/>
          <w:szCs w:val="24"/>
        </w:rPr>
      </w:pPr>
      <w:r w:rsidRPr="008D45EF">
        <w:rPr>
          <w:sz w:val="24"/>
          <w:szCs w:val="24"/>
        </w:rPr>
        <w:t>operabel, lymfeknude-positiv brystkræft</w:t>
      </w:r>
    </w:p>
    <w:p w14:paraId="7AAEAF4C" w14:textId="77777777" w:rsidR="006B34A1" w:rsidRPr="008D45EF" w:rsidRDefault="006B34A1" w:rsidP="000B3D5B">
      <w:pPr>
        <w:numPr>
          <w:ilvl w:val="0"/>
          <w:numId w:val="9"/>
        </w:numPr>
        <w:ind w:left="1134" w:hanging="283"/>
        <w:rPr>
          <w:sz w:val="24"/>
          <w:szCs w:val="24"/>
        </w:rPr>
      </w:pPr>
      <w:r w:rsidRPr="008D45EF">
        <w:rPr>
          <w:sz w:val="24"/>
          <w:szCs w:val="24"/>
        </w:rPr>
        <w:lastRenderedPageBreak/>
        <w:t>operabel, lymfeknude-negativ brystkræft.</w:t>
      </w:r>
    </w:p>
    <w:p w14:paraId="1A87E67B" w14:textId="77777777" w:rsidR="006B34A1" w:rsidRPr="008D45EF" w:rsidRDefault="006B34A1" w:rsidP="0081699D">
      <w:pPr>
        <w:ind w:left="851"/>
        <w:rPr>
          <w:sz w:val="24"/>
          <w:szCs w:val="24"/>
        </w:rPr>
      </w:pPr>
    </w:p>
    <w:p w14:paraId="6AA1B780" w14:textId="77777777" w:rsidR="006B34A1" w:rsidRPr="008D45EF" w:rsidRDefault="006B34A1" w:rsidP="0081699D">
      <w:pPr>
        <w:ind w:left="851"/>
        <w:rPr>
          <w:sz w:val="24"/>
          <w:szCs w:val="24"/>
        </w:rPr>
      </w:pPr>
      <w:r w:rsidRPr="008D45EF">
        <w:rPr>
          <w:sz w:val="24"/>
          <w:szCs w:val="24"/>
        </w:rPr>
        <w:t>For patienter med operabel lymfeknude-negativ brystkræft bør adjuverende behandling begrænses til patienter egnet til at få kemoterapi ifølge etablerede nationale kriterier for primær behandling af tidlig brystkræft (se pkt. 5.1)</w:t>
      </w:r>
    </w:p>
    <w:p w14:paraId="590999E4" w14:textId="77777777" w:rsidR="006B34A1" w:rsidRPr="008D45EF" w:rsidRDefault="006B34A1" w:rsidP="0081699D">
      <w:pPr>
        <w:ind w:left="851"/>
        <w:rPr>
          <w:sz w:val="24"/>
          <w:szCs w:val="24"/>
        </w:rPr>
      </w:pPr>
    </w:p>
    <w:p w14:paraId="6061AB59" w14:textId="77777777" w:rsidR="006B34A1" w:rsidRPr="008D45EF" w:rsidRDefault="006B34A1" w:rsidP="0081699D">
      <w:pPr>
        <w:ind w:left="851"/>
        <w:rPr>
          <w:sz w:val="24"/>
          <w:szCs w:val="24"/>
        </w:rPr>
      </w:pPr>
      <w:r w:rsidRPr="008D45EF">
        <w:rPr>
          <w:sz w:val="24"/>
          <w:szCs w:val="24"/>
        </w:rPr>
        <w:t>Docetaxel i kombination med doxorubicin er indiceret til behandling af patienter med lokalt fremskreden eller metastatisk brystkræft, som ikke tidligere har fået kemoterapi mod denne tilstand.</w:t>
      </w:r>
    </w:p>
    <w:p w14:paraId="1DF76846" w14:textId="77777777" w:rsidR="006B34A1" w:rsidRPr="008D45EF" w:rsidRDefault="006B34A1" w:rsidP="0081699D">
      <w:pPr>
        <w:ind w:left="851"/>
        <w:rPr>
          <w:sz w:val="24"/>
          <w:szCs w:val="24"/>
        </w:rPr>
      </w:pPr>
    </w:p>
    <w:p w14:paraId="5A95B510" w14:textId="63726122" w:rsidR="00231685" w:rsidRPr="003D4A39" w:rsidRDefault="00231685" w:rsidP="00231685">
      <w:pPr>
        <w:ind w:left="851"/>
        <w:rPr>
          <w:sz w:val="24"/>
          <w:szCs w:val="24"/>
        </w:rPr>
      </w:pPr>
      <w:r w:rsidRPr="003D4A39">
        <w:rPr>
          <w:sz w:val="24"/>
          <w:szCs w:val="24"/>
        </w:rPr>
        <w:t>Docetaxel monoterapi er indiceret til behandling af patienter med lokalt fremskreden eller metastatisk brystkræft efter behandlingssvigt af kemoterapi. I tidligere kemoterapi skal antracy</w:t>
      </w:r>
      <w:r>
        <w:rPr>
          <w:sz w:val="24"/>
          <w:szCs w:val="24"/>
        </w:rPr>
        <w:t>k</w:t>
      </w:r>
      <w:r w:rsidRPr="003D4A39">
        <w:rPr>
          <w:sz w:val="24"/>
          <w:szCs w:val="24"/>
        </w:rPr>
        <w:t>lin eller et alkylerende stof have været anvendt.</w:t>
      </w:r>
    </w:p>
    <w:p w14:paraId="2E6DC3CB" w14:textId="77777777" w:rsidR="006B34A1" w:rsidRPr="008D45EF" w:rsidRDefault="006B34A1" w:rsidP="0081699D">
      <w:pPr>
        <w:ind w:left="851"/>
        <w:rPr>
          <w:sz w:val="24"/>
          <w:szCs w:val="24"/>
        </w:rPr>
      </w:pPr>
    </w:p>
    <w:p w14:paraId="43FD1B63" w14:textId="77777777" w:rsidR="006B34A1" w:rsidRPr="008D45EF" w:rsidRDefault="006B34A1" w:rsidP="0081699D">
      <w:pPr>
        <w:ind w:left="851"/>
        <w:rPr>
          <w:sz w:val="24"/>
          <w:szCs w:val="24"/>
        </w:rPr>
      </w:pPr>
      <w:r w:rsidRPr="008D45EF">
        <w:rPr>
          <w:sz w:val="24"/>
          <w:szCs w:val="24"/>
        </w:rPr>
        <w:t>Docetaxel i kombination med trastuzumab er indiceret til behandling af patienter med metastatisk brystkræft, hvis tumorer overudtrykker HER2, og som ikke tidligere har fået kemoterapi mod metastatisk sygdom.</w:t>
      </w:r>
    </w:p>
    <w:p w14:paraId="60107A3B" w14:textId="77777777" w:rsidR="006B34A1" w:rsidRPr="008D45EF" w:rsidRDefault="006B34A1" w:rsidP="0081699D">
      <w:pPr>
        <w:ind w:left="851"/>
        <w:rPr>
          <w:sz w:val="24"/>
          <w:szCs w:val="24"/>
        </w:rPr>
      </w:pPr>
    </w:p>
    <w:p w14:paraId="019F6914" w14:textId="113F6DFA" w:rsidR="00231685" w:rsidRPr="003D4A39" w:rsidRDefault="00231685" w:rsidP="00231685">
      <w:pPr>
        <w:ind w:left="851"/>
        <w:rPr>
          <w:sz w:val="24"/>
          <w:szCs w:val="24"/>
        </w:rPr>
      </w:pPr>
      <w:r w:rsidRPr="003D4A39">
        <w:rPr>
          <w:sz w:val="24"/>
          <w:szCs w:val="24"/>
        </w:rPr>
        <w:t>Docetaxel i kombination med capecitabin er indiceret til behandling af patienter med lokal fremskreden eller metastatisk brystkræft efter svigt af cytotoksisk kemoterapi. Tidligere behandling skal have omfattet et antracy</w:t>
      </w:r>
      <w:r>
        <w:rPr>
          <w:sz w:val="24"/>
          <w:szCs w:val="24"/>
        </w:rPr>
        <w:t>k</w:t>
      </w:r>
      <w:r w:rsidRPr="003D4A39">
        <w:rPr>
          <w:sz w:val="24"/>
          <w:szCs w:val="24"/>
        </w:rPr>
        <w:t>lin.</w:t>
      </w:r>
    </w:p>
    <w:p w14:paraId="4B50F749" w14:textId="77777777" w:rsidR="006B34A1" w:rsidRPr="008D45EF" w:rsidRDefault="006B34A1" w:rsidP="0081699D">
      <w:pPr>
        <w:ind w:left="851"/>
        <w:rPr>
          <w:sz w:val="24"/>
          <w:szCs w:val="24"/>
        </w:rPr>
      </w:pPr>
    </w:p>
    <w:p w14:paraId="7C2B8940" w14:textId="77777777" w:rsidR="006B34A1" w:rsidRPr="008D45EF" w:rsidRDefault="006B34A1" w:rsidP="0081699D">
      <w:pPr>
        <w:ind w:left="851"/>
        <w:rPr>
          <w:sz w:val="24"/>
          <w:szCs w:val="24"/>
        </w:rPr>
      </w:pPr>
      <w:r w:rsidRPr="008D45EF">
        <w:rPr>
          <w:sz w:val="24"/>
          <w:szCs w:val="24"/>
          <w:u w:val="single"/>
        </w:rPr>
        <w:t>Ikke-småcellet lungekræft</w:t>
      </w:r>
    </w:p>
    <w:p w14:paraId="2D3D655F" w14:textId="5AB7275F" w:rsidR="006B34A1" w:rsidRPr="008D45EF" w:rsidRDefault="006B34A1" w:rsidP="0081699D">
      <w:pPr>
        <w:ind w:left="851"/>
        <w:rPr>
          <w:sz w:val="24"/>
          <w:szCs w:val="24"/>
        </w:rPr>
      </w:pPr>
      <w:r w:rsidRPr="008D45EF">
        <w:rPr>
          <w:sz w:val="24"/>
          <w:szCs w:val="24"/>
        </w:rPr>
        <w:t xml:space="preserve">Docetaxel er indiceret til behandling af patienter med lokalt fremskreden eller metastatisk </w:t>
      </w:r>
      <w:r w:rsidR="00231685" w:rsidRPr="003D4A39">
        <w:rPr>
          <w:sz w:val="24"/>
          <w:szCs w:val="24"/>
        </w:rPr>
        <w:t>ikke-småcellet</w:t>
      </w:r>
      <w:r w:rsidR="00231685" w:rsidRPr="008D45EF">
        <w:rPr>
          <w:sz w:val="24"/>
          <w:szCs w:val="24"/>
        </w:rPr>
        <w:t xml:space="preserve"> </w:t>
      </w:r>
      <w:r w:rsidRPr="008D45EF">
        <w:rPr>
          <w:sz w:val="24"/>
          <w:szCs w:val="24"/>
        </w:rPr>
        <w:t>lungekræft efter behandlingssvigt af kemoterapi.</w:t>
      </w:r>
    </w:p>
    <w:p w14:paraId="2766B093" w14:textId="77777777" w:rsidR="006B34A1" w:rsidRPr="008D45EF" w:rsidRDefault="006B34A1" w:rsidP="0081699D">
      <w:pPr>
        <w:ind w:left="851"/>
        <w:rPr>
          <w:sz w:val="24"/>
          <w:szCs w:val="24"/>
        </w:rPr>
      </w:pPr>
    </w:p>
    <w:p w14:paraId="2990C0AF" w14:textId="77777777" w:rsidR="006B34A1" w:rsidRPr="008D45EF" w:rsidRDefault="006B34A1" w:rsidP="0081699D">
      <w:pPr>
        <w:ind w:left="851"/>
        <w:rPr>
          <w:sz w:val="24"/>
          <w:szCs w:val="24"/>
        </w:rPr>
      </w:pPr>
      <w:r w:rsidRPr="008D45EF">
        <w:rPr>
          <w:sz w:val="24"/>
          <w:szCs w:val="24"/>
        </w:rPr>
        <w:t>Docetaxel i kombination med cisplatin er indiceret til behandling af patienter med inoperabel lokalt fremskreden eller metastatisk ikke-småcellet lungekræft hos patienter, der ikke tidligere har fået kemoterapi mod denne tilstand.</w:t>
      </w:r>
    </w:p>
    <w:p w14:paraId="313CC5C7" w14:textId="77777777" w:rsidR="006B34A1" w:rsidRPr="008D45EF" w:rsidRDefault="006B34A1" w:rsidP="0081699D">
      <w:pPr>
        <w:ind w:left="851"/>
        <w:rPr>
          <w:sz w:val="24"/>
          <w:szCs w:val="24"/>
        </w:rPr>
      </w:pPr>
    </w:p>
    <w:p w14:paraId="281F1E9D" w14:textId="77777777" w:rsidR="00231685" w:rsidRPr="003D4A39" w:rsidRDefault="00231685" w:rsidP="00231685">
      <w:pPr>
        <w:ind w:left="851"/>
        <w:rPr>
          <w:sz w:val="24"/>
          <w:szCs w:val="24"/>
        </w:rPr>
      </w:pPr>
      <w:r w:rsidRPr="003D4A39">
        <w:rPr>
          <w:sz w:val="24"/>
          <w:szCs w:val="24"/>
          <w:u w:val="single"/>
        </w:rPr>
        <w:t>Prostatakræft</w:t>
      </w:r>
    </w:p>
    <w:p w14:paraId="4CE64826" w14:textId="77777777" w:rsidR="00231685" w:rsidRPr="003D4A39" w:rsidRDefault="00231685" w:rsidP="00231685">
      <w:pPr>
        <w:ind w:left="851"/>
        <w:rPr>
          <w:sz w:val="24"/>
          <w:szCs w:val="24"/>
        </w:rPr>
      </w:pPr>
      <w:r w:rsidRPr="003D4A39">
        <w:rPr>
          <w:sz w:val="24"/>
          <w:szCs w:val="24"/>
        </w:rPr>
        <w:t xml:space="preserve">Docetaxel i kombination med prednison eller prednisolon er indiceret til behandling af patienter med metastatisk kastrationsresistent prostatakræft. </w:t>
      </w:r>
    </w:p>
    <w:p w14:paraId="396AAED9" w14:textId="77777777" w:rsidR="00231685" w:rsidRPr="003D4A39" w:rsidRDefault="00231685" w:rsidP="00231685">
      <w:pPr>
        <w:ind w:left="851"/>
        <w:rPr>
          <w:sz w:val="24"/>
          <w:szCs w:val="24"/>
        </w:rPr>
      </w:pPr>
    </w:p>
    <w:p w14:paraId="4CC29AE4" w14:textId="4BC5E5E4" w:rsidR="00231685" w:rsidRPr="003D4A39" w:rsidRDefault="00231685" w:rsidP="00231685">
      <w:pPr>
        <w:ind w:left="851"/>
        <w:rPr>
          <w:sz w:val="24"/>
          <w:szCs w:val="24"/>
        </w:rPr>
      </w:pPr>
      <w:r w:rsidRPr="003D4A39">
        <w:rPr>
          <w:sz w:val="24"/>
          <w:szCs w:val="24"/>
        </w:rPr>
        <w:t xml:space="preserve">Docetaxel i kombination med androgen deprivationsbehandling (ADT), med eller uden prednison eller prednisolon, er indiceret til behandling af patienter med metastatisk hormonfølsom prostatakræft. </w:t>
      </w:r>
    </w:p>
    <w:p w14:paraId="60BCF16C" w14:textId="77777777" w:rsidR="00231685" w:rsidRPr="003D4A39" w:rsidRDefault="00231685" w:rsidP="00231685">
      <w:pPr>
        <w:ind w:left="851"/>
        <w:rPr>
          <w:sz w:val="24"/>
          <w:szCs w:val="24"/>
        </w:rPr>
      </w:pPr>
    </w:p>
    <w:p w14:paraId="4B8698D8" w14:textId="77777777" w:rsidR="00231685" w:rsidRPr="003D4A39" w:rsidRDefault="00231685" w:rsidP="00231685">
      <w:pPr>
        <w:ind w:left="851"/>
        <w:rPr>
          <w:sz w:val="24"/>
          <w:szCs w:val="24"/>
        </w:rPr>
      </w:pPr>
      <w:r w:rsidRPr="003D4A39">
        <w:rPr>
          <w:sz w:val="24"/>
          <w:szCs w:val="24"/>
          <w:u w:val="single"/>
        </w:rPr>
        <w:t>Gastrisk adenokarcinom</w:t>
      </w:r>
    </w:p>
    <w:p w14:paraId="05A283CB" w14:textId="021137FE" w:rsidR="00231685" w:rsidRPr="003D4A39" w:rsidRDefault="00231685" w:rsidP="00231685">
      <w:pPr>
        <w:ind w:left="851"/>
        <w:rPr>
          <w:sz w:val="24"/>
          <w:szCs w:val="24"/>
        </w:rPr>
      </w:pPr>
      <w:r w:rsidRPr="003D4A39">
        <w:rPr>
          <w:sz w:val="24"/>
          <w:szCs w:val="24"/>
        </w:rPr>
        <w:t>Docetaxel i kombination med cisplatin og 5</w:t>
      </w:r>
      <w:r w:rsidRPr="003D4A39">
        <w:rPr>
          <w:sz w:val="24"/>
          <w:szCs w:val="24"/>
        </w:rPr>
        <w:noBreakHyphen/>
        <w:t>fluoruracil er indiceret til behandling af patienter med metastatisk gastrisk adenokarcinom, inklusive adenokarcinom i den gastro</w:t>
      </w:r>
      <w:r>
        <w:rPr>
          <w:sz w:val="24"/>
          <w:szCs w:val="24"/>
        </w:rPr>
        <w:t>ø</w:t>
      </w:r>
      <w:r w:rsidRPr="003D4A39">
        <w:rPr>
          <w:sz w:val="24"/>
          <w:szCs w:val="24"/>
        </w:rPr>
        <w:t>so</w:t>
      </w:r>
      <w:r>
        <w:rPr>
          <w:sz w:val="24"/>
          <w:szCs w:val="24"/>
        </w:rPr>
        <w:t>f</w:t>
      </w:r>
      <w:r w:rsidRPr="003D4A39">
        <w:rPr>
          <w:sz w:val="24"/>
          <w:szCs w:val="24"/>
        </w:rPr>
        <w:t>ageale forbindelse, som ikke tidligere har fået kemoterapi mod metastatisk sygdom.</w:t>
      </w:r>
    </w:p>
    <w:p w14:paraId="46A6B6BF" w14:textId="77777777" w:rsidR="00231685" w:rsidRPr="003D4A39" w:rsidRDefault="00231685" w:rsidP="00231685">
      <w:pPr>
        <w:ind w:left="851"/>
        <w:rPr>
          <w:sz w:val="24"/>
          <w:szCs w:val="24"/>
        </w:rPr>
      </w:pPr>
    </w:p>
    <w:p w14:paraId="04BD997A" w14:textId="77777777" w:rsidR="00231685" w:rsidRPr="003D4A39" w:rsidRDefault="00231685" w:rsidP="00231685">
      <w:pPr>
        <w:ind w:left="851"/>
        <w:rPr>
          <w:sz w:val="24"/>
          <w:szCs w:val="24"/>
        </w:rPr>
      </w:pPr>
      <w:r w:rsidRPr="003D4A39">
        <w:rPr>
          <w:sz w:val="24"/>
          <w:szCs w:val="24"/>
          <w:u w:val="single"/>
        </w:rPr>
        <w:t>Hoved- og halskræft</w:t>
      </w:r>
    </w:p>
    <w:p w14:paraId="78B599DC" w14:textId="6612C1BF" w:rsidR="00231685" w:rsidRPr="003D4A39" w:rsidRDefault="00231685" w:rsidP="00231685">
      <w:pPr>
        <w:ind w:left="851"/>
        <w:rPr>
          <w:sz w:val="24"/>
          <w:szCs w:val="24"/>
        </w:rPr>
      </w:pPr>
      <w:r w:rsidRPr="003D4A39">
        <w:rPr>
          <w:sz w:val="24"/>
          <w:szCs w:val="24"/>
        </w:rPr>
        <w:t>Docetaxel i kombination med cisplatin og 5</w:t>
      </w:r>
      <w:r w:rsidRPr="003D4A39">
        <w:rPr>
          <w:sz w:val="24"/>
          <w:szCs w:val="24"/>
        </w:rPr>
        <w:noBreakHyphen/>
        <w:t>fluoruracil er indiceret til indledende behandling af patienter med inoperable, lokale, fremskredne skællede celle-</w:t>
      </w:r>
      <w:r>
        <w:rPr>
          <w:sz w:val="24"/>
          <w:szCs w:val="24"/>
        </w:rPr>
        <w:t>k</w:t>
      </w:r>
      <w:r w:rsidRPr="003D4A39">
        <w:rPr>
          <w:sz w:val="24"/>
          <w:szCs w:val="24"/>
        </w:rPr>
        <w:t>arcinom i hoved og hals.</w:t>
      </w:r>
    </w:p>
    <w:p w14:paraId="172320FD" w14:textId="77777777" w:rsidR="006B34A1" w:rsidRPr="008D45EF" w:rsidRDefault="006B34A1" w:rsidP="0081699D">
      <w:pPr>
        <w:ind w:left="851"/>
        <w:rPr>
          <w:sz w:val="24"/>
          <w:szCs w:val="24"/>
        </w:rPr>
      </w:pPr>
    </w:p>
    <w:p w14:paraId="39B53811" w14:textId="56672641" w:rsidR="006B34A1" w:rsidRPr="008D45EF" w:rsidRDefault="006B34A1" w:rsidP="00231685">
      <w:pPr>
        <w:keepNext/>
        <w:ind w:left="851" w:hanging="851"/>
        <w:rPr>
          <w:b/>
          <w:sz w:val="24"/>
          <w:szCs w:val="24"/>
        </w:rPr>
      </w:pPr>
      <w:r w:rsidRPr="008D45EF">
        <w:rPr>
          <w:b/>
          <w:sz w:val="24"/>
          <w:szCs w:val="24"/>
        </w:rPr>
        <w:lastRenderedPageBreak/>
        <w:t>4.2</w:t>
      </w:r>
      <w:r w:rsidRPr="008D45EF">
        <w:rPr>
          <w:b/>
          <w:sz w:val="24"/>
          <w:szCs w:val="24"/>
        </w:rPr>
        <w:tab/>
        <w:t xml:space="preserve">Dosering og </w:t>
      </w:r>
      <w:r w:rsidR="00505D09">
        <w:rPr>
          <w:b/>
          <w:sz w:val="24"/>
          <w:szCs w:val="24"/>
        </w:rPr>
        <w:t>administration</w:t>
      </w:r>
    </w:p>
    <w:p w14:paraId="611B8849" w14:textId="5CFD88DA" w:rsidR="006B34A1" w:rsidRDefault="006B34A1" w:rsidP="00231685">
      <w:pPr>
        <w:ind w:left="851"/>
        <w:rPr>
          <w:sz w:val="24"/>
          <w:szCs w:val="24"/>
        </w:rPr>
      </w:pPr>
      <w:r w:rsidRPr="008D45EF">
        <w:rPr>
          <w:sz w:val="24"/>
          <w:szCs w:val="24"/>
        </w:rPr>
        <w:t>Anvendelse af docetaxel bør begrænses til afdelinger, der er specialiserede i administration af cytostatika og docetaxel bør kun gives under supervision af en speciallæge i onkologi (se pkt. 6.6).</w:t>
      </w:r>
    </w:p>
    <w:p w14:paraId="0577FA3A" w14:textId="77777777" w:rsidR="00231685" w:rsidRPr="008D45EF" w:rsidRDefault="00231685" w:rsidP="00231685">
      <w:pPr>
        <w:ind w:left="851"/>
        <w:rPr>
          <w:sz w:val="24"/>
          <w:szCs w:val="24"/>
        </w:rPr>
      </w:pPr>
    </w:p>
    <w:p w14:paraId="1F8C4407" w14:textId="3DD729BE" w:rsidR="00231685" w:rsidRPr="003D4A39" w:rsidRDefault="00231685" w:rsidP="00231685">
      <w:pPr>
        <w:ind w:left="851"/>
        <w:rPr>
          <w:sz w:val="24"/>
          <w:szCs w:val="24"/>
        </w:rPr>
      </w:pPr>
      <w:r w:rsidRPr="003D4A39">
        <w:rPr>
          <w:sz w:val="24"/>
          <w:szCs w:val="24"/>
          <w:u w:val="single"/>
        </w:rPr>
        <w:t>Dosering</w:t>
      </w:r>
    </w:p>
    <w:p w14:paraId="631A7BE2" w14:textId="28A52189" w:rsidR="00231685" w:rsidRPr="003D4A39" w:rsidRDefault="00231685" w:rsidP="00231685">
      <w:pPr>
        <w:ind w:left="851"/>
        <w:rPr>
          <w:sz w:val="24"/>
          <w:szCs w:val="24"/>
        </w:rPr>
      </w:pPr>
      <w:r w:rsidRPr="003D4A39">
        <w:rPr>
          <w:sz w:val="24"/>
          <w:szCs w:val="24"/>
        </w:rPr>
        <w:t>Medmindre det er kontraindiceret, kan der til brystkræft, ikke-småcellet lungekræft, gastrisk samt hoved- og halskræft gives et oralt kortikosteroid som præmedicinering, eksempelvis dexametha</w:t>
      </w:r>
      <w:r>
        <w:rPr>
          <w:sz w:val="24"/>
          <w:szCs w:val="24"/>
        </w:rPr>
        <w:t>s</w:t>
      </w:r>
      <w:r w:rsidRPr="003D4A39">
        <w:rPr>
          <w:sz w:val="24"/>
          <w:szCs w:val="24"/>
        </w:rPr>
        <w:t xml:space="preserve">on 16 mg per dag (f.eks. 8 mg 2 gange daglig). Præmedicineringen gives i 3 dage startende 1 dag før docetaxel-administration (se pkt. 4.4). </w:t>
      </w:r>
    </w:p>
    <w:p w14:paraId="0A0F87EA" w14:textId="77777777" w:rsidR="00231685" w:rsidRPr="003D4A39" w:rsidRDefault="00231685" w:rsidP="00231685">
      <w:pPr>
        <w:ind w:left="851"/>
        <w:rPr>
          <w:sz w:val="24"/>
          <w:szCs w:val="24"/>
        </w:rPr>
      </w:pPr>
    </w:p>
    <w:p w14:paraId="10DDC453" w14:textId="62045863" w:rsidR="00231685" w:rsidRPr="003D4A39" w:rsidRDefault="00231685" w:rsidP="00231685">
      <w:pPr>
        <w:ind w:left="851"/>
        <w:rPr>
          <w:sz w:val="24"/>
          <w:szCs w:val="24"/>
        </w:rPr>
      </w:pPr>
      <w:r w:rsidRPr="003D4A39">
        <w:rPr>
          <w:sz w:val="24"/>
          <w:szCs w:val="24"/>
        </w:rPr>
        <w:t>Ved metastatisk kastrationsresistent prostatakræft er det anbefalede præmedicineringsregime, på grund af den samtidige behandling med prednison eller prednisolon, oral dexamethason 8 mg 12 timer, 3 timer og 1 time før docetaxel-infusion (se pkt. 4.4).</w:t>
      </w:r>
    </w:p>
    <w:p w14:paraId="26C14CFD" w14:textId="77777777" w:rsidR="00231685" w:rsidRPr="003D4A39" w:rsidRDefault="00231685" w:rsidP="00231685">
      <w:pPr>
        <w:ind w:left="851"/>
        <w:rPr>
          <w:sz w:val="24"/>
          <w:szCs w:val="24"/>
        </w:rPr>
      </w:pPr>
    </w:p>
    <w:p w14:paraId="60B35F86" w14:textId="77777777" w:rsidR="00231685" w:rsidRPr="003D4A39" w:rsidRDefault="00231685" w:rsidP="00231685">
      <w:pPr>
        <w:ind w:left="851"/>
        <w:rPr>
          <w:sz w:val="24"/>
          <w:szCs w:val="24"/>
        </w:rPr>
      </w:pPr>
      <w:r w:rsidRPr="003D4A39">
        <w:rPr>
          <w:sz w:val="24"/>
          <w:szCs w:val="24"/>
        </w:rPr>
        <w:t xml:space="preserve">Ved metastatisk hormonfølsom prostatakræft, er det anbefalede præmedicineringsregime, uanset samtidig anvendelse af prednison eller prednisolon, oral dexamethason 8 mg 12 timer, 3 timer og 1 time før docetaxel-infusion (se pkt. 4.4). </w:t>
      </w:r>
    </w:p>
    <w:p w14:paraId="5C647ACF" w14:textId="77777777" w:rsidR="00231685" w:rsidRPr="003D4A39" w:rsidRDefault="00231685" w:rsidP="00231685">
      <w:pPr>
        <w:ind w:left="851"/>
        <w:rPr>
          <w:sz w:val="24"/>
          <w:szCs w:val="24"/>
        </w:rPr>
      </w:pPr>
    </w:p>
    <w:p w14:paraId="15C83CF4" w14:textId="77777777" w:rsidR="00231685" w:rsidRPr="003D4A39" w:rsidRDefault="00231685" w:rsidP="00231685">
      <w:pPr>
        <w:ind w:left="851"/>
        <w:rPr>
          <w:sz w:val="24"/>
          <w:szCs w:val="24"/>
        </w:rPr>
      </w:pPr>
      <w:r w:rsidRPr="003D4A39">
        <w:rPr>
          <w:sz w:val="24"/>
          <w:szCs w:val="24"/>
        </w:rPr>
        <w:t>G-CSF (granulocytkoloni-stimulerende faktor) kan anvendes profylaktisk for at formindske risikoen for hæmatologisk toksicitet.</w:t>
      </w:r>
    </w:p>
    <w:p w14:paraId="4C2B5C98" w14:textId="77777777" w:rsidR="006B34A1" w:rsidRPr="008D45EF" w:rsidRDefault="006B34A1" w:rsidP="0081699D">
      <w:pPr>
        <w:ind w:left="851"/>
        <w:rPr>
          <w:sz w:val="24"/>
          <w:szCs w:val="24"/>
        </w:rPr>
      </w:pPr>
    </w:p>
    <w:p w14:paraId="368C1BBF" w14:textId="77777777" w:rsidR="006B34A1" w:rsidRPr="008D45EF" w:rsidRDefault="006B34A1" w:rsidP="0081699D">
      <w:pPr>
        <w:ind w:left="851"/>
        <w:rPr>
          <w:sz w:val="24"/>
          <w:szCs w:val="24"/>
        </w:rPr>
      </w:pPr>
      <w:r w:rsidRPr="008D45EF">
        <w:rPr>
          <w:sz w:val="24"/>
          <w:szCs w:val="24"/>
        </w:rPr>
        <w:t>Docetaxel indgives som en 1</w:t>
      </w:r>
      <w:r w:rsidRPr="008D45EF">
        <w:rPr>
          <w:sz w:val="24"/>
          <w:szCs w:val="24"/>
        </w:rPr>
        <w:noBreakHyphen/>
        <w:t>times infusion hver 3. uge.</w:t>
      </w:r>
    </w:p>
    <w:p w14:paraId="381130C6" w14:textId="77777777" w:rsidR="006B34A1" w:rsidRPr="008D45EF" w:rsidRDefault="006B34A1" w:rsidP="0081699D">
      <w:pPr>
        <w:ind w:left="851"/>
        <w:rPr>
          <w:sz w:val="24"/>
          <w:szCs w:val="24"/>
        </w:rPr>
      </w:pPr>
    </w:p>
    <w:p w14:paraId="200E70E4" w14:textId="77777777" w:rsidR="00231685" w:rsidRPr="003D4A39" w:rsidRDefault="00231685" w:rsidP="00231685">
      <w:pPr>
        <w:ind w:left="851"/>
        <w:rPr>
          <w:sz w:val="24"/>
          <w:szCs w:val="24"/>
        </w:rPr>
      </w:pPr>
      <w:r w:rsidRPr="003D4A39">
        <w:rPr>
          <w:i/>
          <w:iCs/>
          <w:sz w:val="24"/>
          <w:szCs w:val="24"/>
          <w:u w:val="single"/>
        </w:rPr>
        <w:t>Brystkræft</w:t>
      </w:r>
    </w:p>
    <w:p w14:paraId="650DAF92" w14:textId="11430D28" w:rsidR="00231685" w:rsidRPr="003D4A39" w:rsidRDefault="00231685" w:rsidP="00231685">
      <w:pPr>
        <w:ind w:left="851"/>
        <w:rPr>
          <w:sz w:val="24"/>
          <w:szCs w:val="24"/>
        </w:rPr>
      </w:pPr>
      <w:r w:rsidRPr="003D4A39">
        <w:rPr>
          <w:sz w:val="24"/>
          <w:szCs w:val="24"/>
        </w:rPr>
        <w:t>Den anbefalede do</w:t>
      </w:r>
      <w:r>
        <w:rPr>
          <w:sz w:val="24"/>
          <w:szCs w:val="24"/>
        </w:rPr>
        <w:t>c</w:t>
      </w:r>
      <w:r w:rsidRPr="003D4A39">
        <w:rPr>
          <w:sz w:val="24"/>
          <w:szCs w:val="24"/>
        </w:rPr>
        <w:t>etaxel-dosis til adjuverende behandling af operabel lymfeknude-positiv og lymfeknude-negativ brystkræft er 75 mg/m² hver 3. uge i 6 perioder, administreret 1 time efter doxorubicin 50 mg/m² og cyclophosphamid 500 mg/m² (TAC-regime) (se også: Dosisjustering under behandling).</w:t>
      </w:r>
    </w:p>
    <w:p w14:paraId="59155E96" w14:textId="77777777" w:rsidR="00231685" w:rsidRPr="003D4A39" w:rsidRDefault="00231685" w:rsidP="00231685">
      <w:pPr>
        <w:ind w:left="851"/>
        <w:rPr>
          <w:sz w:val="24"/>
          <w:szCs w:val="24"/>
        </w:rPr>
      </w:pPr>
    </w:p>
    <w:p w14:paraId="23DA8593" w14:textId="545C6636" w:rsidR="00231685" w:rsidRPr="003D4A39" w:rsidRDefault="00231685" w:rsidP="00231685">
      <w:pPr>
        <w:ind w:left="851"/>
        <w:rPr>
          <w:sz w:val="24"/>
          <w:szCs w:val="24"/>
        </w:rPr>
      </w:pPr>
      <w:r w:rsidRPr="003D4A39">
        <w:rPr>
          <w:sz w:val="24"/>
          <w:szCs w:val="24"/>
        </w:rPr>
        <w:t>Til behandling af patienter med lokalt fremskreden eller metastatisk brystkræft er den anbefalede dosis docetaxel i monoterapi 100 mg/m². Som førstebehandling indgives 75 mg/m² do</w:t>
      </w:r>
      <w:r>
        <w:rPr>
          <w:sz w:val="24"/>
          <w:szCs w:val="24"/>
        </w:rPr>
        <w:t>c</w:t>
      </w:r>
      <w:r w:rsidRPr="003D4A39">
        <w:rPr>
          <w:sz w:val="24"/>
          <w:szCs w:val="24"/>
        </w:rPr>
        <w:t>etaxel i kombinationsbehandling med doxorubicin (50 mg/m²).</w:t>
      </w:r>
    </w:p>
    <w:p w14:paraId="5418498E" w14:textId="77777777" w:rsidR="006B34A1" w:rsidRPr="008D45EF" w:rsidRDefault="006B34A1" w:rsidP="0081699D">
      <w:pPr>
        <w:ind w:left="851"/>
        <w:rPr>
          <w:sz w:val="24"/>
          <w:szCs w:val="24"/>
        </w:rPr>
      </w:pPr>
    </w:p>
    <w:p w14:paraId="42CA9CFC" w14:textId="77777777" w:rsidR="006B34A1" w:rsidRPr="008D45EF" w:rsidRDefault="006B34A1" w:rsidP="0081699D">
      <w:pPr>
        <w:ind w:left="851"/>
        <w:rPr>
          <w:sz w:val="24"/>
          <w:szCs w:val="24"/>
        </w:rPr>
      </w:pPr>
      <w:r w:rsidRPr="008D45EF">
        <w:rPr>
          <w:sz w:val="24"/>
          <w:szCs w:val="24"/>
        </w:rPr>
        <w:t>I kombination med trastuzumab er den anbefalede dosis af docetaxel 100 mg/m² hver 3. uge med en ugentlig administration af trastuzumab. I pivotalstudiet blev den initiale docetaxel-infusion givet dagen efter den første dosis trastuzumab. Den efterfølgende docetaxel-dosis blev givet umiddelbart efter ophør af trastuzumab-infusionen, hvis trastuzumab-infusionen var veltolereret. Vedrørende trastuzumab-dosis og -administration, se produktresumé for trastuzumab.</w:t>
      </w:r>
    </w:p>
    <w:p w14:paraId="71F54590" w14:textId="77777777" w:rsidR="006B34A1" w:rsidRPr="008D45EF" w:rsidRDefault="006B34A1" w:rsidP="0081699D">
      <w:pPr>
        <w:ind w:left="851"/>
        <w:rPr>
          <w:sz w:val="24"/>
          <w:szCs w:val="24"/>
        </w:rPr>
      </w:pPr>
    </w:p>
    <w:p w14:paraId="697A933B" w14:textId="77777777" w:rsidR="006B34A1" w:rsidRPr="008D45EF" w:rsidRDefault="006B34A1" w:rsidP="0081699D">
      <w:pPr>
        <w:ind w:left="851"/>
        <w:rPr>
          <w:sz w:val="24"/>
          <w:szCs w:val="24"/>
        </w:rPr>
      </w:pPr>
      <w:r w:rsidRPr="008D45EF">
        <w:rPr>
          <w:sz w:val="24"/>
          <w:szCs w:val="24"/>
        </w:rPr>
        <w:t>I kombination med capecitabin er den anbefalede docetaxel-dosis 75 mg/m² hver 3. uge kombineret med capecitabin 1.250 mg/m² to gange daglig (indenfor 30 minutter efter et måltid) i 2 uger efterfulgt af en uges pause. For beregning af capecitabin-dosis i overensstemmelse med legemsoverflade se capecitabin-produktresuméet.</w:t>
      </w:r>
    </w:p>
    <w:p w14:paraId="1E6F2A42" w14:textId="77777777" w:rsidR="006B34A1" w:rsidRPr="008D45EF" w:rsidRDefault="006B34A1" w:rsidP="0081699D">
      <w:pPr>
        <w:ind w:left="851"/>
        <w:rPr>
          <w:sz w:val="24"/>
          <w:szCs w:val="24"/>
        </w:rPr>
      </w:pPr>
    </w:p>
    <w:p w14:paraId="29B4E811" w14:textId="77777777" w:rsidR="006B34A1" w:rsidRPr="000B3D5B" w:rsidRDefault="006B34A1" w:rsidP="0081699D">
      <w:pPr>
        <w:ind w:left="851"/>
        <w:rPr>
          <w:sz w:val="24"/>
          <w:szCs w:val="24"/>
        </w:rPr>
      </w:pPr>
      <w:r w:rsidRPr="000B3D5B">
        <w:rPr>
          <w:i/>
          <w:iCs/>
          <w:sz w:val="24"/>
          <w:szCs w:val="24"/>
        </w:rPr>
        <w:t>Ikke-småcellet lungekræft</w:t>
      </w:r>
    </w:p>
    <w:p w14:paraId="1C378F99" w14:textId="77777777" w:rsidR="006B34A1" w:rsidRPr="008D45EF" w:rsidRDefault="006B34A1" w:rsidP="0081699D">
      <w:pPr>
        <w:ind w:left="851"/>
        <w:rPr>
          <w:sz w:val="24"/>
          <w:szCs w:val="24"/>
        </w:rPr>
      </w:pPr>
      <w:r w:rsidRPr="008D45EF">
        <w:rPr>
          <w:sz w:val="24"/>
          <w:szCs w:val="24"/>
        </w:rPr>
        <w:t>For patienter der ikke tidligere er behandlet med kemoterapi, der behandles for ikke-småcellet lungekræft, er den anbefalede dosis af docetaxel 75 mg/m², straks efterfulgt af cisplatin 75 mg/m² givet over 30</w:t>
      </w:r>
      <w:r w:rsidRPr="008D45EF">
        <w:rPr>
          <w:sz w:val="24"/>
          <w:szCs w:val="24"/>
        </w:rPr>
        <w:noBreakHyphen/>
        <w:t>60 minutter. For behandling efter forudgående svigt af platinbaseret kemoterapi, er den anbefalede dosis 75 mg/m² givet som enkeltstof.</w:t>
      </w:r>
    </w:p>
    <w:p w14:paraId="1A8C95A2" w14:textId="77777777" w:rsidR="006B34A1" w:rsidRPr="008D45EF" w:rsidRDefault="006B34A1" w:rsidP="0081699D">
      <w:pPr>
        <w:ind w:left="851"/>
        <w:rPr>
          <w:sz w:val="24"/>
          <w:szCs w:val="24"/>
        </w:rPr>
      </w:pPr>
    </w:p>
    <w:p w14:paraId="5DC03255" w14:textId="77777777" w:rsidR="00231685" w:rsidRPr="003D4A39" w:rsidRDefault="00231685" w:rsidP="00231685">
      <w:pPr>
        <w:ind w:left="851"/>
        <w:rPr>
          <w:sz w:val="24"/>
          <w:szCs w:val="24"/>
        </w:rPr>
      </w:pPr>
      <w:r w:rsidRPr="003D4A39">
        <w:rPr>
          <w:i/>
          <w:iCs/>
          <w:sz w:val="24"/>
          <w:szCs w:val="24"/>
          <w:u w:val="single"/>
        </w:rPr>
        <w:t>Prostatakræft</w:t>
      </w:r>
    </w:p>
    <w:p w14:paraId="3157DF71" w14:textId="77777777" w:rsidR="00231685" w:rsidRPr="003D4A39" w:rsidRDefault="00231685" w:rsidP="00231685">
      <w:pPr>
        <w:ind w:left="851"/>
        <w:rPr>
          <w:i/>
          <w:iCs/>
          <w:sz w:val="24"/>
          <w:szCs w:val="24"/>
        </w:rPr>
      </w:pPr>
    </w:p>
    <w:p w14:paraId="1323AF7F" w14:textId="77777777" w:rsidR="00231685" w:rsidRPr="005D4D80" w:rsidRDefault="00231685" w:rsidP="00231685">
      <w:pPr>
        <w:ind w:left="851"/>
        <w:rPr>
          <w:i/>
          <w:iCs/>
          <w:sz w:val="24"/>
          <w:szCs w:val="24"/>
        </w:rPr>
      </w:pPr>
      <w:r w:rsidRPr="005D4D80">
        <w:rPr>
          <w:i/>
          <w:iCs/>
          <w:sz w:val="24"/>
          <w:szCs w:val="24"/>
        </w:rPr>
        <w:t xml:space="preserve">Metastatisk kastrationsresistent prostatakræft </w:t>
      </w:r>
    </w:p>
    <w:p w14:paraId="5B104C83" w14:textId="77777777" w:rsidR="00231685" w:rsidRPr="003D4A39" w:rsidRDefault="00231685" w:rsidP="00231685">
      <w:pPr>
        <w:ind w:left="851"/>
        <w:rPr>
          <w:sz w:val="24"/>
          <w:szCs w:val="24"/>
        </w:rPr>
      </w:pPr>
      <w:r w:rsidRPr="003D4A39">
        <w:rPr>
          <w:sz w:val="24"/>
          <w:szCs w:val="24"/>
        </w:rPr>
        <w:t>Den anbefalede dosis af docetaxel er 75 mg/m². Prednison eller prednisolon 5 mg 2 gange daglig gives kontinuerligt (se pkt. 5.1).</w:t>
      </w:r>
    </w:p>
    <w:p w14:paraId="1B543255" w14:textId="77777777" w:rsidR="00231685" w:rsidRPr="003D4A39" w:rsidRDefault="00231685" w:rsidP="00231685">
      <w:pPr>
        <w:ind w:left="851"/>
        <w:rPr>
          <w:sz w:val="24"/>
          <w:szCs w:val="24"/>
        </w:rPr>
      </w:pPr>
    </w:p>
    <w:p w14:paraId="081B9A35" w14:textId="77777777" w:rsidR="00231685" w:rsidRPr="005D4D80" w:rsidRDefault="00231685" w:rsidP="00231685">
      <w:pPr>
        <w:ind w:left="851"/>
        <w:rPr>
          <w:i/>
          <w:iCs/>
          <w:sz w:val="24"/>
          <w:szCs w:val="24"/>
        </w:rPr>
      </w:pPr>
      <w:r w:rsidRPr="005D4D80">
        <w:rPr>
          <w:i/>
          <w:iCs/>
          <w:sz w:val="24"/>
          <w:szCs w:val="24"/>
        </w:rPr>
        <w:t xml:space="preserve">Metastatisk hormonfølsom prostatakræft </w:t>
      </w:r>
    </w:p>
    <w:p w14:paraId="25F7A6FE" w14:textId="77777777" w:rsidR="00231685" w:rsidRPr="003D4A39" w:rsidRDefault="00231685" w:rsidP="00231685">
      <w:pPr>
        <w:ind w:left="851"/>
        <w:rPr>
          <w:sz w:val="24"/>
          <w:szCs w:val="24"/>
        </w:rPr>
      </w:pPr>
      <w:r w:rsidRPr="003D4A39">
        <w:rPr>
          <w:sz w:val="24"/>
          <w:szCs w:val="24"/>
        </w:rPr>
        <w:t>Den anbefalede dosis af docetaxel er 75 mg/m</w:t>
      </w:r>
      <w:r w:rsidRPr="005D4D80">
        <w:rPr>
          <w:sz w:val="24"/>
          <w:szCs w:val="24"/>
          <w:vertAlign w:val="superscript"/>
        </w:rPr>
        <w:t>2</w:t>
      </w:r>
      <w:r w:rsidRPr="003D4A39">
        <w:rPr>
          <w:sz w:val="24"/>
          <w:szCs w:val="24"/>
        </w:rPr>
        <w:t xml:space="preserve"> hver 3. uge i 6 perioder. Prednison eller prednisolon 5 mg 2 gange dagligt kan gives kontinuerligt.</w:t>
      </w:r>
    </w:p>
    <w:p w14:paraId="28CE198B" w14:textId="77777777" w:rsidR="00231685" w:rsidRPr="003D4A39" w:rsidRDefault="00231685" w:rsidP="00231685">
      <w:pPr>
        <w:ind w:left="851"/>
        <w:rPr>
          <w:sz w:val="24"/>
          <w:szCs w:val="24"/>
        </w:rPr>
      </w:pPr>
    </w:p>
    <w:p w14:paraId="05B6B6FA" w14:textId="77777777" w:rsidR="00231685" w:rsidRPr="003D4A39" w:rsidRDefault="00231685" w:rsidP="00231685">
      <w:pPr>
        <w:ind w:left="851"/>
        <w:rPr>
          <w:sz w:val="24"/>
          <w:szCs w:val="24"/>
        </w:rPr>
      </w:pPr>
      <w:r w:rsidRPr="003D4A39">
        <w:rPr>
          <w:i/>
          <w:iCs/>
          <w:sz w:val="24"/>
          <w:szCs w:val="24"/>
          <w:u w:val="single"/>
        </w:rPr>
        <w:t>Gastrisk adenokarcinom</w:t>
      </w:r>
    </w:p>
    <w:p w14:paraId="4D964141" w14:textId="77777777" w:rsidR="00231685" w:rsidRPr="003D4A39" w:rsidRDefault="00231685" w:rsidP="00231685">
      <w:pPr>
        <w:ind w:left="851"/>
        <w:rPr>
          <w:sz w:val="24"/>
          <w:szCs w:val="24"/>
        </w:rPr>
      </w:pPr>
      <w:r w:rsidRPr="003D4A39">
        <w:rPr>
          <w:sz w:val="24"/>
          <w:szCs w:val="24"/>
        </w:rPr>
        <w:t>Den anbefalede dosis af docetaxel er 75 mg/m² som en 1</w:t>
      </w:r>
      <w:r w:rsidRPr="003D4A39">
        <w:rPr>
          <w:sz w:val="24"/>
          <w:szCs w:val="24"/>
        </w:rPr>
        <w:noBreakHyphen/>
        <w:t>times infusion, efterfulgt af cisplatin 75 mg/m², som en 1</w:t>
      </w:r>
      <w:r w:rsidRPr="003D4A39">
        <w:rPr>
          <w:sz w:val="24"/>
          <w:szCs w:val="24"/>
        </w:rPr>
        <w:noBreakHyphen/>
        <w:t>3</w:t>
      </w:r>
      <w:r w:rsidRPr="003D4A39">
        <w:rPr>
          <w:sz w:val="24"/>
          <w:szCs w:val="24"/>
        </w:rPr>
        <w:noBreakHyphen/>
        <w:t>timers infusion (begge kun på dag 1), efterfulgt af 5</w:t>
      </w:r>
      <w:r w:rsidRPr="003D4A39">
        <w:rPr>
          <w:sz w:val="24"/>
          <w:szCs w:val="24"/>
        </w:rPr>
        <w:noBreakHyphen/>
        <w:t>fluoruracil 750 mg/m² pr. dag, givet som en 24</w:t>
      </w:r>
      <w:r w:rsidRPr="003D4A39">
        <w:rPr>
          <w:sz w:val="24"/>
          <w:szCs w:val="24"/>
        </w:rPr>
        <w:noBreakHyphen/>
        <w:t>timers kontinuerlig infusion i 5 dage, med start efter endt cisplatin-infusion.</w:t>
      </w:r>
    </w:p>
    <w:p w14:paraId="230C8AD3" w14:textId="77777777" w:rsidR="00231685" w:rsidRDefault="00231685" w:rsidP="0081699D">
      <w:pPr>
        <w:ind w:left="851"/>
        <w:rPr>
          <w:sz w:val="24"/>
          <w:szCs w:val="24"/>
        </w:rPr>
      </w:pPr>
    </w:p>
    <w:p w14:paraId="745870F3" w14:textId="18522971" w:rsidR="006B34A1" w:rsidRPr="008D45EF" w:rsidRDefault="006B34A1" w:rsidP="0081699D">
      <w:pPr>
        <w:ind w:left="851"/>
        <w:rPr>
          <w:sz w:val="24"/>
          <w:szCs w:val="24"/>
        </w:rPr>
      </w:pPr>
      <w:r w:rsidRPr="008D45EF">
        <w:rPr>
          <w:sz w:val="24"/>
          <w:szCs w:val="24"/>
        </w:rPr>
        <w:t>Behandlingen gentages hver 3. uge. Patienterne præmedicineres med antiemetika og passende hydrering til administration af cisplatin. Man bør anvende profylaktisk G</w:t>
      </w:r>
      <w:r w:rsidRPr="008D45EF">
        <w:rPr>
          <w:sz w:val="24"/>
          <w:szCs w:val="24"/>
        </w:rPr>
        <w:noBreakHyphen/>
        <w:t>CSF for at nedsætte risikoen for hæmatologisk toksicitet (se også ”Dosisjustering under behandling”).</w:t>
      </w:r>
    </w:p>
    <w:p w14:paraId="7FF22305" w14:textId="77777777" w:rsidR="006B34A1" w:rsidRPr="008D45EF" w:rsidRDefault="006B34A1" w:rsidP="0081699D">
      <w:pPr>
        <w:ind w:left="851"/>
        <w:rPr>
          <w:sz w:val="24"/>
          <w:szCs w:val="24"/>
        </w:rPr>
      </w:pPr>
    </w:p>
    <w:p w14:paraId="073663B1" w14:textId="77777777" w:rsidR="006B34A1" w:rsidRPr="000B3D5B" w:rsidRDefault="006B34A1" w:rsidP="0081699D">
      <w:pPr>
        <w:ind w:left="851"/>
        <w:rPr>
          <w:sz w:val="24"/>
          <w:szCs w:val="24"/>
        </w:rPr>
      </w:pPr>
      <w:r w:rsidRPr="000B3D5B">
        <w:rPr>
          <w:i/>
          <w:iCs/>
          <w:sz w:val="24"/>
          <w:szCs w:val="24"/>
        </w:rPr>
        <w:t>Hoved- og hals-kræft</w:t>
      </w:r>
    </w:p>
    <w:p w14:paraId="4C9B2DEE" w14:textId="77777777" w:rsidR="006B34A1" w:rsidRPr="008D45EF" w:rsidRDefault="006B34A1" w:rsidP="0081699D">
      <w:pPr>
        <w:ind w:left="851"/>
        <w:rPr>
          <w:sz w:val="24"/>
          <w:szCs w:val="24"/>
        </w:rPr>
      </w:pPr>
      <w:r w:rsidRPr="008D45EF">
        <w:rPr>
          <w:sz w:val="24"/>
          <w:szCs w:val="24"/>
        </w:rPr>
        <w:t>Patienter skal præmedicineres med antiemetika og hydreres passende (før og efter cisplatin administration). Profylaktisk G</w:t>
      </w:r>
      <w:r w:rsidRPr="008D45EF">
        <w:rPr>
          <w:sz w:val="24"/>
          <w:szCs w:val="24"/>
        </w:rPr>
        <w:noBreakHyphen/>
        <w:t xml:space="preserve">CSF kan anvendes til at nedsættes risikoen for hæmatologiske toksiciteter. Alle patienter på den docetaxel-indeholdende arm af TAX 323 og TAX 324 studierne modtog </w:t>
      </w:r>
      <w:proofErr w:type="gramStart"/>
      <w:r w:rsidRPr="008D45EF">
        <w:rPr>
          <w:sz w:val="24"/>
          <w:szCs w:val="24"/>
        </w:rPr>
        <w:t>profylaktisk</w:t>
      </w:r>
      <w:proofErr w:type="gramEnd"/>
      <w:r w:rsidRPr="008D45EF">
        <w:rPr>
          <w:sz w:val="24"/>
          <w:szCs w:val="24"/>
        </w:rPr>
        <w:t xml:space="preserve"> antibiotika.</w:t>
      </w:r>
    </w:p>
    <w:p w14:paraId="68B02228" w14:textId="77777777" w:rsidR="00231685" w:rsidRPr="003D4A39" w:rsidRDefault="00231685" w:rsidP="00231685">
      <w:pPr>
        <w:numPr>
          <w:ilvl w:val="0"/>
          <w:numId w:val="10"/>
        </w:numPr>
        <w:ind w:left="1276" w:hanging="425"/>
        <w:rPr>
          <w:sz w:val="24"/>
          <w:szCs w:val="24"/>
        </w:rPr>
      </w:pPr>
      <w:r w:rsidRPr="003D4A39">
        <w:rPr>
          <w:sz w:val="24"/>
          <w:szCs w:val="24"/>
        </w:rPr>
        <w:t>Induktions kemoterapi efterfulgt af strålebehandling (TAX 323)</w:t>
      </w:r>
    </w:p>
    <w:p w14:paraId="481B4926" w14:textId="6ACB9FE6" w:rsidR="00231685" w:rsidRDefault="00231685" w:rsidP="00231685">
      <w:pPr>
        <w:ind w:left="1276"/>
        <w:rPr>
          <w:sz w:val="24"/>
          <w:szCs w:val="24"/>
        </w:rPr>
      </w:pPr>
      <w:r w:rsidRPr="003D4A39">
        <w:rPr>
          <w:sz w:val="24"/>
          <w:szCs w:val="24"/>
        </w:rPr>
        <w:tab/>
        <w:t>Til den indledende behandling af inoperabel, lokalt fremskredne pladecelle</w:t>
      </w:r>
      <w:r>
        <w:rPr>
          <w:sz w:val="24"/>
          <w:szCs w:val="24"/>
        </w:rPr>
        <w:t>k</w:t>
      </w:r>
      <w:r w:rsidRPr="003D4A39">
        <w:rPr>
          <w:sz w:val="24"/>
          <w:szCs w:val="24"/>
        </w:rPr>
        <w:t>arcinom i hoved og hals (SCCHN) er den anbefalede dosis docetaxel 75 mg/m² som en 1</w:t>
      </w:r>
      <w:r w:rsidRPr="003D4A39">
        <w:rPr>
          <w:sz w:val="24"/>
          <w:szCs w:val="24"/>
        </w:rPr>
        <w:noBreakHyphen/>
        <w:t>times infusion, efterfulgt af 1 times infusion med cisplatin 75 mg/m² på dag 1, efterfulgt af 5</w:t>
      </w:r>
      <w:r w:rsidRPr="003D4A39">
        <w:rPr>
          <w:sz w:val="24"/>
          <w:szCs w:val="24"/>
        </w:rPr>
        <w:noBreakHyphen/>
        <w:t>fluoruracil som en kontinuerlig infusion på 750 mg/m² pr. dag i fem dage. Dette regime blev administreret hver 3. uge i 4 cyklusser. Efter kemoterapi bør patienterne få strålebehandling.</w:t>
      </w:r>
    </w:p>
    <w:p w14:paraId="6ADDFB39" w14:textId="77777777" w:rsidR="00231685" w:rsidRPr="003D4A39" w:rsidRDefault="00231685" w:rsidP="00231685">
      <w:pPr>
        <w:ind w:left="1276"/>
        <w:rPr>
          <w:sz w:val="24"/>
          <w:szCs w:val="24"/>
        </w:rPr>
      </w:pPr>
    </w:p>
    <w:p w14:paraId="6C88CE82" w14:textId="77777777" w:rsidR="00231685" w:rsidRPr="003D4A39" w:rsidRDefault="00231685" w:rsidP="00231685">
      <w:pPr>
        <w:numPr>
          <w:ilvl w:val="0"/>
          <w:numId w:val="10"/>
        </w:numPr>
        <w:ind w:left="1276" w:hanging="425"/>
        <w:rPr>
          <w:sz w:val="24"/>
          <w:szCs w:val="24"/>
        </w:rPr>
      </w:pPr>
      <w:r w:rsidRPr="003D4A39">
        <w:rPr>
          <w:sz w:val="24"/>
          <w:szCs w:val="24"/>
        </w:rPr>
        <w:t>Induktions kemoterapi efterfulgt af kemo-stråleterapi (TAX 324)</w:t>
      </w:r>
    </w:p>
    <w:p w14:paraId="5767527A" w14:textId="541C08B2" w:rsidR="00231685" w:rsidRPr="003D4A39" w:rsidRDefault="00231685" w:rsidP="00231685">
      <w:pPr>
        <w:ind w:left="1276"/>
        <w:rPr>
          <w:sz w:val="24"/>
          <w:szCs w:val="24"/>
        </w:rPr>
      </w:pPr>
      <w:r w:rsidRPr="003D4A39">
        <w:rPr>
          <w:sz w:val="24"/>
          <w:szCs w:val="24"/>
        </w:rPr>
        <w:t xml:space="preserve">Til den indledende behandling af patienter med </w:t>
      </w:r>
      <w:proofErr w:type="gramStart"/>
      <w:r w:rsidRPr="003D4A39">
        <w:rPr>
          <w:sz w:val="24"/>
          <w:szCs w:val="24"/>
        </w:rPr>
        <w:t>lokalt fremskreden plade</w:t>
      </w:r>
      <w:r>
        <w:rPr>
          <w:sz w:val="24"/>
          <w:szCs w:val="24"/>
        </w:rPr>
        <w:t>c</w:t>
      </w:r>
      <w:r w:rsidRPr="003D4A39">
        <w:rPr>
          <w:sz w:val="24"/>
          <w:szCs w:val="24"/>
        </w:rPr>
        <w:t>elle</w:t>
      </w:r>
      <w:r>
        <w:rPr>
          <w:sz w:val="24"/>
          <w:szCs w:val="24"/>
        </w:rPr>
        <w:t>k</w:t>
      </w:r>
      <w:r w:rsidRPr="003D4A39">
        <w:rPr>
          <w:sz w:val="24"/>
          <w:szCs w:val="24"/>
        </w:rPr>
        <w:t>arcinom</w:t>
      </w:r>
      <w:proofErr w:type="gramEnd"/>
      <w:r w:rsidRPr="003D4A39">
        <w:rPr>
          <w:sz w:val="24"/>
          <w:szCs w:val="24"/>
        </w:rPr>
        <w:t xml:space="preserve"> i hoved og hals (SCCHN) (ikke</w:t>
      </w:r>
      <w:r>
        <w:rPr>
          <w:sz w:val="24"/>
          <w:szCs w:val="24"/>
        </w:rPr>
        <w:t>-</w:t>
      </w:r>
      <w:r w:rsidRPr="003D4A39">
        <w:rPr>
          <w:sz w:val="24"/>
          <w:szCs w:val="24"/>
        </w:rPr>
        <w:t>resekter</w:t>
      </w:r>
      <w:r>
        <w:rPr>
          <w:sz w:val="24"/>
          <w:szCs w:val="24"/>
        </w:rPr>
        <w:t>bar</w:t>
      </w:r>
      <w:r w:rsidRPr="003D4A39">
        <w:rPr>
          <w:sz w:val="24"/>
          <w:szCs w:val="24"/>
        </w:rPr>
        <w:t>, lav sandsynlighed for kirurgisk helbredelse samt med bevarelse af organer som mål), er den anbefalede dosis docetaxel 75 mg/m² som en 1</w:t>
      </w:r>
      <w:r w:rsidRPr="003D4A39">
        <w:rPr>
          <w:sz w:val="24"/>
          <w:szCs w:val="24"/>
        </w:rPr>
        <w:noBreakHyphen/>
        <w:t>times intravenøs infusion på dag 1, efterfulgt af cisplatin 100 mg/m² administreret som en 30 minutter til 3 timers infusion, efterfulgt af 5</w:t>
      </w:r>
      <w:r w:rsidRPr="003D4A39">
        <w:rPr>
          <w:sz w:val="24"/>
          <w:szCs w:val="24"/>
        </w:rPr>
        <w:noBreakHyphen/>
        <w:t>fluoruracil 1.000 mg/m² som en kontinuerlig infusion fra dag 1 til dag 4. Dette regime administreres hver 3. uge i 3 cyklusser. Patienter bør modtage kemo-strålingsterapi efter kemoterapi</w:t>
      </w:r>
    </w:p>
    <w:p w14:paraId="1E379C8E" w14:textId="77777777" w:rsidR="006B34A1" w:rsidRPr="008D45EF" w:rsidRDefault="006B34A1" w:rsidP="0081699D">
      <w:pPr>
        <w:ind w:left="851"/>
        <w:rPr>
          <w:sz w:val="24"/>
          <w:szCs w:val="24"/>
        </w:rPr>
      </w:pPr>
    </w:p>
    <w:p w14:paraId="567DAFE7" w14:textId="77777777" w:rsidR="006B34A1" w:rsidRPr="008D45EF" w:rsidRDefault="006B34A1" w:rsidP="0081699D">
      <w:pPr>
        <w:ind w:left="851"/>
        <w:rPr>
          <w:sz w:val="24"/>
          <w:szCs w:val="24"/>
        </w:rPr>
      </w:pPr>
      <w:r w:rsidRPr="008D45EF">
        <w:rPr>
          <w:sz w:val="24"/>
          <w:szCs w:val="24"/>
        </w:rPr>
        <w:t>Ved dosismodifikation af cisplatin og 5</w:t>
      </w:r>
      <w:r w:rsidRPr="008D45EF">
        <w:rPr>
          <w:sz w:val="24"/>
          <w:szCs w:val="24"/>
        </w:rPr>
        <w:noBreakHyphen/>
        <w:t>fluoruracil henvises der til de tilsvarende produktresuméer.</w:t>
      </w:r>
    </w:p>
    <w:p w14:paraId="2ED2133A" w14:textId="77777777" w:rsidR="006B34A1" w:rsidRPr="008D45EF" w:rsidRDefault="006B34A1" w:rsidP="0081699D">
      <w:pPr>
        <w:ind w:left="851"/>
        <w:rPr>
          <w:sz w:val="24"/>
          <w:szCs w:val="24"/>
        </w:rPr>
      </w:pPr>
    </w:p>
    <w:p w14:paraId="4C385789" w14:textId="77777777" w:rsidR="006B34A1" w:rsidRPr="008D45EF" w:rsidRDefault="006B34A1" w:rsidP="00231685">
      <w:pPr>
        <w:keepNext/>
        <w:ind w:left="851"/>
        <w:rPr>
          <w:sz w:val="24"/>
          <w:szCs w:val="24"/>
        </w:rPr>
      </w:pPr>
      <w:r w:rsidRPr="008D45EF">
        <w:rPr>
          <w:sz w:val="24"/>
          <w:szCs w:val="24"/>
          <w:u w:val="single"/>
        </w:rPr>
        <w:t>Dosisjustering under behandling</w:t>
      </w:r>
    </w:p>
    <w:p w14:paraId="2882F6D7" w14:textId="77777777" w:rsidR="006B34A1" w:rsidRPr="008D45EF" w:rsidRDefault="006B34A1" w:rsidP="0081699D">
      <w:pPr>
        <w:ind w:left="851"/>
        <w:rPr>
          <w:sz w:val="24"/>
          <w:szCs w:val="24"/>
        </w:rPr>
      </w:pPr>
    </w:p>
    <w:p w14:paraId="4344684D" w14:textId="77777777" w:rsidR="006B34A1" w:rsidRPr="003C0E9E" w:rsidRDefault="006B34A1" w:rsidP="0081699D">
      <w:pPr>
        <w:ind w:left="851"/>
        <w:rPr>
          <w:sz w:val="24"/>
          <w:szCs w:val="24"/>
        </w:rPr>
      </w:pPr>
      <w:r w:rsidRPr="003C0E9E">
        <w:rPr>
          <w:i/>
          <w:iCs/>
          <w:sz w:val="24"/>
          <w:szCs w:val="24"/>
        </w:rPr>
        <w:t>Generelt</w:t>
      </w:r>
    </w:p>
    <w:p w14:paraId="2C005C95" w14:textId="77777777" w:rsidR="00231685" w:rsidRPr="003D4A39" w:rsidRDefault="00231685" w:rsidP="00231685">
      <w:pPr>
        <w:keepNext/>
        <w:ind w:left="850"/>
        <w:rPr>
          <w:sz w:val="24"/>
          <w:szCs w:val="24"/>
        </w:rPr>
      </w:pPr>
      <w:r w:rsidRPr="003D4A39">
        <w:rPr>
          <w:sz w:val="24"/>
          <w:szCs w:val="24"/>
        </w:rPr>
        <w:t>Docetaxel kan gives, når neutrocyttallet er ≥ 1.500 celler/mm³.</w:t>
      </w:r>
    </w:p>
    <w:p w14:paraId="224922E0" w14:textId="77777777" w:rsidR="00231685" w:rsidRDefault="00231685" w:rsidP="0081699D">
      <w:pPr>
        <w:ind w:left="851"/>
        <w:rPr>
          <w:sz w:val="24"/>
          <w:szCs w:val="24"/>
        </w:rPr>
      </w:pPr>
    </w:p>
    <w:p w14:paraId="7CB5EB08" w14:textId="24EC8F7B" w:rsidR="006B34A1" w:rsidRPr="008D45EF" w:rsidRDefault="006B34A1" w:rsidP="0081699D">
      <w:pPr>
        <w:ind w:left="851"/>
        <w:rPr>
          <w:sz w:val="24"/>
          <w:szCs w:val="24"/>
        </w:rPr>
      </w:pPr>
      <w:r w:rsidRPr="008D45EF">
        <w:rPr>
          <w:sz w:val="24"/>
          <w:szCs w:val="24"/>
        </w:rPr>
        <w:t>I de følgende tilfælde bør dosis af docetaxel reduceres fra 100 mg/m² til 75 mg/m² og/eller fra 75 mg/m² til 60 mg/m²: Hos patienter, som under docetaxel-behandling har haft enten febril neutropeni, neutrofile leukocytter &lt; 500 celler/mm³ i mere end en uge, alvorlige eller kumulative reaktioner eller alvorlig perifer neuropati</w:t>
      </w:r>
      <w:r w:rsidRPr="008D45EF">
        <w:rPr>
          <w:i/>
          <w:sz w:val="24"/>
          <w:szCs w:val="24"/>
        </w:rPr>
        <w:t>.</w:t>
      </w:r>
      <w:r w:rsidRPr="008D45EF">
        <w:rPr>
          <w:sz w:val="24"/>
          <w:szCs w:val="24"/>
        </w:rPr>
        <w:t xml:space="preserve"> Hvis patienten fortsætter med at få disse reaktioner ved 60 mg/m² bør behandlingen stoppes.</w:t>
      </w:r>
    </w:p>
    <w:p w14:paraId="6A0686A4" w14:textId="77777777" w:rsidR="006B34A1" w:rsidRPr="008D45EF" w:rsidRDefault="006B34A1" w:rsidP="0081699D">
      <w:pPr>
        <w:ind w:left="851"/>
        <w:rPr>
          <w:sz w:val="24"/>
          <w:szCs w:val="24"/>
        </w:rPr>
      </w:pPr>
    </w:p>
    <w:p w14:paraId="176841C9" w14:textId="77777777" w:rsidR="006B34A1" w:rsidRPr="003C0E9E" w:rsidRDefault="006B34A1" w:rsidP="0081699D">
      <w:pPr>
        <w:ind w:left="851"/>
        <w:rPr>
          <w:sz w:val="24"/>
          <w:szCs w:val="24"/>
        </w:rPr>
      </w:pPr>
      <w:r w:rsidRPr="003C0E9E">
        <w:rPr>
          <w:i/>
          <w:iCs/>
          <w:sz w:val="24"/>
          <w:szCs w:val="24"/>
        </w:rPr>
        <w:t>Adjuverende behandling til brystkræft</w:t>
      </w:r>
    </w:p>
    <w:p w14:paraId="15B06755" w14:textId="77777777" w:rsidR="006B34A1" w:rsidRPr="008D45EF" w:rsidRDefault="006B34A1" w:rsidP="0081699D">
      <w:pPr>
        <w:ind w:left="851"/>
        <w:rPr>
          <w:sz w:val="24"/>
          <w:szCs w:val="24"/>
        </w:rPr>
      </w:pPr>
      <w:r w:rsidRPr="008D45EF">
        <w:rPr>
          <w:sz w:val="24"/>
          <w:szCs w:val="24"/>
        </w:rPr>
        <w:t>Primær G</w:t>
      </w:r>
      <w:r w:rsidRPr="008D45EF">
        <w:rPr>
          <w:sz w:val="24"/>
          <w:szCs w:val="24"/>
        </w:rPr>
        <w:noBreakHyphen/>
        <w:t>CSF-profylakse bør overvejes til patienter, som får docetaxel-, doxorubicin- og cyclophosphamid- (TAC)-adjuverende behandling for brystkræft. Patienter, som får febril neutropeni og/eller neutropenisk infektion bør have deres docetaxel-dosis reduceret til 60 mg/m² i alle efterfølgende cykler (se pkt. 4.4 og 4.8). Patienter, som får grad 3- eller 4</w:t>
      </w:r>
      <w:r w:rsidRPr="008D45EF">
        <w:rPr>
          <w:sz w:val="24"/>
          <w:szCs w:val="24"/>
        </w:rPr>
        <w:noBreakHyphen/>
        <w:t>stomatitis, bør have deres dosis reduceret til 60 mg/m².</w:t>
      </w:r>
    </w:p>
    <w:p w14:paraId="2B78DAE8" w14:textId="77777777" w:rsidR="006B34A1" w:rsidRPr="008D45EF" w:rsidRDefault="006B34A1" w:rsidP="0081699D">
      <w:pPr>
        <w:ind w:left="851"/>
        <w:rPr>
          <w:sz w:val="24"/>
          <w:szCs w:val="24"/>
        </w:rPr>
      </w:pPr>
    </w:p>
    <w:p w14:paraId="052B2DB3" w14:textId="77777777" w:rsidR="00231685" w:rsidRPr="003D4A39" w:rsidRDefault="00231685" w:rsidP="00231685">
      <w:pPr>
        <w:ind w:left="851"/>
        <w:rPr>
          <w:sz w:val="24"/>
          <w:szCs w:val="24"/>
        </w:rPr>
      </w:pPr>
      <w:r w:rsidRPr="003D4A39">
        <w:rPr>
          <w:i/>
          <w:iCs/>
          <w:sz w:val="24"/>
          <w:szCs w:val="24"/>
          <w:u w:val="single"/>
        </w:rPr>
        <w:t>I kombination med cisplatin</w:t>
      </w:r>
    </w:p>
    <w:p w14:paraId="6484F036" w14:textId="489CF21E" w:rsidR="00231685" w:rsidRPr="003D4A39" w:rsidRDefault="00231685" w:rsidP="00231685">
      <w:pPr>
        <w:ind w:left="851"/>
        <w:rPr>
          <w:sz w:val="24"/>
          <w:szCs w:val="24"/>
        </w:rPr>
      </w:pPr>
      <w:r w:rsidRPr="003D4A39">
        <w:rPr>
          <w:sz w:val="24"/>
          <w:szCs w:val="24"/>
        </w:rPr>
        <w:t xml:space="preserve">I de følgende tilfælde bør docetaxel-dosis reduceres til 65 mg/m² i de følgende behandlingsrunder: 1) Hos patienter med en initialdosis på 75 mg/m² docetaxel i kombination med cisplatin, med en </w:t>
      </w:r>
      <w:proofErr w:type="gramStart"/>
      <w:r w:rsidRPr="003D4A39">
        <w:rPr>
          <w:sz w:val="24"/>
          <w:szCs w:val="24"/>
        </w:rPr>
        <w:t>minimum blodpladeværdi</w:t>
      </w:r>
      <w:proofErr w:type="gramEnd"/>
      <w:r w:rsidRPr="003D4A39">
        <w:rPr>
          <w:sz w:val="24"/>
          <w:szCs w:val="24"/>
        </w:rPr>
        <w:t xml:space="preserve"> under den tidligere behandlingsrunde på &lt; 25.000 celler/mm³. 2) Hos patienter, der får febril neutropeni. 3) Hos patienter med alvorlig, ikke-hæmatologisk toksicitet. For cisplatin-dosisjustering se tilsvarende produktresumé.</w:t>
      </w:r>
    </w:p>
    <w:p w14:paraId="171FBB2A" w14:textId="77777777" w:rsidR="006B34A1" w:rsidRPr="008D45EF" w:rsidRDefault="006B34A1" w:rsidP="0081699D">
      <w:pPr>
        <w:ind w:left="851"/>
        <w:rPr>
          <w:sz w:val="24"/>
          <w:szCs w:val="24"/>
        </w:rPr>
      </w:pPr>
    </w:p>
    <w:p w14:paraId="375BF4C7" w14:textId="77777777" w:rsidR="006B34A1" w:rsidRPr="003C0E9E" w:rsidRDefault="006B34A1" w:rsidP="0081699D">
      <w:pPr>
        <w:ind w:left="851"/>
        <w:rPr>
          <w:sz w:val="24"/>
          <w:szCs w:val="24"/>
        </w:rPr>
      </w:pPr>
      <w:r w:rsidRPr="003C0E9E">
        <w:rPr>
          <w:i/>
          <w:iCs/>
          <w:sz w:val="24"/>
          <w:szCs w:val="24"/>
        </w:rPr>
        <w:t>I kombination med capecitabin</w:t>
      </w:r>
    </w:p>
    <w:p w14:paraId="5DCA4AD0" w14:textId="77777777" w:rsidR="006B34A1" w:rsidRPr="008D45EF" w:rsidRDefault="006B34A1" w:rsidP="003C0E9E">
      <w:pPr>
        <w:numPr>
          <w:ilvl w:val="0"/>
          <w:numId w:val="11"/>
        </w:numPr>
        <w:ind w:left="1134" w:hanging="283"/>
        <w:rPr>
          <w:sz w:val="24"/>
          <w:szCs w:val="24"/>
        </w:rPr>
      </w:pPr>
      <w:r w:rsidRPr="008D45EF">
        <w:rPr>
          <w:sz w:val="24"/>
          <w:szCs w:val="24"/>
        </w:rPr>
        <w:t>For capecitabin dosis-justeringer se capecitabins produktresumé.</w:t>
      </w:r>
    </w:p>
    <w:p w14:paraId="34A4E335" w14:textId="77777777" w:rsidR="006B34A1" w:rsidRPr="008D45EF" w:rsidRDefault="006B34A1" w:rsidP="003C0E9E">
      <w:pPr>
        <w:numPr>
          <w:ilvl w:val="0"/>
          <w:numId w:val="11"/>
        </w:numPr>
        <w:ind w:left="1134" w:hanging="283"/>
        <w:rPr>
          <w:sz w:val="24"/>
          <w:szCs w:val="24"/>
        </w:rPr>
      </w:pPr>
      <w:r w:rsidRPr="008D45EF">
        <w:rPr>
          <w:sz w:val="24"/>
          <w:szCs w:val="24"/>
        </w:rPr>
        <w:t>Hos patienter, der første gang udvikler grad 2-toksicitet, der vedvarer til tidspunktet for den næste docetaxel/capecitabin-behandling skal behandlingen udsættes, til der er grad 0</w:t>
      </w:r>
      <w:r w:rsidRPr="008D45EF">
        <w:rPr>
          <w:sz w:val="24"/>
          <w:szCs w:val="24"/>
        </w:rPr>
        <w:noBreakHyphen/>
        <w:t>1-toksicitet. Derefter genoptages behandlingen med 100 % af den oprindelige dosis.</w:t>
      </w:r>
    </w:p>
    <w:p w14:paraId="34AD3355" w14:textId="77777777" w:rsidR="006B34A1" w:rsidRPr="008D45EF" w:rsidRDefault="006B34A1" w:rsidP="003C0E9E">
      <w:pPr>
        <w:numPr>
          <w:ilvl w:val="0"/>
          <w:numId w:val="11"/>
        </w:numPr>
        <w:ind w:left="1134" w:hanging="283"/>
        <w:rPr>
          <w:sz w:val="24"/>
          <w:szCs w:val="24"/>
        </w:rPr>
      </w:pPr>
      <w:r w:rsidRPr="008D45EF">
        <w:rPr>
          <w:sz w:val="24"/>
          <w:szCs w:val="24"/>
        </w:rPr>
        <w:t>Hos patienter, der for anden gang udvikler grad 2-toksicitet eller første gang grad 3-toksicitet, skal behandlingen udsættes, indtil grad 0</w:t>
      </w:r>
      <w:r w:rsidRPr="008D45EF">
        <w:rPr>
          <w:sz w:val="24"/>
          <w:szCs w:val="24"/>
        </w:rPr>
        <w:noBreakHyphen/>
        <w:t>1 nås. Derefter genoptages behandlingen med docetaxel 55 mg/m². Denne fremgangsmåde gælder, uanset hvor patienten befinder sig i behandlingscyklus.</w:t>
      </w:r>
    </w:p>
    <w:p w14:paraId="73971DDD" w14:textId="77777777" w:rsidR="006B34A1" w:rsidRPr="008D45EF" w:rsidRDefault="006B34A1" w:rsidP="003C0E9E">
      <w:pPr>
        <w:numPr>
          <w:ilvl w:val="0"/>
          <w:numId w:val="11"/>
        </w:numPr>
        <w:ind w:left="1134" w:hanging="283"/>
        <w:rPr>
          <w:sz w:val="24"/>
          <w:szCs w:val="24"/>
        </w:rPr>
      </w:pPr>
      <w:r w:rsidRPr="008D45EF">
        <w:rPr>
          <w:sz w:val="24"/>
          <w:szCs w:val="24"/>
        </w:rPr>
        <w:t>Ved ethvert efterfølgende tegn på toksicitet eller ved grad 4-toksicitet seponeres docetaxel-behandling.</w:t>
      </w:r>
    </w:p>
    <w:p w14:paraId="0761AD43" w14:textId="77777777" w:rsidR="006B34A1" w:rsidRPr="008D45EF" w:rsidRDefault="006B34A1" w:rsidP="0081699D">
      <w:pPr>
        <w:ind w:left="851"/>
        <w:rPr>
          <w:sz w:val="24"/>
          <w:szCs w:val="24"/>
        </w:rPr>
      </w:pPr>
    </w:p>
    <w:p w14:paraId="49408E20" w14:textId="77777777" w:rsidR="006B34A1" w:rsidRPr="008D45EF" w:rsidRDefault="006B34A1" w:rsidP="0081699D">
      <w:pPr>
        <w:ind w:left="851"/>
        <w:rPr>
          <w:sz w:val="24"/>
          <w:szCs w:val="24"/>
        </w:rPr>
      </w:pPr>
      <w:r w:rsidRPr="008D45EF">
        <w:rPr>
          <w:sz w:val="24"/>
          <w:szCs w:val="24"/>
        </w:rPr>
        <w:t>Vedrørende dosisjusteringer for trastuzumab: Se produktresuméet for trastuzumab.</w:t>
      </w:r>
    </w:p>
    <w:p w14:paraId="4C993099" w14:textId="77777777" w:rsidR="006B34A1" w:rsidRPr="008D45EF" w:rsidRDefault="006B34A1" w:rsidP="0081699D">
      <w:pPr>
        <w:ind w:left="851"/>
        <w:rPr>
          <w:sz w:val="24"/>
          <w:szCs w:val="24"/>
        </w:rPr>
      </w:pPr>
    </w:p>
    <w:p w14:paraId="72112DD9" w14:textId="77777777" w:rsidR="00231685" w:rsidRPr="003D4A39" w:rsidRDefault="00231685" w:rsidP="00231685">
      <w:pPr>
        <w:ind w:left="851"/>
        <w:rPr>
          <w:sz w:val="24"/>
          <w:szCs w:val="24"/>
        </w:rPr>
      </w:pPr>
      <w:r w:rsidRPr="003D4A39">
        <w:rPr>
          <w:i/>
          <w:iCs/>
          <w:sz w:val="24"/>
          <w:szCs w:val="24"/>
          <w:u w:val="single"/>
        </w:rPr>
        <w:t>I kombination med cisplatin og 5</w:t>
      </w:r>
      <w:r w:rsidRPr="003D4A39">
        <w:rPr>
          <w:i/>
          <w:iCs/>
          <w:sz w:val="24"/>
          <w:szCs w:val="24"/>
          <w:u w:val="single"/>
        </w:rPr>
        <w:noBreakHyphen/>
        <w:t>fluoruracil</w:t>
      </w:r>
    </w:p>
    <w:p w14:paraId="55F21E29" w14:textId="1818D964" w:rsidR="006B34A1" w:rsidRDefault="006B34A1" w:rsidP="0081699D">
      <w:pPr>
        <w:ind w:left="851"/>
        <w:rPr>
          <w:sz w:val="24"/>
          <w:szCs w:val="24"/>
        </w:rPr>
      </w:pPr>
      <w:r w:rsidRPr="008D45EF">
        <w:rPr>
          <w:sz w:val="24"/>
          <w:szCs w:val="24"/>
        </w:rPr>
        <w:t>Docetaxel-dosis bør reduceres fra 75 til 60 mg/m², hvis der trods anvendelse af G</w:t>
      </w:r>
      <w:r w:rsidRPr="008D45EF">
        <w:rPr>
          <w:sz w:val="24"/>
          <w:szCs w:val="24"/>
        </w:rPr>
        <w:noBreakHyphen/>
        <w:t>CSF opstår: 1) febril neutropeni, 2) prolongeret neutropeni, 3) eller neutropenisk infektion. I tilfælde af efterfølgende episoder med kompliceret neutropeni, bør dosis af docetaxel reduceres fra 60 mg/m² til 45 mg/m². I tilfælde af grad 4-trombocytopeni bør dosis af docetaxel reduceres fra 75 mg/m² til 60 mg/m². Patienter bør ikke genbehandles med efterfølgende cyklusser af docetaxel indtil neutrofil-antallet gendannes til et niveau &gt; 1.500 celler/mm³ og blodplader gendannes til et niveau &gt; 100.000 celler/mm³. Afbryd behandlingen, hvis disse toksiciteter varer ved (se pkt. 4.4).</w:t>
      </w:r>
    </w:p>
    <w:p w14:paraId="0C58990A" w14:textId="77777777" w:rsidR="00231685" w:rsidRPr="008D45EF" w:rsidRDefault="00231685" w:rsidP="0081699D">
      <w:pPr>
        <w:ind w:left="851"/>
        <w:rPr>
          <w:sz w:val="24"/>
          <w:szCs w:val="24"/>
        </w:rPr>
      </w:pPr>
    </w:p>
    <w:p w14:paraId="447BEF86" w14:textId="77777777" w:rsidR="006B34A1" w:rsidRPr="008D45EF" w:rsidRDefault="006B34A1" w:rsidP="0081699D">
      <w:pPr>
        <w:ind w:left="851"/>
        <w:rPr>
          <w:sz w:val="24"/>
          <w:szCs w:val="24"/>
        </w:rPr>
      </w:pPr>
      <w:r w:rsidRPr="008D45EF">
        <w:rPr>
          <w:sz w:val="24"/>
          <w:szCs w:val="24"/>
        </w:rPr>
        <w:t>De anbefalede dosis-modifikationer for gastrointestinal toksicitet hos patienter behandlet med docetaxel i kombination med cisplatin og 5</w:t>
      </w:r>
      <w:r w:rsidRPr="008D45EF">
        <w:rPr>
          <w:sz w:val="24"/>
          <w:szCs w:val="24"/>
        </w:rPr>
        <w:noBreakHyphen/>
        <w:t>fluoruracil (5</w:t>
      </w:r>
      <w:r w:rsidRPr="008D45EF">
        <w:rPr>
          <w:sz w:val="24"/>
          <w:szCs w:val="24"/>
        </w:rPr>
        <w:noBreakHyphen/>
        <w:t>FU):</w:t>
      </w:r>
    </w:p>
    <w:p w14:paraId="61A0BF58" w14:textId="77777777" w:rsidR="006B34A1" w:rsidRPr="008D45EF" w:rsidRDefault="006B34A1" w:rsidP="0081699D">
      <w:pPr>
        <w:ind w:left="851"/>
        <w:rPr>
          <w:sz w:val="24"/>
          <w:szCs w:val="24"/>
        </w:rPr>
      </w:pPr>
    </w:p>
    <w:tbl>
      <w:tblPr>
        <w:tblW w:w="4556" w:type="pct"/>
        <w:tblInd w:w="856" w:type="dxa"/>
        <w:tblCellMar>
          <w:left w:w="0" w:type="dxa"/>
          <w:right w:w="0" w:type="dxa"/>
        </w:tblCellMar>
        <w:tblLook w:val="04A0" w:firstRow="1" w:lastRow="0" w:firstColumn="1" w:lastColumn="0" w:noHBand="0" w:noVBand="1"/>
      </w:tblPr>
      <w:tblGrid>
        <w:gridCol w:w="2406"/>
        <w:gridCol w:w="6367"/>
      </w:tblGrid>
      <w:tr w:rsidR="006B34A1" w:rsidRPr="008D45EF" w14:paraId="327AD552" w14:textId="77777777" w:rsidTr="002A7D83">
        <w:trPr>
          <w:trHeight w:val="20"/>
        </w:trPr>
        <w:tc>
          <w:tcPr>
            <w:tcW w:w="1371" w:type="pct"/>
            <w:tcBorders>
              <w:top w:val="single" w:sz="4" w:space="0" w:color="000000"/>
              <w:left w:val="single" w:sz="4" w:space="0" w:color="000000"/>
              <w:bottom w:val="single" w:sz="4" w:space="0" w:color="000000"/>
              <w:right w:val="single" w:sz="4" w:space="0" w:color="000000"/>
            </w:tcBorders>
            <w:hideMark/>
          </w:tcPr>
          <w:p w14:paraId="6ED980BC" w14:textId="77777777" w:rsidR="006B34A1" w:rsidRPr="008D45EF" w:rsidRDefault="006B34A1" w:rsidP="0081699D">
            <w:pPr>
              <w:ind w:left="142"/>
              <w:rPr>
                <w:b/>
                <w:bCs/>
                <w:sz w:val="24"/>
                <w:szCs w:val="24"/>
              </w:rPr>
            </w:pPr>
            <w:r w:rsidRPr="008D45EF">
              <w:rPr>
                <w:b/>
                <w:bCs/>
                <w:sz w:val="24"/>
                <w:szCs w:val="24"/>
              </w:rPr>
              <w:t>Toksicitet</w:t>
            </w:r>
          </w:p>
        </w:tc>
        <w:tc>
          <w:tcPr>
            <w:tcW w:w="3629" w:type="pct"/>
            <w:tcBorders>
              <w:top w:val="single" w:sz="4" w:space="0" w:color="000000"/>
              <w:left w:val="single" w:sz="4" w:space="0" w:color="000000"/>
              <w:bottom w:val="single" w:sz="4" w:space="0" w:color="000000"/>
              <w:right w:val="single" w:sz="4" w:space="0" w:color="000000"/>
            </w:tcBorders>
            <w:hideMark/>
          </w:tcPr>
          <w:p w14:paraId="292CB079" w14:textId="77777777" w:rsidR="006B34A1" w:rsidRPr="008D45EF" w:rsidRDefault="006B34A1" w:rsidP="0081699D">
            <w:pPr>
              <w:ind w:left="142"/>
              <w:rPr>
                <w:b/>
                <w:bCs/>
                <w:sz w:val="24"/>
                <w:szCs w:val="24"/>
              </w:rPr>
            </w:pPr>
            <w:r w:rsidRPr="008D45EF">
              <w:rPr>
                <w:b/>
                <w:bCs/>
                <w:sz w:val="24"/>
                <w:szCs w:val="24"/>
              </w:rPr>
              <w:t>Dosisjustering</w:t>
            </w:r>
          </w:p>
        </w:tc>
      </w:tr>
      <w:tr w:rsidR="006B34A1" w:rsidRPr="008D45EF" w14:paraId="0691818D" w14:textId="77777777" w:rsidTr="002A7D83">
        <w:trPr>
          <w:trHeight w:val="20"/>
        </w:trPr>
        <w:tc>
          <w:tcPr>
            <w:tcW w:w="1371" w:type="pct"/>
            <w:tcBorders>
              <w:top w:val="single" w:sz="4" w:space="0" w:color="000000"/>
              <w:left w:val="single" w:sz="4" w:space="0" w:color="000000"/>
              <w:bottom w:val="single" w:sz="4" w:space="0" w:color="000000"/>
              <w:right w:val="single" w:sz="4" w:space="0" w:color="000000"/>
            </w:tcBorders>
            <w:hideMark/>
          </w:tcPr>
          <w:p w14:paraId="2D566995" w14:textId="77777777" w:rsidR="006B34A1" w:rsidRPr="008D45EF" w:rsidRDefault="006B34A1" w:rsidP="0081699D">
            <w:pPr>
              <w:ind w:left="142"/>
              <w:rPr>
                <w:sz w:val="24"/>
                <w:szCs w:val="24"/>
              </w:rPr>
            </w:pPr>
            <w:r w:rsidRPr="008D45EF">
              <w:rPr>
                <w:sz w:val="24"/>
                <w:szCs w:val="24"/>
              </w:rPr>
              <w:t>Diarré grad 3</w:t>
            </w:r>
          </w:p>
        </w:tc>
        <w:tc>
          <w:tcPr>
            <w:tcW w:w="3629" w:type="pct"/>
            <w:tcBorders>
              <w:top w:val="single" w:sz="4" w:space="0" w:color="000000"/>
              <w:left w:val="single" w:sz="4" w:space="0" w:color="000000"/>
              <w:bottom w:val="single" w:sz="4" w:space="0" w:color="000000"/>
              <w:right w:val="single" w:sz="4" w:space="0" w:color="000000"/>
            </w:tcBorders>
            <w:hideMark/>
          </w:tcPr>
          <w:p w14:paraId="671D34D8" w14:textId="77777777" w:rsidR="006B34A1" w:rsidRPr="008D45EF" w:rsidRDefault="006B34A1" w:rsidP="0081699D">
            <w:pPr>
              <w:ind w:left="142"/>
              <w:rPr>
                <w:sz w:val="24"/>
                <w:szCs w:val="24"/>
              </w:rPr>
            </w:pPr>
            <w:r w:rsidRPr="008D45EF">
              <w:rPr>
                <w:sz w:val="24"/>
                <w:szCs w:val="24"/>
              </w:rPr>
              <w:t>Første episode: Reducer 5</w:t>
            </w:r>
            <w:r w:rsidRPr="008D45EF">
              <w:rPr>
                <w:sz w:val="24"/>
                <w:szCs w:val="24"/>
              </w:rPr>
              <w:noBreakHyphen/>
              <w:t>FU-dosis med 20 %</w:t>
            </w:r>
          </w:p>
          <w:p w14:paraId="668139C1" w14:textId="77777777" w:rsidR="006B34A1" w:rsidRPr="008D45EF" w:rsidRDefault="006B34A1" w:rsidP="0081699D">
            <w:pPr>
              <w:ind w:left="142"/>
              <w:rPr>
                <w:sz w:val="24"/>
                <w:szCs w:val="24"/>
              </w:rPr>
            </w:pPr>
            <w:r w:rsidRPr="008D45EF">
              <w:rPr>
                <w:sz w:val="24"/>
                <w:szCs w:val="24"/>
              </w:rPr>
              <w:t>Anden episode: Reducer så docetaxel-dosis med 20 %</w:t>
            </w:r>
          </w:p>
        </w:tc>
      </w:tr>
      <w:tr w:rsidR="006B34A1" w:rsidRPr="008D45EF" w14:paraId="055BE460" w14:textId="77777777" w:rsidTr="002A7D83">
        <w:trPr>
          <w:trHeight w:val="20"/>
        </w:trPr>
        <w:tc>
          <w:tcPr>
            <w:tcW w:w="1371" w:type="pct"/>
            <w:tcBorders>
              <w:top w:val="single" w:sz="4" w:space="0" w:color="000000"/>
              <w:left w:val="single" w:sz="4" w:space="0" w:color="000000"/>
              <w:bottom w:val="single" w:sz="4" w:space="0" w:color="000000"/>
              <w:right w:val="single" w:sz="4" w:space="0" w:color="000000"/>
            </w:tcBorders>
            <w:hideMark/>
          </w:tcPr>
          <w:p w14:paraId="1723A8EF" w14:textId="77777777" w:rsidR="006B34A1" w:rsidRPr="008D45EF" w:rsidRDefault="006B34A1" w:rsidP="0081699D">
            <w:pPr>
              <w:ind w:left="142"/>
              <w:rPr>
                <w:sz w:val="24"/>
                <w:szCs w:val="24"/>
              </w:rPr>
            </w:pPr>
            <w:r w:rsidRPr="008D45EF">
              <w:rPr>
                <w:sz w:val="24"/>
                <w:szCs w:val="24"/>
              </w:rPr>
              <w:t>Diarré grad 4</w:t>
            </w:r>
          </w:p>
        </w:tc>
        <w:tc>
          <w:tcPr>
            <w:tcW w:w="3629" w:type="pct"/>
            <w:tcBorders>
              <w:top w:val="single" w:sz="4" w:space="0" w:color="000000"/>
              <w:left w:val="single" w:sz="4" w:space="0" w:color="000000"/>
              <w:bottom w:val="single" w:sz="4" w:space="0" w:color="000000"/>
              <w:right w:val="single" w:sz="4" w:space="0" w:color="000000"/>
            </w:tcBorders>
            <w:hideMark/>
          </w:tcPr>
          <w:p w14:paraId="4E14A0D4" w14:textId="77777777" w:rsidR="006B34A1" w:rsidRPr="008D45EF" w:rsidRDefault="006B34A1" w:rsidP="0081699D">
            <w:pPr>
              <w:ind w:left="142"/>
              <w:rPr>
                <w:sz w:val="24"/>
                <w:szCs w:val="24"/>
              </w:rPr>
            </w:pPr>
            <w:r w:rsidRPr="008D45EF">
              <w:rPr>
                <w:sz w:val="24"/>
                <w:szCs w:val="24"/>
              </w:rPr>
              <w:t>Første episode: Reducer docetaxel- og 5</w:t>
            </w:r>
            <w:r w:rsidRPr="008D45EF">
              <w:rPr>
                <w:sz w:val="24"/>
                <w:szCs w:val="24"/>
              </w:rPr>
              <w:noBreakHyphen/>
              <w:t>FU-dosis med 20 %</w:t>
            </w:r>
          </w:p>
          <w:p w14:paraId="086AD437" w14:textId="77777777" w:rsidR="006B34A1" w:rsidRPr="008D45EF" w:rsidRDefault="006B34A1" w:rsidP="0081699D">
            <w:pPr>
              <w:ind w:left="142"/>
              <w:rPr>
                <w:sz w:val="24"/>
                <w:szCs w:val="24"/>
              </w:rPr>
            </w:pPr>
            <w:r w:rsidRPr="008D45EF">
              <w:rPr>
                <w:sz w:val="24"/>
                <w:szCs w:val="24"/>
              </w:rPr>
              <w:t>Anden episode: Afbryd behandlingen</w:t>
            </w:r>
          </w:p>
        </w:tc>
      </w:tr>
      <w:tr w:rsidR="006B34A1" w:rsidRPr="008D45EF" w14:paraId="6B3287A6" w14:textId="77777777" w:rsidTr="002A7D83">
        <w:trPr>
          <w:trHeight w:val="20"/>
        </w:trPr>
        <w:tc>
          <w:tcPr>
            <w:tcW w:w="1371" w:type="pct"/>
            <w:tcBorders>
              <w:top w:val="single" w:sz="4" w:space="0" w:color="000000"/>
              <w:left w:val="single" w:sz="4" w:space="0" w:color="000000"/>
              <w:bottom w:val="single" w:sz="4" w:space="0" w:color="000000"/>
              <w:right w:val="single" w:sz="4" w:space="0" w:color="000000"/>
            </w:tcBorders>
            <w:hideMark/>
          </w:tcPr>
          <w:p w14:paraId="3154F8AA" w14:textId="77777777" w:rsidR="006B34A1" w:rsidRPr="008D45EF" w:rsidRDefault="006B34A1" w:rsidP="0081699D">
            <w:pPr>
              <w:ind w:left="142"/>
              <w:rPr>
                <w:sz w:val="24"/>
                <w:szCs w:val="24"/>
              </w:rPr>
            </w:pPr>
            <w:r w:rsidRPr="008D45EF">
              <w:rPr>
                <w:sz w:val="24"/>
                <w:szCs w:val="24"/>
              </w:rPr>
              <w:t>Stomatitis/mucositis grad 3</w:t>
            </w:r>
          </w:p>
        </w:tc>
        <w:tc>
          <w:tcPr>
            <w:tcW w:w="3629" w:type="pct"/>
            <w:tcBorders>
              <w:top w:val="single" w:sz="4" w:space="0" w:color="000000"/>
              <w:left w:val="single" w:sz="4" w:space="0" w:color="000000"/>
              <w:bottom w:val="single" w:sz="4" w:space="0" w:color="000000"/>
              <w:right w:val="single" w:sz="4" w:space="0" w:color="000000"/>
            </w:tcBorders>
            <w:hideMark/>
          </w:tcPr>
          <w:p w14:paraId="23D457AB" w14:textId="77777777" w:rsidR="006B34A1" w:rsidRPr="008D45EF" w:rsidRDefault="006B34A1" w:rsidP="0081699D">
            <w:pPr>
              <w:ind w:left="142"/>
              <w:rPr>
                <w:sz w:val="24"/>
                <w:szCs w:val="24"/>
              </w:rPr>
            </w:pPr>
            <w:r w:rsidRPr="008D45EF">
              <w:rPr>
                <w:sz w:val="24"/>
                <w:szCs w:val="24"/>
              </w:rPr>
              <w:t>Første episode: Reducer 5</w:t>
            </w:r>
            <w:r w:rsidRPr="008D45EF">
              <w:rPr>
                <w:sz w:val="24"/>
                <w:szCs w:val="24"/>
              </w:rPr>
              <w:noBreakHyphen/>
              <w:t>FU-dosis med 20 %</w:t>
            </w:r>
          </w:p>
          <w:p w14:paraId="243400A8" w14:textId="77777777" w:rsidR="006B34A1" w:rsidRPr="008D45EF" w:rsidRDefault="006B34A1" w:rsidP="0081699D">
            <w:pPr>
              <w:ind w:left="142"/>
              <w:rPr>
                <w:sz w:val="24"/>
                <w:szCs w:val="24"/>
              </w:rPr>
            </w:pPr>
            <w:r w:rsidRPr="008D45EF">
              <w:rPr>
                <w:sz w:val="24"/>
                <w:szCs w:val="24"/>
              </w:rPr>
              <w:t>Anden episode: Stop kun 5</w:t>
            </w:r>
            <w:r w:rsidRPr="008D45EF">
              <w:rPr>
                <w:sz w:val="24"/>
                <w:szCs w:val="24"/>
              </w:rPr>
              <w:noBreakHyphen/>
              <w:t>FU i alle efterfølgende cyklusser</w:t>
            </w:r>
          </w:p>
          <w:p w14:paraId="7A09F615" w14:textId="77777777" w:rsidR="006B34A1" w:rsidRPr="008D45EF" w:rsidRDefault="006B34A1" w:rsidP="0081699D">
            <w:pPr>
              <w:ind w:left="142"/>
              <w:rPr>
                <w:sz w:val="24"/>
                <w:szCs w:val="24"/>
              </w:rPr>
            </w:pPr>
            <w:r w:rsidRPr="008D45EF">
              <w:rPr>
                <w:sz w:val="24"/>
                <w:szCs w:val="24"/>
              </w:rPr>
              <w:t>Tredje episode: Reducer docetaxel-dosis med 20 %</w:t>
            </w:r>
          </w:p>
        </w:tc>
      </w:tr>
      <w:tr w:rsidR="006B34A1" w:rsidRPr="008D45EF" w14:paraId="1BA694B6" w14:textId="77777777" w:rsidTr="002A7D83">
        <w:trPr>
          <w:trHeight w:val="20"/>
        </w:trPr>
        <w:tc>
          <w:tcPr>
            <w:tcW w:w="1371" w:type="pct"/>
            <w:tcBorders>
              <w:top w:val="single" w:sz="4" w:space="0" w:color="000000"/>
              <w:left w:val="single" w:sz="4" w:space="0" w:color="000000"/>
              <w:bottom w:val="single" w:sz="4" w:space="0" w:color="000000"/>
              <w:right w:val="single" w:sz="4" w:space="0" w:color="000000"/>
            </w:tcBorders>
            <w:hideMark/>
          </w:tcPr>
          <w:p w14:paraId="0C8AED9C" w14:textId="77777777" w:rsidR="006B34A1" w:rsidRPr="008D45EF" w:rsidRDefault="006B34A1" w:rsidP="0081699D">
            <w:pPr>
              <w:ind w:left="142"/>
              <w:rPr>
                <w:sz w:val="24"/>
                <w:szCs w:val="24"/>
              </w:rPr>
            </w:pPr>
            <w:r w:rsidRPr="008D45EF">
              <w:rPr>
                <w:sz w:val="24"/>
                <w:szCs w:val="24"/>
              </w:rPr>
              <w:t>Stomatitis/mucositis grad 4</w:t>
            </w:r>
          </w:p>
        </w:tc>
        <w:tc>
          <w:tcPr>
            <w:tcW w:w="3629" w:type="pct"/>
            <w:tcBorders>
              <w:top w:val="single" w:sz="4" w:space="0" w:color="000000"/>
              <w:left w:val="single" w:sz="4" w:space="0" w:color="000000"/>
              <w:bottom w:val="single" w:sz="4" w:space="0" w:color="000000"/>
              <w:right w:val="single" w:sz="4" w:space="0" w:color="000000"/>
            </w:tcBorders>
            <w:hideMark/>
          </w:tcPr>
          <w:p w14:paraId="48CA285A" w14:textId="77777777" w:rsidR="006B34A1" w:rsidRPr="008D45EF" w:rsidRDefault="006B34A1" w:rsidP="0081699D">
            <w:pPr>
              <w:ind w:left="142"/>
              <w:rPr>
                <w:sz w:val="24"/>
                <w:szCs w:val="24"/>
              </w:rPr>
            </w:pPr>
            <w:r w:rsidRPr="008D45EF">
              <w:rPr>
                <w:sz w:val="24"/>
                <w:szCs w:val="24"/>
              </w:rPr>
              <w:t>Første episode: Stop kun 5</w:t>
            </w:r>
            <w:r w:rsidRPr="008D45EF">
              <w:rPr>
                <w:sz w:val="24"/>
                <w:szCs w:val="24"/>
              </w:rPr>
              <w:noBreakHyphen/>
              <w:t>FU i alle efterfølgende cyklusser</w:t>
            </w:r>
          </w:p>
          <w:p w14:paraId="0E7AE4C2" w14:textId="77777777" w:rsidR="006B34A1" w:rsidRPr="008D45EF" w:rsidRDefault="006B34A1" w:rsidP="0081699D">
            <w:pPr>
              <w:ind w:left="142"/>
              <w:rPr>
                <w:sz w:val="24"/>
                <w:szCs w:val="24"/>
              </w:rPr>
            </w:pPr>
            <w:r w:rsidRPr="008D45EF">
              <w:rPr>
                <w:sz w:val="24"/>
                <w:szCs w:val="24"/>
              </w:rPr>
              <w:t>Anden episode: Reducer docetaxel-dosis med 20 %</w:t>
            </w:r>
          </w:p>
        </w:tc>
      </w:tr>
    </w:tbl>
    <w:p w14:paraId="60A3C05D" w14:textId="77777777" w:rsidR="006B34A1" w:rsidRPr="008D45EF" w:rsidRDefault="006B34A1" w:rsidP="0081699D">
      <w:pPr>
        <w:ind w:left="851"/>
        <w:rPr>
          <w:sz w:val="24"/>
          <w:szCs w:val="24"/>
        </w:rPr>
      </w:pPr>
    </w:p>
    <w:p w14:paraId="05179D1C" w14:textId="77777777" w:rsidR="006B34A1" w:rsidRPr="008D45EF" w:rsidRDefault="006B34A1" w:rsidP="0081699D">
      <w:pPr>
        <w:ind w:left="851"/>
        <w:rPr>
          <w:sz w:val="24"/>
          <w:szCs w:val="24"/>
        </w:rPr>
      </w:pPr>
      <w:r w:rsidRPr="008D45EF">
        <w:rPr>
          <w:sz w:val="24"/>
          <w:szCs w:val="24"/>
        </w:rPr>
        <w:t>For cisplatin- og 5</w:t>
      </w:r>
      <w:r w:rsidRPr="008D45EF">
        <w:rPr>
          <w:sz w:val="24"/>
          <w:szCs w:val="24"/>
        </w:rPr>
        <w:noBreakHyphen/>
        <w:t>fluoruracil-dosisjusteringer: Se tilsvarende produktresumé.</w:t>
      </w:r>
    </w:p>
    <w:p w14:paraId="75F2EF2B" w14:textId="77777777" w:rsidR="006B34A1" w:rsidRPr="008D45EF" w:rsidRDefault="006B34A1" w:rsidP="0081699D">
      <w:pPr>
        <w:ind w:left="851"/>
        <w:rPr>
          <w:sz w:val="24"/>
          <w:szCs w:val="24"/>
        </w:rPr>
      </w:pPr>
    </w:p>
    <w:p w14:paraId="03CE4713" w14:textId="3DF3C197" w:rsidR="006B34A1" w:rsidRDefault="006B34A1" w:rsidP="0081699D">
      <w:pPr>
        <w:ind w:left="851"/>
        <w:rPr>
          <w:sz w:val="24"/>
          <w:szCs w:val="24"/>
        </w:rPr>
      </w:pPr>
      <w:r w:rsidRPr="008D45EF">
        <w:rPr>
          <w:sz w:val="24"/>
          <w:szCs w:val="24"/>
        </w:rPr>
        <w:t>Til patienter, som i SCCHN pivotalstudiet udviklede kompliceret neutropeni (inklusive prolongeret neutropeni, febril neutropeni eller infektion), blev G</w:t>
      </w:r>
      <w:r w:rsidRPr="008D45EF">
        <w:rPr>
          <w:sz w:val="24"/>
          <w:szCs w:val="24"/>
        </w:rPr>
        <w:noBreakHyphen/>
        <w:t>CSF anbefalet som profylakse (f.eks. dag 6</w:t>
      </w:r>
      <w:r w:rsidRPr="008D45EF">
        <w:rPr>
          <w:sz w:val="24"/>
          <w:szCs w:val="24"/>
        </w:rPr>
        <w:noBreakHyphen/>
        <w:t>15) i alle efterfølgende cyklusser.</w:t>
      </w:r>
    </w:p>
    <w:p w14:paraId="1B896086" w14:textId="77777777" w:rsidR="006B34A1" w:rsidRPr="008D45EF" w:rsidRDefault="006B34A1" w:rsidP="0081699D">
      <w:pPr>
        <w:ind w:left="851"/>
        <w:rPr>
          <w:sz w:val="24"/>
          <w:szCs w:val="24"/>
        </w:rPr>
      </w:pPr>
    </w:p>
    <w:p w14:paraId="0048A623" w14:textId="77777777" w:rsidR="006B34A1" w:rsidRPr="008D45EF" w:rsidRDefault="006B34A1" w:rsidP="0081699D">
      <w:pPr>
        <w:ind w:left="851"/>
        <w:rPr>
          <w:sz w:val="24"/>
          <w:szCs w:val="24"/>
        </w:rPr>
      </w:pPr>
      <w:r w:rsidRPr="008D45EF">
        <w:rPr>
          <w:sz w:val="24"/>
          <w:szCs w:val="24"/>
          <w:u w:val="single"/>
        </w:rPr>
        <w:t>Specielle patientgrupper</w:t>
      </w:r>
    </w:p>
    <w:p w14:paraId="7E1A3BB1" w14:textId="77777777" w:rsidR="006B34A1" w:rsidRPr="008D45EF" w:rsidRDefault="006B34A1" w:rsidP="0081699D">
      <w:pPr>
        <w:ind w:left="851"/>
        <w:rPr>
          <w:sz w:val="24"/>
          <w:szCs w:val="24"/>
        </w:rPr>
      </w:pPr>
    </w:p>
    <w:p w14:paraId="4F70F13C" w14:textId="77777777" w:rsidR="006B34A1" w:rsidRPr="00BD0174" w:rsidRDefault="006B34A1" w:rsidP="0081699D">
      <w:pPr>
        <w:ind w:left="851"/>
        <w:rPr>
          <w:sz w:val="24"/>
          <w:szCs w:val="24"/>
        </w:rPr>
      </w:pPr>
      <w:r w:rsidRPr="00BD0174">
        <w:rPr>
          <w:i/>
          <w:iCs/>
          <w:sz w:val="24"/>
          <w:szCs w:val="24"/>
        </w:rPr>
        <w:t>Patienter med nedsat leverfunktion</w:t>
      </w:r>
    </w:p>
    <w:p w14:paraId="3AE35D4B" w14:textId="4B569718" w:rsidR="006B34A1" w:rsidRDefault="006B34A1" w:rsidP="0081699D">
      <w:pPr>
        <w:ind w:left="851"/>
        <w:rPr>
          <w:sz w:val="24"/>
          <w:szCs w:val="24"/>
        </w:rPr>
      </w:pPr>
      <w:r w:rsidRPr="008D45EF">
        <w:rPr>
          <w:sz w:val="24"/>
          <w:szCs w:val="24"/>
        </w:rPr>
        <w:t>På basis af farmakokinetiske data med docetaxel givet som enkeltstof ved en dosis på 100 mg/m², er den anbefalede dosis docetaxel 75 mg/m² til patienter, som både har forhøjelse af transaminase (ALAT og/eller ASAT) på mere end 1,5 gange den øvre normalværdi og af basisk fosfatase på mere end 2,5 gange den øvre normalværdi (se pkt. 4.4 og pkt. 5.2). For de patienter med serum-bilirubin &gt; øvre normalværdi og/eller ALAT og ASAT &gt; 3,5 gange øvre normalværdi og basiske fosfataser &gt; 6 gange øvre normalværdi, kan det ikke anbefales at reducere dosis. I sådanne tilfælde bør docetaxel kun anvendes på tvingende indikation.</w:t>
      </w:r>
    </w:p>
    <w:p w14:paraId="53EF5A5F" w14:textId="77777777" w:rsidR="00231685" w:rsidRPr="008D45EF" w:rsidRDefault="00231685" w:rsidP="0081699D">
      <w:pPr>
        <w:ind w:left="851"/>
        <w:rPr>
          <w:sz w:val="24"/>
          <w:szCs w:val="24"/>
        </w:rPr>
      </w:pPr>
    </w:p>
    <w:p w14:paraId="3F7EDF90" w14:textId="77777777" w:rsidR="006B34A1" w:rsidRPr="008D45EF" w:rsidRDefault="006B34A1" w:rsidP="0081699D">
      <w:pPr>
        <w:ind w:left="851"/>
        <w:rPr>
          <w:sz w:val="24"/>
          <w:szCs w:val="24"/>
        </w:rPr>
      </w:pPr>
      <w:r w:rsidRPr="008D45EF">
        <w:rPr>
          <w:sz w:val="24"/>
          <w:szCs w:val="24"/>
        </w:rPr>
        <w:t>I kombinationsbehandling med cisplatin og 5</w:t>
      </w:r>
      <w:r w:rsidRPr="008D45EF">
        <w:rPr>
          <w:sz w:val="24"/>
          <w:szCs w:val="24"/>
        </w:rPr>
        <w:noBreakHyphen/>
        <w:t>fluoruracil til behandling af patienter med gastrisk adenokarcinom ekskluderede pivotalstudiet patienter med ALAT og/eller ASAT &gt; 1,5 gange ULN associeret med alkalisk fosfatase &gt; 2,5 x ULN, og bilirubin &gt; 1 x ULN. Hos disse patienter kan det ikke anbefales at reducere dosis. I sådanne tilfælde bør docetaxel kun anvendes på tvingende indikation. Der foreligger ingen data for patienter med nedsat leverfunktion i kombinationsbehandling ved andre indikationer.</w:t>
      </w:r>
    </w:p>
    <w:p w14:paraId="01535E93" w14:textId="77777777" w:rsidR="006B34A1" w:rsidRPr="008D45EF" w:rsidRDefault="006B34A1" w:rsidP="0081699D">
      <w:pPr>
        <w:ind w:left="851"/>
        <w:rPr>
          <w:sz w:val="24"/>
          <w:szCs w:val="24"/>
        </w:rPr>
      </w:pPr>
    </w:p>
    <w:p w14:paraId="765FD6E9" w14:textId="77777777" w:rsidR="006B34A1" w:rsidRPr="00BD0174" w:rsidRDefault="006B34A1" w:rsidP="0081699D">
      <w:pPr>
        <w:ind w:left="851"/>
        <w:rPr>
          <w:sz w:val="24"/>
          <w:szCs w:val="24"/>
        </w:rPr>
      </w:pPr>
      <w:r w:rsidRPr="00BD0174">
        <w:rPr>
          <w:i/>
          <w:iCs/>
          <w:sz w:val="24"/>
          <w:szCs w:val="24"/>
        </w:rPr>
        <w:t>Pædiatrisk population</w:t>
      </w:r>
    </w:p>
    <w:p w14:paraId="55C49A9C" w14:textId="77777777" w:rsidR="006B34A1" w:rsidRPr="008D45EF" w:rsidRDefault="006B34A1" w:rsidP="0081699D">
      <w:pPr>
        <w:ind w:left="851"/>
        <w:rPr>
          <w:sz w:val="24"/>
          <w:szCs w:val="24"/>
        </w:rPr>
      </w:pPr>
      <w:r w:rsidRPr="008D45EF">
        <w:rPr>
          <w:sz w:val="24"/>
          <w:szCs w:val="24"/>
        </w:rPr>
        <w:t>Docetaxels sikkerhed og virkning ved nasofaryngealt karcinom hos børn i alderen 1 måned til under 18 år er endnu ikke klarlagt.</w:t>
      </w:r>
    </w:p>
    <w:p w14:paraId="726C42B0" w14:textId="77777777" w:rsidR="006B34A1" w:rsidRPr="008D45EF" w:rsidRDefault="006B34A1" w:rsidP="0081699D">
      <w:pPr>
        <w:ind w:left="851"/>
        <w:rPr>
          <w:sz w:val="24"/>
          <w:szCs w:val="24"/>
        </w:rPr>
      </w:pPr>
      <w:r w:rsidRPr="008D45EF">
        <w:rPr>
          <w:sz w:val="24"/>
          <w:szCs w:val="24"/>
        </w:rPr>
        <w:t>Der er ingen relevant anvendelse af docetaxel i den pædiatriske population til indikationerne brystkræft, ikke-småcellet lungekræft, prostatakræft, gastrisk karcinom samt hoved- og halskræft med undtagelse af type II og III lavt differentieret nasofaryngealt karcinom.</w:t>
      </w:r>
    </w:p>
    <w:p w14:paraId="3E4748FB" w14:textId="77777777" w:rsidR="006B34A1" w:rsidRPr="008D45EF" w:rsidRDefault="006B34A1" w:rsidP="0081699D">
      <w:pPr>
        <w:ind w:left="851"/>
        <w:rPr>
          <w:sz w:val="24"/>
          <w:szCs w:val="24"/>
        </w:rPr>
      </w:pPr>
    </w:p>
    <w:p w14:paraId="4FC7A684" w14:textId="77777777" w:rsidR="006B34A1" w:rsidRPr="00BD0174" w:rsidRDefault="006B34A1" w:rsidP="0081699D">
      <w:pPr>
        <w:ind w:left="851"/>
        <w:rPr>
          <w:i/>
          <w:sz w:val="24"/>
          <w:szCs w:val="24"/>
        </w:rPr>
      </w:pPr>
      <w:r w:rsidRPr="00BD0174">
        <w:rPr>
          <w:i/>
          <w:iCs/>
          <w:sz w:val="24"/>
          <w:szCs w:val="24"/>
        </w:rPr>
        <w:t xml:space="preserve">Ældre </w:t>
      </w:r>
      <w:r w:rsidRPr="00BD0174">
        <w:rPr>
          <w:i/>
          <w:sz w:val="24"/>
          <w:szCs w:val="24"/>
        </w:rPr>
        <w:t>personer</w:t>
      </w:r>
    </w:p>
    <w:p w14:paraId="394BEDEB" w14:textId="43480A11" w:rsidR="006B34A1" w:rsidRDefault="006B34A1" w:rsidP="0081699D">
      <w:pPr>
        <w:ind w:left="851"/>
        <w:rPr>
          <w:sz w:val="24"/>
          <w:szCs w:val="24"/>
        </w:rPr>
      </w:pPr>
      <w:r w:rsidRPr="008D45EF">
        <w:rPr>
          <w:sz w:val="24"/>
          <w:szCs w:val="24"/>
        </w:rPr>
        <w:t>Baseret på de farmakokinetiske studier findes der ingen særlige retningslinjer for ældre personer. I kombination med capecitabin anbefales det at reducere startdosis af capecitabin til 75 % hos patienter på 60 år eller ældre (Se: Produktresumé for capecitabin).</w:t>
      </w:r>
    </w:p>
    <w:p w14:paraId="3DB7058B" w14:textId="315C7765" w:rsidR="00231685" w:rsidRDefault="00231685" w:rsidP="0081699D">
      <w:pPr>
        <w:ind w:left="851"/>
        <w:rPr>
          <w:sz w:val="24"/>
          <w:szCs w:val="24"/>
        </w:rPr>
      </w:pPr>
    </w:p>
    <w:p w14:paraId="67792CFC" w14:textId="77777777" w:rsidR="00231685" w:rsidRPr="005D4D80" w:rsidRDefault="00231685" w:rsidP="00231685">
      <w:pPr>
        <w:ind w:left="851"/>
        <w:rPr>
          <w:sz w:val="24"/>
          <w:szCs w:val="24"/>
          <w:u w:val="single"/>
        </w:rPr>
      </w:pPr>
      <w:r w:rsidRPr="005D4D80">
        <w:rPr>
          <w:sz w:val="24"/>
          <w:szCs w:val="24"/>
          <w:u w:val="single"/>
        </w:rPr>
        <w:t xml:space="preserve">Administration </w:t>
      </w:r>
    </w:p>
    <w:p w14:paraId="2EBFB2CA" w14:textId="77777777" w:rsidR="00231685" w:rsidRPr="003D4A39" w:rsidRDefault="00231685" w:rsidP="00231685">
      <w:pPr>
        <w:ind w:left="851"/>
        <w:rPr>
          <w:sz w:val="24"/>
          <w:szCs w:val="24"/>
        </w:rPr>
      </w:pPr>
      <w:r w:rsidRPr="003D4A39">
        <w:rPr>
          <w:sz w:val="24"/>
          <w:szCs w:val="24"/>
        </w:rPr>
        <w:t>For instruktioner om forberedelse og administration af lægemidlet, se pkt. 6.6.</w:t>
      </w:r>
    </w:p>
    <w:p w14:paraId="30F333A7" w14:textId="77777777" w:rsidR="006B34A1" w:rsidRPr="008D45EF" w:rsidRDefault="006B34A1" w:rsidP="0081699D">
      <w:pPr>
        <w:ind w:left="851"/>
        <w:rPr>
          <w:sz w:val="24"/>
          <w:szCs w:val="24"/>
        </w:rPr>
      </w:pPr>
    </w:p>
    <w:p w14:paraId="7D115AFE" w14:textId="77777777" w:rsidR="006B34A1" w:rsidRPr="008D45EF" w:rsidRDefault="006B34A1" w:rsidP="002D7470">
      <w:pPr>
        <w:ind w:left="851" w:hanging="851"/>
        <w:rPr>
          <w:b/>
          <w:sz w:val="24"/>
          <w:szCs w:val="24"/>
        </w:rPr>
      </w:pPr>
      <w:r w:rsidRPr="008D45EF">
        <w:rPr>
          <w:b/>
          <w:sz w:val="24"/>
          <w:szCs w:val="24"/>
        </w:rPr>
        <w:t>4.3</w:t>
      </w:r>
      <w:r w:rsidRPr="008D45EF">
        <w:rPr>
          <w:b/>
          <w:sz w:val="24"/>
          <w:szCs w:val="24"/>
        </w:rPr>
        <w:tab/>
        <w:t>Kontraindikationer</w:t>
      </w:r>
    </w:p>
    <w:p w14:paraId="1165113A" w14:textId="1FC5429E" w:rsidR="00231685" w:rsidRPr="003D4A39" w:rsidRDefault="00231685" w:rsidP="00231685">
      <w:pPr>
        <w:ind w:left="851"/>
        <w:rPr>
          <w:sz w:val="24"/>
          <w:szCs w:val="24"/>
        </w:rPr>
      </w:pPr>
      <w:r w:rsidRPr="003D4A39">
        <w:rPr>
          <w:sz w:val="24"/>
          <w:szCs w:val="24"/>
        </w:rPr>
        <w:t>Overfølsomhed over for det aktive stof eller over for et eller flere af hjælpestofferne anført i pkt. 6.1.</w:t>
      </w:r>
    </w:p>
    <w:p w14:paraId="6D52A70C" w14:textId="77777777" w:rsidR="00231685" w:rsidRPr="003D4A39" w:rsidRDefault="00231685" w:rsidP="00231685">
      <w:pPr>
        <w:ind w:left="1702" w:hanging="851"/>
        <w:rPr>
          <w:sz w:val="24"/>
          <w:szCs w:val="24"/>
        </w:rPr>
      </w:pPr>
    </w:p>
    <w:p w14:paraId="16DF746B" w14:textId="2A586F7A" w:rsidR="00231685" w:rsidRPr="003D4A39" w:rsidRDefault="00231685" w:rsidP="00231685">
      <w:pPr>
        <w:ind w:left="851"/>
        <w:rPr>
          <w:sz w:val="24"/>
          <w:szCs w:val="24"/>
        </w:rPr>
      </w:pPr>
      <w:r w:rsidRPr="003D4A39">
        <w:rPr>
          <w:sz w:val="24"/>
          <w:szCs w:val="24"/>
        </w:rPr>
        <w:t>Docetaxel må ikke anvendes hos patienter med en udgangsværdi for neutrofile granulocytter på &lt; 1.500 celler/mm³.</w:t>
      </w:r>
    </w:p>
    <w:p w14:paraId="1581E67E" w14:textId="77777777" w:rsidR="00231685" w:rsidRPr="003D4A39" w:rsidRDefault="00231685" w:rsidP="00231685">
      <w:pPr>
        <w:ind w:left="1702" w:hanging="851"/>
        <w:rPr>
          <w:sz w:val="24"/>
          <w:szCs w:val="24"/>
        </w:rPr>
      </w:pPr>
    </w:p>
    <w:p w14:paraId="33743D66" w14:textId="6DFEA101" w:rsidR="00231685" w:rsidRPr="003D4A39" w:rsidRDefault="00231685" w:rsidP="00231685">
      <w:pPr>
        <w:ind w:left="851"/>
        <w:rPr>
          <w:sz w:val="24"/>
          <w:szCs w:val="24"/>
        </w:rPr>
      </w:pPr>
      <w:r w:rsidRPr="003D4A39">
        <w:rPr>
          <w:sz w:val="24"/>
          <w:szCs w:val="24"/>
        </w:rPr>
        <w:t>Docetaxel må ikke anvendes til patienter med svær leverinsufficiens, da der ikke findes data for denne patientgruppe (se pkt. 4.2 og 4.4).</w:t>
      </w:r>
    </w:p>
    <w:p w14:paraId="0D6452CA" w14:textId="77777777" w:rsidR="00231685" w:rsidRPr="003D4A39" w:rsidRDefault="00231685" w:rsidP="00231685">
      <w:pPr>
        <w:ind w:left="851"/>
        <w:rPr>
          <w:sz w:val="24"/>
          <w:szCs w:val="24"/>
        </w:rPr>
      </w:pPr>
    </w:p>
    <w:p w14:paraId="5CC8D5F7" w14:textId="5C739D0C" w:rsidR="00231685" w:rsidRPr="003D4A39" w:rsidRDefault="00231685" w:rsidP="00231685">
      <w:pPr>
        <w:ind w:left="851"/>
        <w:rPr>
          <w:sz w:val="24"/>
          <w:szCs w:val="24"/>
        </w:rPr>
      </w:pPr>
      <w:r w:rsidRPr="003D4A39">
        <w:rPr>
          <w:sz w:val="24"/>
          <w:szCs w:val="24"/>
        </w:rPr>
        <w:t>Kontraindikationer for andre lægemidler gælder også, når disse lægemidler kombineres med docetaxel.</w:t>
      </w:r>
    </w:p>
    <w:p w14:paraId="15FF651A" w14:textId="77777777" w:rsidR="006B34A1" w:rsidRPr="008D45EF" w:rsidRDefault="006B34A1" w:rsidP="0081699D">
      <w:pPr>
        <w:ind w:left="851"/>
        <w:rPr>
          <w:sz w:val="24"/>
          <w:szCs w:val="24"/>
        </w:rPr>
      </w:pPr>
    </w:p>
    <w:p w14:paraId="01D658B0" w14:textId="77777777" w:rsidR="006B34A1" w:rsidRPr="008D45EF" w:rsidRDefault="006B34A1" w:rsidP="002D7470">
      <w:pPr>
        <w:ind w:left="851" w:hanging="851"/>
        <w:rPr>
          <w:b/>
          <w:sz w:val="24"/>
          <w:szCs w:val="24"/>
        </w:rPr>
      </w:pPr>
      <w:r w:rsidRPr="008D45EF">
        <w:rPr>
          <w:b/>
          <w:sz w:val="24"/>
          <w:szCs w:val="24"/>
        </w:rPr>
        <w:t>4.4</w:t>
      </w:r>
      <w:r w:rsidRPr="008D45EF">
        <w:rPr>
          <w:b/>
          <w:sz w:val="24"/>
          <w:szCs w:val="24"/>
        </w:rPr>
        <w:tab/>
        <w:t>Særlige advarsler og forsigtighedsregler vedrørende brugen</w:t>
      </w:r>
    </w:p>
    <w:p w14:paraId="30A30A3C" w14:textId="3382FDFA" w:rsidR="00231685" w:rsidRPr="003D4A39" w:rsidRDefault="00231685" w:rsidP="00231685">
      <w:pPr>
        <w:ind w:left="851"/>
        <w:rPr>
          <w:sz w:val="24"/>
          <w:szCs w:val="24"/>
        </w:rPr>
      </w:pPr>
      <w:r w:rsidRPr="003D4A39">
        <w:rPr>
          <w:sz w:val="24"/>
          <w:szCs w:val="24"/>
        </w:rPr>
        <w:t>Medmindre det er kontraindiceret, kan der til brystkræft og ikke-småcellet lungekræft gives et oralt kortikosteroid som præmedicinering, eksempelvis dexamethason 16 mg per dag i 3 dage (f.eks. 8 mg 2 gange daglig). Præmedicineringen påbegyndes dagen inden infusion med docetaxel. Dette kan nedsætte forekomst og sværhedsgrad af væskeretention og sværhedsgraden af overfølsomhedsreaktioner (se pkt. 4.2). Til prostatakræft er præmedicineringen oral dexamethason 8 mg, 12 timer, 3 timer og 1 time før docetaxel-infusionen (se pkt. 4.2).</w:t>
      </w:r>
    </w:p>
    <w:p w14:paraId="1AEB4FA3" w14:textId="77777777" w:rsidR="006B34A1" w:rsidRPr="008D45EF" w:rsidRDefault="006B34A1" w:rsidP="0081699D">
      <w:pPr>
        <w:ind w:left="851"/>
        <w:rPr>
          <w:sz w:val="24"/>
          <w:szCs w:val="24"/>
        </w:rPr>
      </w:pPr>
    </w:p>
    <w:p w14:paraId="505ADC28" w14:textId="77777777" w:rsidR="006B34A1" w:rsidRPr="008D45EF" w:rsidRDefault="006B34A1" w:rsidP="0081699D">
      <w:pPr>
        <w:ind w:left="851"/>
        <w:rPr>
          <w:sz w:val="24"/>
          <w:szCs w:val="24"/>
        </w:rPr>
      </w:pPr>
      <w:r w:rsidRPr="008D45EF">
        <w:rPr>
          <w:sz w:val="24"/>
          <w:szCs w:val="24"/>
          <w:u w:val="single"/>
        </w:rPr>
        <w:t>Hæmatologi</w:t>
      </w:r>
    </w:p>
    <w:p w14:paraId="48BCD05C" w14:textId="77777777" w:rsidR="006B34A1" w:rsidRPr="008D45EF" w:rsidRDefault="006B34A1" w:rsidP="0081699D">
      <w:pPr>
        <w:ind w:left="851"/>
        <w:rPr>
          <w:sz w:val="24"/>
          <w:szCs w:val="24"/>
        </w:rPr>
      </w:pPr>
      <w:r w:rsidRPr="008D45EF">
        <w:rPr>
          <w:sz w:val="24"/>
          <w:szCs w:val="24"/>
        </w:rPr>
        <w:t>Neutropeni er den hyppigst forekommende bivirkning ved docetaxel. Neutrocyt-lavpunkt sås efter gennemsnitligt 7 dage, men intervallet kan være kortere hos patienter, der tidligere har fået en kraftigt virkende behandling. Blodbilledet skal følges løbende hos alle patienter, som behandles med docetaxel. Behandling med docetaxel bør gentages, når neutrocyttallet igen er ≥ 1.500 celler/mm³ (se pkt. 4.2).</w:t>
      </w:r>
    </w:p>
    <w:p w14:paraId="0E922D7F" w14:textId="77777777" w:rsidR="006B34A1" w:rsidRPr="008D45EF" w:rsidRDefault="006B34A1" w:rsidP="0081699D">
      <w:pPr>
        <w:ind w:left="851"/>
        <w:rPr>
          <w:sz w:val="24"/>
          <w:szCs w:val="24"/>
        </w:rPr>
      </w:pPr>
    </w:p>
    <w:p w14:paraId="18E80CF9" w14:textId="77777777" w:rsidR="006B34A1" w:rsidRPr="008D45EF" w:rsidRDefault="006B34A1" w:rsidP="0081699D">
      <w:pPr>
        <w:ind w:left="851"/>
        <w:rPr>
          <w:sz w:val="24"/>
          <w:szCs w:val="24"/>
        </w:rPr>
      </w:pPr>
      <w:r w:rsidRPr="008D45EF">
        <w:rPr>
          <w:sz w:val="24"/>
          <w:szCs w:val="24"/>
        </w:rPr>
        <w:t>Hvis der opstår alvorlig neutropeni (&lt; 500 celler/mm³) i mere end 7 dage i løbet af en docetaxel- behandling, anbefales det at reducere dosis i de efterfølgende cyklusser eller at tage passende symptomatiske forholdsregler (se pkt. 4.2).</w:t>
      </w:r>
    </w:p>
    <w:p w14:paraId="194669E7" w14:textId="77777777" w:rsidR="006B34A1" w:rsidRPr="008D45EF" w:rsidRDefault="006B34A1" w:rsidP="0081699D">
      <w:pPr>
        <w:ind w:left="851"/>
        <w:rPr>
          <w:sz w:val="24"/>
          <w:szCs w:val="24"/>
        </w:rPr>
      </w:pPr>
    </w:p>
    <w:p w14:paraId="5A4B83F7" w14:textId="62E6E53B" w:rsidR="00231685" w:rsidRPr="003D4A39" w:rsidRDefault="00231685" w:rsidP="00231685">
      <w:pPr>
        <w:ind w:left="851"/>
        <w:rPr>
          <w:sz w:val="24"/>
          <w:szCs w:val="24"/>
        </w:rPr>
      </w:pPr>
      <w:r w:rsidRPr="003D4A39">
        <w:rPr>
          <w:sz w:val="24"/>
          <w:szCs w:val="24"/>
        </w:rPr>
        <w:t>Hos de patienter, der blev behandlet med docetaxel i kombination med cisplatin og 5</w:t>
      </w:r>
      <w:r w:rsidRPr="003D4A39">
        <w:rPr>
          <w:sz w:val="24"/>
          <w:szCs w:val="24"/>
        </w:rPr>
        <w:noBreakHyphen/>
        <w:t>fluoruracil (TCF), opstod der febril neutropeni og neutropenisk infektion i mindre grad, når patienterne fik profylaktisk G</w:t>
      </w:r>
      <w:r w:rsidRPr="003D4A39">
        <w:rPr>
          <w:sz w:val="24"/>
          <w:szCs w:val="24"/>
        </w:rPr>
        <w:noBreakHyphen/>
        <w:t>CSF. Patienter i behandling med TCF bør have profylaktisk G</w:t>
      </w:r>
      <w:r w:rsidRPr="003D4A39">
        <w:rPr>
          <w:sz w:val="24"/>
          <w:szCs w:val="24"/>
        </w:rPr>
        <w:noBreakHyphen/>
        <w:t>CSF for at nedsætte risikoen for kompliceret neutropeni (febril neutropeni, prolongeret neutropeni eller neutropenisk infektion). Patienter, der får TCF, bør monitor</w:t>
      </w:r>
      <w:r>
        <w:rPr>
          <w:sz w:val="24"/>
          <w:szCs w:val="24"/>
        </w:rPr>
        <w:t>er</w:t>
      </w:r>
      <w:r w:rsidRPr="003D4A39">
        <w:rPr>
          <w:sz w:val="24"/>
          <w:szCs w:val="24"/>
        </w:rPr>
        <w:t>es nøje (se pkt. 4.2 og 4.8).</w:t>
      </w:r>
    </w:p>
    <w:p w14:paraId="2BCF55FC" w14:textId="77777777" w:rsidR="006B34A1" w:rsidRPr="008D45EF" w:rsidRDefault="006B34A1" w:rsidP="0081699D">
      <w:pPr>
        <w:ind w:left="851"/>
        <w:rPr>
          <w:sz w:val="24"/>
          <w:szCs w:val="24"/>
        </w:rPr>
      </w:pPr>
    </w:p>
    <w:p w14:paraId="4C227E3C" w14:textId="48FBCD1E" w:rsidR="006B34A1" w:rsidRDefault="006B34A1" w:rsidP="0081699D">
      <w:pPr>
        <w:ind w:left="851"/>
        <w:rPr>
          <w:sz w:val="24"/>
          <w:szCs w:val="24"/>
        </w:rPr>
      </w:pPr>
      <w:r w:rsidRPr="008D45EF">
        <w:rPr>
          <w:sz w:val="24"/>
          <w:szCs w:val="24"/>
        </w:rPr>
        <w:t>Hos patienter, der blev behandlet med docetaxel i kombination med doxorubicin og cyclophosphamid (TAC), opstod febril neutropeni og/eller neutropenisk infektion sjældnere, når patienterne fik primær G</w:t>
      </w:r>
      <w:r w:rsidRPr="008D45EF">
        <w:rPr>
          <w:sz w:val="24"/>
          <w:szCs w:val="24"/>
        </w:rPr>
        <w:noBreakHyphen/>
        <w:t>CSF-profylakse. Primær G</w:t>
      </w:r>
      <w:r w:rsidRPr="008D45EF">
        <w:rPr>
          <w:sz w:val="24"/>
          <w:szCs w:val="24"/>
        </w:rPr>
        <w:noBreakHyphen/>
        <w:t>CSF-profylakse bør overvejes til patienter, som får adjuverende behandling med TAC for brystkræft for at nedsætte risikoen for kompliceret neutropeni (febril neutropeni, forlænget neutropeni eller neutropenisk infektion). Patienter, som får TAC, bør monitoreres omhyggeligt (se pkt</w:t>
      </w:r>
      <w:r>
        <w:rPr>
          <w:sz w:val="24"/>
          <w:szCs w:val="24"/>
        </w:rPr>
        <w:t>.</w:t>
      </w:r>
      <w:r w:rsidRPr="008D45EF">
        <w:rPr>
          <w:sz w:val="24"/>
          <w:szCs w:val="24"/>
        </w:rPr>
        <w:t> 4.2 og 4.8).</w:t>
      </w:r>
    </w:p>
    <w:p w14:paraId="7EF8C4C5" w14:textId="28A1C7B5" w:rsidR="00231685" w:rsidRDefault="00231685" w:rsidP="0081699D">
      <w:pPr>
        <w:ind w:left="851"/>
        <w:rPr>
          <w:sz w:val="24"/>
          <w:szCs w:val="24"/>
        </w:rPr>
      </w:pPr>
    </w:p>
    <w:p w14:paraId="351CA916" w14:textId="77777777" w:rsidR="00231685" w:rsidRPr="005D4D80" w:rsidRDefault="00231685" w:rsidP="00231685">
      <w:pPr>
        <w:ind w:left="851"/>
        <w:rPr>
          <w:sz w:val="24"/>
          <w:szCs w:val="24"/>
          <w:u w:val="single"/>
        </w:rPr>
      </w:pPr>
      <w:r w:rsidRPr="005D4D80">
        <w:rPr>
          <w:sz w:val="24"/>
          <w:szCs w:val="24"/>
          <w:u w:val="single"/>
        </w:rPr>
        <w:t xml:space="preserve">Gastrointestinale reaktioner </w:t>
      </w:r>
    </w:p>
    <w:p w14:paraId="278F740E" w14:textId="4EF4FCA6" w:rsidR="00231685" w:rsidRPr="003D4A39" w:rsidRDefault="00231685" w:rsidP="00231685">
      <w:pPr>
        <w:ind w:left="851"/>
        <w:rPr>
          <w:sz w:val="24"/>
          <w:szCs w:val="24"/>
        </w:rPr>
      </w:pPr>
      <w:r w:rsidRPr="003D4A39">
        <w:rPr>
          <w:sz w:val="24"/>
          <w:szCs w:val="24"/>
        </w:rPr>
        <w:t>Forsigtighed anbefales hos patienter med neutropeni, især ved risiko for udvikling af gastrointestinale komplikationer. Selvom et flertal af tilfældene opstod under den første eller anden behandlingsrunde med docetaxel kunne enterocolitis opstå når som helst, og medføre død så tidligt som på den første dag tilstanden indtrådte. Patienter bør overvåges nøje for tidlige tegn på alvorlig gastrointestinal toksicitet (se pkt. 4.2, 4.4 Hæmatologi og 4.8).</w:t>
      </w:r>
    </w:p>
    <w:p w14:paraId="6251ADE5" w14:textId="77777777" w:rsidR="006B34A1" w:rsidRPr="008D45EF" w:rsidRDefault="006B34A1" w:rsidP="0081699D">
      <w:pPr>
        <w:ind w:left="851"/>
        <w:rPr>
          <w:sz w:val="24"/>
          <w:szCs w:val="24"/>
        </w:rPr>
      </w:pPr>
    </w:p>
    <w:p w14:paraId="0D30E9D8" w14:textId="77777777" w:rsidR="00231685" w:rsidRPr="003D4A39" w:rsidRDefault="00231685" w:rsidP="00231685">
      <w:pPr>
        <w:ind w:left="851"/>
        <w:rPr>
          <w:sz w:val="24"/>
          <w:szCs w:val="24"/>
        </w:rPr>
      </w:pPr>
      <w:r w:rsidRPr="003D4A39">
        <w:rPr>
          <w:sz w:val="24"/>
          <w:szCs w:val="24"/>
          <w:u w:val="single"/>
        </w:rPr>
        <w:t>Overfølsomhedsreaktioner</w:t>
      </w:r>
    </w:p>
    <w:p w14:paraId="2887C628" w14:textId="70337D58" w:rsidR="00231685" w:rsidRPr="003D4A39" w:rsidRDefault="00231685" w:rsidP="00231685">
      <w:pPr>
        <w:ind w:left="851"/>
        <w:rPr>
          <w:sz w:val="24"/>
          <w:szCs w:val="24"/>
        </w:rPr>
      </w:pPr>
      <w:r w:rsidRPr="003D4A39">
        <w:rPr>
          <w:sz w:val="24"/>
          <w:szCs w:val="24"/>
        </w:rPr>
        <w:t>Patienter bør observeres nøje med henblik på overfølsomhedsreaktioner specielt under første og anden infusion. Der kan opstå overfølsomhedsreaktioner kan opstå inden for få minutter efter infusion af docetaxel er påbegyndt. Der bør derfor være adgang til behandling af hypotension og bronkospasme. Ved lette symptomer på overfølsomhed såsom lokal rødme eller lokaliserede kutane reaktioner, er det ikke nødvendigt at afbryde behandlingen. Derimod kræver svære overfølsomhedsreaktioner såsom svær hypotension, eller bronkospasme eller generaliseret udslæt/</w:t>
      </w:r>
      <w:r w:rsidRPr="001A5F1C">
        <w:rPr>
          <w:sz w:val="24"/>
          <w:szCs w:val="24"/>
        </w:rPr>
        <w:t xml:space="preserve"> </w:t>
      </w:r>
      <w:r w:rsidRPr="003D4A39">
        <w:rPr>
          <w:sz w:val="24"/>
          <w:szCs w:val="24"/>
        </w:rPr>
        <w:t>erytem, øjeblikkelig afbrydelse af docetaxel-infusion og passende terapi. Patienter, som har udviklet svære overfølsomhedsreaktioner, bør ikke genbehandles med docetaxel. Patienter, som tidligere har haft en overfølsomhedsreaktion overfor paclitaxel kan være i risiko for at udvikle overfølsomhedsreaktion overfor docetaxel, inklusive mere alvorlige overfølsomhedsreaktioner. Disse patienter skal monitoreres tæt ved initiering af docetaxelbehandling.</w:t>
      </w:r>
    </w:p>
    <w:p w14:paraId="7BC9B954" w14:textId="77777777" w:rsidR="00231685" w:rsidRPr="003D4A39" w:rsidRDefault="00231685" w:rsidP="00231685">
      <w:pPr>
        <w:ind w:left="851"/>
        <w:rPr>
          <w:sz w:val="24"/>
          <w:szCs w:val="24"/>
        </w:rPr>
      </w:pPr>
    </w:p>
    <w:p w14:paraId="04D7D2B1" w14:textId="77777777" w:rsidR="00231685" w:rsidRPr="003D4A39" w:rsidRDefault="00231685" w:rsidP="00231685">
      <w:pPr>
        <w:ind w:left="851"/>
        <w:rPr>
          <w:sz w:val="24"/>
          <w:szCs w:val="24"/>
        </w:rPr>
      </w:pPr>
      <w:r w:rsidRPr="003D4A39">
        <w:rPr>
          <w:sz w:val="24"/>
          <w:szCs w:val="24"/>
          <w:u w:val="single"/>
        </w:rPr>
        <w:t>Kutane reaktioner</w:t>
      </w:r>
    </w:p>
    <w:p w14:paraId="66BA777C" w14:textId="363355BC" w:rsidR="00231685" w:rsidRPr="003D4A39" w:rsidRDefault="00231685" w:rsidP="00231685">
      <w:pPr>
        <w:ind w:left="851"/>
      </w:pPr>
      <w:r w:rsidRPr="003D4A39">
        <w:rPr>
          <w:sz w:val="24"/>
          <w:szCs w:val="24"/>
        </w:rPr>
        <w:t>Der er observeret lokaliseret erytem på ekstremite</w:t>
      </w:r>
      <w:r>
        <w:rPr>
          <w:sz w:val="24"/>
          <w:szCs w:val="24"/>
        </w:rPr>
        <w:t>t</w:t>
      </w:r>
      <w:r w:rsidRPr="003D4A39">
        <w:rPr>
          <w:sz w:val="24"/>
          <w:szCs w:val="24"/>
        </w:rPr>
        <w:t>e</w:t>
      </w:r>
      <w:r>
        <w:rPr>
          <w:sz w:val="24"/>
          <w:szCs w:val="24"/>
        </w:rPr>
        <w:t>r</w:t>
      </w:r>
      <w:r w:rsidRPr="003D4A39">
        <w:rPr>
          <w:sz w:val="24"/>
          <w:szCs w:val="24"/>
        </w:rPr>
        <w:t>ne (håndflader og fodsåler) med ødem efterfulgt af afskalning. Der er rapporteret om alvorlige symptomer såsom udslæt efterfulgt af afskalning, som har ført til afbrydelse eller ophør med docetaxel-behandlingen (se pkt. 4.2).</w:t>
      </w:r>
    </w:p>
    <w:p w14:paraId="1A86D02D" w14:textId="77777777" w:rsidR="00231685" w:rsidRPr="003D4A39" w:rsidRDefault="00231685" w:rsidP="00231685">
      <w:pPr>
        <w:ind w:left="851"/>
      </w:pPr>
    </w:p>
    <w:p w14:paraId="40ED190D" w14:textId="77777777" w:rsidR="00231685" w:rsidRPr="003D4A39" w:rsidRDefault="00231685" w:rsidP="00231685">
      <w:pPr>
        <w:ind w:left="851"/>
        <w:rPr>
          <w:sz w:val="24"/>
          <w:szCs w:val="24"/>
        </w:rPr>
      </w:pPr>
      <w:r w:rsidRPr="003D4A39">
        <w:rPr>
          <w:sz w:val="24"/>
          <w:szCs w:val="24"/>
        </w:rPr>
        <w:t>Alvorlige kutane bivirkninger (SCARs) såsom Stevens-Johnson syndrom (SJS), toksisk epidermal nekrolyse (TEN) og akut generaliseret eksantematøs pustulose (AGEP) er blevet rapporteret i forbindelse med docetaxel behandling. Patienter skal informeres om tegn og symptomer for alvorlige hud manifestationer og monitoreres tæt. Hvis der ses tegn og symptomer, der tyder på disse reaktioner, bør seponering af docetaxel overvejes.</w:t>
      </w:r>
    </w:p>
    <w:p w14:paraId="3ABE5F16" w14:textId="77777777" w:rsidR="006B34A1" w:rsidRPr="008D45EF" w:rsidRDefault="006B34A1" w:rsidP="0081699D">
      <w:pPr>
        <w:ind w:left="851"/>
        <w:rPr>
          <w:sz w:val="24"/>
          <w:szCs w:val="24"/>
        </w:rPr>
      </w:pPr>
    </w:p>
    <w:p w14:paraId="3452ABD4" w14:textId="77777777" w:rsidR="006B34A1" w:rsidRPr="008D45EF" w:rsidRDefault="006B34A1" w:rsidP="0081699D">
      <w:pPr>
        <w:ind w:left="851"/>
        <w:rPr>
          <w:sz w:val="24"/>
          <w:szCs w:val="24"/>
        </w:rPr>
      </w:pPr>
      <w:r w:rsidRPr="008D45EF">
        <w:rPr>
          <w:sz w:val="24"/>
          <w:szCs w:val="24"/>
          <w:u w:val="single"/>
        </w:rPr>
        <w:t>Væskeretention</w:t>
      </w:r>
    </w:p>
    <w:p w14:paraId="6296BFE0" w14:textId="77777777" w:rsidR="006B34A1" w:rsidRPr="008D45EF" w:rsidRDefault="006B34A1" w:rsidP="0081699D">
      <w:pPr>
        <w:ind w:left="851"/>
        <w:rPr>
          <w:sz w:val="24"/>
          <w:szCs w:val="24"/>
        </w:rPr>
      </w:pPr>
      <w:r w:rsidRPr="008D45EF">
        <w:rPr>
          <w:sz w:val="24"/>
          <w:szCs w:val="24"/>
        </w:rPr>
        <w:t>Patienter med svær væskeretention i form af pleuraekssudat og perikardieekssudat samt ascites, skal observeres nøje.</w:t>
      </w:r>
    </w:p>
    <w:p w14:paraId="4C4BE8BD" w14:textId="77777777" w:rsidR="006B34A1" w:rsidRPr="008D45EF" w:rsidRDefault="006B34A1" w:rsidP="0081699D">
      <w:pPr>
        <w:ind w:left="851"/>
        <w:rPr>
          <w:sz w:val="24"/>
          <w:szCs w:val="24"/>
        </w:rPr>
      </w:pPr>
    </w:p>
    <w:p w14:paraId="172C77E0" w14:textId="77777777" w:rsidR="006B34A1" w:rsidRPr="008D45EF" w:rsidRDefault="006B34A1" w:rsidP="0081699D">
      <w:pPr>
        <w:ind w:left="851"/>
        <w:rPr>
          <w:sz w:val="24"/>
          <w:szCs w:val="24"/>
        </w:rPr>
      </w:pPr>
      <w:r w:rsidRPr="008D45EF">
        <w:rPr>
          <w:sz w:val="24"/>
          <w:szCs w:val="24"/>
          <w:u w:val="single"/>
        </w:rPr>
        <w:t>Respirationssygdomme</w:t>
      </w:r>
    </w:p>
    <w:p w14:paraId="1FFF7E5B" w14:textId="6A6CD6E0" w:rsidR="006B34A1" w:rsidRDefault="006B34A1" w:rsidP="0081699D">
      <w:pPr>
        <w:ind w:left="851"/>
        <w:rPr>
          <w:sz w:val="24"/>
          <w:szCs w:val="24"/>
        </w:rPr>
      </w:pPr>
      <w:r w:rsidRPr="008D45EF">
        <w:rPr>
          <w:sz w:val="24"/>
          <w:szCs w:val="24"/>
        </w:rPr>
        <w:t>Akut respiratorisk distress syndrom, interstitiel pneumoni/pneumonitis, interstitiel lungesygdom, lungefibrose og respirationssvigt er blevet rapporteret og kan være associeret med dødelig udgang. Strålepneumonitis er blevet rapporteret hos patienter i samtidig strålebehandling.</w:t>
      </w:r>
    </w:p>
    <w:p w14:paraId="6C7C4E73" w14:textId="77777777" w:rsidR="00231685" w:rsidRPr="008D45EF" w:rsidRDefault="00231685" w:rsidP="0081699D">
      <w:pPr>
        <w:ind w:left="851"/>
        <w:rPr>
          <w:sz w:val="24"/>
          <w:szCs w:val="24"/>
        </w:rPr>
      </w:pPr>
    </w:p>
    <w:p w14:paraId="279F2275" w14:textId="77777777" w:rsidR="006B34A1" w:rsidRPr="008D45EF" w:rsidRDefault="006B34A1" w:rsidP="0081699D">
      <w:pPr>
        <w:ind w:left="851"/>
        <w:rPr>
          <w:sz w:val="24"/>
          <w:szCs w:val="24"/>
        </w:rPr>
      </w:pPr>
      <w:r w:rsidRPr="008D45EF">
        <w:rPr>
          <w:sz w:val="24"/>
          <w:szCs w:val="24"/>
        </w:rPr>
        <w:t>Hvis pulmonale symptomer udvikles eller forværres, skal patienterne overvåges nøje, undersøges omgående og sættes i passende behand</w:t>
      </w:r>
      <w:r>
        <w:rPr>
          <w:sz w:val="24"/>
          <w:szCs w:val="24"/>
        </w:rPr>
        <w:t>l</w:t>
      </w:r>
      <w:r w:rsidRPr="008D45EF">
        <w:rPr>
          <w:sz w:val="24"/>
          <w:szCs w:val="24"/>
        </w:rPr>
        <w:t>ing. Det anbefales at afbryde behandlingen med docetaxel, indtil der foreligger en diagnose. Tidlig brug af understøttende behandling kan hjælpe til at bedre tilstanden. Fordelene ved at genoptage behandlingen med docetaxel skal overvejes nøje.</w:t>
      </w:r>
    </w:p>
    <w:p w14:paraId="1EF99B3A" w14:textId="77777777" w:rsidR="006B34A1" w:rsidRPr="008D45EF" w:rsidRDefault="006B34A1" w:rsidP="0081699D">
      <w:pPr>
        <w:ind w:left="851"/>
        <w:rPr>
          <w:sz w:val="24"/>
          <w:szCs w:val="24"/>
        </w:rPr>
      </w:pPr>
    </w:p>
    <w:p w14:paraId="68C4C6CD" w14:textId="77777777" w:rsidR="006B34A1" w:rsidRPr="008D45EF" w:rsidRDefault="006B34A1" w:rsidP="0081699D">
      <w:pPr>
        <w:ind w:left="851"/>
        <w:rPr>
          <w:sz w:val="24"/>
          <w:szCs w:val="24"/>
        </w:rPr>
      </w:pPr>
      <w:r w:rsidRPr="008D45EF">
        <w:rPr>
          <w:sz w:val="24"/>
          <w:szCs w:val="24"/>
          <w:u w:val="single"/>
        </w:rPr>
        <w:t>Patienter med nedsat leverfunktion</w:t>
      </w:r>
    </w:p>
    <w:p w14:paraId="600B924B" w14:textId="77DA9460" w:rsidR="006B34A1" w:rsidRDefault="006B34A1" w:rsidP="0081699D">
      <w:pPr>
        <w:ind w:left="851"/>
        <w:rPr>
          <w:sz w:val="24"/>
          <w:szCs w:val="24"/>
        </w:rPr>
      </w:pPr>
      <w:r w:rsidRPr="008D45EF">
        <w:rPr>
          <w:sz w:val="24"/>
          <w:szCs w:val="24"/>
        </w:rPr>
        <w:t>Hos patienter, der behandles med docetaxel som enkeltstof i dosis på 100 mg/m², som har en serum- transaminase-værdi (ALAT og/eller ASAT) på mere end 1,5 gange den øvre normalværdi samtidig med, at de serum-basiske fosfatase-værdier overstiger den øvre normalværdi 2,5 gange, er der en større risiko for udvikling af alvorlige bivirkninger. Bivirkningerne kan omfatte toksisk dødsfald inklusive sepsis og maveblødning, som kan blive letal, febril neutropeni, infektioner, trombocytopeni, stomatitis og asteni. Derfor er den anbefalede dosis docetaxel 75 mg/m² til de patienter, der har forhøjet leverfunktionstest (LFT), og LFT skal måles ved start og før hver behandlingscyklus (se pkt. 4.2).</w:t>
      </w:r>
    </w:p>
    <w:p w14:paraId="177B17CB" w14:textId="77777777" w:rsidR="00231685" w:rsidRPr="008D45EF" w:rsidRDefault="00231685" w:rsidP="0081699D">
      <w:pPr>
        <w:ind w:left="851"/>
        <w:rPr>
          <w:sz w:val="24"/>
          <w:szCs w:val="24"/>
        </w:rPr>
      </w:pPr>
    </w:p>
    <w:p w14:paraId="36F82FB2" w14:textId="03CD58FB" w:rsidR="006B34A1" w:rsidRDefault="006B34A1" w:rsidP="0081699D">
      <w:pPr>
        <w:ind w:left="851"/>
        <w:rPr>
          <w:sz w:val="24"/>
          <w:szCs w:val="24"/>
        </w:rPr>
      </w:pPr>
      <w:r w:rsidRPr="008D45EF">
        <w:rPr>
          <w:sz w:val="24"/>
          <w:szCs w:val="24"/>
        </w:rPr>
        <w:t>Hos patienter med serumbilirubin &gt; øvre normalværdi og/eller forhøjelse af ASAT/ALAT på &gt; 3,5 gange øvre normalværdi og samtidig forhøjelse af basisk fosfatase på &gt; 6 gange øvre normalværdi kan det ikke anbefales at reducere dosis. I sådanne tilfælde bør docetaxel kun anvendes på tvingende indikation.</w:t>
      </w:r>
    </w:p>
    <w:p w14:paraId="77DB3C98" w14:textId="77777777" w:rsidR="000E6038" w:rsidRPr="008D45EF" w:rsidRDefault="000E6038" w:rsidP="0081699D">
      <w:pPr>
        <w:ind w:left="851"/>
        <w:rPr>
          <w:sz w:val="24"/>
          <w:szCs w:val="24"/>
        </w:rPr>
      </w:pPr>
    </w:p>
    <w:p w14:paraId="6A4AA171" w14:textId="77777777" w:rsidR="006B34A1" w:rsidRPr="008D45EF" w:rsidRDefault="006B34A1" w:rsidP="0081699D">
      <w:pPr>
        <w:ind w:left="851"/>
        <w:rPr>
          <w:sz w:val="24"/>
          <w:szCs w:val="24"/>
        </w:rPr>
      </w:pPr>
      <w:r w:rsidRPr="008D45EF">
        <w:rPr>
          <w:sz w:val="24"/>
          <w:szCs w:val="24"/>
        </w:rPr>
        <w:t>I kombinationsbehandling med cisplatin og 5</w:t>
      </w:r>
      <w:r w:rsidRPr="008D45EF">
        <w:rPr>
          <w:sz w:val="24"/>
          <w:szCs w:val="24"/>
        </w:rPr>
        <w:noBreakHyphen/>
        <w:t>fluoruracil til behandling af patienter med gastrisk adenokarcinom ekskluderede pivotalstudiet patienter med ALAT og/eller ASAT &gt; 1,5 gange ULN associeret med alkalisk fosfatase &gt; 2,5 gange ULN, og bilirubin &gt; 1 gange ULN. Hos disse patienter kan det ikke anbefales at reducere dosis. I sådanne tilfælde bør docetaxel kun anvendes på tvingende indikation. Der foreligger ingen data for patienter med nedsat leverfunktion i kombinationsbehandling ved andre indikationer.</w:t>
      </w:r>
    </w:p>
    <w:p w14:paraId="4C206DD3" w14:textId="77777777" w:rsidR="006B34A1" w:rsidRPr="008D45EF" w:rsidRDefault="006B34A1" w:rsidP="0081699D">
      <w:pPr>
        <w:ind w:left="851"/>
        <w:rPr>
          <w:sz w:val="24"/>
          <w:szCs w:val="24"/>
        </w:rPr>
      </w:pPr>
    </w:p>
    <w:p w14:paraId="13222893" w14:textId="77777777" w:rsidR="006B34A1" w:rsidRPr="008D45EF" w:rsidRDefault="006B34A1" w:rsidP="0081699D">
      <w:pPr>
        <w:ind w:left="851"/>
        <w:rPr>
          <w:sz w:val="24"/>
          <w:szCs w:val="24"/>
        </w:rPr>
      </w:pPr>
      <w:r w:rsidRPr="008D45EF">
        <w:rPr>
          <w:sz w:val="24"/>
          <w:szCs w:val="24"/>
          <w:u w:val="single"/>
        </w:rPr>
        <w:t>Patienter med nedsat nyrefunktion</w:t>
      </w:r>
    </w:p>
    <w:p w14:paraId="207B389D" w14:textId="77777777" w:rsidR="006B34A1" w:rsidRPr="008D45EF" w:rsidRDefault="006B34A1" w:rsidP="0081699D">
      <w:pPr>
        <w:ind w:left="851"/>
        <w:rPr>
          <w:sz w:val="24"/>
          <w:szCs w:val="24"/>
        </w:rPr>
      </w:pPr>
      <w:r w:rsidRPr="008D45EF">
        <w:rPr>
          <w:sz w:val="24"/>
          <w:szCs w:val="24"/>
        </w:rPr>
        <w:t>Der er ingen tilgængelige data vedrørende behandling med docetaxal af patienter med alvorligt nedsat nyrefunktion.</w:t>
      </w:r>
    </w:p>
    <w:p w14:paraId="3237B521" w14:textId="77777777" w:rsidR="006B34A1" w:rsidRPr="008D45EF" w:rsidRDefault="006B34A1" w:rsidP="0081699D">
      <w:pPr>
        <w:ind w:left="851"/>
        <w:rPr>
          <w:sz w:val="24"/>
          <w:szCs w:val="24"/>
        </w:rPr>
      </w:pPr>
    </w:p>
    <w:p w14:paraId="1E2C8184" w14:textId="77777777" w:rsidR="006B34A1" w:rsidRPr="008D45EF" w:rsidRDefault="006B34A1" w:rsidP="0081699D">
      <w:pPr>
        <w:ind w:left="851"/>
        <w:rPr>
          <w:sz w:val="24"/>
          <w:szCs w:val="24"/>
        </w:rPr>
      </w:pPr>
      <w:r w:rsidRPr="008D45EF">
        <w:rPr>
          <w:sz w:val="24"/>
          <w:szCs w:val="24"/>
          <w:u w:val="single"/>
        </w:rPr>
        <w:t>Nervesystemet</w:t>
      </w:r>
    </w:p>
    <w:p w14:paraId="2C716638" w14:textId="77777777" w:rsidR="006B34A1" w:rsidRPr="008D45EF" w:rsidRDefault="006B34A1" w:rsidP="0081699D">
      <w:pPr>
        <w:ind w:left="851"/>
        <w:rPr>
          <w:sz w:val="24"/>
          <w:szCs w:val="24"/>
        </w:rPr>
      </w:pPr>
      <w:r w:rsidRPr="008D45EF">
        <w:rPr>
          <w:sz w:val="24"/>
          <w:szCs w:val="24"/>
        </w:rPr>
        <w:t>Udvikling af alvorlig perifer neurotoksicitet kræver en dosisreduktion (se pkt. 4.2).</w:t>
      </w:r>
    </w:p>
    <w:p w14:paraId="156B2DD7" w14:textId="77777777" w:rsidR="006B34A1" w:rsidRPr="008D45EF" w:rsidRDefault="006B34A1" w:rsidP="0081699D">
      <w:pPr>
        <w:ind w:left="851"/>
        <w:rPr>
          <w:sz w:val="24"/>
          <w:szCs w:val="24"/>
        </w:rPr>
      </w:pPr>
    </w:p>
    <w:p w14:paraId="3A891E20" w14:textId="77777777" w:rsidR="000E6038" w:rsidRPr="003D4A39" w:rsidRDefault="000E6038" w:rsidP="000E6038">
      <w:pPr>
        <w:ind w:left="851"/>
        <w:rPr>
          <w:sz w:val="24"/>
          <w:szCs w:val="24"/>
        </w:rPr>
      </w:pPr>
      <w:r w:rsidRPr="003D4A39">
        <w:rPr>
          <w:sz w:val="24"/>
          <w:szCs w:val="24"/>
          <w:u w:val="single"/>
        </w:rPr>
        <w:t>Kardiotoksicitet</w:t>
      </w:r>
    </w:p>
    <w:p w14:paraId="39559727" w14:textId="239491BB" w:rsidR="000E6038" w:rsidRPr="003D4A39" w:rsidRDefault="000E6038" w:rsidP="000E6038">
      <w:pPr>
        <w:ind w:left="851"/>
        <w:rPr>
          <w:sz w:val="24"/>
          <w:szCs w:val="24"/>
        </w:rPr>
      </w:pPr>
      <w:r w:rsidRPr="003D4A39">
        <w:rPr>
          <w:sz w:val="24"/>
          <w:szCs w:val="24"/>
        </w:rPr>
        <w:t>Hjertesvigt er observeret hos patienter, som fik docetaxel i kombination med trastuzumab, specielt efter kemoterapi med antracy</w:t>
      </w:r>
      <w:r>
        <w:rPr>
          <w:sz w:val="24"/>
          <w:szCs w:val="24"/>
        </w:rPr>
        <w:t>k</w:t>
      </w:r>
      <w:r w:rsidRPr="003D4A39">
        <w:rPr>
          <w:sz w:val="24"/>
          <w:szCs w:val="24"/>
        </w:rPr>
        <w:t>lin (doxorubicin eller epirubicin). Hjertesvigtet kan være moderat til alvorligt og har været associeret med død (se pkt. 4.8).</w:t>
      </w:r>
    </w:p>
    <w:p w14:paraId="5BCC8E65" w14:textId="77777777" w:rsidR="006B34A1" w:rsidRPr="008D45EF" w:rsidRDefault="006B34A1" w:rsidP="0081699D">
      <w:pPr>
        <w:ind w:left="851"/>
        <w:rPr>
          <w:sz w:val="24"/>
          <w:szCs w:val="24"/>
        </w:rPr>
      </w:pPr>
    </w:p>
    <w:p w14:paraId="517FB1A0" w14:textId="77777777" w:rsidR="006B34A1" w:rsidRPr="008D45EF" w:rsidRDefault="006B34A1" w:rsidP="0081699D">
      <w:pPr>
        <w:ind w:left="851"/>
        <w:rPr>
          <w:sz w:val="24"/>
          <w:szCs w:val="24"/>
        </w:rPr>
      </w:pPr>
      <w:r w:rsidRPr="008D45EF">
        <w:rPr>
          <w:sz w:val="24"/>
          <w:szCs w:val="24"/>
        </w:rPr>
        <w:t>Patienter, der er kandidater til behandling med docetaxel i kombination med trastuzumab, bør få foretaget rutinemæssige hjerteundersøgelser. Hjertefunktionen bør yderligere monitoreres under behandlingen (f.eks. hver 3. måned) med henblik på at identificere patienter, som udvikler hjerte- dysfunktion. For flere detaljer se produktresumé for trastuzumab.</w:t>
      </w:r>
    </w:p>
    <w:p w14:paraId="2ACE2769" w14:textId="642C3B93" w:rsidR="006B34A1" w:rsidRDefault="006B34A1" w:rsidP="0081699D">
      <w:pPr>
        <w:ind w:left="851"/>
        <w:rPr>
          <w:sz w:val="24"/>
          <w:szCs w:val="24"/>
        </w:rPr>
      </w:pPr>
    </w:p>
    <w:p w14:paraId="7C0BB72B" w14:textId="77777777" w:rsidR="000E6038" w:rsidRPr="003D4A39" w:rsidRDefault="000E6038" w:rsidP="000E6038">
      <w:pPr>
        <w:ind w:left="851"/>
        <w:rPr>
          <w:sz w:val="24"/>
          <w:szCs w:val="24"/>
        </w:rPr>
      </w:pPr>
      <w:r w:rsidRPr="003D4A39">
        <w:rPr>
          <w:sz w:val="24"/>
          <w:szCs w:val="24"/>
        </w:rPr>
        <w:t>Ventrikulær arytmi inklusive ventrikulær takykardi (undertiden dødelig) er rapporteret hos patienter behandlet med docetaxel i kombinationsregimer inklusive doxorubicin, 5</w:t>
      </w:r>
      <w:r w:rsidRPr="003D4A39">
        <w:rPr>
          <w:sz w:val="24"/>
          <w:szCs w:val="24"/>
        </w:rPr>
        <w:noBreakHyphen/>
        <w:t xml:space="preserve">fluorouracil og/eller cyclofosfamid (se pkt. 4.8). </w:t>
      </w:r>
    </w:p>
    <w:p w14:paraId="687EEAB9" w14:textId="77777777" w:rsidR="000E6038" w:rsidRPr="003D4A39" w:rsidRDefault="000E6038" w:rsidP="000E6038">
      <w:pPr>
        <w:ind w:left="851"/>
        <w:rPr>
          <w:sz w:val="24"/>
          <w:szCs w:val="24"/>
        </w:rPr>
      </w:pPr>
    </w:p>
    <w:p w14:paraId="67FFB005" w14:textId="77777777" w:rsidR="000E6038" w:rsidRPr="003D4A39" w:rsidRDefault="000E6038" w:rsidP="000E6038">
      <w:pPr>
        <w:ind w:left="851"/>
        <w:rPr>
          <w:sz w:val="24"/>
          <w:szCs w:val="24"/>
        </w:rPr>
      </w:pPr>
      <w:r w:rsidRPr="003D4A39">
        <w:rPr>
          <w:sz w:val="24"/>
          <w:szCs w:val="24"/>
        </w:rPr>
        <w:t xml:space="preserve">Hjertefunktionen bør vurderes før behandlingsstart.  </w:t>
      </w:r>
    </w:p>
    <w:p w14:paraId="0FF66EF7" w14:textId="77777777" w:rsidR="000E6038" w:rsidRPr="008D45EF" w:rsidRDefault="000E6038" w:rsidP="0081699D">
      <w:pPr>
        <w:ind w:left="851"/>
        <w:rPr>
          <w:sz w:val="24"/>
          <w:szCs w:val="24"/>
        </w:rPr>
      </w:pPr>
    </w:p>
    <w:p w14:paraId="41CAAA48" w14:textId="77777777" w:rsidR="006B34A1" w:rsidRPr="008D45EF" w:rsidRDefault="006B34A1" w:rsidP="0081699D">
      <w:pPr>
        <w:ind w:left="851"/>
        <w:rPr>
          <w:sz w:val="24"/>
          <w:szCs w:val="24"/>
        </w:rPr>
      </w:pPr>
      <w:r w:rsidRPr="008D45EF">
        <w:rPr>
          <w:sz w:val="24"/>
          <w:szCs w:val="24"/>
          <w:u w:val="single"/>
        </w:rPr>
        <w:t>Øjne</w:t>
      </w:r>
    </w:p>
    <w:p w14:paraId="16F35C68" w14:textId="77777777" w:rsidR="006B34A1" w:rsidRPr="008D45EF" w:rsidRDefault="006B34A1" w:rsidP="0081699D">
      <w:pPr>
        <w:ind w:left="851"/>
        <w:rPr>
          <w:sz w:val="24"/>
          <w:szCs w:val="24"/>
        </w:rPr>
      </w:pPr>
      <w:r w:rsidRPr="008D45EF">
        <w:rPr>
          <w:sz w:val="24"/>
          <w:szCs w:val="24"/>
        </w:rPr>
        <w:t>Cystoidt makulaødem (CMO) er blevet rapporteret hos patienter behandlet med docetaxel. Patienter med påvirket syn bør omgående gennemgå en fuldstændig oftalmologisk undersøgelse. I tilfælde af CMO-diagnose skal docetaxel seponeres og passende behandling initieres (se pkt. 4.8).</w:t>
      </w:r>
    </w:p>
    <w:p w14:paraId="112CC9DE" w14:textId="3E043DF1" w:rsidR="006B34A1" w:rsidRDefault="006B34A1" w:rsidP="0081699D">
      <w:pPr>
        <w:ind w:left="851"/>
        <w:rPr>
          <w:sz w:val="24"/>
          <w:szCs w:val="24"/>
        </w:rPr>
      </w:pPr>
    </w:p>
    <w:p w14:paraId="17FA7656" w14:textId="77777777" w:rsidR="000E6038" w:rsidRPr="005D4D80" w:rsidRDefault="000E6038" w:rsidP="000E6038">
      <w:pPr>
        <w:ind w:left="851"/>
        <w:rPr>
          <w:sz w:val="24"/>
          <w:szCs w:val="24"/>
          <w:u w:val="single"/>
        </w:rPr>
      </w:pPr>
      <w:r w:rsidRPr="005D4D80">
        <w:rPr>
          <w:sz w:val="24"/>
          <w:szCs w:val="24"/>
          <w:u w:val="single"/>
        </w:rPr>
        <w:t xml:space="preserve">Andre primære maligniteter </w:t>
      </w:r>
    </w:p>
    <w:p w14:paraId="7E9A8161" w14:textId="77777777" w:rsidR="000E6038" w:rsidRPr="003D4A39" w:rsidRDefault="000E6038" w:rsidP="000E6038">
      <w:pPr>
        <w:ind w:left="851"/>
        <w:rPr>
          <w:sz w:val="24"/>
          <w:szCs w:val="24"/>
        </w:rPr>
      </w:pPr>
      <w:r w:rsidRPr="003D4A39">
        <w:rPr>
          <w:sz w:val="24"/>
          <w:szCs w:val="24"/>
        </w:rPr>
        <w:t xml:space="preserve">Andre primære maligniteter er blevet rapporteret, når docetaxel blev givet i kombination med anticancer behandlinger, der vides at være forbundet med anden primær malignitet. Andre primære maligniteter (herunder akut myeloid leukæmi, myelodysplastisk syndrom og non-Hodgkin lymfom) kan forekomme flere måneder eller år efter behandling med docetaxel. Patienter bør monitoreres for andre primære maligniteter (se pkt. 4.8). </w:t>
      </w:r>
    </w:p>
    <w:p w14:paraId="086252AA" w14:textId="77777777" w:rsidR="000E6038" w:rsidRPr="003D4A39" w:rsidRDefault="000E6038" w:rsidP="000E6038">
      <w:pPr>
        <w:ind w:left="851"/>
        <w:rPr>
          <w:sz w:val="24"/>
          <w:szCs w:val="24"/>
        </w:rPr>
      </w:pPr>
    </w:p>
    <w:p w14:paraId="3F09F0F1" w14:textId="77777777" w:rsidR="000E6038" w:rsidRPr="005D4D80" w:rsidRDefault="000E6038" w:rsidP="000E6038">
      <w:pPr>
        <w:ind w:left="851"/>
        <w:rPr>
          <w:sz w:val="24"/>
          <w:szCs w:val="24"/>
          <w:u w:val="single"/>
        </w:rPr>
      </w:pPr>
      <w:r w:rsidRPr="005D4D80">
        <w:rPr>
          <w:sz w:val="24"/>
          <w:szCs w:val="24"/>
          <w:u w:val="single"/>
        </w:rPr>
        <w:t xml:space="preserve">Tumorlyse syndrom </w:t>
      </w:r>
    </w:p>
    <w:p w14:paraId="7B6D1554" w14:textId="00C589DE" w:rsidR="000E6038" w:rsidRPr="003D4A39" w:rsidRDefault="000E6038" w:rsidP="000E6038">
      <w:pPr>
        <w:ind w:left="851"/>
        <w:rPr>
          <w:sz w:val="24"/>
          <w:szCs w:val="24"/>
        </w:rPr>
      </w:pPr>
      <w:r w:rsidRPr="003D4A39">
        <w:rPr>
          <w:sz w:val="24"/>
          <w:szCs w:val="24"/>
        </w:rPr>
        <w:t>Tumorlyse syndrom er blevet rapporteret med docetaxel efter første eller anden cyklus (se pkt. 4.8). Patienter med risiko for tumorlyse syndrom (f.eks. med nedsat nyrefunktion, hyperurikæmi, voluminøs tumor, hurtig progression) bør monitoreres nøje. Korrektion af dehydrering og behandling af høje urinsyreniveauer anbefales inden behandlingsstart.</w:t>
      </w:r>
    </w:p>
    <w:p w14:paraId="43C92E1A" w14:textId="77777777" w:rsidR="000E6038" w:rsidRPr="008D45EF" w:rsidRDefault="000E6038" w:rsidP="0081699D">
      <w:pPr>
        <w:ind w:left="851"/>
        <w:rPr>
          <w:sz w:val="24"/>
          <w:szCs w:val="24"/>
        </w:rPr>
      </w:pPr>
    </w:p>
    <w:p w14:paraId="39483D11" w14:textId="77777777" w:rsidR="00505D09" w:rsidRPr="008D45EF" w:rsidRDefault="00505D09" w:rsidP="00505D09">
      <w:pPr>
        <w:ind w:left="851"/>
        <w:rPr>
          <w:sz w:val="24"/>
          <w:szCs w:val="24"/>
        </w:rPr>
      </w:pPr>
      <w:r w:rsidRPr="008D45EF">
        <w:rPr>
          <w:sz w:val="24"/>
          <w:szCs w:val="24"/>
          <w:u w:val="single"/>
        </w:rPr>
        <w:t>Andet</w:t>
      </w:r>
    </w:p>
    <w:p w14:paraId="235B93AA" w14:textId="3212D5D8" w:rsidR="00505D09" w:rsidRPr="008D45EF" w:rsidRDefault="00505D09" w:rsidP="00505D09">
      <w:pPr>
        <w:ind w:left="851"/>
        <w:rPr>
          <w:sz w:val="24"/>
          <w:szCs w:val="24"/>
        </w:rPr>
      </w:pPr>
      <w:r w:rsidRPr="001C197E">
        <w:rPr>
          <w:sz w:val="24"/>
          <w:szCs w:val="24"/>
        </w:rPr>
        <w:t>Kvinder i den fertile alder skal bruge svangerskabsforebyggende midler under behandlingen og</w:t>
      </w:r>
      <w:r>
        <w:rPr>
          <w:sz w:val="24"/>
          <w:szCs w:val="24"/>
        </w:rPr>
        <w:t xml:space="preserve"> </w:t>
      </w:r>
      <w:r w:rsidRPr="001C197E">
        <w:rPr>
          <w:sz w:val="24"/>
          <w:szCs w:val="24"/>
        </w:rPr>
        <w:t>2</w:t>
      </w:r>
      <w:r>
        <w:rPr>
          <w:sz w:val="24"/>
          <w:szCs w:val="24"/>
        </w:rPr>
        <w:t> </w:t>
      </w:r>
      <w:r w:rsidRPr="001C197E">
        <w:rPr>
          <w:sz w:val="24"/>
          <w:szCs w:val="24"/>
        </w:rPr>
        <w:t>måneder efter seponering af docetaxel. Mænd skal bruge</w:t>
      </w:r>
      <w:r>
        <w:rPr>
          <w:sz w:val="24"/>
          <w:szCs w:val="24"/>
        </w:rPr>
        <w:t xml:space="preserve"> s</w:t>
      </w:r>
      <w:r w:rsidRPr="008D45EF">
        <w:rPr>
          <w:sz w:val="24"/>
          <w:szCs w:val="24"/>
        </w:rPr>
        <w:t xml:space="preserve">vangerskabsforebyggende midler under behandlingen og </w:t>
      </w:r>
      <w:r>
        <w:rPr>
          <w:sz w:val="24"/>
          <w:szCs w:val="24"/>
        </w:rPr>
        <w:t>4</w:t>
      </w:r>
      <w:r w:rsidRPr="008D45EF">
        <w:rPr>
          <w:sz w:val="24"/>
          <w:szCs w:val="24"/>
        </w:rPr>
        <w:t xml:space="preserve"> måneder efter seponering </w:t>
      </w:r>
      <w:r w:rsidRPr="001C197E">
        <w:rPr>
          <w:sz w:val="24"/>
          <w:szCs w:val="24"/>
        </w:rPr>
        <w:t xml:space="preserve">af docetaxel </w:t>
      </w:r>
      <w:r w:rsidRPr="008D45EF">
        <w:rPr>
          <w:sz w:val="24"/>
          <w:szCs w:val="24"/>
        </w:rPr>
        <w:t>(sepkt. 4.6).</w:t>
      </w:r>
    </w:p>
    <w:p w14:paraId="22087DA7" w14:textId="77777777" w:rsidR="006B34A1" w:rsidRPr="008D45EF" w:rsidRDefault="006B34A1" w:rsidP="0081699D">
      <w:pPr>
        <w:ind w:left="851"/>
        <w:rPr>
          <w:sz w:val="24"/>
          <w:szCs w:val="24"/>
        </w:rPr>
      </w:pPr>
    </w:p>
    <w:p w14:paraId="3AC9320E" w14:textId="77777777" w:rsidR="006B34A1" w:rsidRPr="008D45EF" w:rsidRDefault="006B34A1" w:rsidP="0081699D">
      <w:pPr>
        <w:ind w:left="851"/>
        <w:rPr>
          <w:sz w:val="24"/>
          <w:szCs w:val="24"/>
        </w:rPr>
      </w:pPr>
      <w:r w:rsidRPr="008D45EF">
        <w:rPr>
          <w:sz w:val="24"/>
          <w:szCs w:val="24"/>
        </w:rPr>
        <w:t>Samtidig anvendelse af docetaxel og potente CYP3A4-hæmmere (f.eks. ketoconazol, itraconazol, clarithromycin, indinavir, nefazodon, nelfinavir, ritonavir, saquinavir, telithromycin og voriconazol) bør undgås (se pkt. 4.5).</w:t>
      </w:r>
    </w:p>
    <w:p w14:paraId="53921A60" w14:textId="77777777" w:rsidR="006B34A1" w:rsidRPr="008D45EF" w:rsidRDefault="006B34A1" w:rsidP="0081699D">
      <w:pPr>
        <w:ind w:left="851"/>
        <w:rPr>
          <w:sz w:val="24"/>
          <w:szCs w:val="24"/>
        </w:rPr>
      </w:pPr>
    </w:p>
    <w:p w14:paraId="270AC62B" w14:textId="77777777" w:rsidR="006B34A1" w:rsidRPr="008D45EF" w:rsidRDefault="006B34A1" w:rsidP="0081699D">
      <w:pPr>
        <w:ind w:left="851"/>
        <w:rPr>
          <w:sz w:val="24"/>
          <w:szCs w:val="24"/>
        </w:rPr>
      </w:pPr>
      <w:r w:rsidRPr="008D45EF">
        <w:rPr>
          <w:sz w:val="24"/>
          <w:szCs w:val="24"/>
          <w:u w:val="single"/>
        </w:rPr>
        <w:t>Yderligere forsigtighedsregler for anvendelse ved adjuverende behandling af brystkræft</w:t>
      </w:r>
    </w:p>
    <w:p w14:paraId="63612BAC" w14:textId="77777777" w:rsidR="006B34A1" w:rsidRPr="008D45EF" w:rsidRDefault="006B34A1" w:rsidP="0081699D">
      <w:pPr>
        <w:ind w:left="851"/>
        <w:rPr>
          <w:sz w:val="24"/>
          <w:szCs w:val="24"/>
        </w:rPr>
      </w:pPr>
    </w:p>
    <w:p w14:paraId="21D54D56" w14:textId="77777777" w:rsidR="006B34A1" w:rsidRPr="00BD0174" w:rsidRDefault="006B34A1" w:rsidP="0081699D">
      <w:pPr>
        <w:ind w:left="851"/>
        <w:rPr>
          <w:sz w:val="24"/>
          <w:szCs w:val="24"/>
        </w:rPr>
      </w:pPr>
      <w:r w:rsidRPr="00BD0174">
        <w:rPr>
          <w:i/>
          <w:iCs/>
          <w:sz w:val="24"/>
          <w:szCs w:val="24"/>
        </w:rPr>
        <w:t>Kompliceret neutropeni</w:t>
      </w:r>
    </w:p>
    <w:p w14:paraId="0F04ACA5" w14:textId="77777777" w:rsidR="006B34A1" w:rsidRPr="008D45EF" w:rsidRDefault="006B34A1" w:rsidP="0081699D">
      <w:pPr>
        <w:ind w:left="851"/>
        <w:rPr>
          <w:sz w:val="24"/>
          <w:szCs w:val="24"/>
        </w:rPr>
      </w:pPr>
      <w:r w:rsidRPr="008D45EF">
        <w:rPr>
          <w:sz w:val="24"/>
          <w:szCs w:val="24"/>
        </w:rPr>
        <w:t>Hos patienter, som får kompliceret neutropeni (forlænget neutropeni, febril neutropeni eller infektion), bør G</w:t>
      </w:r>
      <w:r w:rsidRPr="008D45EF">
        <w:rPr>
          <w:sz w:val="24"/>
          <w:szCs w:val="24"/>
        </w:rPr>
        <w:noBreakHyphen/>
        <w:t>CSF og dosisreduktion overvejes (se pkt. 4.2).</w:t>
      </w:r>
    </w:p>
    <w:p w14:paraId="415FE599" w14:textId="77777777" w:rsidR="006B34A1" w:rsidRPr="008D45EF" w:rsidRDefault="006B34A1" w:rsidP="0081699D">
      <w:pPr>
        <w:ind w:left="851"/>
        <w:rPr>
          <w:sz w:val="24"/>
          <w:szCs w:val="24"/>
        </w:rPr>
      </w:pPr>
    </w:p>
    <w:p w14:paraId="16F7E624" w14:textId="77777777" w:rsidR="006B34A1" w:rsidRPr="00BD0174" w:rsidRDefault="006B34A1" w:rsidP="0081699D">
      <w:pPr>
        <w:ind w:left="851"/>
        <w:rPr>
          <w:sz w:val="24"/>
          <w:szCs w:val="24"/>
        </w:rPr>
      </w:pPr>
      <w:r w:rsidRPr="00BD0174">
        <w:rPr>
          <w:i/>
          <w:iCs/>
          <w:sz w:val="24"/>
          <w:szCs w:val="24"/>
        </w:rPr>
        <w:t>Gastrointestinale reaktioner</w:t>
      </w:r>
    </w:p>
    <w:p w14:paraId="3F44B876" w14:textId="77777777" w:rsidR="006B34A1" w:rsidRPr="008D45EF" w:rsidRDefault="006B34A1" w:rsidP="0081699D">
      <w:pPr>
        <w:ind w:left="851"/>
        <w:rPr>
          <w:sz w:val="24"/>
          <w:szCs w:val="24"/>
        </w:rPr>
      </w:pPr>
      <w:r w:rsidRPr="008D45EF">
        <w:rPr>
          <w:sz w:val="24"/>
          <w:szCs w:val="24"/>
        </w:rPr>
        <w:t>Symptomer såsom tidlig abdominal smerte og ømhed, feber, diarré, med eller uden neutropeni, kan være tidlige manifestationer på alvorlig gastrointestinal toksicitet og bør evalueres og behandles med det samme.</w:t>
      </w:r>
    </w:p>
    <w:p w14:paraId="4A656859" w14:textId="77777777" w:rsidR="006B34A1" w:rsidRPr="008D45EF" w:rsidRDefault="006B34A1" w:rsidP="0081699D">
      <w:pPr>
        <w:ind w:left="851"/>
        <w:rPr>
          <w:sz w:val="24"/>
          <w:szCs w:val="24"/>
        </w:rPr>
      </w:pPr>
    </w:p>
    <w:p w14:paraId="3888ABF5" w14:textId="77777777" w:rsidR="000E6038" w:rsidRPr="003D4A39" w:rsidRDefault="000E6038" w:rsidP="000E6038">
      <w:pPr>
        <w:ind w:left="851"/>
        <w:rPr>
          <w:sz w:val="24"/>
          <w:szCs w:val="24"/>
        </w:rPr>
      </w:pPr>
      <w:r w:rsidRPr="003D4A39">
        <w:rPr>
          <w:i/>
          <w:iCs/>
          <w:sz w:val="24"/>
          <w:szCs w:val="24"/>
          <w:u w:val="single"/>
        </w:rPr>
        <w:t>Kongestivt hjertesvigt (CHF)</w:t>
      </w:r>
    </w:p>
    <w:p w14:paraId="6E39A07B" w14:textId="3546C538" w:rsidR="000E6038" w:rsidRPr="003D4A39" w:rsidRDefault="000E6038" w:rsidP="000E6038">
      <w:pPr>
        <w:ind w:left="851"/>
        <w:rPr>
          <w:sz w:val="24"/>
          <w:szCs w:val="24"/>
        </w:rPr>
      </w:pPr>
      <w:r w:rsidRPr="003D4A39">
        <w:rPr>
          <w:sz w:val="24"/>
          <w:szCs w:val="24"/>
        </w:rPr>
        <w:t>Patienter bør monitoreres for symptomer på kongestivt hjertesvigt under behandlingen og i opfølgningsperioden. Hos patienter i behandling med TAC-regimet for lymfeknude-positiv brystkræft har risikoen for CHF vist sig at være højere i det første år efter behandling (se pkt. 4.8 og 5.1).</w:t>
      </w:r>
    </w:p>
    <w:p w14:paraId="19A6B94A" w14:textId="77777777" w:rsidR="000E6038" w:rsidRPr="003D4A39" w:rsidRDefault="000E6038" w:rsidP="000E6038">
      <w:pPr>
        <w:ind w:left="851"/>
        <w:rPr>
          <w:sz w:val="24"/>
          <w:szCs w:val="24"/>
        </w:rPr>
      </w:pPr>
    </w:p>
    <w:p w14:paraId="2C1F1C6F" w14:textId="77777777" w:rsidR="000E6038" w:rsidRPr="003D4A39" w:rsidRDefault="000E6038" w:rsidP="000E6038">
      <w:pPr>
        <w:ind w:left="851"/>
        <w:rPr>
          <w:sz w:val="24"/>
          <w:szCs w:val="24"/>
        </w:rPr>
      </w:pPr>
      <w:r w:rsidRPr="003D4A39">
        <w:rPr>
          <w:i/>
          <w:iCs/>
          <w:sz w:val="24"/>
          <w:szCs w:val="24"/>
          <w:u w:val="single"/>
        </w:rPr>
        <w:t>Patienter med 4+lymfeknuder</w:t>
      </w:r>
    </w:p>
    <w:p w14:paraId="40928BEA" w14:textId="5AF9E5EB" w:rsidR="000E6038" w:rsidRPr="003D4A39" w:rsidRDefault="000E6038" w:rsidP="000E6038">
      <w:pPr>
        <w:ind w:left="851"/>
        <w:rPr>
          <w:sz w:val="24"/>
          <w:szCs w:val="24"/>
        </w:rPr>
      </w:pPr>
      <w:r w:rsidRPr="003D4A39">
        <w:rPr>
          <w:sz w:val="24"/>
          <w:szCs w:val="24"/>
        </w:rPr>
        <w:t>Da fordelene hos patienter med 4+ lymfeknuder ikke var statistisk signifikante for sygdomsfri overlevelse (DFS) og total overlevelse (OS), blev det positive benefit/risk-forhold for TAC-patienter med 4+ lymfeknuder ikke fuldt demonstreret i den endelige analyse (se pkt. 5.1).</w:t>
      </w:r>
    </w:p>
    <w:p w14:paraId="510E75AF" w14:textId="77777777" w:rsidR="000E6038" w:rsidRPr="003D4A39" w:rsidRDefault="000E6038" w:rsidP="000E6038">
      <w:pPr>
        <w:ind w:left="851"/>
        <w:rPr>
          <w:sz w:val="24"/>
          <w:szCs w:val="24"/>
        </w:rPr>
      </w:pPr>
    </w:p>
    <w:p w14:paraId="32C5A712" w14:textId="3FF643C9" w:rsidR="000E6038" w:rsidRPr="005D4D80" w:rsidRDefault="000E6038" w:rsidP="000E6038">
      <w:pPr>
        <w:ind w:left="851"/>
        <w:rPr>
          <w:i/>
          <w:iCs/>
          <w:sz w:val="24"/>
          <w:szCs w:val="24"/>
          <w:u w:val="single"/>
        </w:rPr>
      </w:pPr>
      <w:r w:rsidRPr="003D4A39">
        <w:rPr>
          <w:i/>
          <w:iCs/>
          <w:sz w:val="24"/>
          <w:szCs w:val="24"/>
          <w:u w:val="single"/>
        </w:rPr>
        <w:t>Ældre</w:t>
      </w:r>
    </w:p>
    <w:p w14:paraId="63A737FA" w14:textId="77777777" w:rsidR="000E6038" w:rsidRPr="005D4D80" w:rsidRDefault="000E6038" w:rsidP="000E6038">
      <w:pPr>
        <w:ind w:left="851"/>
        <w:rPr>
          <w:i/>
          <w:iCs/>
          <w:sz w:val="24"/>
          <w:szCs w:val="24"/>
        </w:rPr>
      </w:pPr>
      <w:r w:rsidRPr="005D4D80">
        <w:rPr>
          <w:i/>
          <w:iCs/>
          <w:sz w:val="24"/>
          <w:szCs w:val="24"/>
        </w:rPr>
        <w:t xml:space="preserve">Forsigtighedsregler for anvendelse ved adjuverende behandling af brystkræft </w:t>
      </w:r>
    </w:p>
    <w:p w14:paraId="211B54E1" w14:textId="77777777" w:rsidR="000E6038" w:rsidRPr="003D4A39" w:rsidRDefault="000E6038" w:rsidP="000E6038">
      <w:pPr>
        <w:ind w:left="851"/>
        <w:rPr>
          <w:sz w:val="24"/>
          <w:szCs w:val="24"/>
        </w:rPr>
      </w:pPr>
      <w:r w:rsidRPr="003D4A39">
        <w:rPr>
          <w:sz w:val="24"/>
          <w:szCs w:val="24"/>
        </w:rPr>
        <w:t>Der er begrænsede tilgængelige data vedrørende anvendelse af docetaxel i kombination med doxorubicin og cyclophosphamid til patienter over 70 år.</w:t>
      </w:r>
    </w:p>
    <w:p w14:paraId="3093F429" w14:textId="77777777" w:rsidR="000E6038" w:rsidRPr="005D4D80" w:rsidRDefault="000E6038" w:rsidP="000E6038">
      <w:pPr>
        <w:ind w:left="851"/>
        <w:rPr>
          <w:i/>
          <w:iCs/>
          <w:sz w:val="24"/>
          <w:szCs w:val="24"/>
          <w:u w:val="single"/>
        </w:rPr>
      </w:pPr>
    </w:p>
    <w:p w14:paraId="370A9A1E" w14:textId="77777777" w:rsidR="000E6038" w:rsidRPr="003D4A39" w:rsidRDefault="000E6038" w:rsidP="000E6038">
      <w:pPr>
        <w:ind w:left="851"/>
        <w:rPr>
          <w:sz w:val="24"/>
          <w:szCs w:val="24"/>
        </w:rPr>
      </w:pPr>
      <w:r w:rsidRPr="005D4D80">
        <w:rPr>
          <w:i/>
          <w:iCs/>
          <w:sz w:val="24"/>
          <w:szCs w:val="24"/>
        </w:rPr>
        <w:t>Forsigtighedsregler ved behandling af kastrationsresistent prostatakræft</w:t>
      </w:r>
      <w:r w:rsidRPr="003D4A39">
        <w:rPr>
          <w:sz w:val="24"/>
          <w:szCs w:val="24"/>
        </w:rPr>
        <w:t xml:space="preserve"> </w:t>
      </w:r>
    </w:p>
    <w:p w14:paraId="2CC746D8" w14:textId="77777777" w:rsidR="000E6038" w:rsidRPr="003D4A39" w:rsidRDefault="000E6038" w:rsidP="000E6038">
      <w:pPr>
        <w:ind w:left="851"/>
        <w:rPr>
          <w:sz w:val="24"/>
          <w:szCs w:val="24"/>
        </w:rPr>
      </w:pPr>
      <w:r w:rsidRPr="003D4A39">
        <w:rPr>
          <w:sz w:val="24"/>
          <w:szCs w:val="24"/>
        </w:rPr>
        <w:t>Ud af 333 patienter behandlet med docetaxel hver tredje uge i et prostatakræftstudium (TAX 327), var 209 patienter 65 år eller derover og 68 patienter var ældre end 75 år. Blandt de patienter, der fik docetaxel hver tredje uge, var hyppigheden af relaterede negleforandringer ≥10 % højere i patientgruppen på 65 år og derover, end i gruppen af yngre patienter. Hyppigheden af relateret feber, diarré, anoreksi og perifere ødemer var ≥ 10 % højere hos patienter som var 75 år eller ældre end hos patienter under 65 år.</w:t>
      </w:r>
    </w:p>
    <w:p w14:paraId="73F58D0E" w14:textId="77777777" w:rsidR="000E6038" w:rsidRPr="003D4A39" w:rsidRDefault="000E6038" w:rsidP="000E6038">
      <w:pPr>
        <w:ind w:left="851"/>
        <w:rPr>
          <w:sz w:val="24"/>
          <w:szCs w:val="24"/>
        </w:rPr>
      </w:pPr>
    </w:p>
    <w:p w14:paraId="2E3141F5" w14:textId="77777777" w:rsidR="000E6038" w:rsidRPr="005D4D80" w:rsidRDefault="000E6038" w:rsidP="000E6038">
      <w:pPr>
        <w:ind w:left="851"/>
        <w:rPr>
          <w:i/>
          <w:iCs/>
          <w:sz w:val="24"/>
          <w:szCs w:val="24"/>
        </w:rPr>
      </w:pPr>
      <w:r w:rsidRPr="005D4D80">
        <w:rPr>
          <w:i/>
          <w:iCs/>
          <w:sz w:val="24"/>
          <w:szCs w:val="24"/>
        </w:rPr>
        <w:t xml:space="preserve">Forsigtighedsregler ved behandling af hormonfølsom prostatakræft </w:t>
      </w:r>
    </w:p>
    <w:p w14:paraId="32BC0ED3" w14:textId="77777777" w:rsidR="000E6038" w:rsidRPr="003D4A39" w:rsidRDefault="000E6038" w:rsidP="000E6038">
      <w:pPr>
        <w:ind w:left="851"/>
        <w:rPr>
          <w:sz w:val="24"/>
          <w:szCs w:val="24"/>
        </w:rPr>
      </w:pPr>
      <w:r w:rsidRPr="003D4A39">
        <w:rPr>
          <w:sz w:val="24"/>
          <w:szCs w:val="24"/>
        </w:rPr>
        <w:t>Af de 545 patienter behandlet med docetaxel hver 3. uge i et hormonfølsom prostatakræft studie (STAMPEDE), 296 patienter var 65 år eller ældre, og 48 patienter var 75 år eller ældre. Flere patienter i alderen ≥ 65 år, i docetaxel-armen, rapporterede overfølsomhedsreaktioner, neutropeni, anæmi, væskeretention, dyspnø, og negleforandringer, når sammenlignet med patienter i alderen yngre end 65 år. Ingen af disse frekvensstigninger nåede en 10 % forskel med kontrolarmen. I patienter, som var 75 år eller ældre, blev der rapporteret en højere forekomst af neutropeni, anæmi, diarré, dyspnø, og infektioner i de øvre luftveje, sammenlignet med yngre patienter (mindst 10 % højere).</w:t>
      </w:r>
    </w:p>
    <w:p w14:paraId="73917EAE" w14:textId="77777777" w:rsidR="000E6038" w:rsidRPr="003D4A39" w:rsidRDefault="000E6038" w:rsidP="000E6038">
      <w:pPr>
        <w:ind w:left="851"/>
        <w:rPr>
          <w:sz w:val="24"/>
          <w:szCs w:val="24"/>
        </w:rPr>
      </w:pPr>
    </w:p>
    <w:p w14:paraId="2FB5C4BC" w14:textId="77777777" w:rsidR="000E6038" w:rsidRPr="005D4D80" w:rsidRDefault="000E6038" w:rsidP="000E6038">
      <w:pPr>
        <w:ind w:left="851"/>
        <w:rPr>
          <w:i/>
          <w:iCs/>
          <w:sz w:val="24"/>
          <w:szCs w:val="24"/>
        </w:rPr>
      </w:pPr>
      <w:r w:rsidRPr="005D4D80">
        <w:rPr>
          <w:i/>
          <w:iCs/>
          <w:sz w:val="24"/>
          <w:szCs w:val="24"/>
        </w:rPr>
        <w:t xml:space="preserve">Forsigtighedsregler ved behandling af gastrisk adenokarcinom </w:t>
      </w:r>
    </w:p>
    <w:p w14:paraId="6B492CF2" w14:textId="77777777" w:rsidR="000E6038" w:rsidRPr="003D4A39" w:rsidRDefault="000E6038" w:rsidP="000E6038">
      <w:pPr>
        <w:ind w:left="851"/>
        <w:rPr>
          <w:sz w:val="24"/>
          <w:szCs w:val="24"/>
        </w:rPr>
      </w:pPr>
      <w:r w:rsidRPr="003D4A39">
        <w:rPr>
          <w:sz w:val="24"/>
          <w:szCs w:val="24"/>
        </w:rPr>
        <w:t>Blandt 300 patienter (221 patienter i fase III</w:t>
      </w:r>
      <w:r w:rsidRPr="003D4A39">
        <w:rPr>
          <w:sz w:val="24"/>
          <w:szCs w:val="24"/>
        </w:rPr>
        <w:noBreakHyphen/>
        <w:t>delen af studiet og 79 patienter i fase II</w:t>
      </w:r>
      <w:r w:rsidRPr="003D4A39">
        <w:rPr>
          <w:sz w:val="24"/>
          <w:szCs w:val="24"/>
        </w:rPr>
        <w:noBreakHyphen/>
        <w:t>delen af studiet), som fik behandling med docetaxel i kombination med cisplatin og 5</w:t>
      </w:r>
      <w:r w:rsidRPr="003D4A39">
        <w:rPr>
          <w:sz w:val="24"/>
          <w:szCs w:val="24"/>
        </w:rPr>
        <w:noBreakHyphen/>
        <w:t>fluoruracil i studiet af gastrisk kræft, var 74 patienter 65 år eller ældre og 4 patienter var 75 år eller ældre. Forekomsten af alvorlige bivirkninger var højere i gruppen med de ældre patienter i forhold til gruppen med de yngre patienter. Forekomsten af de følgende bivirkninger (alle grader): Letargi, stomatitis, neutropenisk infektion opstod ≥ 10 % oftere hos de patienter, som var 65 år eller derover end hos de yngre patienter.</w:t>
      </w:r>
    </w:p>
    <w:p w14:paraId="714E3925" w14:textId="77777777" w:rsidR="000E6038" w:rsidRPr="003D4A39" w:rsidRDefault="000E6038" w:rsidP="000E6038">
      <w:pPr>
        <w:ind w:left="851"/>
        <w:rPr>
          <w:sz w:val="24"/>
          <w:szCs w:val="24"/>
        </w:rPr>
      </w:pPr>
    </w:p>
    <w:p w14:paraId="60F33CBF" w14:textId="65934092" w:rsidR="000E6038" w:rsidRPr="003D4A39" w:rsidRDefault="000E6038" w:rsidP="000E6038">
      <w:pPr>
        <w:ind w:left="851"/>
        <w:rPr>
          <w:sz w:val="24"/>
          <w:szCs w:val="24"/>
        </w:rPr>
      </w:pPr>
      <w:r w:rsidRPr="003D4A39">
        <w:rPr>
          <w:sz w:val="24"/>
          <w:szCs w:val="24"/>
        </w:rPr>
        <w:t>Ældre patienter, som behandles med TCF, bør monitor</w:t>
      </w:r>
      <w:r>
        <w:rPr>
          <w:sz w:val="24"/>
          <w:szCs w:val="24"/>
        </w:rPr>
        <w:t>er</w:t>
      </w:r>
      <w:r w:rsidRPr="003D4A39">
        <w:rPr>
          <w:sz w:val="24"/>
          <w:szCs w:val="24"/>
        </w:rPr>
        <w:t>es nøje.</w:t>
      </w:r>
    </w:p>
    <w:p w14:paraId="6E6E5269" w14:textId="77777777" w:rsidR="000E6038" w:rsidRPr="003D4A39" w:rsidRDefault="000E6038" w:rsidP="000E6038">
      <w:pPr>
        <w:ind w:left="851"/>
        <w:rPr>
          <w:sz w:val="24"/>
          <w:szCs w:val="24"/>
        </w:rPr>
      </w:pPr>
    </w:p>
    <w:p w14:paraId="195C7CFC" w14:textId="77777777" w:rsidR="000E6038" w:rsidRPr="003D4A39" w:rsidRDefault="000E6038" w:rsidP="000E6038">
      <w:pPr>
        <w:ind w:left="851"/>
        <w:rPr>
          <w:sz w:val="24"/>
          <w:szCs w:val="24"/>
          <w:u w:val="single"/>
        </w:rPr>
      </w:pPr>
      <w:r w:rsidRPr="003D4A39">
        <w:rPr>
          <w:sz w:val="24"/>
          <w:szCs w:val="24"/>
          <w:u w:val="single"/>
        </w:rPr>
        <w:t>Hjælpestoffer</w:t>
      </w:r>
    </w:p>
    <w:p w14:paraId="0C338653" w14:textId="77777777" w:rsidR="000E6038" w:rsidRPr="003D4A39" w:rsidRDefault="000E6038" w:rsidP="000E6038">
      <w:pPr>
        <w:ind w:left="851"/>
        <w:rPr>
          <w:sz w:val="24"/>
          <w:szCs w:val="24"/>
        </w:rPr>
      </w:pPr>
      <w:r w:rsidRPr="003D4A39">
        <w:rPr>
          <w:sz w:val="24"/>
          <w:szCs w:val="24"/>
        </w:rPr>
        <w:t>1 ml - hætteglas:</w:t>
      </w:r>
    </w:p>
    <w:p w14:paraId="2FB4C92A" w14:textId="5D2116FA" w:rsidR="000E6038" w:rsidRPr="003D4A39" w:rsidRDefault="000E6038" w:rsidP="000E6038">
      <w:pPr>
        <w:ind w:left="851"/>
        <w:rPr>
          <w:sz w:val="24"/>
          <w:szCs w:val="24"/>
        </w:rPr>
      </w:pPr>
      <w:r w:rsidRPr="003D4A39">
        <w:rPr>
          <w:sz w:val="24"/>
          <w:szCs w:val="24"/>
        </w:rPr>
        <w:t>Dette lægemiddel indeholder 50</w:t>
      </w:r>
      <w:r>
        <w:rPr>
          <w:sz w:val="24"/>
          <w:szCs w:val="24"/>
        </w:rPr>
        <w:t xml:space="preserve"> </w:t>
      </w:r>
      <w:r w:rsidRPr="003D4A39">
        <w:rPr>
          <w:sz w:val="24"/>
          <w:szCs w:val="24"/>
        </w:rPr>
        <w:t>vol % ethanol (alkohol), dvs. op til 395 mg</w:t>
      </w:r>
      <w:r>
        <w:rPr>
          <w:sz w:val="24"/>
          <w:szCs w:val="24"/>
        </w:rPr>
        <w:t xml:space="preserve"> ethanol</w:t>
      </w:r>
      <w:r w:rsidRPr="003D4A39">
        <w:rPr>
          <w:sz w:val="24"/>
          <w:szCs w:val="24"/>
        </w:rPr>
        <w:t xml:space="preserve"> per hætteglas, svarende til 10 ml øl eller 4 ml vin.</w:t>
      </w:r>
    </w:p>
    <w:p w14:paraId="45960DC6" w14:textId="77777777" w:rsidR="000E6038" w:rsidRPr="003D4A39" w:rsidRDefault="000E6038" w:rsidP="000E6038">
      <w:pPr>
        <w:ind w:left="851"/>
        <w:rPr>
          <w:sz w:val="24"/>
          <w:szCs w:val="24"/>
        </w:rPr>
      </w:pPr>
    </w:p>
    <w:p w14:paraId="289B43A4" w14:textId="77777777" w:rsidR="000E6038" w:rsidRPr="003D4A39" w:rsidRDefault="000E6038" w:rsidP="000E6038">
      <w:pPr>
        <w:ind w:left="851"/>
        <w:rPr>
          <w:sz w:val="24"/>
          <w:szCs w:val="24"/>
        </w:rPr>
      </w:pPr>
      <w:r w:rsidRPr="003D4A39">
        <w:rPr>
          <w:sz w:val="24"/>
          <w:szCs w:val="24"/>
        </w:rPr>
        <w:t>4 ml - hætteglas:</w:t>
      </w:r>
    </w:p>
    <w:p w14:paraId="677EB4D4" w14:textId="597B4AE9" w:rsidR="000E6038" w:rsidRPr="003D4A39" w:rsidRDefault="000E6038" w:rsidP="000E6038">
      <w:pPr>
        <w:ind w:left="851"/>
        <w:rPr>
          <w:sz w:val="24"/>
          <w:szCs w:val="24"/>
        </w:rPr>
      </w:pPr>
      <w:r w:rsidRPr="003D4A39">
        <w:rPr>
          <w:sz w:val="24"/>
          <w:szCs w:val="24"/>
        </w:rPr>
        <w:t>Dette lægemiddel indeholder 50 vol % ethanol (alkohol), dvs. op til 1.580 mg</w:t>
      </w:r>
      <w:r>
        <w:rPr>
          <w:sz w:val="24"/>
          <w:szCs w:val="24"/>
        </w:rPr>
        <w:t xml:space="preserve"> ethanol</w:t>
      </w:r>
      <w:r w:rsidRPr="003D4A39">
        <w:rPr>
          <w:sz w:val="24"/>
          <w:szCs w:val="24"/>
        </w:rPr>
        <w:t xml:space="preserve"> per hætteglas, svarende til 40 ml øl eller 16 ml vin.</w:t>
      </w:r>
    </w:p>
    <w:p w14:paraId="02EC2972" w14:textId="77777777" w:rsidR="000E6038" w:rsidRPr="003D4A39" w:rsidRDefault="000E6038" w:rsidP="000E6038">
      <w:pPr>
        <w:ind w:left="851"/>
        <w:rPr>
          <w:sz w:val="24"/>
          <w:szCs w:val="24"/>
        </w:rPr>
      </w:pPr>
    </w:p>
    <w:p w14:paraId="38FEBAA1" w14:textId="77777777" w:rsidR="000E6038" w:rsidRPr="003D4A39" w:rsidRDefault="000E6038" w:rsidP="000E6038">
      <w:pPr>
        <w:ind w:left="851"/>
        <w:rPr>
          <w:sz w:val="24"/>
          <w:szCs w:val="24"/>
        </w:rPr>
      </w:pPr>
      <w:r w:rsidRPr="003D4A39">
        <w:rPr>
          <w:sz w:val="24"/>
          <w:szCs w:val="24"/>
        </w:rPr>
        <w:t>8 ml - hætteglas:</w:t>
      </w:r>
    </w:p>
    <w:p w14:paraId="1F4A7F85" w14:textId="69F5C188" w:rsidR="000E6038" w:rsidRPr="003D4A39" w:rsidRDefault="000E6038" w:rsidP="000E6038">
      <w:pPr>
        <w:ind w:left="851"/>
        <w:rPr>
          <w:sz w:val="24"/>
          <w:szCs w:val="24"/>
        </w:rPr>
      </w:pPr>
      <w:r w:rsidRPr="003D4A39">
        <w:rPr>
          <w:sz w:val="24"/>
          <w:szCs w:val="24"/>
        </w:rPr>
        <w:t>Dette lægemiddel indeholder 50 vol % ethanol (alkohol), dvs. op til 3.160 mg</w:t>
      </w:r>
      <w:r>
        <w:rPr>
          <w:sz w:val="24"/>
          <w:szCs w:val="24"/>
        </w:rPr>
        <w:t xml:space="preserve"> ethanol</w:t>
      </w:r>
      <w:r w:rsidRPr="003D4A39">
        <w:rPr>
          <w:sz w:val="24"/>
          <w:szCs w:val="24"/>
        </w:rPr>
        <w:t xml:space="preserve"> per hætteglas, svarende til 80 ml øl eller 33 ml vin.</w:t>
      </w:r>
    </w:p>
    <w:p w14:paraId="080AD14F" w14:textId="77777777" w:rsidR="000E6038" w:rsidRPr="003D4A39" w:rsidRDefault="000E6038" w:rsidP="000E6038">
      <w:pPr>
        <w:ind w:left="851"/>
        <w:rPr>
          <w:sz w:val="24"/>
          <w:szCs w:val="24"/>
        </w:rPr>
      </w:pPr>
    </w:p>
    <w:p w14:paraId="220C7BD3" w14:textId="77777777" w:rsidR="000E6038" w:rsidRPr="003D4A39" w:rsidRDefault="000E6038" w:rsidP="000E6038">
      <w:pPr>
        <w:ind w:left="851"/>
        <w:rPr>
          <w:sz w:val="24"/>
          <w:szCs w:val="24"/>
        </w:rPr>
      </w:pPr>
      <w:r w:rsidRPr="003D4A39">
        <w:rPr>
          <w:sz w:val="24"/>
          <w:szCs w:val="24"/>
        </w:rPr>
        <w:t>Kan være skadelig for alkoholikere.</w:t>
      </w:r>
    </w:p>
    <w:p w14:paraId="53F70300" w14:textId="77777777" w:rsidR="000E6038" w:rsidRPr="003D4A39" w:rsidRDefault="000E6038" w:rsidP="000E6038">
      <w:pPr>
        <w:ind w:left="851"/>
        <w:rPr>
          <w:sz w:val="24"/>
          <w:szCs w:val="24"/>
        </w:rPr>
      </w:pPr>
    </w:p>
    <w:p w14:paraId="463AFD6D" w14:textId="140E6609" w:rsidR="000E6038" w:rsidRPr="003D4A39" w:rsidRDefault="000E6038" w:rsidP="000E6038">
      <w:pPr>
        <w:ind w:left="851"/>
        <w:rPr>
          <w:sz w:val="24"/>
          <w:szCs w:val="24"/>
        </w:rPr>
      </w:pPr>
      <w:r w:rsidRPr="003D4A39">
        <w:rPr>
          <w:sz w:val="24"/>
          <w:szCs w:val="24"/>
        </w:rPr>
        <w:t>Der skal tages hensyn hertil ved behandling af gravide og ammende kvinder, børn samt patienter i højrisikogrupper, såsom patienter med leversygdomme eller epilepsi.</w:t>
      </w:r>
    </w:p>
    <w:p w14:paraId="6019240D" w14:textId="77777777" w:rsidR="000E6038" w:rsidRPr="003D4A39" w:rsidRDefault="000E6038" w:rsidP="000E6038">
      <w:pPr>
        <w:ind w:left="851"/>
        <w:rPr>
          <w:sz w:val="24"/>
          <w:szCs w:val="24"/>
        </w:rPr>
      </w:pPr>
    </w:p>
    <w:p w14:paraId="3F88DE50" w14:textId="77777777" w:rsidR="000E6038" w:rsidRPr="003D4A39" w:rsidRDefault="000E6038" w:rsidP="000E6038">
      <w:pPr>
        <w:ind w:left="851"/>
        <w:rPr>
          <w:sz w:val="24"/>
          <w:szCs w:val="24"/>
        </w:rPr>
      </w:pPr>
      <w:r w:rsidRPr="003D4A39">
        <w:rPr>
          <w:sz w:val="24"/>
          <w:szCs w:val="24"/>
        </w:rPr>
        <w:t>Mulige virkninger på centralnervesystemet skal tages i betragtning.</w:t>
      </w:r>
    </w:p>
    <w:p w14:paraId="409DCF4C" w14:textId="77777777" w:rsidR="006B34A1" w:rsidRPr="008D45EF" w:rsidRDefault="006B34A1" w:rsidP="0081699D">
      <w:pPr>
        <w:ind w:left="851"/>
        <w:rPr>
          <w:sz w:val="24"/>
          <w:szCs w:val="24"/>
        </w:rPr>
      </w:pPr>
    </w:p>
    <w:p w14:paraId="01267A7E" w14:textId="77777777" w:rsidR="006B34A1" w:rsidRPr="008D45EF" w:rsidRDefault="006B34A1" w:rsidP="002D7470">
      <w:pPr>
        <w:ind w:left="851" w:hanging="851"/>
        <w:rPr>
          <w:b/>
          <w:sz w:val="24"/>
          <w:szCs w:val="24"/>
        </w:rPr>
      </w:pPr>
      <w:r w:rsidRPr="008D45EF">
        <w:rPr>
          <w:b/>
          <w:sz w:val="24"/>
          <w:szCs w:val="24"/>
        </w:rPr>
        <w:t>4.5</w:t>
      </w:r>
      <w:r w:rsidRPr="008D45EF">
        <w:rPr>
          <w:b/>
          <w:sz w:val="24"/>
          <w:szCs w:val="24"/>
        </w:rPr>
        <w:tab/>
        <w:t>Interaktion med andre lægemidler og andre former for interaktion</w:t>
      </w:r>
    </w:p>
    <w:p w14:paraId="6E8C4478" w14:textId="4E807BE3" w:rsidR="000E6038" w:rsidRPr="003D4A39" w:rsidRDefault="000E6038" w:rsidP="000E6038">
      <w:pPr>
        <w:ind w:left="851"/>
        <w:rPr>
          <w:sz w:val="24"/>
          <w:szCs w:val="24"/>
        </w:rPr>
      </w:pPr>
      <w:r w:rsidRPr="003D4A39">
        <w:rPr>
          <w:sz w:val="24"/>
          <w:szCs w:val="24"/>
        </w:rPr>
        <w:t>Mængden af alkohol i dette lægemiddel kan ændre virkningen af andre lægemidler.</w:t>
      </w:r>
    </w:p>
    <w:p w14:paraId="162B974C" w14:textId="77777777" w:rsidR="000E6038" w:rsidRPr="003D4A39" w:rsidRDefault="000E6038" w:rsidP="000E6038">
      <w:pPr>
        <w:ind w:left="851"/>
        <w:rPr>
          <w:sz w:val="24"/>
          <w:szCs w:val="24"/>
        </w:rPr>
      </w:pPr>
    </w:p>
    <w:p w14:paraId="21580113" w14:textId="321D7FAB" w:rsidR="000E6038" w:rsidRPr="003D4A39" w:rsidRDefault="000E6038" w:rsidP="000E6038">
      <w:pPr>
        <w:ind w:left="851"/>
        <w:rPr>
          <w:sz w:val="24"/>
          <w:szCs w:val="24"/>
        </w:rPr>
      </w:pPr>
      <w:r w:rsidRPr="00B768BF">
        <w:rPr>
          <w:i/>
          <w:iCs/>
          <w:sz w:val="24"/>
          <w:szCs w:val="24"/>
        </w:rPr>
        <w:t>In vitro</w:t>
      </w:r>
      <w:r w:rsidRPr="005D4D80">
        <w:rPr>
          <w:sz w:val="24"/>
          <w:szCs w:val="24"/>
        </w:rPr>
        <w:t>-</w:t>
      </w:r>
      <w:r w:rsidRPr="003D4A39">
        <w:rPr>
          <w:sz w:val="24"/>
          <w:szCs w:val="24"/>
        </w:rPr>
        <w:t>studier har vist, at docetaxels metabolisme kan ændres ved samtidig medicinering med stoffer, som inducerer, hæmmer eller metaboliseres (og således hæmmer enzymet kompetitivt) af cytochrom P450</w:t>
      </w:r>
      <w:r w:rsidRPr="003D4A39">
        <w:rPr>
          <w:sz w:val="24"/>
          <w:szCs w:val="24"/>
        </w:rPr>
        <w:noBreakHyphen/>
        <w:t>3A, f.eks. ciclosporin, keto</w:t>
      </w:r>
      <w:r>
        <w:rPr>
          <w:sz w:val="24"/>
          <w:szCs w:val="24"/>
        </w:rPr>
        <w:t>c</w:t>
      </w:r>
      <w:r w:rsidRPr="003D4A39">
        <w:rPr>
          <w:sz w:val="24"/>
          <w:szCs w:val="24"/>
        </w:rPr>
        <w:t>onazol og erythromycin. Man bør derfor udvise forsigtighed ved samtidig medicinering med disse lægemidler på grund af risikoen for en betydelig interaktion.</w:t>
      </w:r>
    </w:p>
    <w:p w14:paraId="482DEDCC" w14:textId="77777777" w:rsidR="000E6038" w:rsidRPr="003D4A39" w:rsidRDefault="000E6038" w:rsidP="000E6038">
      <w:pPr>
        <w:ind w:left="851"/>
        <w:rPr>
          <w:sz w:val="24"/>
          <w:szCs w:val="24"/>
        </w:rPr>
      </w:pPr>
    </w:p>
    <w:p w14:paraId="25089848" w14:textId="0D7DCD05" w:rsidR="000E6038" w:rsidRPr="003D4A39" w:rsidRDefault="000E6038" w:rsidP="000E6038">
      <w:pPr>
        <w:ind w:left="851"/>
        <w:rPr>
          <w:sz w:val="24"/>
          <w:szCs w:val="24"/>
        </w:rPr>
      </w:pPr>
      <w:r w:rsidRPr="003D4A39">
        <w:rPr>
          <w:sz w:val="24"/>
          <w:szCs w:val="24"/>
        </w:rPr>
        <w:t>I tilfælde af kombination med CYP3A4</w:t>
      </w:r>
      <w:r w:rsidRPr="003D4A39">
        <w:rPr>
          <w:sz w:val="24"/>
          <w:szCs w:val="24"/>
        </w:rPr>
        <w:noBreakHyphen/>
        <w:t>hæmmere kan forekomsten af docetaxelrelaterede bivirkninger stige som et resultat af reduceret metabolisering. Hvis samtidig anvendelse af en potent CYP3A4</w:t>
      </w:r>
      <w:r w:rsidRPr="003D4A39">
        <w:rPr>
          <w:sz w:val="24"/>
          <w:szCs w:val="24"/>
        </w:rPr>
        <w:noBreakHyphen/>
        <w:t>hæmmer (f.eks. ketoconazol, itraconazol, clarithromycin, indinavir, nefazodon, nelfinavir, ritonavir, saquinavir, telithromycin og voriconazol) ikke kan undgås, er tæt klinisk overvågning nødvendig, og justering af docetaxeldosis kan være hensigtsmæssig under behandling med potente CYP3A4</w:t>
      </w:r>
      <w:r w:rsidRPr="003D4A39">
        <w:rPr>
          <w:sz w:val="24"/>
          <w:szCs w:val="24"/>
        </w:rPr>
        <w:noBreakHyphen/>
        <w:t>hæmmere (se pkt. 4.4). I et farmakokinetisk studie med 7 patienter resulterede samtidig administration af docetaxel og den potente CYP3A4-hæmmer ketoconazol i et signifikant fald i docetaxel-</w:t>
      </w:r>
      <w:r w:rsidRPr="00B768BF">
        <w:rPr>
          <w:i/>
          <w:iCs/>
          <w:sz w:val="24"/>
          <w:szCs w:val="24"/>
        </w:rPr>
        <w:t>clearance</w:t>
      </w:r>
      <w:r w:rsidRPr="003D4A39">
        <w:rPr>
          <w:sz w:val="24"/>
          <w:szCs w:val="24"/>
        </w:rPr>
        <w:t xml:space="preserve"> på 49 %.</w:t>
      </w:r>
    </w:p>
    <w:p w14:paraId="55C6CE95" w14:textId="77777777" w:rsidR="000E6038" w:rsidRPr="003D4A39" w:rsidRDefault="000E6038" w:rsidP="000E6038">
      <w:pPr>
        <w:ind w:left="851"/>
        <w:rPr>
          <w:sz w:val="24"/>
          <w:szCs w:val="24"/>
        </w:rPr>
      </w:pPr>
    </w:p>
    <w:p w14:paraId="46F00E75" w14:textId="58B5F038" w:rsidR="000E6038" w:rsidRPr="003D4A39" w:rsidRDefault="000E6038" w:rsidP="000E6038">
      <w:pPr>
        <w:ind w:left="851"/>
        <w:rPr>
          <w:sz w:val="24"/>
          <w:szCs w:val="24"/>
        </w:rPr>
      </w:pPr>
      <w:r w:rsidRPr="003D4A39">
        <w:rPr>
          <w:sz w:val="24"/>
          <w:szCs w:val="24"/>
        </w:rPr>
        <w:t>Docetaxels farmakokinetik under tilstedeværelse af prednison blev undersøgt hos patienter med metastatisk prostatakræft. Docetaxel metaboliseres via CYP3A4, og prednison er kendt for at inducere CYP3A4. Der blev ikke observeret nogen signifikant virkning af prednison på docetaxels farmakokinetik.</w:t>
      </w:r>
    </w:p>
    <w:p w14:paraId="026780AA" w14:textId="77777777" w:rsidR="000E6038" w:rsidRPr="003D4A39" w:rsidRDefault="000E6038" w:rsidP="000E6038">
      <w:pPr>
        <w:ind w:left="851"/>
        <w:rPr>
          <w:sz w:val="24"/>
          <w:szCs w:val="24"/>
        </w:rPr>
      </w:pPr>
    </w:p>
    <w:p w14:paraId="56916AA6" w14:textId="77777777" w:rsidR="00505D09" w:rsidRPr="00505D09" w:rsidRDefault="00505D09" w:rsidP="00505D09">
      <w:pPr>
        <w:ind w:left="851"/>
        <w:rPr>
          <w:sz w:val="24"/>
          <w:szCs w:val="24"/>
          <w:lang w:val="nb-NO"/>
        </w:rPr>
      </w:pPr>
      <w:r w:rsidRPr="003D4A39">
        <w:rPr>
          <w:sz w:val="24"/>
          <w:szCs w:val="24"/>
        </w:rPr>
        <w:t xml:space="preserve">Docetaxel er i udstrakt grad proteinbundet (&gt; 95 %). Skønt mulige </w:t>
      </w:r>
      <w:r w:rsidRPr="00E45332">
        <w:rPr>
          <w:i/>
          <w:iCs/>
          <w:sz w:val="24"/>
          <w:szCs w:val="24"/>
        </w:rPr>
        <w:t>in</w:t>
      </w:r>
      <w:r w:rsidRPr="008A465D">
        <w:rPr>
          <w:i/>
          <w:iCs/>
          <w:sz w:val="24"/>
          <w:szCs w:val="24"/>
        </w:rPr>
        <w:t> vivo</w:t>
      </w:r>
      <w:r w:rsidRPr="003D4A39">
        <w:rPr>
          <w:sz w:val="24"/>
          <w:szCs w:val="24"/>
        </w:rPr>
        <w:t xml:space="preserve">-interaktioner mellem docetaxel og andre samtidigt administrerede lægemidler ikke er undersøgt formelt, har </w:t>
      </w:r>
      <w:r w:rsidRPr="00E45332">
        <w:rPr>
          <w:i/>
          <w:iCs/>
          <w:sz w:val="24"/>
          <w:szCs w:val="24"/>
        </w:rPr>
        <w:t>in vitro</w:t>
      </w:r>
      <w:r w:rsidRPr="003D4A39">
        <w:rPr>
          <w:sz w:val="24"/>
          <w:szCs w:val="24"/>
        </w:rPr>
        <w:t xml:space="preserve">-interaktioner med kraftigt proteinbundne stoffer såsom erythromycin, diphenhydramin, propranolol, propafenon, phenytoin, salicylat, sulfamethoxazol og natriumvalproat, ikke påvirket docetaxels proteinbinding. </w:t>
      </w:r>
      <w:r w:rsidRPr="00505D09">
        <w:rPr>
          <w:sz w:val="24"/>
          <w:szCs w:val="24"/>
          <w:lang w:val="nb-NO"/>
        </w:rPr>
        <w:t>Ydermere påvirkede dexamethason ikke docetaxels proteinbinding. Docetaxel påvirkede ikke digitoxins proteinbinding.</w:t>
      </w:r>
    </w:p>
    <w:p w14:paraId="6F1AEBD5" w14:textId="77777777" w:rsidR="000E6038" w:rsidRPr="00505D09" w:rsidRDefault="000E6038" w:rsidP="000E6038">
      <w:pPr>
        <w:ind w:left="851"/>
        <w:rPr>
          <w:sz w:val="24"/>
          <w:szCs w:val="24"/>
          <w:lang w:val="nb-NO"/>
        </w:rPr>
      </w:pPr>
    </w:p>
    <w:p w14:paraId="76D632D3" w14:textId="6B997DCE" w:rsidR="000E6038" w:rsidRPr="003D4A39" w:rsidRDefault="000E6038" w:rsidP="000E6038">
      <w:pPr>
        <w:ind w:left="851"/>
        <w:rPr>
          <w:sz w:val="24"/>
          <w:szCs w:val="24"/>
        </w:rPr>
      </w:pPr>
      <w:r w:rsidRPr="003D4A39">
        <w:rPr>
          <w:sz w:val="24"/>
          <w:szCs w:val="24"/>
        </w:rPr>
        <w:t xml:space="preserve">Co-administrationen af docetaxel, doxorubicin og cyclophosphamid påvirkede ikke deres farmakokinetik. Begrænsede data fra et enkelt, ukontrolleret studie antydede en interaktion mellem docetaxel og carboplatin. Ved kombination med docetaxel, var carboplatins </w:t>
      </w:r>
      <w:r w:rsidRPr="00A46FC2">
        <w:rPr>
          <w:i/>
          <w:iCs/>
          <w:sz w:val="24"/>
          <w:szCs w:val="24"/>
        </w:rPr>
        <w:t>clearance</w:t>
      </w:r>
      <w:r w:rsidRPr="003D4A39">
        <w:rPr>
          <w:sz w:val="24"/>
          <w:szCs w:val="24"/>
        </w:rPr>
        <w:t xml:space="preserve"> ca. 50 % højere end de værdier, der tidligere er rapporteret for carboplatin-monoterapi.</w:t>
      </w:r>
    </w:p>
    <w:p w14:paraId="15DF818E" w14:textId="77777777" w:rsidR="006B34A1" w:rsidRPr="008D45EF" w:rsidRDefault="006B34A1" w:rsidP="0081699D">
      <w:pPr>
        <w:ind w:left="851"/>
        <w:rPr>
          <w:sz w:val="24"/>
          <w:szCs w:val="24"/>
        </w:rPr>
      </w:pPr>
    </w:p>
    <w:p w14:paraId="3A79DFA1" w14:textId="626EC914" w:rsidR="006B34A1" w:rsidRPr="008D45EF" w:rsidRDefault="006B34A1" w:rsidP="002D7470">
      <w:pPr>
        <w:ind w:left="851" w:hanging="851"/>
        <w:rPr>
          <w:b/>
          <w:sz w:val="24"/>
          <w:szCs w:val="24"/>
        </w:rPr>
      </w:pPr>
      <w:r w:rsidRPr="008D45EF">
        <w:rPr>
          <w:b/>
          <w:sz w:val="24"/>
          <w:szCs w:val="24"/>
        </w:rPr>
        <w:t>4.6</w:t>
      </w:r>
      <w:r w:rsidRPr="008D45EF">
        <w:rPr>
          <w:b/>
          <w:sz w:val="24"/>
          <w:szCs w:val="24"/>
        </w:rPr>
        <w:tab/>
      </w:r>
      <w:r w:rsidR="00505D09">
        <w:rPr>
          <w:b/>
          <w:sz w:val="24"/>
          <w:szCs w:val="24"/>
        </w:rPr>
        <w:t>Fertilitet, g</w:t>
      </w:r>
      <w:r w:rsidRPr="008D45EF">
        <w:rPr>
          <w:b/>
          <w:sz w:val="24"/>
          <w:szCs w:val="24"/>
        </w:rPr>
        <w:t>raviditet og amning</w:t>
      </w:r>
    </w:p>
    <w:p w14:paraId="3070FB53" w14:textId="77777777" w:rsidR="00505D09" w:rsidRDefault="00505D09" w:rsidP="00505D09">
      <w:pPr>
        <w:ind w:left="851"/>
        <w:rPr>
          <w:sz w:val="24"/>
          <w:szCs w:val="24"/>
          <w:u w:val="single"/>
        </w:rPr>
      </w:pPr>
    </w:p>
    <w:p w14:paraId="127CA669" w14:textId="2D8708FF" w:rsidR="00505D09" w:rsidRPr="00505D09" w:rsidRDefault="00505D09" w:rsidP="00505D09">
      <w:pPr>
        <w:ind w:left="851"/>
        <w:rPr>
          <w:sz w:val="24"/>
          <w:szCs w:val="24"/>
          <w:u w:val="single"/>
        </w:rPr>
      </w:pPr>
      <w:r w:rsidRPr="00505D09">
        <w:rPr>
          <w:sz w:val="24"/>
          <w:szCs w:val="24"/>
          <w:u w:val="single"/>
        </w:rPr>
        <w:t>Kvinder i den fertile alder/kontraception til mænd og kvinder</w:t>
      </w:r>
    </w:p>
    <w:p w14:paraId="5308D5BF" w14:textId="77777777" w:rsidR="00505D09" w:rsidRDefault="00505D09" w:rsidP="00505D09">
      <w:pPr>
        <w:ind w:left="851"/>
        <w:rPr>
          <w:sz w:val="24"/>
          <w:szCs w:val="24"/>
        </w:rPr>
      </w:pPr>
      <w:r w:rsidRPr="00816BD3">
        <w:rPr>
          <w:sz w:val="24"/>
          <w:szCs w:val="24"/>
        </w:rPr>
        <w:t>Kvinder i den fertile alder og mænd, som behandles med docetaxel, skal rådes til at undgå graviditet</w:t>
      </w:r>
      <w:r>
        <w:rPr>
          <w:sz w:val="24"/>
          <w:szCs w:val="24"/>
        </w:rPr>
        <w:t xml:space="preserve"> </w:t>
      </w:r>
      <w:r w:rsidRPr="00816BD3">
        <w:rPr>
          <w:sz w:val="24"/>
          <w:szCs w:val="24"/>
        </w:rPr>
        <w:t>og til ikke at blive fædre, og til straks at informere den behandlende læge, hvis dette skulle ske.</w:t>
      </w:r>
      <w:r>
        <w:rPr>
          <w:sz w:val="24"/>
          <w:szCs w:val="24"/>
        </w:rPr>
        <w:t xml:space="preserve"> </w:t>
      </w:r>
    </w:p>
    <w:p w14:paraId="14FCE4CB" w14:textId="77777777" w:rsidR="00505D09" w:rsidRDefault="00505D09" w:rsidP="00505D09">
      <w:pPr>
        <w:ind w:left="851"/>
        <w:rPr>
          <w:sz w:val="24"/>
          <w:szCs w:val="24"/>
        </w:rPr>
      </w:pPr>
    </w:p>
    <w:p w14:paraId="44E20282" w14:textId="77777777" w:rsidR="00505D09" w:rsidRDefault="00505D09" w:rsidP="00505D09">
      <w:pPr>
        <w:ind w:left="851"/>
        <w:rPr>
          <w:sz w:val="24"/>
          <w:szCs w:val="24"/>
        </w:rPr>
      </w:pPr>
      <w:r w:rsidRPr="00816BD3">
        <w:rPr>
          <w:sz w:val="24"/>
          <w:szCs w:val="24"/>
        </w:rPr>
        <w:t>Kvinder i den fertile alder skal bruge en effektiv kontraceptionsmetode under behandlingen og</w:t>
      </w:r>
      <w:r>
        <w:rPr>
          <w:sz w:val="24"/>
          <w:szCs w:val="24"/>
        </w:rPr>
        <w:t xml:space="preserve"> </w:t>
      </w:r>
      <w:r w:rsidRPr="00816BD3">
        <w:rPr>
          <w:sz w:val="24"/>
          <w:szCs w:val="24"/>
        </w:rPr>
        <w:t>2</w:t>
      </w:r>
      <w:r>
        <w:rPr>
          <w:sz w:val="24"/>
          <w:szCs w:val="24"/>
        </w:rPr>
        <w:t> </w:t>
      </w:r>
      <w:r w:rsidRPr="00816BD3">
        <w:rPr>
          <w:sz w:val="24"/>
          <w:szCs w:val="24"/>
        </w:rPr>
        <w:t>måneder efter seponering af docetaxel på grund af docetaxels genotoksiske risiko (se pkt.</w:t>
      </w:r>
      <w:r>
        <w:rPr>
          <w:sz w:val="24"/>
          <w:szCs w:val="24"/>
        </w:rPr>
        <w:t> </w:t>
      </w:r>
      <w:r w:rsidRPr="00816BD3">
        <w:rPr>
          <w:sz w:val="24"/>
          <w:szCs w:val="24"/>
        </w:rPr>
        <w:t>5.3).</w:t>
      </w:r>
      <w:r>
        <w:rPr>
          <w:sz w:val="24"/>
          <w:szCs w:val="24"/>
        </w:rPr>
        <w:t xml:space="preserve"> </w:t>
      </w:r>
      <w:r w:rsidRPr="00816BD3">
        <w:rPr>
          <w:sz w:val="24"/>
          <w:szCs w:val="24"/>
        </w:rPr>
        <w:t>Mænd skal bruge en effektiv kontraceptionsmetode under behandlingen og 4</w:t>
      </w:r>
      <w:r>
        <w:rPr>
          <w:sz w:val="24"/>
          <w:szCs w:val="24"/>
        </w:rPr>
        <w:t> </w:t>
      </w:r>
      <w:r w:rsidRPr="00816BD3">
        <w:rPr>
          <w:sz w:val="24"/>
          <w:szCs w:val="24"/>
        </w:rPr>
        <w:t>måneder efter seponering</w:t>
      </w:r>
      <w:r>
        <w:rPr>
          <w:sz w:val="24"/>
          <w:szCs w:val="24"/>
        </w:rPr>
        <w:t xml:space="preserve"> </w:t>
      </w:r>
      <w:r w:rsidRPr="00816BD3">
        <w:rPr>
          <w:sz w:val="24"/>
          <w:szCs w:val="24"/>
        </w:rPr>
        <w:t>af docetaxel.</w:t>
      </w:r>
    </w:p>
    <w:p w14:paraId="7085026B" w14:textId="77777777" w:rsidR="00260EFB" w:rsidRDefault="00260EFB" w:rsidP="0081699D">
      <w:pPr>
        <w:ind w:left="851"/>
        <w:rPr>
          <w:sz w:val="24"/>
          <w:szCs w:val="24"/>
        </w:rPr>
      </w:pPr>
    </w:p>
    <w:p w14:paraId="39BAC865" w14:textId="77777777" w:rsidR="006B34A1" w:rsidRPr="008D45EF" w:rsidRDefault="006B34A1" w:rsidP="0081699D">
      <w:pPr>
        <w:ind w:left="851"/>
        <w:rPr>
          <w:sz w:val="24"/>
          <w:szCs w:val="24"/>
        </w:rPr>
      </w:pPr>
      <w:r w:rsidRPr="008D45EF">
        <w:rPr>
          <w:sz w:val="24"/>
          <w:szCs w:val="24"/>
          <w:u w:val="single"/>
        </w:rPr>
        <w:t>Graviditet</w:t>
      </w:r>
    </w:p>
    <w:p w14:paraId="4DA6988B" w14:textId="77777777" w:rsidR="006B34A1" w:rsidRPr="008D45EF" w:rsidRDefault="006B34A1" w:rsidP="0081699D">
      <w:pPr>
        <w:ind w:left="851"/>
        <w:rPr>
          <w:sz w:val="24"/>
          <w:szCs w:val="24"/>
        </w:rPr>
      </w:pPr>
      <w:r w:rsidRPr="008D45EF">
        <w:rPr>
          <w:sz w:val="24"/>
          <w:szCs w:val="24"/>
        </w:rPr>
        <w:t>Der findes ingen data på administration af docetaxel til gravide. Det er påvist, at docetaxel er både embryo-og føtotoksisk hos kaniner og rotter, samt at de nedsætter fertiliteten hos rotter. Som andre cytotoksiske lægemidler kan docetaxel være fosterskadeligt, hvis det gives til gravide. Docetaxel må derfor ikke anvendes til gravide, medmindre det er tydeligt indikeret.</w:t>
      </w:r>
    </w:p>
    <w:p w14:paraId="7AB04F3A" w14:textId="77777777" w:rsidR="00505D09" w:rsidRPr="008D45EF" w:rsidRDefault="00505D09" w:rsidP="00505D09">
      <w:pPr>
        <w:rPr>
          <w:sz w:val="24"/>
          <w:szCs w:val="24"/>
        </w:rPr>
      </w:pPr>
    </w:p>
    <w:p w14:paraId="58DC597B" w14:textId="77777777" w:rsidR="00505D09" w:rsidRPr="008D45EF" w:rsidRDefault="00505D09" w:rsidP="00505D09">
      <w:pPr>
        <w:keepNext/>
        <w:ind w:left="851"/>
        <w:rPr>
          <w:sz w:val="24"/>
          <w:szCs w:val="24"/>
        </w:rPr>
      </w:pPr>
      <w:r w:rsidRPr="008D45EF">
        <w:rPr>
          <w:sz w:val="24"/>
          <w:szCs w:val="24"/>
          <w:u w:val="single"/>
        </w:rPr>
        <w:t>Amning</w:t>
      </w:r>
    </w:p>
    <w:p w14:paraId="1861B5CD" w14:textId="77777777" w:rsidR="00505D09" w:rsidRPr="008D45EF" w:rsidRDefault="00505D09" w:rsidP="00505D09">
      <w:pPr>
        <w:ind w:left="851"/>
        <w:rPr>
          <w:sz w:val="24"/>
          <w:szCs w:val="24"/>
        </w:rPr>
      </w:pPr>
      <w:r w:rsidRPr="008D45EF">
        <w:rPr>
          <w:sz w:val="24"/>
          <w:szCs w:val="24"/>
        </w:rPr>
        <w:t>Docetaxel er et lipofil stof, men det vides ikke, om det udskilles i modermælk.</w:t>
      </w:r>
    </w:p>
    <w:p w14:paraId="77884572" w14:textId="77777777" w:rsidR="00505D09" w:rsidRPr="008D45EF" w:rsidRDefault="00505D09" w:rsidP="00505D09">
      <w:pPr>
        <w:ind w:left="851"/>
        <w:rPr>
          <w:sz w:val="24"/>
          <w:szCs w:val="24"/>
        </w:rPr>
      </w:pPr>
      <w:r w:rsidRPr="008D45EF">
        <w:rPr>
          <w:sz w:val="24"/>
          <w:szCs w:val="24"/>
        </w:rPr>
        <w:t>På grund af risiko for skadelige påvirkninger af barnet, skal amning derfor ophøre under behandling med docetaxel.</w:t>
      </w:r>
    </w:p>
    <w:p w14:paraId="463049A3" w14:textId="77777777" w:rsidR="00505D09" w:rsidRDefault="00505D09" w:rsidP="00505D09">
      <w:pPr>
        <w:ind w:left="851"/>
        <w:rPr>
          <w:sz w:val="24"/>
          <w:szCs w:val="24"/>
        </w:rPr>
      </w:pPr>
    </w:p>
    <w:p w14:paraId="4585CC94" w14:textId="77777777" w:rsidR="00505D09" w:rsidRPr="008D45EF" w:rsidRDefault="00505D09" w:rsidP="00505D09">
      <w:pPr>
        <w:ind w:left="851"/>
        <w:rPr>
          <w:sz w:val="24"/>
          <w:szCs w:val="24"/>
        </w:rPr>
      </w:pPr>
      <w:r w:rsidRPr="008D45EF">
        <w:rPr>
          <w:sz w:val="24"/>
          <w:szCs w:val="24"/>
          <w:u w:val="single"/>
        </w:rPr>
        <w:t>Fertilitet</w:t>
      </w:r>
    </w:p>
    <w:p w14:paraId="3BE6FF1A" w14:textId="3585D146" w:rsidR="00505D09" w:rsidRPr="008D45EF" w:rsidRDefault="00505D09" w:rsidP="00505D09">
      <w:pPr>
        <w:ind w:left="851"/>
        <w:rPr>
          <w:sz w:val="24"/>
          <w:szCs w:val="24"/>
        </w:rPr>
      </w:pPr>
      <w:r w:rsidRPr="00361592">
        <w:rPr>
          <w:sz w:val="24"/>
          <w:szCs w:val="24"/>
        </w:rPr>
        <w:t>Studier i dyr har vist, at docetaxel</w:t>
      </w:r>
      <w:r w:rsidRPr="008D45EF">
        <w:rPr>
          <w:sz w:val="24"/>
          <w:szCs w:val="24"/>
        </w:rPr>
        <w:t xml:space="preserve"> kan ændre fertiliteten hos hanner (se pkt. 5.3).</w:t>
      </w:r>
      <w:r>
        <w:rPr>
          <w:sz w:val="24"/>
          <w:szCs w:val="24"/>
        </w:rPr>
        <w:t xml:space="preserve"> </w:t>
      </w:r>
      <w:r w:rsidRPr="00816BD3">
        <w:rPr>
          <w:sz w:val="24"/>
          <w:szCs w:val="24"/>
        </w:rPr>
        <w:t>Mænd, som er i</w:t>
      </w:r>
      <w:r>
        <w:rPr>
          <w:sz w:val="24"/>
          <w:szCs w:val="24"/>
        </w:rPr>
        <w:t xml:space="preserve"> </w:t>
      </w:r>
      <w:r w:rsidRPr="00816BD3">
        <w:rPr>
          <w:sz w:val="24"/>
          <w:szCs w:val="24"/>
        </w:rPr>
        <w:t>behandling med docetaxel, skal derfor søge vejledning vedrørende opbevaring af sæd inden</w:t>
      </w:r>
      <w:r>
        <w:rPr>
          <w:sz w:val="24"/>
          <w:szCs w:val="24"/>
        </w:rPr>
        <w:t xml:space="preserve"> </w:t>
      </w:r>
      <w:r w:rsidRPr="00816BD3">
        <w:rPr>
          <w:sz w:val="24"/>
          <w:szCs w:val="24"/>
        </w:rPr>
        <w:t>behandling</w:t>
      </w:r>
      <w:r w:rsidRPr="008D45EF">
        <w:rPr>
          <w:sz w:val="24"/>
          <w:szCs w:val="24"/>
        </w:rPr>
        <w:t>.</w:t>
      </w:r>
    </w:p>
    <w:p w14:paraId="13E56CF6" w14:textId="77777777" w:rsidR="006B34A1" w:rsidRDefault="006B34A1" w:rsidP="0081699D">
      <w:pPr>
        <w:ind w:left="851"/>
        <w:rPr>
          <w:sz w:val="24"/>
          <w:szCs w:val="24"/>
        </w:rPr>
      </w:pPr>
    </w:p>
    <w:p w14:paraId="6391D635" w14:textId="3F36F30C" w:rsidR="006B34A1" w:rsidRPr="008D45EF" w:rsidRDefault="006B34A1" w:rsidP="002D7470">
      <w:pPr>
        <w:ind w:left="851" w:hanging="851"/>
        <w:rPr>
          <w:b/>
          <w:sz w:val="24"/>
          <w:szCs w:val="24"/>
        </w:rPr>
      </w:pPr>
      <w:r w:rsidRPr="008D45EF">
        <w:rPr>
          <w:b/>
          <w:sz w:val="24"/>
          <w:szCs w:val="24"/>
        </w:rPr>
        <w:t>4.7</w:t>
      </w:r>
      <w:r w:rsidRPr="008D45EF">
        <w:rPr>
          <w:b/>
          <w:sz w:val="24"/>
          <w:szCs w:val="24"/>
        </w:rPr>
        <w:tab/>
        <w:t xml:space="preserve">Virkning på evnen til at føre motorkøretøj </w:t>
      </w:r>
      <w:r w:rsidR="00505D09">
        <w:rPr>
          <w:b/>
          <w:sz w:val="24"/>
          <w:szCs w:val="24"/>
        </w:rPr>
        <w:t>og</w:t>
      </w:r>
      <w:r w:rsidRPr="008D45EF">
        <w:rPr>
          <w:b/>
          <w:sz w:val="24"/>
          <w:szCs w:val="24"/>
        </w:rPr>
        <w:t xml:space="preserve"> betjene maskiner</w:t>
      </w:r>
    </w:p>
    <w:p w14:paraId="1A774CC9" w14:textId="77777777" w:rsidR="000E6038" w:rsidRPr="003D4A39" w:rsidRDefault="000E6038" w:rsidP="000E6038">
      <w:pPr>
        <w:ind w:left="851"/>
        <w:rPr>
          <w:sz w:val="24"/>
          <w:szCs w:val="24"/>
        </w:rPr>
      </w:pPr>
      <w:r w:rsidRPr="003D4A39">
        <w:rPr>
          <w:sz w:val="24"/>
          <w:szCs w:val="24"/>
        </w:rPr>
        <w:t>Ikke mærkning.</w:t>
      </w:r>
    </w:p>
    <w:p w14:paraId="6DC98113" w14:textId="77777777" w:rsidR="000E6038" w:rsidRPr="003D4A39" w:rsidRDefault="000E6038" w:rsidP="000E6038">
      <w:pPr>
        <w:ind w:left="851"/>
        <w:rPr>
          <w:sz w:val="24"/>
          <w:szCs w:val="24"/>
        </w:rPr>
      </w:pPr>
      <w:r w:rsidRPr="003D4A39">
        <w:rPr>
          <w:sz w:val="24"/>
          <w:szCs w:val="24"/>
        </w:rPr>
        <w:t>Der er ikke foretaget studier af virkningen på evnen til at føre motorkøretøj og betjene maskiner. Mængden af alkohol i dette lægemiddel og bivirkningerne ved lægemidlet kan forringe evnen til at køre bil eller betjene maskiner (se pkt. 4.4 og 4.8). Patienter bør derfor advares om den potentielle indvirkning, som mængden af alkohol og bivirkningerne af dette lægemiddel kan have på evnen til at føre motorkøretøj eller betjene maskiner, samt frarådes at føre motorkøretøj og betjene maskiner, hvis de oplever disse bivirkninger under behandlingen.</w:t>
      </w:r>
    </w:p>
    <w:p w14:paraId="17565BE9" w14:textId="77777777" w:rsidR="006B34A1" w:rsidRPr="008D45EF" w:rsidRDefault="006B34A1" w:rsidP="0081699D">
      <w:pPr>
        <w:ind w:left="851"/>
        <w:rPr>
          <w:sz w:val="24"/>
          <w:szCs w:val="24"/>
        </w:rPr>
      </w:pPr>
    </w:p>
    <w:p w14:paraId="6710B80F" w14:textId="77777777" w:rsidR="006B34A1" w:rsidRPr="008D45EF" w:rsidRDefault="006B34A1" w:rsidP="002D7470">
      <w:pPr>
        <w:ind w:left="851" w:hanging="851"/>
        <w:rPr>
          <w:b/>
          <w:sz w:val="24"/>
          <w:szCs w:val="24"/>
        </w:rPr>
      </w:pPr>
      <w:r w:rsidRPr="008D45EF">
        <w:rPr>
          <w:b/>
          <w:sz w:val="24"/>
          <w:szCs w:val="24"/>
        </w:rPr>
        <w:t>4.8</w:t>
      </w:r>
      <w:r w:rsidRPr="008D45EF">
        <w:rPr>
          <w:b/>
          <w:sz w:val="24"/>
          <w:szCs w:val="24"/>
        </w:rPr>
        <w:tab/>
        <w:t>Bivirkninger</w:t>
      </w:r>
    </w:p>
    <w:p w14:paraId="0771FD0E" w14:textId="77777777" w:rsidR="006440EE" w:rsidRDefault="006440EE" w:rsidP="0081699D">
      <w:pPr>
        <w:ind w:left="851"/>
        <w:rPr>
          <w:sz w:val="24"/>
          <w:szCs w:val="24"/>
          <w:u w:val="single"/>
        </w:rPr>
      </w:pPr>
    </w:p>
    <w:p w14:paraId="3B05C140" w14:textId="77777777" w:rsidR="006B34A1" w:rsidRPr="008D45EF" w:rsidRDefault="006B34A1" w:rsidP="0081699D">
      <w:pPr>
        <w:ind w:left="851"/>
        <w:rPr>
          <w:sz w:val="24"/>
          <w:szCs w:val="24"/>
          <w:u w:val="single"/>
        </w:rPr>
      </w:pPr>
      <w:r w:rsidRPr="008D45EF">
        <w:rPr>
          <w:sz w:val="24"/>
          <w:szCs w:val="24"/>
          <w:u w:val="single"/>
        </w:rPr>
        <w:t>Resume af sikkerhedsprofilen for alle indikationer</w:t>
      </w:r>
    </w:p>
    <w:p w14:paraId="66D392CF" w14:textId="77777777" w:rsidR="006B34A1" w:rsidRPr="008D45EF" w:rsidRDefault="006B34A1" w:rsidP="0081699D">
      <w:pPr>
        <w:ind w:left="851"/>
        <w:rPr>
          <w:sz w:val="24"/>
          <w:szCs w:val="24"/>
        </w:rPr>
      </w:pPr>
    </w:p>
    <w:p w14:paraId="277309C0" w14:textId="77777777" w:rsidR="000E6038" w:rsidRPr="003D4A39" w:rsidRDefault="000E6038" w:rsidP="000E6038">
      <w:pPr>
        <w:ind w:left="851"/>
        <w:rPr>
          <w:sz w:val="24"/>
          <w:szCs w:val="24"/>
        </w:rPr>
      </w:pPr>
      <w:r w:rsidRPr="003D4A39">
        <w:rPr>
          <w:sz w:val="24"/>
          <w:szCs w:val="24"/>
        </w:rPr>
        <w:t>De bivirkninger, som sandsynligvis er relateret til anvendelsen af docetaxel, er set hos:</w:t>
      </w:r>
    </w:p>
    <w:p w14:paraId="0349D409" w14:textId="77777777" w:rsidR="000E6038" w:rsidRPr="003D4A39" w:rsidRDefault="000E6038" w:rsidP="000E6038">
      <w:pPr>
        <w:numPr>
          <w:ilvl w:val="0"/>
          <w:numId w:val="21"/>
        </w:numPr>
        <w:ind w:left="1276" w:hanging="425"/>
        <w:rPr>
          <w:sz w:val="24"/>
          <w:szCs w:val="24"/>
        </w:rPr>
      </w:pPr>
      <w:r w:rsidRPr="003D4A39">
        <w:rPr>
          <w:sz w:val="24"/>
          <w:szCs w:val="24"/>
        </w:rPr>
        <w:t>1.312 og 121 patienter, som fik henholdsvis 100 mg/m² og 75 mg/m² af docetaxel som enkeltstof.</w:t>
      </w:r>
    </w:p>
    <w:p w14:paraId="4258031C" w14:textId="77777777" w:rsidR="000E6038" w:rsidRPr="003D4A39" w:rsidRDefault="000E6038" w:rsidP="000E6038">
      <w:pPr>
        <w:numPr>
          <w:ilvl w:val="0"/>
          <w:numId w:val="21"/>
        </w:numPr>
        <w:ind w:left="1276" w:hanging="425"/>
        <w:rPr>
          <w:sz w:val="24"/>
          <w:szCs w:val="24"/>
        </w:rPr>
      </w:pPr>
      <w:r w:rsidRPr="003D4A39">
        <w:rPr>
          <w:sz w:val="24"/>
          <w:szCs w:val="24"/>
        </w:rPr>
        <w:t>258 patienter, som fik docetaxel i kombinationsbehandling med doxorubicin.</w:t>
      </w:r>
    </w:p>
    <w:p w14:paraId="457C1899" w14:textId="77777777" w:rsidR="000E6038" w:rsidRPr="003D4A39" w:rsidRDefault="000E6038" w:rsidP="000E6038">
      <w:pPr>
        <w:numPr>
          <w:ilvl w:val="0"/>
          <w:numId w:val="21"/>
        </w:numPr>
        <w:ind w:left="1276" w:hanging="425"/>
        <w:rPr>
          <w:sz w:val="24"/>
          <w:szCs w:val="24"/>
        </w:rPr>
      </w:pPr>
      <w:r w:rsidRPr="003D4A39">
        <w:rPr>
          <w:sz w:val="24"/>
          <w:szCs w:val="24"/>
        </w:rPr>
        <w:t>406 patienter, som fik docetaxel i kombination med cisplatin.</w:t>
      </w:r>
    </w:p>
    <w:p w14:paraId="44C884BE" w14:textId="77777777" w:rsidR="000E6038" w:rsidRPr="003D4A39" w:rsidRDefault="000E6038" w:rsidP="000E6038">
      <w:pPr>
        <w:numPr>
          <w:ilvl w:val="0"/>
          <w:numId w:val="21"/>
        </w:numPr>
        <w:ind w:left="1276" w:hanging="425"/>
        <w:rPr>
          <w:sz w:val="24"/>
          <w:szCs w:val="24"/>
        </w:rPr>
      </w:pPr>
      <w:r w:rsidRPr="003D4A39">
        <w:rPr>
          <w:sz w:val="24"/>
          <w:szCs w:val="24"/>
        </w:rPr>
        <w:t>92 patienter, som fik docetaxel i kombination med trastuzumab.</w:t>
      </w:r>
    </w:p>
    <w:p w14:paraId="5B993AB9" w14:textId="77777777" w:rsidR="000E6038" w:rsidRPr="003D4A39" w:rsidRDefault="000E6038" w:rsidP="000E6038">
      <w:pPr>
        <w:numPr>
          <w:ilvl w:val="0"/>
          <w:numId w:val="21"/>
        </w:numPr>
        <w:ind w:left="1276" w:hanging="425"/>
        <w:rPr>
          <w:sz w:val="24"/>
          <w:szCs w:val="24"/>
        </w:rPr>
      </w:pPr>
      <w:r w:rsidRPr="003D4A39">
        <w:rPr>
          <w:sz w:val="24"/>
          <w:szCs w:val="24"/>
        </w:rPr>
        <w:t>255 patienter, som fik docetaxel i kombination med capecitabin.</w:t>
      </w:r>
    </w:p>
    <w:p w14:paraId="206EB2E9" w14:textId="77777777" w:rsidR="000E6038" w:rsidRPr="003D4A39" w:rsidRDefault="000E6038" w:rsidP="000E6038">
      <w:pPr>
        <w:numPr>
          <w:ilvl w:val="0"/>
          <w:numId w:val="21"/>
        </w:numPr>
        <w:ind w:left="1276" w:hanging="425"/>
        <w:rPr>
          <w:sz w:val="24"/>
          <w:szCs w:val="24"/>
        </w:rPr>
      </w:pPr>
      <w:r w:rsidRPr="003D4A39">
        <w:rPr>
          <w:sz w:val="24"/>
          <w:szCs w:val="24"/>
        </w:rPr>
        <w:t>332 patienter (TAX 327), som fik docetaxel i kombination med prednison eller prednisolon (klinisk relevante behandlingsrelaterede bivirkninger er medtaget).</w:t>
      </w:r>
    </w:p>
    <w:p w14:paraId="51D2571B" w14:textId="77777777" w:rsidR="000E6038" w:rsidRPr="003D4A39" w:rsidRDefault="000E6038" w:rsidP="000E6038">
      <w:pPr>
        <w:numPr>
          <w:ilvl w:val="0"/>
          <w:numId w:val="21"/>
        </w:numPr>
        <w:ind w:left="1276" w:hanging="425"/>
        <w:rPr>
          <w:sz w:val="24"/>
          <w:szCs w:val="24"/>
        </w:rPr>
      </w:pPr>
      <w:r w:rsidRPr="003D4A39">
        <w:rPr>
          <w:sz w:val="24"/>
          <w:szCs w:val="24"/>
        </w:rPr>
        <w:t>1.276 patienter (744 i TAX 316 og 532 i GEICAM 9805), som fik docetaxel i kombination med doxorubicin og cyclophosphamid (bivirkninger til klinisk vigtig behandling er præsenteret).</w:t>
      </w:r>
    </w:p>
    <w:p w14:paraId="0D648512" w14:textId="310DEACF" w:rsidR="000E6038" w:rsidRPr="003D4A39" w:rsidRDefault="000E6038" w:rsidP="000E6038">
      <w:pPr>
        <w:numPr>
          <w:ilvl w:val="0"/>
          <w:numId w:val="21"/>
        </w:numPr>
        <w:ind w:left="1276" w:hanging="425"/>
        <w:rPr>
          <w:sz w:val="24"/>
          <w:szCs w:val="24"/>
        </w:rPr>
      </w:pPr>
      <w:r w:rsidRPr="003D4A39">
        <w:rPr>
          <w:sz w:val="24"/>
          <w:szCs w:val="24"/>
        </w:rPr>
        <w:t>300 gastrisk adenokarcinom-patienter (221 patienter i fase III</w:t>
      </w:r>
      <w:r w:rsidRPr="003D4A39">
        <w:rPr>
          <w:sz w:val="24"/>
          <w:szCs w:val="24"/>
        </w:rPr>
        <w:noBreakHyphen/>
        <w:t>delen af studiet og 79 patienter i fase II</w:t>
      </w:r>
      <w:r w:rsidRPr="003D4A39">
        <w:rPr>
          <w:sz w:val="24"/>
          <w:szCs w:val="24"/>
        </w:rPr>
        <w:noBreakHyphen/>
        <w:t>delen af studiet), som blev behandlet med docetaxel i kombination med cisplatin og 5</w:t>
      </w:r>
      <w:r w:rsidRPr="003D4A39">
        <w:rPr>
          <w:sz w:val="24"/>
          <w:szCs w:val="24"/>
        </w:rPr>
        <w:noBreakHyphen/>
        <w:t>fluoruracil (klinisk vigtige behandlingsrelaterede bivirkninger er nævnt).</w:t>
      </w:r>
    </w:p>
    <w:p w14:paraId="6451CA58" w14:textId="77777777" w:rsidR="000E6038" w:rsidRPr="003D4A39" w:rsidRDefault="000E6038" w:rsidP="000E6038">
      <w:pPr>
        <w:numPr>
          <w:ilvl w:val="0"/>
          <w:numId w:val="21"/>
        </w:numPr>
        <w:ind w:left="1276" w:hanging="425"/>
        <w:rPr>
          <w:sz w:val="24"/>
          <w:szCs w:val="24"/>
        </w:rPr>
      </w:pPr>
      <w:r w:rsidRPr="003D4A39">
        <w:rPr>
          <w:sz w:val="24"/>
          <w:szCs w:val="24"/>
        </w:rPr>
        <w:t>174 og 251 hoved- og hals-kræftpatienter, som blev behandlet med docetaxel i kombination med cisplatin og 5</w:t>
      </w:r>
      <w:r w:rsidRPr="003D4A39">
        <w:rPr>
          <w:sz w:val="24"/>
          <w:szCs w:val="24"/>
        </w:rPr>
        <w:noBreakHyphen/>
        <w:t>fluoruracil (klinisk vigtige behandlingsrelaterede bivirkninger er nævnt).</w:t>
      </w:r>
    </w:p>
    <w:p w14:paraId="30CC84C3" w14:textId="77777777" w:rsidR="000E6038" w:rsidRPr="003D4A39" w:rsidRDefault="000E6038" w:rsidP="000E6038">
      <w:pPr>
        <w:numPr>
          <w:ilvl w:val="0"/>
          <w:numId w:val="21"/>
        </w:numPr>
        <w:ind w:left="1276" w:hanging="425"/>
        <w:rPr>
          <w:sz w:val="24"/>
          <w:szCs w:val="24"/>
        </w:rPr>
      </w:pPr>
      <w:r w:rsidRPr="003D4A39">
        <w:rPr>
          <w:sz w:val="24"/>
          <w:szCs w:val="24"/>
        </w:rPr>
        <w:t>545 patienter (STAMPEDE studie), der modtog docetaxel i kombination med prednison eller prednisolon og androgen deprivationsbehandling.</w:t>
      </w:r>
    </w:p>
    <w:p w14:paraId="273D64AA" w14:textId="77777777" w:rsidR="006B34A1" w:rsidRPr="008D45EF" w:rsidRDefault="006B34A1" w:rsidP="006440EE">
      <w:pPr>
        <w:ind w:left="1134" w:hanging="283"/>
        <w:rPr>
          <w:sz w:val="24"/>
          <w:szCs w:val="24"/>
        </w:rPr>
      </w:pPr>
    </w:p>
    <w:p w14:paraId="794B9B3B" w14:textId="5846622A" w:rsidR="006B34A1" w:rsidRDefault="006B34A1" w:rsidP="0081699D">
      <w:pPr>
        <w:ind w:left="851"/>
        <w:rPr>
          <w:sz w:val="24"/>
          <w:szCs w:val="24"/>
        </w:rPr>
      </w:pPr>
      <w:r w:rsidRPr="008D45EF">
        <w:rPr>
          <w:sz w:val="24"/>
          <w:szCs w:val="24"/>
        </w:rPr>
        <w:t>Disse reaktioner blev beskrevet under brug af NCI Common Toxicity Criteria (grad 3 = G3; grad 3</w:t>
      </w:r>
      <w:r w:rsidRPr="008D45EF">
        <w:rPr>
          <w:sz w:val="24"/>
          <w:szCs w:val="24"/>
        </w:rPr>
        <w:noBreakHyphen/>
        <w:t>4 = G3/4; grad 4 = G4), COSTART-termerne og MedDRA-termerne. Hyppigheder defineres som: meget almindelig (≥ 1/10); almindelig (≥ 1/100 til &lt; 1/10); ikke almindelig (≥ 1/1.000 til &lt; 1/100); sjælden (≥ 1/10.000 til &lt; 1/1.000); meget sjælden (&lt; 1/10.000); ikke kendt (kan ikke estimeres ud fra forhåndenværende data).</w:t>
      </w:r>
    </w:p>
    <w:p w14:paraId="1F30C1A6" w14:textId="77777777" w:rsidR="000E6038" w:rsidRPr="008D45EF" w:rsidRDefault="000E6038" w:rsidP="0081699D">
      <w:pPr>
        <w:ind w:left="851"/>
        <w:rPr>
          <w:sz w:val="24"/>
          <w:szCs w:val="24"/>
        </w:rPr>
      </w:pPr>
    </w:p>
    <w:p w14:paraId="648F1F97" w14:textId="77777777" w:rsidR="006B34A1" w:rsidRPr="008D45EF" w:rsidRDefault="006B34A1" w:rsidP="0081699D">
      <w:pPr>
        <w:ind w:left="851"/>
        <w:rPr>
          <w:sz w:val="24"/>
          <w:szCs w:val="24"/>
        </w:rPr>
      </w:pPr>
      <w:r w:rsidRPr="008D45EF">
        <w:rPr>
          <w:sz w:val="24"/>
          <w:szCs w:val="24"/>
        </w:rPr>
        <w:t>Inden for hver enkelt frekvensgruppe er bivirkningerne opstillet efter, hvor alvorlige de er. De alvorligste bivirkninger er anført først.</w:t>
      </w:r>
    </w:p>
    <w:p w14:paraId="61BBD91E" w14:textId="77777777" w:rsidR="006B34A1" w:rsidRPr="008D45EF" w:rsidRDefault="006B34A1" w:rsidP="0081699D">
      <w:pPr>
        <w:ind w:left="851"/>
        <w:rPr>
          <w:sz w:val="24"/>
          <w:szCs w:val="24"/>
        </w:rPr>
      </w:pPr>
    </w:p>
    <w:p w14:paraId="7E853800" w14:textId="77777777" w:rsidR="006B34A1" w:rsidRPr="008D45EF" w:rsidRDefault="006B34A1" w:rsidP="0081699D">
      <w:pPr>
        <w:ind w:left="851"/>
        <w:rPr>
          <w:sz w:val="24"/>
          <w:szCs w:val="24"/>
        </w:rPr>
      </w:pPr>
      <w:r w:rsidRPr="008D45EF">
        <w:rPr>
          <w:sz w:val="24"/>
          <w:szCs w:val="24"/>
        </w:rPr>
        <w:t>De mest almindeligt rapporterede bivirkninger med docetaxel var: Neutropeni (som var reversibel og ikke kumulativ, median-dagen til nadir var 7 dage og median-varigheden af alvorlig neutropeni (&lt; 500 celler/mm³) var 7 dage), anæmi, alopeci, kvalme, opkastning, stomatitis, diarré og asteni. Bivirkningerne for docetaxel kan blive mere alvorlige, når docetaxel gives i kombination med andre kemoterapeutiske midler.</w:t>
      </w:r>
    </w:p>
    <w:p w14:paraId="57C24B9D" w14:textId="77777777" w:rsidR="006B34A1" w:rsidRPr="008D45EF" w:rsidRDefault="006B34A1" w:rsidP="0081699D">
      <w:pPr>
        <w:ind w:left="851"/>
        <w:rPr>
          <w:sz w:val="24"/>
          <w:szCs w:val="24"/>
        </w:rPr>
      </w:pPr>
    </w:p>
    <w:p w14:paraId="53DBAA5D" w14:textId="77777777" w:rsidR="006B34A1" w:rsidRPr="008D45EF" w:rsidRDefault="006B34A1" w:rsidP="0081699D">
      <w:pPr>
        <w:ind w:left="851"/>
        <w:rPr>
          <w:sz w:val="24"/>
          <w:szCs w:val="24"/>
        </w:rPr>
      </w:pPr>
      <w:r w:rsidRPr="008D45EF">
        <w:rPr>
          <w:sz w:val="24"/>
          <w:szCs w:val="24"/>
        </w:rPr>
        <w:t>I kombination med trastuzumab, vises de bivirkninger (alle grader), som er rapporteret hos ≥ 10 %. Der var en forøget forekomst af meget alvorlige bivirkninger (40 % mod 31 %) og grad 4 alvorlige bivirkninger (34 % mod 23 %) i kombinationsarmen trastuzumab sammenlignet med docetaxel enkeltbehandling.</w:t>
      </w:r>
    </w:p>
    <w:p w14:paraId="2D2393F1" w14:textId="77777777" w:rsidR="006B34A1" w:rsidRPr="008D45EF" w:rsidRDefault="006B34A1" w:rsidP="0081699D">
      <w:pPr>
        <w:ind w:left="851"/>
        <w:rPr>
          <w:sz w:val="24"/>
          <w:szCs w:val="24"/>
        </w:rPr>
      </w:pPr>
    </w:p>
    <w:p w14:paraId="5CFFFBA7" w14:textId="484B2DB4" w:rsidR="000E6038" w:rsidRPr="003D4A39" w:rsidRDefault="000E6038" w:rsidP="000E6038">
      <w:pPr>
        <w:ind w:left="851"/>
        <w:rPr>
          <w:sz w:val="24"/>
          <w:szCs w:val="24"/>
        </w:rPr>
      </w:pPr>
      <w:r w:rsidRPr="003D4A39">
        <w:rPr>
          <w:sz w:val="24"/>
          <w:szCs w:val="24"/>
        </w:rPr>
        <w:t>I kombination med capecitabin er de mest almindelige behandlingsrelaterede bivirkninger (≥ 5 %), som blev rapporteret i et fase III</w:t>
      </w:r>
      <w:r w:rsidRPr="003D4A39">
        <w:rPr>
          <w:sz w:val="24"/>
          <w:szCs w:val="24"/>
        </w:rPr>
        <w:noBreakHyphen/>
        <w:t>studium med brystkræftpatienter, hvor antracy</w:t>
      </w:r>
      <w:r>
        <w:rPr>
          <w:sz w:val="24"/>
          <w:szCs w:val="24"/>
        </w:rPr>
        <w:t>k</w:t>
      </w:r>
      <w:r w:rsidRPr="003D4A39">
        <w:rPr>
          <w:sz w:val="24"/>
          <w:szCs w:val="24"/>
        </w:rPr>
        <w:t>linbehandling ikke havde haft effekt, medtaget (se: Produktresuméet for capecitabin).</w:t>
      </w:r>
    </w:p>
    <w:p w14:paraId="7FEABC3B" w14:textId="797D88D7" w:rsidR="006B34A1" w:rsidRDefault="006B34A1" w:rsidP="006440EE">
      <w:pPr>
        <w:ind w:left="851"/>
        <w:rPr>
          <w:sz w:val="24"/>
          <w:szCs w:val="24"/>
        </w:rPr>
      </w:pPr>
    </w:p>
    <w:p w14:paraId="77B3192B" w14:textId="0725378C" w:rsidR="000E6038" w:rsidRPr="003D4A39" w:rsidRDefault="000E6038" w:rsidP="000E6038">
      <w:pPr>
        <w:ind w:left="851"/>
        <w:rPr>
          <w:sz w:val="24"/>
          <w:szCs w:val="24"/>
        </w:rPr>
      </w:pPr>
      <w:r w:rsidRPr="003D4A39">
        <w:rPr>
          <w:sz w:val="24"/>
          <w:szCs w:val="24"/>
        </w:rPr>
        <w:t>I kombinationer med androgen deprivationsbehandling og med prednison eller prednisolon (STAMPEDE studie) præsenteres bivirkninger, der forekommer i de 6 cyklusser af behandlingen med docetaxel og med mindst 2 % højere forekomst i docetaxel-behandlingsarmen, til sammenligning med kontrolarmen, under anvendelse af CTCAE-klassificeringsskalaen.</w:t>
      </w:r>
    </w:p>
    <w:p w14:paraId="5FF79046" w14:textId="77777777" w:rsidR="000E6038" w:rsidRPr="008D45EF" w:rsidRDefault="000E6038" w:rsidP="006440EE">
      <w:pPr>
        <w:ind w:left="851"/>
        <w:rPr>
          <w:sz w:val="24"/>
          <w:szCs w:val="24"/>
        </w:rPr>
      </w:pPr>
    </w:p>
    <w:p w14:paraId="6B440E47" w14:textId="77777777" w:rsidR="006B34A1" w:rsidRPr="008D45EF" w:rsidRDefault="006B34A1" w:rsidP="0081699D">
      <w:pPr>
        <w:ind w:left="851"/>
        <w:rPr>
          <w:sz w:val="24"/>
          <w:szCs w:val="24"/>
        </w:rPr>
      </w:pPr>
      <w:r w:rsidRPr="008D45EF">
        <w:rPr>
          <w:sz w:val="24"/>
          <w:szCs w:val="24"/>
        </w:rPr>
        <w:t>Følgende bivirkninger er jævnligt observeret med docetaxel:</w:t>
      </w:r>
    </w:p>
    <w:p w14:paraId="2CE4BAE5" w14:textId="77777777" w:rsidR="006B34A1" w:rsidRPr="008D45EF" w:rsidRDefault="006B34A1" w:rsidP="0081699D">
      <w:pPr>
        <w:ind w:left="851"/>
        <w:rPr>
          <w:sz w:val="24"/>
          <w:szCs w:val="24"/>
        </w:rPr>
      </w:pPr>
    </w:p>
    <w:p w14:paraId="4DA0EBB4" w14:textId="77777777" w:rsidR="000E6038" w:rsidRPr="003D4A39" w:rsidRDefault="000E6038" w:rsidP="000E6038">
      <w:pPr>
        <w:ind w:left="851"/>
        <w:rPr>
          <w:sz w:val="24"/>
          <w:szCs w:val="24"/>
        </w:rPr>
      </w:pPr>
      <w:r w:rsidRPr="003D4A39">
        <w:rPr>
          <w:sz w:val="24"/>
          <w:szCs w:val="24"/>
          <w:u w:val="single"/>
        </w:rPr>
        <w:t>Immunsystemet</w:t>
      </w:r>
    </w:p>
    <w:p w14:paraId="317F37B3" w14:textId="2F197F5F" w:rsidR="000E6038" w:rsidRPr="003D4A39" w:rsidRDefault="000E6038" w:rsidP="000E6038">
      <w:pPr>
        <w:ind w:left="851"/>
        <w:rPr>
          <w:sz w:val="24"/>
          <w:szCs w:val="24"/>
        </w:rPr>
      </w:pPr>
      <w:r w:rsidRPr="003D4A39">
        <w:rPr>
          <w:sz w:val="24"/>
          <w:szCs w:val="24"/>
        </w:rPr>
        <w:t>Overfølsomhedsreaktioner opstod generelt inden for få minutter efter starten af docetaxelinfusionen, og reaktionerne var ofte milde til moderate. De hyppigst rapporterede symptomer var rødme, udslæt med eller uden kløe, trykken for brystet, rygsmerter, dyspnø og feber eller kulderystelser. Alvorlige reaktioner blev karakteriseret ved hypotension og/eller bronkospasme eller generaliseret udslæt/erytem (se pkt. 4.4).</w:t>
      </w:r>
    </w:p>
    <w:p w14:paraId="3EFB41E8" w14:textId="77777777" w:rsidR="006B34A1" w:rsidRPr="008D45EF" w:rsidRDefault="006B34A1" w:rsidP="000E6038">
      <w:pPr>
        <w:rPr>
          <w:sz w:val="24"/>
          <w:szCs w:val="24"/>
        </w:rPr>
      </w:pPr>
    </w:p>
    <w:p w14:paraId="00D14DE8" w14:textId="77777777" w:rsidR="000E6038" w:rsidRPr="003D4A39" w:rsidRDefault="000E6038" w:rsidP="000E6038">
      <w:pPr>
        <w:ind w:left="851"/>
        <w:rPr>
          <w:sz w:val="24"/>
          <w:szCs w:val="24"/>
        </w:rPr>
      </w:pPr>
      <w:r w:rsidRPr="003D4A39">
        <w:rPr>
          <w:sz w:val="24"/>
          <w:szCs w:val="24"/>
          <w:u w:val="single"/>
        </w:rPr>
        <w:t>Nervesystemet</w:t>
      </w:r>
    </w:p>
    <w:p w14:paraId="78A6704E" w14:textId="0273C222" w:rsidR="000E6038" w:rsidRPr="003D4A39" w:rsidRDefault="000E6038" w:rsidP="000E6038">
      <w:pPr>
        <w:ind w:left="851"/>
        <w:rPr>
          <w:sz w:val="24"/>
          <w:szCs w:val="24"/>
        </w:rPr>
      </w:pPr>
      <w:r w:rsidRPr="003D4A39">
        <w:rPr>
          <w:sz w:val="24"/>
          <w:szCs w:val="24"/>
        </w:rPr>
        <w:t>Udvikling af svær perifer neurotoksicitet kræver reduktion af dosis (se pkt. 4.2 og 4.4). Milde til moderate neurosensoriske symptomer er karakteriseret ved paræstesi, dysæstesi eller smerter inklusiv brændende fornemmelser. Neuromotoriske tilfælde er hovedsag</w:t>
      </w:r>
      <w:r>
        <w:rPr>
          <w:sz w:val="24"/>
          <w:szCs w:val="24"/>
        </w:rPr>
        <w:t>e</w:t>
      </w:r>
      <w:r w:rsidRPr="003D4A39">
        <w:rPr>
          <w:sz w:val="24"/>
          <w:szCs w:val="24"/>
        </w:rPr>
        <w:t>ligt karakteriseret ved svaghed.</w:t>
      </w:r>
    </w:p>
    <w:p w14:paraId="242F54ED" w14:textId="77777777" w:rsidR="000E6038" w:rsidRPr="003D4A39" w:rsidRDefault="000E6038" w:rsidP="000E6038">
      <w:pPr>
        <w:ind w:left="851"/>
        <w:rPr>
          <w:sz w:val="24"/>
          <w:szCs w:val="24"/>
        </w:rPr>
      </w:pPr>
    </w:p>
    <w:p w14:paraId="46D9DF64" w14:textId="77777777" w:rsidR="000E6038" w:rsidRPr="003D4A39" w:rsidRDefault="000E6038" w:rsidP="00505D09">
      <w:pPr>
        <w:keepNext/>
        <w:ind w:left="851"/>
        <w:rPr>
          <w:sz w:val="24"/>
          <w:szCs w:val="24"/>
        </w:rPr>
      </w:pPr>
      <w:r w:rsidRPr="003D4A39">
        <w:rPr>
          <w:sz w:val="24"/>
          <w:szCs w:val="24"/>
          <w:u w:val="single"/>
        </w:rPr>
        <w:t>Hud og subkutane væv</w:t>
      </w:r>
    </w:p>
    <w:p w14:paraId="799F7E64" w14:textId="2DEB4B26" w:rsidR="000E6038" w:rsidRDefault="000E6038" w:rsidP="000E6038">
      <w:pPr>
        <w:ind w:left="851"/>
        <w:rPr>
          <w:sz w:val="24"/>
          <w:szCs w:val="24"/>
        </w:rPr>
      </w:pPr>
      <w:r w:rsidRPr="003D4A39">
        <w:rPr>
          <w:sz w:val="24"/>
          <w:szCs w:val="24"/>
        </w:rPr>
        <w:t>Reversible kutane reaktioner blev observeret og de var almindeligvis milde til moderate. Reaktionerne var karakteriseret ved udslæt inklusive lokale udbrud, hovedsagelig på fødder og hænder (</w:t>
      </w:r>
      <w:proofErr w:type="gramStart"/>
      <w:r w:rsidRPr="003D4A39">
        <w:rPr>
          <w:sz w:val="24"/>
          <w:szCs w:val="24"/>
        </w:rPr>
        <w:t>inklusiv svært hånd</w:t>
      </w:r>
      <w:proofErr w:type="gramEnd"/>
      <w:r w:rsidRPr="003D4A39">
        <w:rPr>
          <w:sz w:val="24"/>
          <w:szCs w:val="24"/>
        </w:rPr>
        <w:t xml:space="preserve"> og fod syndrom), men også arme, ansigt og thorax. </w:t>
      </w:r>
    </w:p>
    <w:p w14:paraId="20EA1809" w14:textId="6F6B1207" w:rsidR="006B34A1" w:rsidRPr="008D45EF" w:rsidRDefault="006B34A1" w:rsidP="000E6038">
      <w:pPr>
        <w:ind w:left="851"/>
        <w:rPr>
          <w:sz w:val="24"/>
          <w:szCs w:val="24"/>
        </w:rPr>
      </w:pPr>
      <w:r w:rsidRPr="008D45EF">
        <w:rPr>
          <w:sz w:val="24"/>
          <w:szCs w:val="24"/>
        </w:rPr>
        <w:t>Reaktionerne var ofte associerede med kløe. Udbruddene opstår ofte inden for en uge efter docetaxel-infusion. Der er rapporter om mindre hyppige, alvorlige reaktioner såsom udslæt efterfulgt af afskalning, der sjældent førte til afbrydelse eller ophør med docetaxel-behandlingen (se pkt. 4.2 og 4.4). Svære negle- forandringer er karakteriseret ved hypo- eller hyper-pigmentering og sommetider smerter og onykolyse.</w:t>
      </w:r>
    </w:p>
    <w:p w14:paraId="4FA8DD9F" w14:textId="77777777" w:rsidR="006B34A1" w:rsidRPr="008D45EF" w:rsidRDefault="006B34A1" w:rsidP="0081699D">
      <w:pPr>
        <w:ind w:left="851"/>
        <w:rPr>
          <w:sz w:val="24"/>
          <w:szCs w:val="24"/>
        </w:rPr>
      </w:pPr>
    </w:p>
    <w:p w14:paraId="1580AC16" w14:textId="77777777" w:rsidR="000E6038" w:rsidRPr="003D4A39" w:rsidRDefault="000E6038" w:rsidP="000E6038">
      <w:pPr>
        <w:ind w:left="851"/>
        <w:rPr>
          <w:sz w:val="24"/>
          <w:szCs w:val="24"/>
        </w:rPr>
      </w:pPr>
      <w:r w:rsidRPr="003D4A39">
        <w:rPr>
          <w:sz w:val="24"/>
          <w:szCs w:val="24"/>
          <w:u w:val="single"/>
        </w:rPr>
        <w:t>Almene symptomer og reaktioner på administrationsstedet</w:t>
      </w:r>
    </w:p>
    <w:p w14:paraId="04568EA7" w14:textId="77777777" w:rsidR="000E6038" w:rsidRPr="003D4A39" w:rsidRDefault="000E6038" w:rsidP="000E6038">
      <w:pPr>
        <w:ind w:left="851"/>
        <w:rPr>
          <w:sz w:val="24"/>
          <w:szCs w:val="24"/>
        </w:rPr>
      </w:pPr>
      <w:r w:rsidRPr="003D4A39">
        <w:rPr>
          <w:sz w:val="24"/>
          <w:szCs w:val="24"/>
        </w:rPr>
        <w:t>Reaktionerne ved infusionsstedet var almindeligvis milde og bestod af hyperpigmentering, inflammation, rødmen eller tørhed, flebitits eller blodudtrækninger og hævelse af venen.</w:t>
      </w:r>
    </w:p>
    <w:p w14:paraId="53D4FA1A" w14:textId="77777777" w:rsidR="000E6038" w:rsidRPr="003D4A39" w:rsidRDefault="000E6038" w:rsidP="000E6038">
      <w:pPr>
        <w:ind w:left="851"/>
        <w:rPr>
          <w:sz w:val="24"/>
          <w:szCs w:val="24"/>
        </w:rPr>
      </w:pPr>
      <w:r w:rsidRPr="003D4A39">
        <w:rPr>
          <w:sz w:val="24"/>
          <w:szCs w:val="24"/>
        </w:rPr>
        <w:t>Der er rapporter om tilfælde af væskeretention såsom perifert ødem og sjældnere pleura- og perikardieekssudat, ascites og vægtøgning. Det perifere ødem starter sædvanligvis i underekstremiteterne og kan blive generaliseret med vægtstigning på 3 kg eller mere. Væskeretention er kumulativ i forekomst og sværhedsgrad (se pkt. 4.4).</w:t>
      </w:r>
    </w:p>
    <w:p w14:paraId="2A8722C5" w14:textId="77777777" w:rsidR="006B34A1" w:rsidRPr="008D45EF" w:rsidRDefault="006B34A1" w:rsidP="0081699D">
      <w:pPr>
        <w:ind w:left="851"/>
        <w:rPr>
          <w:sz w:val="24"/>
          <w:szCs w:val="24"/>
        </w:rPr>
      </w:pPr>
    </w:p>
    <w:p w14:paraId="1D4DA22E" w14:textId="77777777" w:rsidR="006B34A1" w:rsidRPr="008D45EF" w:rsidRDefault="006B34A1" w:rsidP="0081699D">
      <w:pPr>
        <w:ind w:left="851"/>
        <w:rPr>
          <w:sz w:val="24"/>
          <w:szCs w:val="24"/>
          <w:u w:val="single"/>
        </w:rPr>
      </w:pPr>
      <w:r w:rsidRPr="008D45EF">
        <w:rPr>
          <w:sz w:val="24"/>
          <w:szCs w:val="24"/>
          <w:u w:val="single"/>
        </w:rPr>
        <w:t>Tabel over bivirkninger ved behandling af brystkræft med docetaxel 100 mg/m² enkeltstof</w:t>
      </w:r>
    </w:p>
    <w:p w14:paraId="4653848B" w14:textId="77777777" w:rsidR="006B34A1" w:rsidRPr="008D45EF" w:rsidRDefault="006B34A1" w:rsidP="0081699D">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2"/>
        <w:gridCol w:w="2661"/>
        <w:gridCol w:w="2247"/>
        <w:gridCol w:w="2288"/>
      </w:tblGrid>
      <w:tr w:rsidR="006B34A1" w:rsidRPr="008D45EF" w14:paraId="56F5F385" w14:textId="77777777" w:rsidTr="002A7D83">
        <w:trPr>
          <w:trHeight w:val="20"/>
          <w:tblHeader/>
        </w:trPr>
        <w:tc>
          <w:tcPr>
            <w:tcW w:w="1263" w:type="pct"/>
            <w:tcBorders>
              <w:top w:val="single" w:sz="4" w:space="0" w:color="auto"/>
              <w:left w:val="single" w:sz="4" w:space="0" w:color="auto"/>
              <w:bottom w:val="single" w:sz="4" w:space="0" w:color="auto"/>
              <w:right w:val="single" w:sz="4" w:space="0" w:color="auto"/>
            </w:tcBorders>
            <w:hideMark/>
          </w:tcPr>
          <w:p w14:paraId="0D10AD6E" w14:textId="77777777" w:rsidR="006B34A1" w:rsidRPr="008D45EF" w:rsidRDefault="006B34A1" w:rsidP="0081699D">
            <w:pPr>
              <w:ind w:left="142"/>
              <w:rPr>
                <w:b/>
                <w:bCs/>
                <w:sz w:val="24"/>
                <w:szCs w:val="24"/>
              </w:rPr>
            </w:pPr>
            <w:r w:rsidRPr="008D45EF">
              <w:rPr>
                <w:b/>
                <w:bCs/>
                <w:sz w:val="24"/>
                <w:szCs w:val="24"/>
              </w:rPr>
              <w:t>Systemorganklasser i henhold til MedDRA-databasen</w:t>
            </w:r>
          </w:p>
        </w:tc>
        <w:tc>
          <w:tcPr>
            <w:tcW w:w="1382" w:type="pct"/>
            <w:tcBorders>
              <w:top w:val="single" w:sz="4" w:space="0" w:color="auto"/>
              <w:left w:val="single" w:sz="4" w:space="0" w:color="auto"/>
              <w:bottom w:val="single" w:sz="4" w:space="0" w:color="auto"/>
              <w:right w:val="single" w:sz="4" w:space="0" w:color="auto"/>
            </w:tcBorders>
            <w:hideMark/>
          </w:tcPr>
          <w:p w14:paraId="53D9FBC6" w14:textId="77777777" w:rsidR="006B34A1" w:rsidRPr="008D45EF" w:rsidRDefault="006B34A1" w:rsidP="0081699D">
            <w:pPr>
              <w:ind w:left="142"/>
              <w:rPr>
                <w:b/>
                <w:bCs/>
                <w:sz w:val="24"/>
                <w:szCs w:val="24"/>
              </w:rPr>
            </w:pPr>
            <w:r w:rsidRPr="008D45EF">
              <w:rPr>
                <w:b/>
                <w:bCs/>
                <w:sz w:val="24"/>
                <w:szCs w:val="24"/>
              </w:rPr>
              <w:t>Meget almindelige bivirkninger</w:t>
            </w:r>
          </w:p>
        </w:tc>
        <w:tc>
          <w:tcPr>
            <w:tcW w:w="1167" w:type="pct"/>
            <w:tcBorders>
              <w:top w:val="single" w:sz="4" w:space="0" w:color="auto"/>
              <w:left w:val="single" w:sz="4" w:space="0" w:color="auto"/>
              <w:bottom w:val="single" w:sz="4" w:space="0" w:color="auto"/>
              <w:right w:val="single" w:sz="4" w:space="0" w:color="auto"/>
            </w:tcBorders>
            <w:hideMark/>
          </w:tcPr>
          <w:p w14:paraId="6C9CB837" w14:textId="77777777" w:rsidR="006B34A1" w:rsidRPr="008D45EF" w:rsidRDefault="006B34A1" w:rsidP="0081699D">
            <w:pPr>
              <w:ind w:left="142"/>
              <w:rPr>
                <w:b/>
                <w:bCs/>
                <w:sz w:val="24"/>
                <w:szCs w:val="24"/>
              </w:rPr>
            </w:pPr>
            <w:r w:rsidRPr="008D45EF">
              <w:rPr>
                <w:b/>
                <w:bCs/>
                <w:sz w:val="24"/>
                <w:szCs w:val="24"/>
              </w:rPr>
              <w:t>Almindelige bivirkninger</w:t>
            </w:r>
          </w:p>
        </w:tc>
        <w:tc>
          <w:tcPr>
            <w:tcW w:w="1188" w:type="pct"/>
            <w:tcBorders>
              <w:top w:val="single" w:sz="4" w:space="0" w:color="auto"/>
              <w:left w:val="single" w:sz="4" w:space="0" w:color="auto"/>
              <w:bottom w:val="single" w:sz="4" w:space="0" w:color="auto"/>
              <w:right w:val="single" w:sz="4" w:space="0" w:color="auto"/>
            </w:tcBorders>
            <w:hideMark/>
          </w:tcPr>
          <w:p w14:paraId="5353F54A" w14:textId="77777777" w:rsidR="006B34A1" w:rsidRPr="008D45EF" w:rsidRDefault="006B34A1" w:rsidP="0081699D">
            <w:pPr>
              <w:ind w:left="142"/>
              <w:rPr>
                <w:b/>
                <w:bCs/>
                <w:sz w:val="24"/>
                <w:szCs w:val="24"/>
              </w:rPr>
            </w:pPr>
            <w:r w:rsidRPr="008D45EF">
              <w:rPr>
                <w:b/>
                <w:bCs/>
                <w:sz w:val="24"/>
                <w:szCs w:val="24"/>
              </w:rPr>
              <w:t>Ikke almindelige bivirkninger</w:t>
            </w:r>
          </w:p>
        </w:tc>
      </w:tr>
      <w:tr w:rsidR="006B34A1" w:rsidRPr="002535BC" w14:paraId="0AE4DF08" w14:textId="77777777" w:rsidTr="002A7D83">
        <w:trPr>
          <w:trHeight w:val="20"/>
        </w:trPr>
        <w:tc>
          <w:tcPr>
            <w:tcW w:w="1263" w:type="pct"/>
            <w:tcBorders>
              <w:top w:val="single" w:sz="4" w:space="0" w:color="auto"/>
              <w:left w:val="single" w:sz="4" w:space="0" w:color="auto"/>
              <w:bottom w:val="single" w:sz="4" w:space="0" w:color="auto"/>
              <w:right w:val="single" w:sz="4" w:space="0" w:color="auto"/>
            </w:tcBorders>
            <w:hideMark/>
          </w:tcPr>
          <w:p w14:paraId="348C14C7" w14:textId="77777777" w:rsidR="006B34A1" w:rsidRPr="008D45EF" w:rsidRDefault="006B34A1" w:rsidP="0081699D">
            <w:pPr>
              <w:ind w:left="142"/>
              <w:rPr>
                <w:sz w:val="24"/>
                <w:szCs w:val="24"/>
              </w:rPr>
            </w:pPr>
            <w:r w:rsidRPr="008D45EF">
              <w:rPr>
                <w:sz w:val="24"/>
                <w:szCs w:val="24"/>
              </w:rPr>
              <w:t>Infektioner og parasitære sygdomme</w:t>
            </w:r>
          </w:p>
        </w:tc>
        <w:tc>
          <w:tcPr>
            <w:tcW w:w="1382" w:type="pct"/>
            <w:tcBorders>
              <w:top w:val="single" w:sz="4" w:space="0" w:color="auto"/>
              <w:left w:val="single" w:sz="4" w:space="0" w:color="auto"/>
              <w:bottom w:val="single" w:sz="4" w:space="0" w:color="auto"/>
              <w:right w:val="single" w:sz="4" w:space="0" w:color="auto"/>
            </w:tcBorders>
            <w:hideMark/>
          </w:tcPr>
          <w:p w14:paraId="7D05D980" w14:textId="04152E91" w:rsidR="006B34A1" w:rsidRPr="008D45EF" w:rsidRDefault="00505D09" w:rsidP="0081699D">
            <w:pPr>
              <w:ind w:left="142"/>
              <w:rPr>
                <w:sz w:val="24"/>
                <w:szCs w:val="24"/>
              </w:rPr>
            </w:pPr>
            <w:r w:rsidRPr="008D45EF">
              <w:rPr>
                <w:sz w:val="24"/>
                <w:szCs w:val="24"/>
              </w:rPr>
              <w:t>Infektioner (G3/4: 5,7 %; inklusive sepsis og pneumoni, letal hos 1,7 %)</w:t>
            </w:r>
          </w:p>
        </w:tc>
        <w:tc>
          <w:tcPr>
            <w:tcW w:w="1167" w:type="pct"/>
            <w:tcBorders>
              <w:top w:val="single" w:sz="4" w:space="0" w:color="auto"/>
              <w:left w:val="single" w:sz="4" w:space="0" w:color="auto"/>
              <w:bottom w:val="single" w:sz="4" w:space="0" w:color="auto"/>
              <w:right w:val="single" w:sz="4" w:space="0" w:color="auto"/>
            </w:tcBorders>
            <w:hideMark/>
          </w:tcPr>
          <w:p w14:paraId="64760114" w14:textId="2C7173AE" w:rsidR="006B34A1" w:rsidRPr="002535BC" w:rsidRDefault="00505D09" w:rsidP="0081699D">
            <w:pPr>
              <w:ind w:left="142"/>
              <w:rPr>
                <w:sz w:val="24"/>
                <w:szCs w:val="24"/>
                <w:lang w:val="sv-SE"/>
              </w:rPr>
            </w:pPr>
            <w:r w:rsidRPr="00505D09">
              <w:rPr>
                <w:sz w:val="24"/>
                <w:szCs w:val="24"/>
                <w:lang w:val="sv-SE"/>
              </w:rPr>
              <w:t>Infektion associeret med G4</w:t>
            </w:r>
            <w:r w:rsidRPr="00505D09">
              <w:rPr>
                <w:sz w:val="24"/>
                <w:szCs w:val="24"/>
                <w:lang w:val="sv-SE"/>
              </w:rPr>
              <w:noBreakHyphen/>
              <w:t>neutropeni (G3/4: 4,6 %)</w:t>
            </w:r>
          </w:p>
        </w:tc>
        <w:tc>
          <w:tcPr>
            <w:tcW w:w="1188" w:type="pct"/>
            <w:tcBorders>
              <w:top w:val="single" w:sz="4" w:space="0" w:color="auto"/>
              <w:left w:val="single" w:sz="4" w:space="0" w:color="auto"/>
              <w:bottom w:val="single" w:sz="4" w:space="0" w:color="auto"/>
              <w:right w:val="single" w:sz="4" w:space="0" w:color="auto"/>
            </w:tcBorders>
          </w:tcPr>
          <w:p w14:paraId="1E144697" w14:textId="77777777" w:rsidR="006B34A1" w:rsidRPr="002535BC" w:rsidRDefault="006B34A1" w:rsidP="0081699D">
            <w:pPr>
              <w:ind w:left="142"/>
              <w:rPr>
                <w:sz w:val="24"/>
                <w:szCs w:val="24"/>
                <w:lang w:val="sv-SE"/>
              </w:rPr>
            </w:pPr>
          </w:p>
        </w:tc>
      </w:tr>
      <w:tr w:rsidR="006B34A1" w:rsidRPr="008D45EF" w14:paraId="6AA00EED" w14:textId="77777777" w:rsidTr="002A7D83">
        <w:trPr>
          <w:trHeight w:val="20"/>
        </w:trPr>
        <w:tc>
          <w:tcPr>
            <w:tcW w:w="1263" w:type="pct"/>
            <w:tcBorders>
              <w:top w:val="single" w:sz="4" w:space="0" w:color="auto"/>
              <w:left w:val="single" w:sz="4" w:space="0" w:color="auto"/>
              <w:bottom w:val="single" w:sz="4" w:space="0" w:color="auto"/>
              <w:right w:val="single" w:sz="4" w:space="0" w:color="auto"/>
            </w:tcBorders>
            <w:hideMark/>
          </w:tcPr>
          <w:p w14:paraId="094CF706" w14:textId="77777777" w:rsidR="006B34A1" w:rsidRPr="008D45EF" w:rsidRDefault="006B34A1" w:rsidP="0081699D">
            <w:pPr>
              <w:ind w:left="142"/>
              <w:rPr>
                <w:sz w:val="24"/>
                <w:szCs w:val="24"/>
              </w:rPr>
            </w:pPr>
            <w:r w:rsidRPr="008D45EF">
              <w:rPr>
                <w:sz w:val="24"/>
                <w:szCs w:val="24"/>
              </w:rPr>
              <w:t>Blod og lymfesystem</w:t>
            </w:r>
          </w:p>
        </w:tc>
        <w:tc>
          <w:tcPr>
            <w:tcW w:w="1382" w:type="pct"/>
            <w:tcBorders>
              <w:top w:val="single" w:sz="4" w:space="0" w:color="auto"/>
              <w:left w:val="single" w:sz="4" w:space="0" w:color="auto"/>
              <w:bottom w:val="single" w:sz="4" w:space="0" w:color="auto"/>
              <w:right w:val="single" w:sz="4" w:space="0" w:color="auto"/>
            </w:tcBorders>
            <w:hideMark/>
          </w:tcPr>
          <w:p w14:paraId="68AD4EBC" w14:textId="77777777" w:rsidR="006B34A1" w:rsidRPr="008D45EF" w:rsidRDefault="006B34A1" w:rsidP="0081699D">
            <w:pPr>
              <w:ind w:left="142"/>
              <w:rPr>
                <w:sz w:val="24"/>
                <w:szCs w:val="24"/>
                <w:lang w:val="en-US"/>
              </w:rPr>
            </w:pPr>
            <w:r w:rsidRPr="008D45EF">
              <w:rPr>
                <w:sz w:val="24"/>
                <w:szCs w:val="24"/>
                <w:lang w:val="en-US"/>
              </w:rPr>
              <w:t>Neutropeni (G4: 76,4 %);</w:t>
            </w:r>
          </w:p>
          <w:p w14:paraId="5BB26CEB" w14:textId="77777777" w:rsidR="006B34A1" w:rsidRPr="008D45EF" w:rsidRDefault="006B34A1" w:rsidP="0081699D">
            <w:pPr>
              <w:ind w:left="142"/>
              <w:rPr>
                <w:sz w:val="24"/>
                <w:szCs w:val="24"/>
                <w:lang w:val="en-US"/>
              </w:rPr>
            </w:pPr>
            <w:r w:rsidRPr="008D45EF">
              <w:rPr>
                <w:sz w:val="24"/>
                <w:szCs w:val="24"/>
                <w:lang w:val="en-US"/>
              </w:rPr>
              <w:t>Anæmi (G3/4: 8,9 %);</w:t>
            </w:r>
          </w:p>
          <w:p w14:paraId="67095F6A" w14:textId="77777777" w:rsidR="006B34A1" w:rsidRPr="008D45EF" w:rsidRDefault="006B34A1" w:rsidP="0081699D">
            <w:pPr>
              <w:ind w:left="142"/>
              <w:rPr>
                <w:sz w:val="24"/>
                <w:szCs w:val="24"/>
                <w:lang w:val="en-US"/>
              </w:rPr>
            </w:pPr>
            <w:r w:rsidRPr="008D45EF">
              <w:rPr>
                <w:sz w:val="24"/>
                <w:szCs w:val="24"/>
                <w:lang w:val="en-US"/>
              </w:rPr>
              <w:t>Febril neutropeni</w:t>
            </w:r>
          </w:p>
        </w:tc>
        <w:tc>
          <w:tcPr>
            <w:tcW w:w="1167" w:type="pct"/>
            <w:tcBorders>
              <w:top w:val="single" w:sz="4" w:space="0" w:color="auto"/>
              <w:left w:val="single" w:sz="4" w:space="0" w:color="auto"/>
              <w:bottom w:val="single" w:sz="4" w:space="0" w:color="auto"/>
              <w:right w:val="single" w:sz="4" w:space="0" w:color="auto"/>
            </w:tcBorders>
            <w:hideMark/>
          </w:tcPr>
          <w:p w14:paraId="6D9E62DC" w14:textId="77777777" w:rsidR="006B34A1" w:rsidRPr="008D45EF" w:rsidRDefault="006B34A1" w:rsidP="0081699D">
            <w:pPr>
              <w:ind w:left="142"/>
              <w:rPr>
                <w:sz w:val="24"/>
                <w:szCs w:val="24"/>
              </w:rPr>
            </w:pPr>
            <w:r w:rsidRPr="008D45EF">
              <w:rPr>
                <w:sz w:val="24"/>
                <w:szCs w:val="24"/>
              </w:rPr>
              <w:t>Trombocytopeni (G4: 0,2 %)</w:t>
            </w:r>
          </w:p>
        </w:tc>
        <w:tc>
          <w:tcPr>
            <w:tcW w:w="1188" w:type="pct"/>
            <w:tcBorders>
              <w:top w:val="single" w:sz="4" w:space="0" w:color="auto"/>
              <w:left w:val="single" w:sz="4" w:space="0" w:color="auto"/>
              <w:bottom w:val="single" w:sz="4" w:space="0" w:color="auto"/>
              <w:right w:val="single" w:sz="4" w:space="0" w:color="auto"/>
            </w:tcBorders>
          </w:tcPr>
          <w:p w14:paraId="70438DB3" w14:textId="77777777" w:rsidR="006B34A1" w:rsidRPr="008D45EF" w:rsidRDefault="006B34A1" w:rsidP="0081699D">
            <w:pPr>
              <w:ind w:left="142"/>
              <w:rPr>
                <w:sz w:val="24"/>
                <w:szCs w:val="24"/>
              </w:rPr>
            </w:pPr>
          </w:p>
        </w:tc>
      </w:tr>
      <w:tr w:rsidR="006B34A1" w:rsidRPr="008D45EF" w14:paraId="1CA1BB80" w14:textId="77777777" w:rsidTr="002A7D83">
        <w:trPr>
          <w:trHeight w:val="20"/>
        </w:trPr>
        <w:tc>
          <w:tcPr>
            <w:tcW w:w="1263" w:type="pct"/>
            <w:tcBorders>
              <w:top w:val="single" w:sz="4" w:space="0" w:color="auto"/>
              <w:left w:val="single" w:sz="4" w:space="0" w:color="auto"/>
              <w:bottom w:val="single" w:sz="4" w:space="0" w:color="auto"/>
              <w:right w:val="single" w:sz="4" w:space="0" w:color="auto"/>
            </w:tcBorders>
            <w:hideMark/>
          </w:tcPr>
          <w:p w14:paraId="19698087" w14:textId="77777777" w:rsidR="006B34A1" w:rsidRPr="008D45EF" w:rsidRDefault="006B34A1" w:rsidP="0081699D">
            <w:pPr>
              <w:ind w:left="142"/>
              <w:rPr>
                <w:sz w:val="24"/>
                <w:szCs w:val="24"/>
              </w:rPr>
            </w:pPr>
            <w:r w:rsidRPr="008D45EF">
              <w:rPr>
                <w:sz w:val="24"/>
                <w:szCs w:val="24"/>
              </w:rPr>
              <w:t>Immunsystemet</w:t>
            </w:r>
          </w:p>
        </w:tc>
        <w:tc>
          <w:tcPr>
            <w:tcW w:w="1382" w:type="pct"/>
            <w:tcBorders>
              <w:top w:val="single" w:sz="4" w:space="0" w:color="auto"/>
              <w:left w:val="single" w:sz="4" w:space="0" w:color="auto"/>
              <w:bottom w:val="single" w:sz="4" w:space="0" w:color="auto"/>
              <w:right w:val="single" w:sz="4" w:space="0" w:color="auto"/>
            </w:tcBorders>
            <w:hideMark/>
          </w:tcPr>
          <w:p w14:paraId="7F747A21" w14:textId="77777777" w:rsidR="006B34A1" w:rsidRPr="008D45EF" w:rsidRDefault="006B34A1" w:rsidP="0081699D">
            <w:pPr>
              <w:ind w:left="142"/>
              <w:rPr>
                <w:sz w:val="24"/>
                <w:szCs w:val="24"/>
              </w:rPr>
            </w:pPr>
            <w:r w:rsidRPr="008D45EF">
              <w:rPr>
                <w:sz w:val="24"/>
                <w:szCs w:val="24"/>
              </w:rPr>
              <w:t>Overfølsomhed (G3/4: 5,3 %)</w:t>
            </w:r>
          </w:p>
        </w:tc>
        <w:tc>
          <w:tcPr>
            <w:tcW w:w="1167" w:type="pct"/>
            <w:tcBorders>
              <w:top w:val="single" w:sz="4" w:space="0" w:color="auto"/>
              <w:left w:val="single" w:sz="4" w:space="0" w:color="auto"/>
              <w:bottom w:val="single" w:sz="4" w:space="0" w:color="auto"/>
              <w:right w:val="single" w:sz="4" w:space="0" w:color="auto"/>
            </w:tcBorders>
          </w:tcPr>
          <w:p w14:paraId="327E41F2" w14:textId="77777777" w:rsidR="006B34A1" w:rsidRPr="008D45EF" w:rsidRDefault="006B34A1" w:rsidP="0081699D">
            <w:pPr>
              <w:ind w:left="142"/>
              <w:rPr>
                <w:sz w:val="24"/>
                <w:szCs w:val="24"/>
              </w:rPr>
            </w:pPr>
          </w:p>
        </w:tc>
        <w:tc>
          <w:tcPr>
            <w:tcW w:w="1188" w:type="pct"/>
            <w:tcBorders>
              <w:top w:val="single" w:sz="4" w:space="0" w:color="auto"/>
              <w:left w:val="single" w:sz="4" w:space="0" w:color="auto"/>
              <w:bottom w:val="single" w:sz="4" w:space="0" w:color="auto"/>
              <w:right w:val="single" w:sz="4" w:space="0" w:color="auto"/>
            </w:tcBorders>
          </w:tcPr>
          <w:p w14:paraId="30B4A16E" w14:textId="77777777" w:rsidR="006B34A1" w:rsidRPr="008D45EF" w:rsidRDefault="006B34A1" w:rsidP="0081699D">
            <w:pPr>
              <w:ind w:left="142"/>
              <w:rPr>
                <w:sz w:val="24"/>
                <w:szCs w:val="24"/>
              </w:rPr>
            </w:pPr>
          </w:p>
        </w:tc>
      </w:tr>
      <w:tr w:rsidR="006B34A1" w:rsidRPr="008D45EF" w14:paraId="161560E4" w14:textId="77777777" w:rsidTr="002A7D83">
        <w:trPr>
          <w:trHeight w:val="20"/>
        </w:trPr>
        <w:tc>
          <w:tcPr>
            <w:tcW w:w="1263" w:type="pct"/>
            <w:tcBorders>
              <w:top w:val="single" w:sz="4" w:space="0" w:color="auto"/>
              <w:left w:val="single" w:sz="4" w:space="0" w:color="auto"/>
              <w:bottom w:val="single" w:sz="4" w:space="0" w:color="auto"/>
              <w:right w:val="single" w:sz="4" w:space="0" w:color="auto"/>
            </w:tcBorders>
            <w:hideMark/>
          </w:tcPr>
          <w:p w14:paraId="03A2DC5E" w14:textId="77777777" w:rsidR="006B34A1" w:rsidRPr="008D45EF" w:rsidRDefault="006B34A1" w:rsidP="0081699D">
            <w:pPr>
              <w:ind w:left="142"/>
              <w:rPr>
                <w:sz w:val="24"/>
                <w:szCs w:val="24"/>
              </w:rPr>
            </w:pPr>
            <w:r w:rsidRPr="008D45EF">
              <w:rPr>
                <w:sz w:val="24"/>
                <w:szCs w:val="24"/>
              </w:rPr>
              <w:t>Metabolisme og ernæring</w:t>
            </w:r>
          </w:p>
        </w:tc>
        <w:tc>
          <w:tcPr>
            <w:tcW w:w="1382" w:type="pct"/>
            <w:tcBorders>
              <w:top w:val="single" w:sz="4" w:space="0" w:color="auto"/>
              <w:left w:val="single" w:sz="4" w:space="0" w:color="auto"/>
              <w:bottom w:val="single" w:sz="4" w:space="0" w:color="auto"/>
              <w:right w:val="single" w:sz="4" w:space="0" w:color="auto"/>
            </w:tcBorders>
            <w:hideMark/>
          </w:tcPr>
          <w:p w14:paraId="19ECC4D6" w14:textId="77777777" w:rsidR="006B34A1" w:rsidRPr="008D45EF" w:rsidRDefault="006B34A1" w:rsidP="0081699D">
            <w:pPr>
              <w:ind w:left="142"/>
              <w:rPr>
                <w:sz w:val="24"/>
                <w:szCs w:val="24"/>
              </w:rPr>
            </w:pPr>
            <w:r w:rsidRPr="008D45EF">
              <w:rPr>
                <w:sz w:val="24"/>
                <w:szCs w:val="24"/>
              </w:rPr>
              <w:t>Anoreksi</w:t>
            </w:r>
          </w:p>
        </w:tc>
        <w:tc>
          <w:tcPr>
            <w:tcW w:w="1167" w:type="pct"/>
            <w:tcBorders>
              <w:top w:val="single" w:sz="4" w:space="0" w:color="auto"/>
              <w:left w:val="single" w:sz="4" w:space="0" w:color="auto"/>
              <w:bottom w:val="single" w:sz="4" w:space="0" w:color="auto"/>
              <w:right w:val="single" w:sz="4" w:space="0" w:color="auto"/>
            </w:tcBorders>
          </w:tcPr>
          <w:p w14:paraId="2B48128C" w14:textId="77777777" w:rsidR="006B34A1" w:rsidRPr="008D45EF" w:rsidRDefault="006B34A1" w:rsidP="0081699D">
            <w:pPr>
              <w:ind w:left="142"/>
              <w:rPr>
                <w:sz w:val="24"/>
                <w:szCs w:val="24"/>
              </w:rPr>
            </w:pPr>
          </w:p>
        </w:tc>
        <w:tc>
          <w:tcPr>
            <w:tcW w:w="1188" w:type="pct"/>
            <w:tcBorders>
              <w:top w:val="single" w:sz="4" w:space="0" w:color="auto"/>
              <w:left w:val="single" w:sz="4" w:space="0" w:color="auto"/>
              <w:bottom w:val="single" w:sz="4" w:space="0" w:color="auto"/>
              <w:right w:val="single" w:sz="4" w:space="0" w:color="auto"/>
            </w:tcBorders>
          </w:tcPr>
          <w:p w14:paraId="06FC3F4F" w14:textId="77777777" w:rsidR="006B34A1" w:rsidRPr="008D45EF" w:rsidRDefault="006B34A1" w:rsidP="0081699D">
            <w:pPr>
              <w:ind w:left="142"/>
              <w:rPr>
                <w:sz w:val="24"/>
                <w:szCs w:val="24"/>
              </w:rPr>
            </w:pPr>
          </w:p>
        </w:tc>
      </w:tr>
      <w:tr w:rsidR="006B34A1" w:rsidRPr="008D45EF" w14:paraId="77B80840" w14:textId="77777777" w:rsidTr="002A7D83">
        <w:trPr>
          <w:trHeight w:val="20"/>
        </w:trPr>
        <w:tc>
          <w:tcPr>
            <w:tcW w:w="1263" w:type="pct"/>
            <w:tcBorders>
              <w:top w:val="single" w:sz="4" w:space="0" w:color="auto"/>
              <w:left w:val="single" w:sz="4" w:space="0" w:color="auto"/>
              <w:bottom w:val="single" w:sz="4" w:space="0" w:color="auto"/>
              <w:right w:val="single" w:sz="4" w:space="0" w:color="auto"/>
            </w:tcBorders>
            <w:hideMark/>
          </w:tcPr>
          <w:p w14:paraId="4D32BE3A" w14:textId="77777777" w:rsidR="006B34A1" w:rsidRPr="008D45EF" w:rsidRDefault="006B34A1" w:rsidP="0081699D">
            <w:pPr>
              <w:ind w:left="142"/>
              <w:rPr>
                <w:sz w:val="24"/>
                <w:szCs w:val="24"/>
              </w:rPr>
            </w:pPr>
            <w:r w:rsidRPr="008D45EF">
              <w:rPr>
                <w:sz w:val="24"/>
                <w:szCs w:val="24"/>
              </w:rPr>
              <w:t>Nervesystemet</w:t>
            </w:r>
          </w:p>
        </w:tc>
        <w:tc>
          <w:tcPr>
            <w:tcW w:w="1382" w:type="pct"/>
            <w:tcBorders>
              <w:top w:val="single" w:sz="4" w:space="0" w:color="auto"/>
              <w:left w:val="single" w:sz="4" w:space="0" w:color="auto"/>
              <w:bottom w:val="single" w:sz="4" w:space="0" w:color="auto"/>
              <w:right w:val="single" w:sz="4" w:space="0" w:color="auto"/>
            </w:tcBorders>
            <w:hideMark/>
          </w:tcPr>
          <w:p w14:paraId="2EB8A823" w14:textId="77777777" w:rsidR="006B34A1" w:rsidRPr="002535BC" w:rsidRDefault="006B34A1" w:rsidP="0081699D">
            <w:pPr>
              <w:ind w:left="142"/>
              <w:rPr>
                <w:sz w:val="24"/>
                <w:szCs w:val="24"/>
                <w:lang w:val="sv-SE"/>
              </w:rPr>
            </w:pPr>
            <w:r w:rsidRPr="002535BC">
              <w:rPr>
                <w:sz w:val="24"/>
                <w:szCs w:val="24"/>
                <w:lang w:val="sv-SE"/>
              </w:rPr>
              <w:t xml:space="preserve">Perifer sensorisk neuropati (G3: 4,1 %); Perifer motorisk neuropati (G3/4: 4 %); </w:t>
            </w:r>
          </w:p>
          <w:p w14:paraId="7D172439" w14:textId="77777777" w:rsidR="006B34A1" w:rsidRPr="008D45EF" w:rsidRDefault="006B34A1" w:rsidP="0081699D">
            <w:pPr>
              <w:ind w:left="142"/>
              <w:rPr>
                <w:sz w:val="24"/>
                <w:szCs w:val="24"/>
              </w:rPr>
            </w:pPr>
            <w:r w:rsidRPr="008D45EF">
              <w:rPr>
                <w:sz w:val="24"/>
                <w:szCs w:val="24"/>
              </w:rPr>
              <w:t>Dysgeusi (alvorlig: 0,07 %)</w:t>
            </w:r>
          </w:p>
        </w:tc>
        <w:tc>
          <w:tcPr>
            <w:tcW w:w="1167" w:type="pct"/>
            <w:tcBorders>
              <w:top w:val="single" w:sz="4" w:space="0" w:color="auto"/>
              <w:left w:val="single" w:sz="4" w:space="0" w:color="auto"/>
              <w:bottom w:val="single" w:sz="4" w:space="0" w:color="auto"/>
              <w:right w:val="single" w:sz="4" w:space="0" w:color="auto"/>
            </w:tcBorders>
          </w:tcPr>
          <w:p w14:paraId="7BD592EB" w14:textId="77777777" w:rsidR="006B34A1" w:rsidRPr="008D45EF" w:rsidRDefault="006B34A1" w:rsidP="0081699D">
            <w:pPr>
              <w:ind w:left="142"/>
              <w:rPr>
                <w:sz w:val="24"/>
                <w:szCs w:val="24"/>
              </w:rPr>
            </w:pPr>
          </w:p>
        </w:tc>
        <w:tc>
          <w:tcPr>
            <w:tcW w:w="1188" w:type="pct"/>
            <w:tcBorders>
              <w:top w:val="single" w:sz="4" w:space="0" w:color="auto"/>
              <w:left w:val="single" w:sz="4" w:space="0" w:color="auto"/>
              <w:bottom w:val="single" w:sz="4" w:space="0" w:color="auto"/>
              <w:right w:val="single" w:sz="4" w:space="0" w:color="auto"/>
            </w:tcBorders>
          </w:tcPr>
          <w:p w14:paraId="4B723715" w14:textId="77777777" w:rsidR="006B34A1" w:rsidRPr="008D45EF" w:rsidRDefault="006B34A1" w:rsidP="0081699D">
            <w:pPr>
              <w:ind w:left="142"/>
              <w:rPr>
                <w:sz w:val="24"/>
                <w:szCs w:val="24"/>
              </w:rPr>
            </w:pPr>
          </w:p>
        </w:tc>
      </w:tr>
      <w:tr w:rsidR="006B34A1" w:rsidRPr="008D45EF" w14:paraId="1447AD4B" w14:textId="77777777" w:rsidTr="002A7D83">
        <w:trPr>
          <w:trHeight w:val="20"/>
        </w:trPr>
        <w:tc>
          <w:tcPr>
            <w:tcW w:w="1263" w:type="pct"/>
            <w:tcBorders>
              <w:top w:val="single" w:sz="4" w:space="0" w:color="auto"/>
              <w:left w:val="single" w:sz="4" w:space="0" w:color="auto"/>
              <w:bottom w:val="single" w:sz="4" w:space="0" w:color="auto"/>
              <w:right w:val="single" w:sz="4" w:space="0" w:color="auto"/>
            </w:tcBorders>
            <w:hideMark/>
          </w:tcPr>
          <w:p w14:paraId="6A218778" w14:textId="77777777" w:rsidR="006B34A1" w:rsidRPr="008D45EF" w:rsidRDefault="006B34A1" w:rsidP="0081699D">
            <w:pPr>
              <w:ind w:left="142"/>
              <w:rPr>
                <w:sz w:val="24"/>
                <w:szCs w:val="24"/>
              </w:rPr>
            </w:pPr>
            <w:r w:rsidRPr="008D45EF">
              <w:rPr>
                <w:sz w:val="24"/>
                <w:szCs w:val="24"/>
              </w:rPr>
              <w:t>Hjerte</w:t>
            </w:r>
          </w:p>
        </w:tc>
        <w:tc>
          <w:tcPr>
            <w:tcW w:w="1382" w:type="pct"/>
            <w:tcBorders>
              <w:top w:val="single" w:sz="4" w:space="0" w:color="auto"/>
              <w:left w:val="single" w:sz="4" w:space="0" w:color="auto"/>
              <w:bottom w:val="single" w:sz="4" w:space="0" w:color="auto"/>
              <w:right w:val="single" w:sz="4" w:space="0" w:color="auto"/>
            </w:tcBorders>
          </w:tcPr>
          <w:p w14:paraId="2356E920" w14:textId="77777777" w:rsidR="006B34A1" w:rsidRPr="008D45EF" w:rsidRDefault="006B34A1" w:rsidP="0081699D">
            <w:pPr>
              <w:ind w:left="142"/>
              <w:rPr>
                <w:sz w:val="24"/>
                <w:szCs w:val="24"/>
              </w:rPr>
            </w:pPr>
          </w:p>
        </w:tc>
        <w:tc>
          <w:tcPr>
            <w:tcW w:w="1167" w:type="pct"/>
            <w:tcBorders>
              <w:top w:val="single" w:sz="4" w:space="0" w:color="auto"/>
              <w:left w:val="single" w:sz="4" w:space="0" w:color="auto"/>
              <w:bottom w:val="single" w:sz="4" w:space="0" w:color="auto"/>
              <w:right w:val="single" w:sz="4" w:space="0" w:color="auto"/>
            </w:tcBorders>
            <w:hideMark/>
          </w:tcPr>
          <w:p w14:paraId="583A44FE" w14:textId="77777777" w:rsidR="006B34A1" w:rsidRPr="008D45EF" w:rsidRDefault="006B34A1" w:rsidP="0081699D">
            <w:pPr>
              <w:ind w:left="142"/>
              <w:rPr>
                <w:sz w:val="24"/>
                <w:szCs w:val="24"/>
              </w:rPr>
            </w:pPr>
            <w:r w:rsidRPr="008D45EF">
              <w:rPr>
                <w:sz w:val="24"/>
                <w:szCs w:val="24"/>
              </w:rPr>
              <w:t>Arytmi (G3/4: 0,7 %)</w:t>
            </w:r>
          </w:p>
        </w:tc>
        <w:tc>
          <w:tcPr>
            <w:tcW w:w="1188" w:type="pct"/>
            <w:tcBorders>
              <w:top w:val="single" w:sz="4" w:space="0" w:color="auto"/>
              <w:left w:val="single" w:sz="4" w:space="0" w:color="auto"/>
              <w:bottom w:val="single" w:sz="4" w:space="0" w:color="auto"/>
              <w:right w:val="single" w:sz="4" w:space="0" w:color="auto"/>
            </w:tcBorders>
            <w:hideMark/>
          </w:tcPr>
          <w:p w14:paraId="4E75B258" w14:textId="77777777" w:rsidR="006B34A1" w:rsidRPr="008D45EF" w:rsidRDefault="006B34A1" w:rsidP="0081699D">
            <w:pPr>
              <w:ind w:left="142"/>
              <w:rPr>
                <w:sz w:val="24"/>
                <w:szCs w:val="24"/>
              </w:rPr>
            </w:pPr>
            <w:r w:rsidRPr="008D45EF">
              <w:rPr>
                <w:sz w:val="24"/>
                <w:szCs w:val="24"/>
              </w:rPr>
              <w:t>Hjertesvigt</w:t>
            </w:r>
          </w:p>
        </w:tc>
      </w:tr>
      <w:tr w:rsidR="006B34A1" w:rsidRPr="008D45EF" w14:paraId="76BAB2C7" w14:textId="77777777" w:rsidTr="002A7D83">
        <w:trPr>
          <w:trHeight w:val="20"/>
        </w:trPr>
        <w:tc>
          <w:tcPr>
            <w:tcW w:w="1263" w:type="pct"/>
            <w:tcBorders>
              <w:top w:val="single" w:sz="4" w:space="0" w:color="auto"/>
              <w:left w:val="single" w:sz="4" w:space="0" w:color="auto"/>
              <w:bottom w:val="single" w:sz="4" w:space="0" w:color="auto"/>
              <w:right w:val="single" w:sz="4" w:space="0" w:color="auto"/>
            </w:tcBorders>
            <w:hideMark/>
          </w:tcPr>
          <w:p w14:paraId="1CCFC920" w14:textId="77777777" w:rsidR="006B34A1" w:rsidRPr="008D45EF" w:rsidRDefault="006B34A1" w:rsidP="0081699D">
            <w:pPr>
              <w:ind w:left="142"/>
              <w:rPr>
                <w:sz w:val="24"/>
                <w:szCs w:val="24"/>
              </w:rPr>
            </w:pPr>
            <w:r w:rsidRPr="008D45EF">
              <w:rPr>
                <w:sz w:val="24"/>
                <w:szCs w:val="24"/>
              </w:rPr>
              <w:t>Vaskulære sygdomme</w:t>
            </w:r>
          </w:p>
        </w:tc>
        <w:tc>
          <w:tcPr>
            <w:tcW w:w="1382" w:type="pct"/>
            <w:tcBorders>
              <w:top w:val="single" w:sz="4" w:space="0" w:color="auto"/>
              <w:left w:val="single" w:sz="4" w:space="0" w:color="auto"/>
              <w:bottom w:val="single" w:sz="4" w:space="0" w:color="auto"/>
              <w:right w:val="single" w:sz="4" w:space="0" w:color="auto"/>
            </w:tcBorders>
          </w:tcPr>
          <w:p w14:paraId="6A6390E9" w14:textId="77777777" w:rsidR="006B34A1" w:rsidRPr="008D45EF" w:rsidRDefault="006B34A1" w:rsidP="0081699D">
            <w:pPr>
              <w:ind w:left="142"/>
              <w:rPr>
                <w:sz w:val="24"/>
                <w:szCs w:val="24"/>
              </w:rPr>
            </w:pPr>
          </w:p>
        </w:tc>
        <w:tc>
          <w:tcPr>
            <w:tcW w:w="1167" w:type="pct"/>
            <w:tcBorders>
              <w:top w:val="single" w:sz="4" w:space="0" w:color="auto"/>
              <w:left w:val="single" w:sz="4" w:space="0" w:color="auto"/>
              <w:bottom w:val="single" w:sz="4" w:space="0" w:color="auto"/>
              <w:right w:val="single" w:sz="4" w:space="0" w:color="auto"/>
            </w:tcBorders>
            <w:hideMark/>
          </w:tcPr>
          <w:p w14:paraId="08BB3502" w14:textId="77777777" w:rsidR="006B34A1" w:rsidRPr="008D45EF" w:rsidRDefault="006B34A1" w:rsidP="0081699D">
            <w:pPr>
              <w:ind w:left="142"/>
              <w:rPr>
                <w:sz w:val="24"/>
                <w:szCs w:val="24"/>
              </w:rPr>
            </w:pPr>
            <w:r w:rsidRPr="008D45EF">
              <w:rPr>
                <w:sz w:val="24"/>
                <w:szCs w:val="24"/>
              </w:rPr>
              <w:t>Hypotension; Hypertension; Hæmoragi</w:t>
            </w:r>
          </w:p>
        </w:tc>
        <w:tc>
          <w:tcPr>
            <w:tcW w:w="1188" w:type="pct"/>
            <w:tcBorders>
              <w:top w:val="single" w:sz="4" w:space="0" w:color="auto"/>
              <w:left w:val="single" w:sz="4" w:space="0" w:color="auto"/>
              <w:bottom w:val="single" w:sz="4" w:space="0" w:color="auto"/>
              <w:right w:val="single" w:sz="4" w:space="0" w:color="auto"/>
            </w:tcBorders>
          </w:tcPr>
          <w:p w14:paraId="10ED3298" w14:textId="77777777" w:rsidR="006B34A1" w:rsidRPr="008D45EF" w:rsidRDefault="006B34A1" w:rsidP="0081699D">
            <w:pPr>
              <w:ind w:left="142"/>
              <w:rPr>
                <w:sz w:val="24"/>
                <w:szCs w:val="24"/>
              </w:rPr>
            </w:pPr>
          </w:p>
        </w:tc>
      </w:tr>
      <w:tr w:rsidR="006B34A1" w:rsidRPr="008D45EF" w14:paraId="1C0D52A7" w14:textId="77777777" w:rsidTr="002A7D83">
        <w:trPr>
          <w:trHeight w:val="20"/>
        </w:trPr>
        <w:tc>
          <w:tcPr>
            <w:tcW w:w="1263" w:type="pct"/>
            <w:tcBorders>
              <w:top w:val="single" w:sz="4" w:space="0" w:color="auto"/>
              <w:left w:val="single" w:sz="4" w:space="0" w:color="auto"/>
              <w:bottom w:val="single" w:sz="4" w:space="0" w:color="auto"/>
              <w:right w:val="single" w:sz="4" w:space="0" w:color="auto"/>
            </w:tcBorders>
            <w:hideMark/>
          </w:tcPr>
          <w:p w14:paraId="73697A05" w14:textId="77777777" w:rsidR="006B34A1" w:rsidRPr="008D45EF" w:rsidRDefault="006B34A1" w:rsidP="0081699D">
            <w:pPr>
              <w:ind w:left="142"/>
              <w:rPr>
                <w:sz w:val="24"/>
                <w:szCs w:val="24"/>
              </w:rPr>
            </w:pPr>
            <w:r w:rsidRPr="008D45EF">
              <w:rPr>
                <w:sz w:val="24"/>
                <w:szCs w:val="24"/>
              </w:rPr>
              <w:t>Luftveje, thorax og mediastinum</w:t>
            </w:r>
          </w:p>
        </w:tc>
        <w:tc>
          <w:tcPr>
            <w:tcW w:w="1382" w:type="pct"/>
            <w:tcBorders>
              <w:top w:val="single" w:sz="4" w:space="0" w:color="auto"/>
              <w:left w:val="single" w:sz="4" w:space="0" w:color="auto"/>
              <w:bottom w:val="single" w:sz="4" w:space="0" w:color="auto"/>
              <w:right w:val="single" w:sz="4" w:space="0" w:color="auto"/>
            </w:tcBorders>
            <w:hideMark/>
          </w:tcPr>
          <w:p w14:paraId="307B0A3A" w14:textId="77777777" w:rsidR="006B34A1" w:rsidRPr="008D45EF" w:rsidRDefault="006B34A1" w:rsidP="0081699D">
            <w:pPr>
              <w:ind w:left="142"/>
              <w:rPr>
                <w:sz w:val="24"/>
                <w:szCs w:val="24"/>
              </w:rPr>
            </w:pPr>
            <w:r w:rsidRPr="008D45EF">
              <w:rPr>
                <w:sz w:val="24"/>
                <w:szCs w:val="24"/>
              </w:rPr>
              <w:t>Dyspnø (alvorlig: 2,7 %)</w:t>
            </w:r>
          </w:p>
        </w:tc>
        <w:tc>
          <w:tcPr>
            <w:tcW w:w="1167" w:type="pct"/>
            <w:tcBorders>
              <w:top w:val="single" w:sz="4" w:space="0" w:color="auto"/>
              <w:left w:val="single" w:sz="4" w:space="0" w:color="auto"/>
              <w:bottom w:val="single" w:sz="4" w:space="0" w:color="auto"/>
              <w:right w:val="single" w:sz="4" w:space="0" w:color="auto"/>
            </w:tcBorders>
          </w:tcPr>
          <w:p w14:paraId="7B442903" w14:textId="77777777" w:rsidR="006B34A1" w:rsidRPr="008D45EF" w:rsidRDefault="006B34A1" w:rsidP="0081699D">
            <w:pPr>
              <w:ind w:left="142"/>
              <w:rPr>
                <w:sz w:val="24"/>
                <w:szCs w:val="24"/>
              </w:rPr>
            </w:pPr>
          </w:p>
        </w:tc>
        <w:tc>
          <w:tcPr>
            <w:tcW w:w="1188" w:type="pct"/>
            <w:tcBorders>
              <w:top w:val="single" w:sz="4" w:space="0" w:color="auto"/>
              <w:left w:val="single" w:sz="4" w:space="0" w:color="auto"/>
              <w:bottom w:val="single" w:sz="4" w:space="0" w:color="auto"/>
              <w:right w:val="single" w:sz="4" w:space="0" w:color="auto"/>
            </w:tcBorders>
          </w:tcPr>
          <w:p w14:paraId="00E63F0C" w14:textId="77777777" w:rsidR="006B34A1" w:rsidRPr="008D45EF" w:rsidRDefault="006B34A1" w:rsidP="0081699D">
            <w:pPr>
              <w:ind w:left="142"/>
              <w:rPr>
                <w:sz w:val="24"/>
                <w:szCs w:val="24"/>
              </w:rPr>
            </w:pPr>
          </w:p>
        </w:tc>
      </w:tr>
      <w:tr w:rsidR="006B34A1" w:rsidRPr="008D45EF" w14:paraId="29EA7DB7" w14:textId="77777777" w:rsidTr="002A7D83">
        <w:trPr>
          <w:trHeight w:val="20"/>
        </w:trPr>
        <w:tc>
          <w:tcPr>
            <w:tcW w:w="1263" w:type="pct"/>
            <w:tcBorders>
              <w:top w:val="single" w:sz="4" w:space="0" w:color="auto"/>
              <w:left w:val="single" w:sz="4" w:space="0" w:color="auto"/>
              <w:bottom w:val="single" w:sz="4" w:space="0" w:color="auto"/>
              <w:right w:val="single" w:sz="4" w:space="0" w:color="auto"/>
            </w:tcBorders>
            <w:hideMark/>
          </w:tcPr>
          <w:p w14:paraId="46289959" w14:textId="77777777" w:rsidR="006B34A1" w:rsidRPr="008D45EF" w:rsidRDefault="006B34A1" w:rsidP="0081699D">
            <w:pPr>
              <w:ind w:left="142"/>
              <w:rPr>
                <w:sz w:val="24"/>
                <w:szCs w:val="24"/>
              </w:rPr>
            </w:pPr>
            <w:r w:rsidRPr="008D45EF">
              <w:rPr>
                <w:sz w:val="24"/>
                <w:szCs w:val="24"/>
              </w:rPr>
              <w:t>Mave-tarm</w:t>
            </w:r>
            <w:r w:rsidR="0007731F">
              <w:rPr>
                <w:sz w:val="24"/>
                <w:szCs w:val="24"/>
              </w:rPr>
              <w:t>-</w:t>
            </w:r>
            <w:r w:rsidRPr="008D45EF">
              <w:rPr>
                <w:sz w:val="24"/>
                <w:szCs w:val="24"/>
              </w:rPr>
              <w:t>kanalen</w:t>
            </w:r>
          </w:p>
        </w:tc>
        <w:tc>
          <w:tcPr>
            <w:tcW w:w="1382" w:type="pct"/>
            <w:tcBorders>
              <w:top w:val="single" w:sz="4" w:space="0" w:color="auto"/>
              <w:left w:val="single" w:sz="4" w:space="0" w:color="auto"/>
              <w:bottom w:val="single" w:sz="4" w:space="0" w:color="auto"/>
              <w:right w:val="single" w:sz="4" w:space="0" w:color="auto"/>
            </w:tcBorders>
            <w:hideMark/>
          </w:tcPr>
          <w:p w14:paraId="1E8FD805" w14:textId="77777777" w:rsidR="006B34A1" w:rsidRPr="008D45EF" w:rsidRDefault="006B34A1" w:rsidP="0081699D">
            <w:pPr>
              <w:ind w:left="142"/>
              <w:rPr>
                <w:sz w:val="24"/>
                <w:szCs w:val="24"/>
              </w:rPr>
            </w:pPr>
            <w:r w:rsidRPr="008D45EF">
              <w:rPr>
                <w:sz w:val="24"/>
                <w:szCs w:val="24"/>
              </w:rPr>
              <w:t>Stomatitis (G3/4: 5,3 %);</w:t>
            </w:r>
          </w:p>
          <w:p w14:paraId="0F5EEA2C" w14:textId="77777777" w:rsidR="006B34A1" w:rsidRPr="008D45EF" w:rsidRDefault="006B34A1" w:rsidP="0081699D">
            <w:pPr>
              <w:ind w:left="142"/>
              <w:rPr>
                <w:sz w:val="24"/>
                <w:szCs w:val="24"/>
              </w:rPr>
            </w:pPr>
            <w:r w:rsidRPr="008D45EF">
              <w:rPr>
                <w:sz w:val="24"/>
                <w:szCs w:val="24"/>
              </w:rPr>
              <w:t xml:space="preserve">Diarré (G3/4: 4 %); </w:t>
            </w:r>
          </w:p>
          <w:p w14:paraId="474A4FDC" w14:textId="77777777" w:rsidR="006B34A1" w:rsidRPr="008D45EF" w:rsidRDefault="006B34A1" w:rsidP="0081699D">
            <w:pPr>
              <w:ind w:left="142"/>
              <w:rPr>
                <w:sz w:val="24"/>
                <w:szCs w:val="24"/>
              </w:rPr>
            </w:pPr>
            <w:r w:rsidRPr="008D45EF">
              <w:rPr>
                <w:sz w:val="24"/>
                <w:szCs w:val="24"/>
              </w:rPr>
              <w:t xml:space="preserve">Kvalme (G3/4: 4 %); </w:t>
            </w:r>
          </w:p>
          <w:p w14:paraId="08E67567" w14:textId="77777777" w:rsidR="006B34A1" w:rsidRPr="008D45EF" w:rsidRDefault="006B34A1" w:rsidP="0081699D">
            <w:pPr>
              <w:ind w:left="142"/>
              <w:rPr>
                <w:sz w:val="24"/>
                <w:szCs w:val="24"/>
              </w:rPr>
            </w:pPr>
            <w:r w:rsidRPr="008D45EF">
              <w:rPr>
                <w:sz w:val="24"/>
                <w:szCs w:val="24"/>
              </w:rPr>
              <w:t>Opkastning (G3/4: 3 %)</w:t>
            </w:r>
          </w:p>
        </w:tc>
        <w:tc>
          <w:tcPr>
            <w:tcW w:w="1167" w:type="pct"/>
            <w:tcBorders>
              <w:top w:val="single" w:sz="4" w:space="0" w:color="auto"/>
              <w:left w:val="single" w:sz="4" w:space="0" w:color="auto"/>
              <w:bottom w:val="single" w:sz="4" w:space="0" w:color="auto"/>
              <w:right w:val="single" w:sz="4" w:space="0" w:color="auto"/>
            </w:tcBorders>
            <w:hideMark/>
          </w:tcPr>
          <w:p w14:paraId="0C32B907" w14:textId="77777777" w:rsidR="006B34A1" w:rsidRPr="008D45EF" w:rsidRDefault="006B34A1" w:rsidP="0081699D">
            <w:pPr>
              <w:ind w:left="142"/>
              <w:rPr>
                <w:sz w:val="24"/>
                <w:szCs w:val="24"/>
              </w:rPr>
            </w:pPr>
            <w:r w:rsidRPr="008D45EF">
              <w:rPr>
                <w:sz w:val="24"/>
                <w:szCs w:val="24"/>
              </w:rPr>
              <w:t xml:space="preserve">Konstipation (alvorlig: 0,2 %); </w:t>
            </w:r>
          </w:p>
          <w:p w14:paraId="10F0F566" w14:textId="77777777" w:rsidR="006B34A1" w:rsidRPr="008D45EF" w:rsidRDefault="006B34A1" w:rsidP="0081699D">
            <w:pPr>
              <w:ind w:left="142"/>
              <w:rPr>
                <w:sz w:val="24"/>
                <w:szCs w:val="24"/>
              </w:rPr>
            </w:pPr>
            <w:r w:rsidRPr="008D45EF">
              <w:rPr>
                <w:sz w:val="24"/>
                <w:szCs w:val="24"/>
              </w:rPr>
              <w:t xml:space="preserve">Mavesmerter (alvorlig: 1 %); </w:t>
            </w:r>
          </w:p>
          <w:p w14:paraId="0702F1D8" w14:textId="77777777" w:rsidR="006B34A1" w:rsidRPr="008D45EF" w:rsidRDefault="006B34A1" w:rsidP="0081699D">
            <w:pPr>
              <w:ind w:left="142"/>
              <w:rPr>
                <w:sz w:val="24"/>
                <w:szCs w:val="24"/>
              </w:rPr>
            </w:pPr>
            <w:r w:rsidRPr="008D45EF">
              <w:rPr>
                <w:sz w:val="24"/>
                <w:szCs w:val="24"/>
              </w:rPr>
              <w:t>Gastrointestinal hæmoragi (alvorlig: 0,3 %)</w:t>
            </w:r>
          </w:p>
        </w:tc>
        <w:tc>
          <w:tcPr>
            <w:tcW w:w="1188" w:type="pct"/>
            <w:tcBorders>
              <w:top w:val="single" w:sz="4" w:space="0" w:color="auto"/>
              <w:left w:val="single" w:sz="4" w:space="0" w:color="auto"/>
              <w:bottom w:val="single" w:sz="4" w:space="0" w:color="auto"/>
              <w:right w:val="single" w:sz="4" w:space="0" w:color="auto"/>
            </w:tcBorders>
            <w:hideMark/>
          </w:tcPr>
          <w:p w14:paraId="1704B041" w14:textId="1D538B12" w:rsidR="006B34A1" w:rsidRPr="008D45EF" w:rsidRDefault="000E6038" w:rsidP="0081699D">
            <w:pPr>
              <w:ind w:left="142"/>
              <w:rPr>
                <w:sz w:val="24"/>
                <w:szCs w:val="24"/>
              </w:rPr>
            </w:pPr>
            <w:r>
              <w:rPr>
                <w:sz w:val="24"/>
                <w:szCs w:val="24"/>
              </w:rPr>
              <w:t>Ø</w:t>
            </w:r>
            <w:r w:rsidRPr="003D4A39">
              <w:rPr>
                <w:sz w:val="24"/>
                <w:szCs w:val="24"/>
              </w:rPr>
              <w:t>so</w:t>
            </w:r>
            <w:r>
              <w:rPr>
                <w:sz w:val="24"/>
                <w:szCs w:val="24"/>
              </w:rPr>
              <w:t>f</w:t>
            </w:r>
            <w:r w:rsidRPr="003D4A39">
              <w:rPr>
                <w:sz w:val="24"/>
                <w:szCs w:val="24"/>
              </w:rPr>
              <w:t>agitis (alvorlig: 0,4 %)</w:t>
            </w:r>
          </w:p>
        </w:tc>
      </w:tr>
      <w:tr w:rsidR="006B34A1" w:rsidRPr="008D45EF" w14:paraId="5A0445EB" w14:textId="77777777" w:rsidTr="002A7D83">
        <w:trPr>
          <w:trHeight w:val="20"/>
        </w:trPr>
        <w:tc>
          <w:tcPr>
            <w:tcW w:w="1263" w:type="pct"/>
            <w:tcBorders>
              <w:top w:val="single" w:sz="4" w:space="0" w:color="auto"/>
              <w:left w:val="single" w:sz="4" w:space="0" w:color="auto"/>
              <w:bottom w:val="single" w:sz="4" w:space="0" w:color="auto"/>
              <w:right w:val="single" w:sz="4" w:space="0" w:color="auto"/>
            </w:tcBorders>
            <w:hideMark/>
          </w:tcPr>
          <w:p w14:paraId="23E58FA0" w14:textId="77777777" w:rsidR="006B34A1" w:rsidRPr="008D45EF" w:rsidRDefault="006B34A1" w:rsidP="000E6038">
            <w:pPr>
              <w:keepNext/>
              <w:ind w:left="142"/>
              <w:rPr>
                <w:sz w:val="24"/>
                <w:szCs w:val="24"/>
              </w:rPr>
            </w:pPr>
            <w:r w:rsidRPr="008D45EF">
              <w:rPr>
                <w:sz w:val="24"/>
                <w:szCs w:val="24"/>
              </w:rPr>
              <w:t>Hud og subkutane væv</w:t>
            </w:r>
          </w:p>
        </w:tc>
        <w:tc>
          <w:tcPr>
            <w:tcW w:w="1382" w:type="pct"/>
            <w:tcBorders>
              <w:top w:val="single" w:sz="4" w:space="0" w:color="auto"/>
              <w:left w:val="single" w:sz="4" w:space="0" w:color="auto"/>
              <w:bottom w:val="single" w:sz="4" w:space="0" w:color="auto"/>
              <w:right w:val="single" w:sz="4" w:space="0" w:color="auto"/>
            </w:tcBorders>
            <w:hideMark/>
          </w:tcPr>
          <w:p w14:paraId="38C3C52B" w14:textId="77777777" w:rsidR="006B34A1" w:rsidRPr="008D45EF" w:rsidRDefault="006B34A1" w:rsidP="0081699D">
            <w:pPr>
              <w:ind w:left="142"/>
              <w:rPr>
                <w:sz w:val="24"/>
                <w:szCs w:val="24"/>
              </w:rPr>
            </w:pPr>
            <w:r w:rsidRPr="008D45EF">
              <w:rPr>
                <w:sz w:val="24"/>
                <w:szCs w:val="24"/>
              </w:rPr>
              <w:t xml:space="preserve">Alopeci; </w:t>
            </w:r>
          </w:p>
          <w:p w14:paraId="496FC682" w14:textId="77777777" w:rsidR="006B34A1" w:rsidRPr="008D45EF" w:rsidRDefault="006B34A1" w:rsidP="0081699D">
            <w:pPr>
              <w:ind w:left="142"/>
              <w:rPr>
                <w:sz w:val="24"/>
                <w:szCs w:val="24"/>
              </w:rPr>
            </w:pPr>
            <w:r w:rsidRPr="008D45EF">
              <w:rPr>
                <w:sz w:val="24"/>
                <w:szCs w:val="24"/>
              </w:rPr>
              <w:t>Hudlidelser (G3/4: 5,9 %);</w:t>
            </w:r>
          </w:p>
          <w:p w14:paraId="601F326E" w14:textId="77777777" w:rsidR="006B34A1" w:rsidRPr="008D45EF" w:rsidRDefault="006B34A1" w:rsidP="0081699D">
            <w:pPr>
              <w:ind w:left="142"/>
              <w:rPr>
                <w:sz w:val="24"/>
                <w:szCs w:val="24"/>
              </w:rPr>
            </w:pPr>
            <w:r w:rsidRPr="008D45EF">
              <w:rPr>
                <w:sz w:val="24"/>
                <w:szCs w:val="24"/>
              </w:rPr>
              <w:t>Neglesygdomme (alvorlig: 2,6 %)</w:t>
            </w:r>
          </w:p>
        </w:tc>
        <w:tc>
          <w:tcPr>
            <w:tcW w:w="1167" w:type="pct"/>
            <w:tcBorders>
              <w:top w:val="single" w:sz="4" w:space="0" w:color="auto"/>
              <w:left w:val="single" w:sz="4" w:space="0" w:color="auto"/>
              <w:bottom w:val="single" w:sz="4" w:space="0" w:color="auto"/>
              <w:right w:val="single" w:sz="4" w:space="0" w:color="auto"/>
            </w:tcBorders>
          </w:tcPr>
          <w:p w14:paraId="27DE918F" w14:textId="77777777" w:rsidR="006B34A1" w:rsidRPr="008D45EF" w:rsidRDefault="006B34A1" w:rsidP="0081699D">
            <w:pPr>
              <w:ind w:left="142"/>
              <w:rPr>
                <w:sz w:val="24"/>
                <w:szCs w:val="24"/>
              </w:rPr>
            </w:pPr>
          </w:p>
        </w:tc>
        <w:tc>
          <w:tcPr>
            <w:tcW w:w="1188" w:type="pct"/>
            <w:tcBorders>
              <w:top w:val="single" w:sz="4" w:space="0" w:color="auto"/>
              <w:left w:val="single" w:sz="4" w:space="0" w:color="auto"/>
              <w:bottom w:val="single" w:sz="4" w:space="0" w:color="auto"/>
              <w:right w:val="single" w:sz="4" w:space="0" w:color="auto"/>
            </w:tcBorders>
          </w:tcPr>
          <w:p w14:paraId="2082EE7F" w14:textId="77777777" w:rsidR="006B34A1" w:rsidRPr="008D45EF" w:rsidRDefault="006B34A1" w:rsidP="0081699D">
            <w:pPr>
              <w:ind w:left="142"/>
              <w:rPr>
                <w:sz w:val="24"/>
                <w:szCs w:val="24"/>
              </w:rPr>
            </w:pPr>
          </w:p>
        </w:tc>
      </w:tr>
      <w:tr w:rsidR="006B34A1" w:rsidRPr="008D45EF" w14:paraId="01A6E2DF" w14:textId="77777777" w:rsidTr="002A7D83">
        <w:trPr>
          <w:trHeight w:val="20"/>
        </w:trPr>
        <w:tc>
          <w:tcPr>
            <w:tcW w:w="1263" w:type="pct"/>
            <w:tcBorders>
              <w:top w:val="single" w:sz="4" w:space="0" w:color="auto"/>
              <w:left w:val="single" w:sz="4" w:space="0" w:color="auto"/>
              <w:bottom w:val="single" w:sz="4" w:space="0" w:color="auto"/>
              <w:right w:val="single" w:sz="4" w:space="0" w:color="auto"/>
            </w:tcBorders>
            <w:hideMark/>
          </w:tcPr>
          <w:p w14:paraId="70FB22A8" w14:textId="77777777" w:rsidR="006B34A1" w:rsidRPr="008D45EF" w:rsidRDefault="006B34A1" w:rsidP="0081699D">
            <w:pPr>
              <w:ind w:left="142"/>
              <w:rPr>
                <w:sz w:val="24"/>
                <w:szCs w:val="24"/>
              </w:rPr>
            </w:pPr>
            <w:r w:rsidRPr="008D45EF">
              <w:rPr>
                <w:sz w:val="24"/>
                <w:szCs w:val="24"/>
              </w:rPr>
              <w:t>Knogler, led, muskler og bindevæv</w:t>
            </w:r>
          </w:p>
        </w:tc>
        <w:tc>
          <w:tcPr>
            <w:tcW w:w="1382" w:type="pct"/>
            <w:tcBorders>
              <w:top w:val="single" w:sz="4" w:space="0" w:color="auto"/>
              <w:left w:val="single" w:sz="4" w:space="0" w:color="auto"/>
              <w:bottom w:val="single" w:sz="4" w:space="0" w:color="auto"/>
              <w:right w:val="single" w:sz="4" w:space="0" w:color="auto"/>
            </w:tcBorders>
            <w:hideMark/>
          </w:tcPr>
          <w:p w14:paraId="6D6D8283" w14:textId="77777777" w:rsidR="006B34A1" w:rsidRPr="008D45EF" w:rsidRDefault="006B34A1" w:rsidP="0081699D">
            <w:pPr>
              <w:ind w:left="142"/>
              <w:rPr>
                <w:sz w:val="24"/>
                <w:szCs w:val="24"/>
              </w:rPr>
            </w:pPr>
            <w:r w:rsidRPr="008D45EF">
              <w:rPr>
                <w:sz w:val="24"/>
                <w:szCs w:val="24"/>
              </w:rPr>
              <w:t>Myalgi (alvorlig: 1,4 %)</w:t>
            </w:r>
          </w:p>
        </w:tc>
        <w:tc>
          <w:tcPr>
            <w:tcW w:w="1167" w:type="pct"/>
            <w:tcBorders>
              <w:top w:val="single" w:sz="4" w:space="0" w:color="auto"/>
              <w:left w:val="single" w:sz="4" w:space="0" w:color="auto"/>
              <w:bottom w:val="single" w:sz="4" w:space="0" w:color="auto"/>
              <w:right w:val="single" w:sz="4" w:space="0" w:color="auto"/>
            </w:tcBorders>
            <w:hideMark/>
          </w:tcPr>
          <w:p w14:paraId="1D34C29E" w14:textId="77777777" w:rsidR="006B34A1" w:rsidRPr="008D45EF" w:rsidRDefault="006B34A1" w:rsidP="0081699D">
            <w:pPr>
              <w:ind w:left="142"/>
              <w:rPr>
                <w:sz w:val="24"/>
                <w:szCs w:val="24"/>
              </w:rPr>
            </w:pPr>
            <w:r w:rsidRPr="008D45EF">
              <w:rPr>
                <w:sz w:val="24"/>
                <w:szCs w:val="24"/>
              </w:rPr>
              <w:t>Artralgi</w:t>
            </w:r>
          </w:p>
        </w:tc>
        <w:tc>
          <w:tcPr>
            <w:tcW w:w="1188" w:type="pct"/>
            <w:tcBorders>
              <w:top w:val="single" w:sz="4" w:space="0" w:color="auto"/>
              <w:left w:val="single" w:sz="4" w:space="0" w:color="auto"/>
              <w:bottom w:val="single" w:sz="4" w:space="0" w:color="auto"/>
              <w:right w:val="single" w:sz="4" w:space="0" w:color="auto"/>
            </w:tcBorders>
          </w:tcPr>
          <w:p w14:paraId="0C1AF7F3" w14:textId="77777777" w:rsidR="006B34A1" w:rsidRPr="008D45EF" w:rsidRDefault="006B34A1" w:rsidP="0081699D">
            <w:pPr>
              <w:ind w:left="142"/>
              <w:rPr>
                <w:sz w:val="24"/>
                <w:szCs w:val="24"/>
              </w:rPr>
            </w:pPr>
          </w:p>
        </w:tc>
      </w:tr>
      <w:tr w:rsidR="006B34A1" w:rsidRPr="008D45EF" w14:paraId="66173378" w14:textId="77777777" w:rsidTr="002A7D83">
        <w:trPr>
          <w:trHeight w:val="20"/>
        </w:trPr>
        <w:tc>
          <w:tcPr>
            <w:tcW w:w="1263" w:type="pct"/>
            <w:tcBorders>
              <w:top w:val="single" w:sz="4" w:space="0" w:color="auto"/>
              <w:left w:val="single" w:sz="4" w:space="0" w:color="auto"/>
              <w:bottom w:val="single" w:sz="4" w:space="0" w:color="auto"/>
              <w:right w:val="single" w:sz="4" w:space="0" w:color="auto"/>
            </w:tcBorders>
            <w:hideMark/>
          </w:tcPr>
          <w:p w14:paraId="7A5A4453" w14:textId="77777777" w:rsidR="006B34A1" w:rsidRPr="008D45EF" w:rsidRDefault="006B34A1" w:rsidP="0081699D">
            <w:pPr>
              <w:ind w:left="142"/>
              <w:rPr>
                <w:sz w:val="24"/>
                <w:szCs w:val="24"/>
              </w:rPr>
            </w:pPr>
            <w:r w:rsidRPr="008D45EF">
              <w:rPr>
                <w:sz w:val="24"/>
                <w:szCs w:val="24"/>
              </w:rPr>
              <w:t>Almene symptomer og reaktioner på administrationsstedet</w:t>
            </w:r>
          </w:p>
        </w:tc>
        <w:tc>
          <w:tcPr>
            <w:tcW w:w="1382" w:type="pct"/>
            <w:tcBorders>
              <w:top w:val="single" w:sz="4" w:space="0" w:color="auto"/>
              <w:left w:val="single" w:sz="4" w:space="0" w:color="auto"/>
              <w:bottom w:val="single" w:sz="4" w:space="0" w:color="auto"/>
              <w:right w:val="single" w:sz="4" w:space="0" w:color="auto"/>
            </w:tcBorders>
            <w:hideMark/>
          </w:tcPr>
          <w:p w14:paraId="73FC10A6" w14:textId="77777777" w:rsidR="006B34A1" w:rsidRPr="008D45EF" w:rsidRDefault="006B34A1" w:rsidP="0081699D">
            <w:pPr>
              <w:ind w:left="142"/>
              <w:rPr>
                <w:sz w:val="24"/>
                <w:szCs w:val="24"/>
              </w:rPr>
            </w:pPr>
            <w:r w:rsidRPr="008D45EF">
              <w:rPr>
                <w:sz w:val="24"/>
                <w:szCs w:val="24"/>
              </w:rPr>
              <w:t xml:space="preserve">Væskeretention (alvorlig: 6,5 %); </w:t>
            </w:r>
          </w:p>
          <w:p w14:paraId="28179649" w14:textId="77777777" w:rsidR="006B34A1" w:rsidRPr="008D45EF" w:rsidRDefault="006B34A1" w:rsidP="0081699D">
            <w:pPr>
              <w:ind w:left="142"/>
              <w:rPr>
                <w:sz w:val="24"/>
                <w:szCs w:val="24"/>
              </w:rPr>
            </w:pPr>
            <w:r w:rsidRPr="008D45EF">
              <w:rPr>
                <w:sz w:val="24"/>
                <w:szCs w:val="24"/>
              </w:rPr>
              <w:t xml:space="preserve">Asteni (alvorlig: 11,2 %); </w:t>
            </w:r>
          </w:p>
          <w:p w14:paraId="2BED2A3D" w14:textId="77777777" w:rsidR="006B34A1" w:rsidRPr="008D45EF" w:rsidRDefault="006B34A1" w:rsidP="0081699D">
            <w:pPr>
              <w:ind w:left="142"/>
              <w:rPr>
                <w:sz w:val="24"/>
                <w:szCs w:val="24"/>
              </w:rPr>
            </w:pPr>
            <w:r w:rsidRPr="008D45EF">
              <w:rPr>
                <w:sz w:val="24"/>
                <w:szCs w:val="24"/>
              </w:rPr>
              <w:t>Smerter</w:t>
            </w:r>
          </w:p>
        </w:tc>
        <w:tc>
          <w:tcPr>
            <w:tcW w:w="1167" w:type="pct"/>
            <w:tcBorders>
              <w:top w:val="single" w:sz="4" w:space="0" w:color="auto"/>
              <w:left w:val="single" w:sz="4" w:space="0" w:color="auto"/>
              <w:bottom w:val="single" w:sz="4" w:space="0" w:color="auto"/>
              <w:right w:val="single" w:sz="4" w:space="0" w:color="auto"/>
            </w:tcBorders>
            <w:hideMark/>
          </w:tcPr>
          <w:p w14:paraId="447A3715" w14:textId="77777777" w:rsidR="006B34A1" w:rsidRPr="008D45EF" w:rsidRDefault="006B34A1" w:rsidP="0081699D">
            <w:pPr>
              <w:ind w:left="142"/>
              <w:rPr>
                <w:sz w:val="24"/>
                <w:szCs w:val="24"/>
              </w:rPr>
            </w:pPr>
            <w:r w:rsidRPr="008D45EF">
              <w:rPr>
                <w:sz w:val="24"/>
                <w:szCs w:val="24"/>
              </w:rPr>
              <w:t xml:space="preserve">Reaktioner på infusionsstedet; </w:t>
            </w:r>
          </w:p>
          <w:p w14:paraId="1FA00110" w14:textId="77777777" w:rsidR="006B34A1" w:rsidRPr="008D45EF" w:rsidRDefault="006B34A1" w:rsidP="0081699D">
            <w:pPr>
              <w:ind w:left="142"/>
              <w:rPr>
                <w:sz w:val="24"/>
                <w:szCs w:val="24"/>
              </w:rPr>
            </w:pPr>
            <w:r w:rsidRPr="008D45EF">
              <w:rPr>
                <w:sz w:val="24"/>
                <w:szCs w:val="24"/>
              </w:rPr>
              <w:t>Ikke-kardiale brystsmerter (alvorlig: 0,4 %)</w:t>
            </w:r>
          </w:p>
        </w:tc>
        <w:tc>
          <w:tcPr>
            <w:tcW w:w="1188" w:type="pct"/>
            <w:tcBorders>
              <w:top w:val="single" w:sz="4" w:space="0" w:color="auto"/>
              <w:left w:val="single" w:sz="4" w:space="0" w:color="auto"/>
              <w:bottom w:val="single" w:sz="4" w:space="0" w:color="auto"/>
              <w:right w:val="single" w:sz="4" w:space="0" w:color="auto"/>
            </w:tcBorders>
          </w:tcPr>
          <w:p w14:paraId="585593E2" w14:textId="77777777" w:rsidR="006B34A1" w:rsidRPr="008D45EF" w:rsidRDefault="006B34A1" w:rsidP="0081699D">
            <w:pPr>
              <w:ind w:left="142"/>
              <w:rPr>
                <w:sz w:val="24"/>
                <w:szCs w:val="24"/>
              </w:rPr>
            </w:pPr>
          </w:p>
        </w:tc>
      </w:tr>
      <w:tr w:rsidR="006B34A1" w:rsidRPr="008D45EF" w14:paraId="28E78699" w14:textId="77777777" w:rsidTr="002A7D83">
        <w:trPr>
          <w:trHeight w:val="20"/>
        </w:trPr>
        <w:tc>
          <w:tcPr>
            <w:tcW w:w="1263" w:type="pct"/>
            <w:tcBorders>
              <w:top w:val="single" w:sz="4" w:space="0" w:color="auto"/>
              <w:left w:val="single" w:sz="4" w:space="0" w:color="auto"/>
              <w:bottom w:val="single" w:sz="4" w:space="0" w:color="auto"/>
              <w:right w:val="single" w:sz="4" w:space="0" w:color="auto"/>
            </w:tcBorders>
            <w:hideMark/>
          </w:tcPr>
          <w:p w14:paraId="231E71CA" w14:textId="77777777" w:rsidR="006B34A1" w:rsidRPr="008D45EF" w:rsidRDefault="006B34A1" w:rsidP="0081699D">
            <w:pPr>
              <w:ind w:left="142"/>
              <w:rPr>
                <w:sz w:val="24"/>
                <w:szCs w:val="24"/>
              </w:rPr>
            </w:pPr>
            <w:r w:rsidRPr="008D45EF">
              <w:rPr>
                <w:sz w:val="24"/>
                <w:szCs w:val="24"/>
              </w:rPr>
              <w:t>Undersøgelser</w:t>
            </w:r>
          </w:p>
        </w:tc>
        <w:tc>
          <w:tcPr>
            <w:tcW w:w="1382" w:type="pct"/>
            <w:tcBorders>
              <w:top w:val="single" w:sz="4" w:space="0" w:color="auto"/>
              <w:left w:val="single" w:sz="4" w:space="0" w:color="auto"/>
              <w:bottom w:val="single" w:sz="4" w:space="0" w:color="auto"/>
              <w:right w:val="single" w:sz="4" w:space="0" w:color="auto"/>
            </w:tcBorders>
          </w:tcPr>
          <w:p w14:paraId="62001B23" w14:textId="77777777" w:rsidR="006B34A1" w:rsidRPr="008D45EF" w:rsidRDefault="006B34A1" w:rsidP="0081699D">
            <w:pPr>
              <w:ind w:left="142"/>
              <w:rPr>
                <w:sz w:val="24"/>
                <w:szCs w:val="24"/>
              </w:rPr>
            </w:pPr>
          </w:p>
        </w:tc>
        <w:tc>
          <w:tcPr>
            <w:tcW w:w="1167" w:type="pct"/>
            <w:tcBorders>
              <w:top w:val="single" w:sz="4" w:space="0" w:color="auto"/>
              <w:left w:val="single" w:sz="4" w:space="0" w:color="auto"/>
              <w:bottom w:val="single" w:sz="4" w:space="0" w:color="auto"/>
              <w:right w:val="single" w:sz="4" w:space="0" w:color="auto"/>
            </w:tcBorders>
            <w:hideMark/>
          </w:tcPr>
          <w:p w14:paraId="391DF5DE" w14:textId="77777777" w:rsidR="006B34A1" w:rsidRPr="008D45EF" w:rsidRDefault="006B34A1" w:rsidP="0081699D">
            <w:pPr>
              <w:ind w:left="142"/>
              <w:rPr>
                <w:sz w:val="24"/>
                <w:szCs w:val="24"/>
              </w:rPr>
            </w:pPr>
            <w:r w:rsidRPr="008D45EF">
              <w:rPr>
                <w:sz w:val="24"/>
                <w:szCs w:val="24"/>
              </w:rPr>
              <w:t>G3/4 forhøjet bilirubin i blodet (&lt; 5 %);</w:t>
            </w:r>
          </w:p>
          <w:p w14:paraId="4D6E0B8E" w14:textId="77777777" w:rsidR="006B34A1" w:rsidRPr="008D45EF" w:rsidRDefault="006B34A1" w:rsidP="0081699D">
            <w:pPr>
              <w:ind w:left="142"/>
              <w:rPr>
                <w:sz w:val="24"/>
                <w:szCs w:val="24"/>
              </w:rPr>
            </w:pPr>
            <w:r w:rsidRPr="008D45EF">
              <w:rPr>
                <w:sz w:val="24"/>
                <w:szCs w:val="24"/>
              </w:rPr>
              <w:t>G3/4 forhøjet alkalisk fosfatase i blodet (&lt; 4 %);</w:t>
            </w:r>
          </w:p>
          <w:p w14:paraId="11BE327C" w14:textId="77777777" w:rsidR="006B34A1" w:rsidRPr="008D45EF" w:rsidRDefault="006B34A1" w:rsidP="0081699D">
            <w:pPr>
              <w:ind w:left="142"/>
              <w:rPr>
                <w:sz w:val="24"/>
                <w:szCs w:val="24"/>
              </w:rPr>
            </w:pPr>
            <w:r w:rsidRPr="008D45EF">
              <w:rPr>
                <w:sz w:val="24"/>
                <w:szCs w:val="24"/>
              </w:rPr>
              <w:t>G3/4 ASAT forhøjet (&lt; 3 %);</w:t>
            </w:r>
          </w:p>
          <w:p w14:paraId="48A3881A" w14:textId="77777777" w:rsidR="006B34A1" w:rsidRPr="008D45EF" w:rsidRDefault="006B34A1" w:rsidP="0081699D">
            <w:pPr>
              <w:ind w:left="142"/>
              <w:rPr>
                <w:sz w:val="24"/>
                <w:szCs w:val="24"/>
              </w:rPr>
            </w:pPr>
            <w:r w:rsidRPr="008D45EF">
              <w:rPr>
                <w:sz w:val="24"/>
                <w:szCs w:val="24"/>
              </w:rPr>
              <w:t>G3/4 ALAT forhøjet (&lt; 2 %)</w:t>
            </w:r>
          </w:p>
        </w:tc>
        <w:tc>
          <w:tcPr>
            <w:tcW w:w="1188" w:type="pct"/>
            <w:tcBorders>
              <w:top w:val="single" w:sz="4" w:space="0" w:color="auto"/>
              <w:left w:val="single" w:sz="4" w:space="0" w:color="auto"/>
              <w:bottom w:val="single" w:sz="4" w:space="0" w:color="auto"/>
              <w:right w:val="single" w:sz="4" w:space="0" w:color="auto"/>
            </w:tcBorders>
          </w:tcPr>
          <w:p w14:paraId="44A92B1B" w14:textId="77777777" w:rsidR="006B34A1" w:rsidRPr="008D45EF" w:rsidRDefault="006B34A1" w:rsidP="0081699D">
            <w:pPr>
              <w:ind w:left="142"/>
              <w:rPr>
                <w:sz w:val="24"/>
                <w:szCs w:val="24"/>
              </w:rPr>
            </w:pPr>
          </w:p>
        </w:tc>
      </w:tr>
    </w:tbl>
    <w:p w14:paraId="74E6A81D" w14:textId="77777777" w:rsidR="006B34A1" w:rsidRDefault="006B34A1" w:rsidP="0081699D">
      <w:pPr>
        <w:ind w:left="851"/>
        <w:rPr>
          <w:sz w:val="24"/>
          <w:szCs w:val="24"/>
          <w:u w:val="single"/>
        </w:rPr>
      </w:pPr>
    </w:p>
    <w:p w14:paraId="4FCC43D1" w14:textId="77777777" w:rsidR="006B34A1" w:rsidRPr="008D45EF" w:rsidRDefault="006B34A1" w:rsidP="0081699D">
      <w:pPr>
        <w:ind w:left="851"/>
        <w:rPr>
          <w:sz w:val="24"/>
          <w:szCs w:val="24"/>
          <w:u w:val="single"/>
        </w:rPr>
      </w:pPr>
      <w:r w:rsidRPr="008D45EF">
        <w:rPr>
          <w:sz w:val="24"/>
          <w:szCs w:val="24"/>
          <w:u w:val="single"/>
        </w:rPr>
        <w:t>Beskrivelse af udvalgte bivirkninger ved behandling af brystkræft med docetaxel 100 mg/m² enkeltstof:</w:t>
      </w:r>
    </w:p>
    <w:p w14:paraId="6A527653" w14:textId="77777777" w:rsidR="006B34A1" w:rsidRPr="008D45EF" w:rsidRDefault="006B34A1" w:rsidP="0081699D">
      <w:pPr>
        <w:ind w:left="851"/>
        <w:rPr>
          <w:sz w:val="24"/>
          <w:szCs w:val="24"/>
        </w:rPr>
      </w:pPr>
    </w:p>
    <w:p w14:paraId="78924057" w14:textId="77777777" w:rsidR="006B34A1" w:rsidRPr="008D45EF" w:rsidRDefault="006B34A1" w:rsidP="0081699D">
      <w:pPr>
        <w:ind w:left="851"/>
        <w:rPr>
          <w:sz w:val="24"/>
          <w:szCs w:val="24"/>
        </w:rPr>
      </w:pPr>
      <w:r w:rsidRPr="008D45EF">
        <w:rPr>
          <w:i/>
          <w:iCs/>
          <w:sz w:val="24"/>
          <w:szCs w:val="24"/>
        </w:rPr>
        <w:t>Blod og lymfesystem</w:t>
      </w:r>
    </w:p>
    <w:p w14:paraId="1DBB42EB" w14:textId="77777777" w:rsidR="006B34A1" w:rsidRPr="008D45EF" w:rsidRDefault="006B34A1" w:rsidP="0081699D">
      <w:pPr>
        <w:ind w:left="851"/>
        <w:rPr>
          <w:sz w:val="24"/>
          <w:szCs w:val="24"/>
        </w:rPr>
      </w:pPr>
      <w:r w:rsidRPr="008D45EF">
        <w:rPr>
          <w:sz w:val="24"/>
          <w:szCs w:val="24"/>
        </w:rPr>
        <w:t>Sjælden: Blødningsepisoder associeret med grad 3/4 trombocytopeni.</w:t>
      </w:r>
    </w:p>
    <w:p w14:paraId="3402E7D8" w14:textId="77777777" w:rsidR="006B34A1" w:rsidRPr="008D45EF" w:rsidRDefault="006B34A1" w:rsidP="0081699D">
      <w:pPr>
        <w:ind w:left="851"/>
        <w:rPr>
          <w:sz w:val="24"/>
          <w:szCs w:val="24"/>
        </w:rPr>
      </w:pPr>
    </w:p>
    <w:p w14:paraId="6E852554" w14:textId="77777777" w:rsidR="006B34A1" w:rsidRPr="008D45EF" w:rsidRDefault="006B34A1" w:rsidP="0081699D">
      <w:pPr>
        <w:ind w:left="851"/>
        <w:rPr>
          <w:sz w:val="24"/>
          <w:szCs w:val="24"/>
        </w:rPr>
      </w:pPr>
      <w:r w:rsidRPr="008D45EF">
        <w:rPr>
          <w:i/>
          <w:iCs/>
          <w:sz w:val="24"/>
          <w:szCs w:val="24"/>
        </w:rPr>
        <w:t>Nervesystemet</w:t>
      </w:r>
    </w:p>
    <w:p w14:paraId="04F5FBE2" w14:textId="77777777" w:rsidR="006B34A1" w:rsidRPr="008D45EF" w:rsidRDefault="006B34A1" w:rsidP="0081699D">
      <w:pPr>
        <w:ind w:left="851"/>
        <w:rPr>
          <w:sz w:val="24"/>
          <w:szCs w:val="24"/>
        </w:rPr>
      </w:pPr>
      <w:r w:rsidRPr="008D45EF">
        <w:rPr>
          <w:sz w:val="24"/>
          <w:szCs w:val="24"/>
        </w:rPr>
        <w:t>Reversibilitets-data tilgængelige hos 35,3 % af de patienter, som udviklede neurotoksicitet efter docetaxel-behandling med 100 mg/m² som enkelt stof. Tilfældene var spontant reversible inden for 3 måneder.</w:t>
      </w:r>
    </w:p>
    <w:p w14:paraId="6BCCC406" w14:textId="77777777" w:rsidR="006B34A1" w:rsidRPr="008D45EF" w:rsidRDefault="006B34A1" w:rsidP="0081699D">
      <w:pPr>
        <w:ind w:left="851"/>
        <w:rPr>
          <w:sz w:val="24"/>
          <w:szCs w:val="24"/>
        </w:rPr>
      </w:pPr>
    </w:p>
    <w:p w14:paraId="2988F97D" w14:textId="77777777" w:rsidR="006B34A1" w:rsidRPr="008D45EF" w:rsidRDefault="006B34A1" w:rsidP="0081699D">
      <w:pPr>
        <w:ind w:left="851"/>
        <w:rPr>
          <w:sz w:val="24"/>
          <w:szCs w:val="24"/>
        </w:rPr>
      </w:pPr>
      <w:r w:rsidRPr="008D45EF">
        <w:rPr>
          <w:i/>
          <w:iCs/>
          <w:sz w:val="24"/>
          <w:szCs w:val="24"/>
        </w:rPr>
        <w:t>Hud og subkutane væv</w:t>
      </w:r>
    </w:p>
    <w:p w14:paraId="06D80C0D" w14:textId="77777777" w:rsidR="006B34A1" w:rsidRPr="008D45EF" w:rsidRDefault="006B34A1" w:rsidP="0081699D">
      <w:pPr>
        <w:ind w:left="851"/>
        <w:rPr>
          <w:sz w:val="24"/>
          <w:szCs w:val="24"/>
        </w:rPr>
      </w:pPr>
      <w:r w:rsidRPr="008D45EF">
        <w:rPr>
          <w:sz w:val="24"/>
          <w:szCs w:val="24"/>
        </w:rPr>
        <w:t>Meget sjælden: Et enkelt tilfælde af ikke-reversibel alopeci ved slutningen af studiet. 73 % af de kutane reaktioner var reversible inden for 21 dage.</w:t>
      </w:r>
    </w:p>
    <w:p w14:paraId="295307D2" w14:textId="77777777" w:rsidR="006B34A1" w:rsidRPr="008D45EF" w:rsidRDefault="006B34A1" w:rsidP="0081699D">
      <w:pPr>
        <w:ind w:left="851"/>
        <w:rPr>
          <w:sz w:val="24"/>
          <w:szCs w:val="24"/>
        </w:rPr>
      </w:pPr>
    </w:p>
    <w:p w14:paraId="715FC67F" w14:textId="77777777" w:rsidR="006B34A1" w:rsidRPr="008D45EF" w:rsidRDefault="006B34A1" w:rsidP="0081699D">
      <w:pPr>
        <w:ind w:left="851"/>
        <w:rPr>
          <w:sz w:val="24"/>
          <w:szCs w:val="24"/>
        </w:rPr>
      </w:pPr>
      <w:r w:rsidRPr="008D45EF">
        <w:rPr>
          <w:i/>
          <w:iCs/>
          <w:sz w:val="24"/>
          <w:szCs w:val="24"/>
        </w:rPr>
        <w:t>Almene symptomer og reaktioner på administrationsstedet</w:t>
      </w:r>
    </w:p>
    <w:p w14:paraId="024EF3B8" w14:textId="77777777" w:rsidR="006B34A1" w:rsidRPr="008D45EF" w:rsidRDefault="006B34A1" w:rsidP="0081699D">
      <w:pPr>
        <w:ind w:left="851"/>
        <w:rPr>
          <w:sz w:val="24"/>
          <w:szCs w:val="24"/>
        </w:rPr>
      </w:pPr>
      <w:r w:rsidRPr="008D45EF">
        <w:rPr>
          <w:sz w:val="24"/>
          <w:szCs w:val="24"/>
        </w:rPr>
        <w:t>Den mediane kumulative dosis til behandlingsophør var mere end 1.000 mg/m² og median-tiden til reversibilitet af væskeretention var 16,4 uger (range 0 til 42 uger). Begyndelsen af moderat og alvorlig retention var forsinket hos patienter (median kumulativ dosis: 818,9 mg/m²) med præmedicinering set i forhold til patienter uden præmedicinering (median kumulativ dosis: 489,7 mg/m²). Det har imidlertid været rapporteret hos nogle patienter under de tidlige kure af behandlingen.</w:t>
      </w:r>
    </w:p>
    <w:p w14:paraId="29E89DCE" w14:textId="77777777" w:rsidR="006B34A1" w:rsidRPr="008D45EF" w:rsidRDefault="006B34A1" w:rsidP="0081699D">
      <w:pPr>
        <w:ind w:left="851"/>
        <w:rPr>
          <w:sz w:val="24"/>
          <w:szCs w:val="24"/>
        </w:rPr>
      </w:pPr>
    </w:p>
    <w:p w14:paraId="6656B110" w14:textId="4713C3F8" w:rsidR="000E6038" w:rsidRPr="003D4A39" w:rsidRDefault="000E6038" w:rsidP="000E6038">
      <w:pPr>
        <w:keepNext/>
        <w:ind w:left="142"/>
        <w:rPr>
          <w:sz w:val="24"/>
          <w:szCs w:val="24"/>
          <w:u w:val="single"/>
        </w:rPr>
      </w:pPr>
      <w:r w:rsidRPr="003D4A39">
        <w:rPr>
          <w:sz w:val="24"/>
          <w:szCs w:val="24"/>
          <w:u w:val="single"/>
        </w:rPr>
        <w:t>Tabel over bivirkninger ved behandling af ikke-småcellet lungekræft med docetaxel 75 mg/m² enkeltstof</w:t>
      </w:r>
    </w:p>
    <w:p w14:paraId="3C722335" w14:textId="77777777" w:rsidR="006B34A1" w:rsidRPr="008D45EF" w:rsidRDefault="006B34A1" w:rsidP="009B0C24">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17"/>
        <w:gridCol w:w="3216"/>
        <w:gridCol w:w="3195"/>
      </w:tblGrid>
      <w:tr w:rsidR="006B34A1" w:rsidRPr="008D45EF" w14:paraId="32ACF485" w14:textId="77777777" w:rsidTr="002A7D83">
        <w:trPr>
          <w:trHeight w:val="20"/>
          <w:tblHeader/>
        </w:trPr>
        <w:tc>
          <w:tcPr>
            <w:tcW w:w="1671" w:type="pct"/>
            <w:tcBorders>
              <w:top w:val="single" w:sz="4" w:space="0" w:color="auto"/>
              <w:left w:val="single" w:sz="4" w:space="0" w:color="auto"/>
              <w:bottom w:val="single" w:sz="4" w:space="0" w:color="auto"/>
              <w:right w:val="single" w:sz="4" w:space="0" w:color="auto"/>
            </w:tcBorders>
            <w:hideMark/>
          </w:tcPr>
          <w:p w14:paraId="01BD731D" w14:textId="77777777" w:rsidR="006B34A1" w:rsidRPr="008D45EF" w:rsidRDefault="006B34A1" w:rsidP="0081699D">
            <w:pPr>
              <w:ind w:left="142"/>
              <w:rPr>
                <w:b/>
                <w:bCs/>
                <w:sz w:val="24"/>
                <w:szCs w:val="24"/>
              </w:rPr>
            </w:pPr>
            <w:r w:rsidRPr="008D45EF">
              <w:rPr>
                <w:b/>
                <w:bCs/>
                <w:sz w:val="24"/>
                <w:szCs w:val="24"/>
              </w:rPr>
              <w:t>Systemorganklasser i henhold til MedDRA-databasen</w:t>
            </w:r>
          </w:p>
        </w:tc>
        <w:tc>
          <w:tcPr>
            <w:tcW w:w="1670" w:type="pct"/>
            <w:tcBorders>
              <w:top w:val="single" w:sz="4" w:space="0" w:color="auto"/>
              <w:left w:val="single" w:sz="4" w:space="0" w:color="auto"/>
              <w:bottom w:val="single" w:sz="4" w:space="0" w:color="auto"/>
              <w:right w:val="single" w:sz="4" w:space="0" w:color="auto"/>
            </w:tcBorders>
            <w:hideMark/>
          </w:tcPr>
          <w:p w14:paraId="5BF5BE41" w14:textId="77777777" w:rsidR="006B34A1" w:rsidRPr="008D45EF" w:rsidRDefault="006B34A1" w:rsidP="0081699D">
            <w:pPr>
              <w:ind w:left="142"/>
              <w:rPr>
                <w:b/>
                <w:sz w:val="24"/>
                <w:szCs w:val="24"/>
              </w:rPr>
            </w:pPr>
            <w:r w:rsidRPr="008D45EF">
              <w:rPr>
                <w:b/>
                <w:sz w:val="24"/>
                <w:szCs w:val="24"/>
              </w:rPr>
              <w:t>Meget almindelige bivirkninger</w:t>
            </w:r>
          </w:p>
        </w:tc>
        <w:tc>
          <w:tcPr>
            <w:tcW w:w="1659" w:type="pct"/>
            <w:tcBorders>
              <w:top w:val="single" w:sz="4" w:space="0" w:color="auto"/>
              <w:left w:val="single" w:sz="4" w:space="0" w:color="auto"/>
              <w:bottom w:val="single" w:sz="4" w:space="0" w:color="auto"/>
              <w:right w:val="single" w:sz="4" w:space="0" w:color="auto"/>
            </w:tcBorders>
            <w:hideMark/>
          </w:tcPr>
          <w:p w14:paraId="7D90AF95" w14:textId="77777777" w:rsidR="006B34A1" w:rsidRPr="008D45EF" w:rsidRDefault="006B34A1" w:rsidP="0081699D">
            <w:pPr>
              <w:ind w:left="142"/>
              <w:rPr>
                <w:b/>
                <w:bCs/>
                <w:sz w:val="24"/>
                <w:szCs w:val="24"/>
              </w:rPr>
            </w:pPr>
            <w:r w:rsidRPr="008D45EF">
              <w:rPr>
                <w:b/>
                <w:bCs/>
                <w:sz w:val="24"/>
                <w:szCs w:val="24"/>
              </w:rPr>
              <w:t>Almindelige bivirkninger</w:t>
            </w:r>
          </w:p>
        </w:tc>
      </w:tr>
      <w:tr w:rsidR="006B34A1" w:rsidRPr="008D45EF" w14:paraId="2F90BF3D" w14:textId="77777777" w:rsidTr="002A7D83">
        <w:trPr>
          <w:trHeight w:val="20"/>
        </w:trPr>
        <w:tc>
          <w:tcPr>
            <w:tcW w:w="1671" w:type="pct"/>
            <w:tcBorders>
              <w:top w:val="single" w:sz="4" w:space="0" w:color="auto"/>
              <w:left w:val="single" w:sz="4" w:space="0" w:color="auto"/>
              <w:bottom w:val="single" w:sz="4" w:space="0" w:color="auto"/>
              <w:right w:val="single" w:sz="4" w:space="0" w:color="auto"/>
            </w:tcBorders>
            <w:hideMark/>
          </w:tcPr>
          <w:p w14:paraId="302D62DE" w14:textId="77777777" w:rsidR="006B34A1" w:rsidRPr="008D45EF" w:rsidRDefault="006B34A1" w:rsidP="0081699D">
            <w:pPr>
              <w:ind w:left="142"/>
              <w:rPr>
                <w:sz w:val="24"/>
                <w:szCs w:val="24"/>
              </w:rPr>
            </w:pPr>
            <w:r w:rsidRPr="008D45EF">
              <w:rPr>
                <w:sz w:val="24"/>
                <w:szCs w:val="24"/>
              </w:rPr>
              <w:t>Infektioner og parasitære sygdomme</w:t>
            </w:r>
          </w:p>
        </w:tc>
        <w:tc>
          <w:tcPr>
            <w:tcW w:w="1670" w:type="pct"/>
            <w:tcBorders>
              <w:top w:val="single" w:sz="4" w:space="0" w:color="auto"/>
              <w:left w:val="single" w:sz="4" w:space="0" w:color="auto"/>
              <w:bottom w:val="single" w:sz="4" w:space="0" w:color="auto"/>
              <w:right w:val="single" w:sz="4" w:space="0" w:color="auto"/>
            </w:tcBorders>
            <w:hideMark/>
          </w:tcPr>
          <w:p w14:paraId="58369C3D" w14:textId="77777777" w:rsidR="006B34A1" w:rsidRPr="008D45EF" w:rsidRDefault="006B34A1" w:rsidP="0081699D">
            <w:pPr>
              <w:ind w:left="142"/>
              <w:rPr>
                <w:sz w:val="24"/>
                <w:szCs w:val="24"/>
              </w:rPr>
            </w:pPr>
            <w:r w:rsidRPr="008D45EF">
              <w:rPr>
                <w:sz w:val="24"/>
                <w:szCs w:val="24"/>
              </w:rPr>
              <w:t>Infektioner (G3/4: 5 %)</w:t>
            </w:r>
          </w:p>
        </w:tc>
        <w:tc>
          <w:tcPr>
            <w:tcW w:w="1659" w:type="pct"/>
            <w:tcBorders>
              <w:top w:val="single" w:sz="4" w:space="0" w:color="auto"/>
              <w:left w:val="single" w:sz="4" w:space="0" w:color="auto"/>
              <w:bottom w:val="single" w:sz="4" w:space="0" w:color="auto"/>
              <w:right w:val="single" w:sz="4" w:space="0" w:color="auto"/>
            </w:tcBorders>
          </w:tcPr>
          <w:p w14:paraId="4214B5D7" w14:textId="77777777" w:rsidR="006B34A1" w:rsidRPr="008D45EF" w:rsidRDefault="006B34A1" w:rsidP="0081699D">
            <w:pPr>
              <w:ind w:left="142"/>
              <w:rPr>
                <w:sz w:val="24"/>
                <w:szCs w:val="24"/>
              </w:rPr>
            </w:pPr>
          </w:p>
        </w:tc>
      </w:tr>
      <w:tr w:rsidR="006B34A1" w:rsidRPr="008D45EF" w14:paraId="680B4325" w14:textId="77777777" w:rsidTr="002A7D83">
        <w:trPr>
          <w:trHeight w:val="20"/>
        </w:trPr>
        <w:tc>
          <w:tcPr>
            <w:tcW w:w="1671" w:type="pct"/>
            <w:tcBorders>
              <w:top w:val="single" w:sz="4" w:space="0" w:color="auto"/>
              <w:left w:val="single" w:sz="4" w:space="0" w:color="auto"/>
              <w:bottom w:val="single" w:sz="4" w:space="0" w:color="auto"/>
              <w:right w:val="single" w:sz="4" w:space="0" w:color="auto"/>
            </w:tcBorders>
            <w:hideMark/>
          </w:tcPr>
          <w:p w14:paraId="5F056199" w14:textId="77777777" w:rsidR="006B34A1" w:rsidRPr="008D45EF" w:rsidRDefault="006B34A1" w:rsidP="0081699D">
            <w:pPr>
              <w:ind w:left="142"/>
              <w:rPr>
                <w:sz w:val="24"/>
                <w:szCs w:val="24"/>
              </w:rPr>
            </w:pPr>
            <w:r w:rsidRPr="008D45EF">
              <w:rPr>
                <w:sz w:val="24"/>
                <w:szCs w:val="24"/>
              </w:rPr>
              <w:t>Blod og lymfesystem</w:t>
            </w:r>
          </w:p>
        </w:tc>
        <w:tc>
          <w:tcPr>
            <w:tcW w:w="1670" w:type="pct"/>
            <w:tcBorders>
              <w:top w:val="single" w:sz="4" w:space="0" w:color="auto"/>
              <w:left w:val="single" w:sz="4" w:space="0" w:color="auto"/>
              <w:bottom w:val="single" w:sz="4" w:space="0" w:color="auto"/>
              <w:right w:val="single" w:sz="4" w:space="0" w:color="auto"/>
            </w:tcBorders>
            <w:hideMark/>
          </w:tcPr>
          <w:p w14:paraId="5BD7499D" w14:textId="77777777" w:rsidR="009B0C24" w:rsidRPr="00EF58FE" w:rsidRDefault="009B0C24" w:rsidP="009B0C24">
            <w:pPr>
              <w:ind w:left="142"/>
              <w:rPr>
                <w:sz w:val="24"/>
                <w:szCs w:val="24"/>
                <w:lang w:val="en-US"/>
              </w:rPr>
            </w:pPr>
            <w:r w:rsidRPr="00EF58FE">
              <w:rPr>
                <w:sz w:val="24"/>
                <w:szCs w:val="24"/>
                <w:lang w:val="en-US"/>
              </w:rPr>
              <w:t>Neutropeni (G4: 54,2 %);</w:t>
            </w:r>
          </w:p>
          <w:p w14:paraId="6D2FF72E" w14:textId="77777777" w:rsidR="009B0C24" w:rsidRPr="009B0C24" w:rsidRDefault="009B0C24" w:rsidP="009B0C24">
            <w:pPr>
              <w:ind w:left="142"/>
              <w:rPr>
                <w:sz w:val="24"/>
                <w:szCs w:val="24"/>
                <w:lang w:val="en-US"/>
              </w:rPr>
            </w:pPr>
            <w:r w:rsidRPr="009B0C24">
              <w:rPr>
                <w:sz w:val="24"/>
                <w:szCs w:val="24"/>
                <w:lang w:val="en-US"/>
              </w:rPr>
              <w:t xml:space="preserve">Anæmi (G3/4: 10,8 %); </w:t>
            </w:r>
          </w:p>
          <w:p w14:paraId="7272A24B" w14:textId="642A962C" w:rsidR="006B34A1" w:rsidRPr="008D45EF" w:rsidRDefault="009B0C24" w:rsidP="009B0C24">
            <w:pPr>
              <w:ind w:left="142"/>
              <w:rPr>
                <w:sz w:val="24"/>
                <w:szCs w:val="24"/>
                <w:lang w:val="en-US"/>
              </w:rPr>
            </w:pPr>
            <w:r w:rsidRPr="009B0C24">
              <w:rPr>
                <w:sz w:val="24"/>
                <w:szCs w:val="24"/>
                <w:lang w:val="en-US"/>
              </w:rPr>
              <w:t>Trombocytopeni (G4: 1,7 %)</w:t>
            </w:r>
          </w:p>
        </w:tc>
        <w:tc>
          <w:tcPr>
            <w:tcW w:w="1659" w:type="pct"/>
            <w:tcBorders>
              <w:top w:val="single" w:sz="4" w:space="0" w:color="auto"/>
              <w:left w:val="single" w:sz="4" w:space="0" w:color="auto"/>
              <w:bottom w:val="single" w:sz="4" w:space="0" w:color="auto"/>
              <w:right w:val="single" w:sz="4" w:space="0" w:color="auto"/>
            </w:tcBorders>
            <w:hideMark/>
          </w:tcPr>
          <w:p w14:paraId="32C91A86" w14:textId="77777777" w:rsidR="006B34A1" w:rsidRPr="008D45EF" w:rsidRDefault="006B34A1" w:rsidP="0081699D">
            <w:pPr>
              <w:ind w:left="142"/>
              <w:rPr>
                <w:sz w:val="24"/>
                <w:szCs w:val="24"/>
              </w:rPr>
            </w:pPr>
            <w:r w:rsidRPr="008D45EF">
              <w:rPr>
                <w:sz w:val="24"/>
                <w:szCs w:val="24"/>
              </w:rPr>
              <w:t>Febril neutropeni</w:t>
            </w:r>
          </w:p>
        </w:tc>
      </w:tr>
      <w:tr w:rsidR="006B34A1" w:rsidRPr="008D45EF" w14:paraId="4A49D5A2" w14:textId="77777777" w:rsidTr="002A7D83">
        <w:trPr>
          <w:trHeight w:val="20"/>
        </w:trPr>
        <w:tc>
          <w:tcPr>
            <w:tcW w:w="1671" w:type="pct"/>
            <w:tcBorders>
              <w:top w:val="single" w:sz="4" w:space="0" w:color="auto"/>
              <w:left w:val="single" w:sz="4" w:space="0" w:color="auto"/>
              <w:bottom w:val="single" w:sz="4" w:space="0" w:color="auto"/>
              <w:right w:val="single" w:sz="4" w:space="0" w:color="auto"/>
            </w:tcBorders>
            <w:hideMark/>
          </w:tcPr>
          <w:p w14:paraId="131BD2B0" w14:textId="77777777" w:rsidR="006B34A1" w:rsidRPr="008D45EF" w:rsidRDefault="006B34A1" w:rsidP="0081699D">
            <w:pPr>
              <w:ind w:left="142"/>
              <w:rPr>
                <w:sz w:val="24"/>
                <w:szCs w:val="24"/>
              </w:rPr>
            </w:pPr>
            <w:r w:rsidRPr="008D45EF">
              <w:rPr>
                <w:sz w:val="24"/>
                <w:szCs w:val="24"/>
              </w:rPr>
              <w:t>Immunsystemet</w:t>
            </w:r>
          </w:p>
        </w:tc>
        <w:tc>
          <w:tcPr>
            <w:tcW w:w="1670" w:type="pct"/>
            <w:tcBorders>
              <w:top w:val="single" w:sz="4" w:space="0" w:color="auto"/>
              <w:left w:val="single" w:sz="4" w:space="0" w:color="auto"/>
              <w:bottom w:val="single" w:sz="4" w:space="0" w:color="auto"/>
              <w:right w:val="single" w:sz="4" w:space="0" w:color="auto"/>
            </w:tcBorders>
          </w:tcPr>
          <w:p w14:paraId="2D6E6129" w14:textId="77777777" w:rsidR="006B34A1" w:rsidRPr="008D45EF" w:rsidRDefault="006B34A1" w:rsidP="0081699D">
            <w:pPr>
              <w:ind w:left="142"/>
              <w:rPr>
                <w:sz w:val="24"/>
                <w:szCs w:val="24"/>
              </w:rPr>
            </w:pPr>
          </w:p>
        </w:tc>
        <w:tc>
          <w:tcPr>
            <w:tcW w:w="1659" w:type="pct"/>
            <w:tcBorders>
              <w:top w:val="single" w:sz="4" w:space="0" w:color="auto"/>
              <w:left w:val="single" w:sz="4" w:space="0" w:color="auto"/>
              <w:bottom w:val="single" w:sz="4" w:space="0" w:color="auto"/>
              <w:right w:val="single" w:sz="4" w:space="0" w:color="auto"/>
            </w:tcBorders>
            <w:hideMark/>
          </w:tcPr>
          <w:p w14:paraId="7E9236B6" w14:textId="77777777" w:rsidR="006B34A1" w:rsidRPr="008D45EF" w:rsidRDefault="006B34A1" w:rsidP="0081699D">
            <w:pPr>
              <w:ind w:left="142"/>
              <w:rPr>
                <w:sz w:val="24"/>
                <w:szCs w:val="24"/>
              </w:rPr>
            </w:pPr>
            <w:r w:rsidRPr="008D45EF">
              <w:rPr>
                <w:sz w:val="24"/>
                <w:szCs w:val="24"/>
              </w:rPr>
              <w:t>Overfølsomhed (ikke alvorlig)</w:t>
            </w:r>
          </w:p>
        </w:tc>
      </w:tr>
      <w:tr w:rsidR="006B34A1" w:rsidRPr="008D45EF" w14:paraId="54EC1F86" w14:textId="77777777" w:rsidTr="002A7D83">
        <w:trPr>
          <w:trHeight w:val="20"/>
        </w:trPr>
        <w:tc>
          <w:tcPr>
            <w:tcW w:w="1671" w:type="pct"/>
            <w:tcBorders>
              <w:top w:val="single" w:sz="4" w:space="0" w:color="auto"/>
              <w:left w:val="single" w:sz="4" w:space="0" w:color="auto"/>
              <w:bottom w:val="single" w:sz="4" w:space="0" w:color="auto"/>
              <w:right w:val="single" w:sz="4" w:space="0" w:color="auto"/>
            </w:tcBorders>
            <w:hideMark/>
          </w:tcPr>
          <w:p w14:paraId="0D9588E3" w14:textId="77777777" w:rsidR="006B34A1" w:rsidRPr="008D45EF" w:rsidRDefault="006B34A1" w:rsidP="0081699D">
            <w:pPr>
              <w:ind w:left="142"/>
              <w:rPr>
                <w:sz w:val="24"/>
                <w:szCs w:val="24"/>
              </w:rPr>
            </w:pPr>
            <w:r w:rsidRPr="008D45EF">
              <w:rPr>
                <w:sz w:val="24"/>
                <w:szCs w:val="24"/>
              </w:rPr>
              <w:t>Metabolisme og ernæring</w:t>
            </w:r>
          </w:p>
        </w:tc>
        <w:tc>
          <w:tcPr>
            <w:tcW w:w="1670" w:type="pct"/>
            <w:tcBorders>
              <w:top w:val="single" w:sz="4" w:space="0" w:color="auto"/>
              <w:left w:val="single" w:sz="4" w:space="0" w:color="auto"/>
              <w:bottom w:val="single" w:sz="4" w:space="0" w:color="auto"/>
              <w:right w:val="single" w:sz="4" w:space="0" w:color="auto"/>
            </w:tcBorders>
            <w:hideMark/>
          </w:tcPr>
          <w:p w14:paraId="3CB1288F" w14:textId="77777777" w:rsidR="006B34A1" w:rsidRPr="008D45EF" w:rsidRDefault="006B34A1" w:rsidP="0081699D">
            <w:pPr>
              <w:ind w:left="142"/>
              <w:rPr>
                <w:sz w:val="24"/>
                <w:szCs w:val="24"/>
              </w:rPr>
            </w:pPr>
            <w:r w:rsidRPr="008D45EF">
              <w:rPr>
                <w:sz w:val="24"/>
                <w:szCs w:val="24"/>
              </w:rPr>
              <w:t>Anoreksi</w:t>
            </w:r>
          </w:p>
        </w:tc>
        <w:tc>
          <w:tcPr>
            <w:tcW w:w="1659" w:type="pct"/>
            <w:tcBorders>
              <w:top w:val="single" w:sz="4" w:space="0" w:color="auto"/>
              <w:left w:val="single" w:sz="4" w:space="0" w:color="auto"/>
              <w:bottom w:val="single" w:sz="4" w:space="0" w:color="auto"/>
              <w:right w:val="single" w:sz="4" w:space="0" w:color="auto"/>
            </w:tcBorders>
          </w:tcPr>
          <w:p w14:paraId="736DC359" w14:textId="77777777" w:rsidR="006B34A1" w:rsidRPr="008D45EF" w:rsidRDefault="006B34A1" w:rsidP="0081699D">
            <w:pPr>
              <w:ind w:left="142"/>
              <w:rPr>
                <w:sz w:val="24"/>
                <w:szCs w:val="24"/>
              </w:rPr>
            </w:pPr>
          </w:p>
        </w:tc>
      </w:tr>
      <w:tr w:rsidR="006B34A1" w:rsidRPr="008D45EF" w14:paraId="719A5428" w14:textId="77777777" w:rsidTr="002A7D83">
        <w:trPr>
          <w:trHeight w:val="20"/>
        </w:trPr>
        <w:tc>
          <w:tcPr>
            <w:tcW w:w="1671" w:type="pct"/>
            <w:tcBorders>
              <w:top w:val="single" w:sz="4" w:space="0" w:color="auto"/>
              <w:left w:val="single" w:sz="4" w:space="0" w:color="auto"/>
              <w:bottom w:val="single" w:sz="4" w:space="0" w:color="auto"/>
              <w:right w:val="single" w:sz="4" w:space="0" w:color="auto"/>
            </w:tcBorders>
            <w:hideMark/>
          </w:tcPr>
          <w:p w14:paraId="01822AA1" w14:textId="77777777" w:rsidR="006B34A1" w:rsidRPr="008D45EF" w:rsidRDefault="006B34A1" w:rsidP="0081699D">
            <w:pPr>
              <w:ind w:left="142"/>
              <w:rPr>
                <w:sz w:val="24"/>
                <w:szCs w:val="24"/>
              </w:rPr>
            </w:pPr>
            <w:r w:rsidRPr="008D45EF">
              <w:rPr>
                <w:sz w:val="24"/>
                <w:szCs w:val="24"/>
              </w:rPr>
              <w:t>Nervesystemet</w:t>
            </w:r>
          </w:p>
        </w:tc>
        <w:tc>
          <w:tcPr>
            <w:tcW w:w="1670" w:type="pct"/>
            <w:tcBorders>
              <w:top w:val="single" w:sz="4" w:space="0" w:color="auto"/>
              <w:left w:val="single" w:sz="4" w:space="0" w:color="auto"/>
              <w:bottom w:val="single" w:sz="4" w:space="0" w:color="auto"/>
              <w:right w:val="single" w:sz="4" w:space="0" w:color="auto"/>
            </w:tcBorders>
            <w:hideMark/>
          </w:tcPr>
          <w:p w14:paraId="79AA18E2" w14:textId="77777777" w:rsidR="006B34A1" w:rsidRPr="008D45EF" w:rsidRDefault="006B34A1" w:rsidP="0081699D">
            <w:pPr>
              <w:ind w:left="142"/>
              <w:rPr>
                <w:sz w:val="24"/>
                <w:szCs w:val="24"/>
              </w:rPr>
            </w:pPr>
            <w:r w:rsidRPr="008D45EF">
              <w:rPr>
                <w:sz w:val="24"/>
                <w:szCs w:val="24"/>
              </w:rPr>
              <w:t>Perifer sensorisk neuropati (G3/4: 0,8 %)</w:t>
            </w:r>
          </w:p>
        </w:tc>
        <w:tc>
          <w:tcPr>
            <w:tcW w:w="1659" w:type="pct"/>
            <w:tcBorders>
              <w:top w:val="single" w:sz="4" w:space="0" w:color="auto"/>
              <w:left w:val="single" w:sz="4" w:space="0" w:color="auto"/>
              <w:bottom w:val="single" w:sz="4" w:space="0" w:color="auto"/>
              <w:right w:val="single" w:sz="4" w:space="0" w:color="auto"/>
            </w:tcBorders>
            <w:hideMark/>
          </w:tcPr>
          <w:p w14:paraId="0D89915D" w14:textId="77777777" w:rsidR="006B34A1" w:rsidRPr="008D45EF" w:rsidRDefault="006B34A1" w:rsidP="0081699D">
            <w:pPr>
              <w:ind w:left="142"/>
              <w:rPr>
                <w:sz w:val="24"/>
                <w:szCs w:val="24"/>
              </w:rPr>
            </w:pPr>
            <w:r w:rsidRPr="008D45EF">
              <w:rPr>
                <w:sz w:val="24"/>
                <w:szCs w:val="24"/>
              </w:rPr>
              <w:t>Perifer motorisk neuropati (G3/4: 2,5 %)</w:t>
            </w:r>
          </w:p>
        </w:tc>
      </w:tr>
      <w:tr w:rsidR="006B34A1" w:rsidRPr="008D45EF" w14:paraId="1CB35D5E" w14:textId="77777777" w:rsidTr="002A7D83">
        <w:trPr>
          <w:trHeight w:val="20"/>
        </w:trPr>
        <w:tc>
          <w:tcPr>
            <w:tcW w:w="1671" w:type="pct"/>
            <w:tcBorders>
              <w:top w:val="single" w:sz="4" w:space="0" w:color="auto"/>
              <w:left w:val="single" w:sz="4" w:space="0" w:color="auto"/>
              <w:bottom w:val="single" w:sz="4" w:space="0" w:color="auto"/>
              <w:right w:val="single" w:sz="4" w:space="0" w:color="auto"/>
            </w:tcBorders>
            <w:hideMark/>
          </w:tcPr>
          <w:p w14:paraId="489B6549" w14:textId="77777777" w:rsidR="006B34A1" w:rsidRPr="008D45EF" w:rsidRDefault="006B34A1" w:rsidP="0081699D">
            <w:pPr>
              <w:ind w:left="142"/>
              <w:rPr>
                <w:sz w:val="24"/>
                <w:szCs w:val="24"/>
              </w:rPr>
            </w:pPr>
            <w:r w:rsidRPr="008D45EF">
              <w:rPr>
                <w:sz w:val="24"/>
                <w:szCs w:val="24"/>
              </w:rPr>
              <w:t>Hjerte</w:t>
            </w:r>
          </w:p>
        </w:tc>
        <w:tc>
          <w:tcPr>
            <w:tcW w:w="1670" w:type="pct"/>
            <w:tcBorders>
              <w:top w:val="single" w:sz="4" w:space="0" w:color="auto"/>
              <w:left w:val="single" w:sz="4" w:space="0" w:color="auto"/>
              <w:bottom w:val="single" w:sz="4" w:space="0" w:color="auto"/>
              <w:right w:val="single" w:sz="4" w:space="0" w:color="auto"/>
            </w:tcBorders>
          </w:tcPr>
          <w:p w14:paraId="0C898AF2" w14:textId="77777777" w:rsidR="006B34A1" w:rsidRPr="008D45EF" w:rsidRDefault="006B34A1" w:rsidP="0081699D">
            <w:pPr>
              <w:ind w:left="142"/>
              <w:rPr>
                <w:sz w:val="24"/>
                <w:szCs w:val="24"/>
              </w:rPr>
            </w:pPr>
          </w:p>
        </w:tc>
        <w:tc>
          <w:tcPr>
            <w:tcW w:w="1659" w:type="pct"/>
            <w:tcBorders>
              <w:top w:val="single" w:sz="4" w:space="0" w:color="auto"/>
              <w:left w:val="single" w:sz="4" w:space="0" w:color="auto"/>
              <w:bottom w:val="single" w:sz="4" w:space="0" w:color="auto"/>
              <w:right w:val="single" w:sz="4" w:space="0" w:color="auto"/>
            </w:tcBorders>
            <w:hideMark/>
          </w:tcPr>
          <w:p w14:paraId="13A42F32" w14:textId="77777777" w:rsidR="006B34A1" w:rsidRPr="008D45EF" w:rsidRDefault="006B34A1" w:rsidP="0081699D">
            <w:pPr>
              <w:ind w:left="142"/>
              <w:rPr>
                <w:sz w:val="24"/>
                <w:szCs w:val="24"/>
              </w:rPr>
            </w:pPr>
            <w:r w:rsidRPr="008D45EF">
              <w:rPr>
                <w:sz w:val="24"/>
                <w:szCs w:val="24"/>
              </w:rPr>
              <w:t>Arytmi (ikke alvorlig)</w:t>
            </w:r>
          </w:p>
        </w:tc>
      </w:tr>
      <w:tr w:rsidR="006B34A1" w:rsidRPr="008D45EF" w14:paraId="0122F45C" w14:textId="77777777" w:rsidTr="002A7D83">
        <w:trPr>
          <w:trHeight w:val="20"/>
        </w:trPr>
        <w:tc>
          <w:tcPr>
            <w:tcW w:w="1671" w:type="pct"/>
            <w:tcBorders>
              <w:top w:val="single" w:sz="4" w:space="0" w:color="auto"/>
              <w:left w:val="single" w:sz="4" w:space="0" w:color="auto"/>
              <w:bottom w:val="single" w:sz="4" w:space="0" w:color="auto"/>
              <w:right w:val="single" w:sz="4" w:space="0" w:color="auto"/>
            </w:tcBorders>
            <w:hideMark/>
          </w:tcPr>
          <w:p w14:paraId="2811AE93" w14:textId="77777777" w:rsidR="006B34A1" w:rsidRPr="008D45EF" w:rsidRDefault="006B34A1" w:rsidP="0081699D">
            <w:pPr>
              <w:ind w:left="142"/>
              <w:rPr>
                <w:sz w:val="24"/>
                <w:szCs w:val="24"/>
              </w:rPr>
            </w:pPr>
            <w:r w:rsidRPr="008D45EF">
              <w:rPr>
                <w:sz w:val="24"/>
                <w:szCs w:val="24"/>
              </w:rPr>
              <w:t>Vaskulære sygdomme</w:t>
            </w:r>
          </w:p>
        </w:tc>
        <w:tc>
          <w:tcPr>
            <w:tcW w:w="1670" w:type="pct"/>
            <w:tcBorders>
              <w:top w:val="single" w:sz="4" w:space="0" w:color="auto"/>
              <w:left w:val="single" w:sz="4" w:space="0" w:color="auto"/>
              <w:bottom w:val="single" w:sz="4" w:space="0" w:color="auto"/>
              <w:right w:val="single" w:sz="4" w:space="0" w:color="auto"/>
            </w:tcBorders>
          </w:tcPr>
          <w:p w14:paraId="4963058F" w14:textId="77777777" w:rsidR="006B34A1" w:rsidRPr="008D45EF" w:rsidRDefault="006B34A1" w:rsidP="0081699D">
            <w:pPr>
              <w:ind w:left="142"/>
              <w:rPr>
                <w:sz w:val="24"/>
                <w:szCs w:val="24"/>
              </w:rPr>
            </w:pPr>
          </w:p>
        </w:tc>
        <w:tc>
          <w:tcPr>
            <w:tcW w:w="1659" w:type="pct"/>
            <w:tcBorders>
              <w:top w:val="single" w:sz="4" w:space="0" w:color="auto"/>
              <w:left w:val="single" w:sz="4" w:space="0" w:color="auto"/>
              <w:bottom w:val="single" w:sz="4" w:space="0" w:color="auto"/>
              <w:right w:val="single" w:sz="4" w:space="0" w:color="auto"/>
            </w:tcBorders>
            <w:hideMark/>
          </w:tcPr>
          <w:p w14:paraId="76D915B7" w14:textId="77777777" w:rsidR="006B34A1" w:rsidRPr="008D45EF" w:rsidRDefault="006B34A1" w:rsidP="0081699D">
            <w:pPr>
              <w:ind w:left="142"/>
              <w:rPr>
                <w:sz w:val="24"/>
                <w:szCs w:val="24"/>
              </w:rPr>
            </w:pPr>
            <w:r w:rsidRPr="008D45EF">
              <w:rPr>
                <w:sz w:val="24"/>
                <w:szCs w:val="24"/>
              </w:rPr>
              <w:t>Hypotension</w:t>
            </w:r>
          </w:p>
        </w:tc>
      </w:tr>
      <w:tr w:rsidR="006B34A1" w:rsidRPr="008D45EF" w14:paraId="4439AC2D" w14:textId="77777777" w:rsidTr="002A7D83">
        <w:trPr>
          <w:trHeight w:val="20"/>
        </w:trPr>
        <w:tc>
          <w:tcPr>
            <w:tcW w:w="1671" w:type="pct"/>
            <w:tcBorders>
              <w:top w:val="single" w:sz="4" w:space="0" w:color="auto"/>
              <w:left w:val="single" w:sz="4" w:space="0" w:color="auto"/>
              <w:bottom w:val="single" w:sz="4" w:space="0" w:color="auto"/>
              <w:right w:val="single" w:sz="4" w:space="0" w:color="auto"/>
            </w:tcBorders>
            <w:hideMark/>
          </w:tcPr>
          <w:p w14:paraId="35053009" w14:textId="0263BB44" w:rsidR="006B34A1" w:rsidRPr="008D45EF" w:rsidRDefault="000E6038" w:rsidP="0081699D">
            <w:pPr>
              <w:ind w:left="142"/>
              <w:rPr>
                <w:sz w:val="24"/>
                <w:szCs w:val="24"/>
              </w:rPr>
            </w:pPr>
            <w:r w:rsidRPr="003D4A39">
              <w:rPr>
                <w:sz w:val="24"/>
                <w:szCs w:val="24"/>
              </w:rPr>
              <w:t>Mave-tarm-kanalen</w:t>
            </w:r>
          </w:p>
        </w:tc>
        <w:tc>
          <w:tcPr>
            <w:tcW w:w="1670" w:type="pct"/>
            <w:tcBorders>
              <w:top w:val="single" w:sz="4" w:space="0" w:color="auto"/>
              <w:left w:val="single" w:sz="4" w:space="0" w:color="auto"/>
              <w:bottom w:val="single" w:sz="4" w:space="0" w:color="auto"/>
              <w:right w:val="single" w:sz="4" w:space="0" w:color="auto"/>
            </w:tcBorders>
            <w:hideMark/>
          </w:tcPr>
          <w:p w14:paraId="23108F1B" w14:textId="77777777" w:rsidR="006B34A1" w:rsidRPr="008D45EF" w:rsidRDefault="006B34A1" w:rsidP="0081699D">
            <w:pPr>
              <w:ind w:left="142"/>
              <w:rPr>
                <w:sz w:val="24"/>
                <w:szCs w:val="24"/>
              </w:rPr>
            </w:pPr>
            <w:r w:rsidRPr="008D45EF">
              <w:rPr>
                <w:sz w:val="24"/>
                <w:szCs w:val="24"/>
              </w:rPr>
              <w:t xml:space="preserve">Kvalme (G3/4: 3,3 %); </w:t>
            </w:r>
          </w:p>
          <w:p w14:paraId="4D4EC8E0" w14:textId="77777777" w:rsidR="006B34A1" w:rsidRPr="008D45EF" w:rsidRDefault="006B34A1" w:rsidP="0081699D">
            <w:pPr>
              <w:ind w:left="142"/>
              <w:rPr>
                <w:sz w:val="24"/>
                <w:szCs w:val="24"/>
              </w:rPr>
            </w:pPr>
            <w:r w:rsidRPr="008D45EF">
              <w:rPr>
                <w:sz w:val="24"/>
                <w:szCs w:val="24"/>
              </w:rPr>
              <w:t xml:space="preserve">Stomatitis (G3/4: 1,7 %); </w:t>
            </w:r>
          </w:p>
          <w:p w14:paraId="627D1533" w14:textId="77777777" w:rsidR="006B34A1" w:rsidRPr="008D45EF" w:rsidRDefault="006B34A1" w:rsidP="0081699D">
            <w:pPr>
              <w:ind w:left="142"/>
              <w:rPr>
                <w:sz w:val="24"/>
                <w:szCs w:val="24"/>
              </w:rPr>
            </w:pPr>
            <w:r w:rsidRPr="008D45EF">
              <w:rPr>
                <w:sz w:val="24"/>
                <w:szCs w:val="24"/>
              </w:rPr>
              <w:t xml:space="preserve">Opkastning (G3/4: 0,8 %); </w:t>
            </w:r>
          </w:p>
          <w:p w14:paraId="73A3232F" w14:textId="77777777" w:rsidR="006B34A1" w:rsidRPr="008D45EF" w:rsidRDefault="006B34A1" w:rsidP="0081699D">
            <w:pPr>
              <w:ind w:left="142"/>
              <w:rPr>
                <w:sz w:val="24"/>
                <w:szCs w:val="24"/>
              </w:rPr>
            </w:pPr>
            <w:r w:rsidRPr="008D45EF">
              <w:rPr>
                <w:sz w:val="24"/>
                <w:szCs w:val="24"/>
              </w:rPr>
              <w:t>Diarré (G3/4: 1,7 %)</w:t>
            </w:r>
          </w:p>
        </w:tc>
        <w:tc>
          <w:tcPr>
            <w:tcW w:w="1659" w:type="pct"/>
            <w:tcBorders>
              <w:top w:val="single" w:sz="4" w:space="0" w:color="auto"/>
              <w:left w:val="single" w:sz="4" w:space="0" w:color="auto"/>
              <w:bottom w:val="single" w:sz="4" w:space="0" w:color="auto"/>
              <w:right w:val="single" w:sz="4" w:space="0" w:color="auto"/>
            </w:tcBorders>
            <w:hideMark/>
          </w:tcPr>
          <w:p w14:paraId="5489C439" w14:textId="77777777" w:rsidR="006B34A1" w:rsidRPr="008D45EF" w:rsidRDefault="006B34A1" w:rsidP="0081699D">
            <w:pPr>
              <w:ind w:left="142"/>
              <w:rPr>
                <w:sz w:val="24"/>
                <w:szCs w:val="24"/>
              </w:rPr>
            </w:pPr>
            <w:r w:rsidRPr="008D45EF">
              <w:rPr>
                <w:sz w:val="24"/>
                <w:szCs w:val="24"/>
              </w:rPr>
              <w:t>Konstipation</w:t>
            </w:r>
          </w:p>
        </w:tc>
      </w:tr>
      <w:tr w:rsidR="006B34A1" w:rsidRPr="008D45EF" w14:paraId="3FD9778B" w14:textId="77777777" w:rsidTr="002A7D83">
        <w:trPr>
          <w:trHeight w:val="20"/>
        </w:trPr>
        <w:tc>
          <w:tcPr>
            <w:tcW w:w="1671" w:type="pct"/>
            <w:tcBorders>
              <w:top w:val="single" w:sz="4" w:space="0" w:color="auto"/>
              <w:left w:val="single" w:sz="4" w:space="0" w:color="auto"/>
              <w:bottom w:val="single" w:sz="4" w:space="0" w:color="auto"/>
              <w:right w:val="single" w:sz="4" w:space="0" w:color="auto"/>
            </w:tcBorders>
            <w:hideMark/>
          </w:tcPr>
          <w:p w14:paraId="738F22A5" w14:textId="77777777" w:rsidR="006B34A1" w:rsidRPr="008D45EF" w:rsidRDefault="006B34A1" w:rsidP="0081699D">
            <w:pPr>
              <w:ind w:left="142"/>
              <w:rPr>
                <w:sz w:val="24"/>
                <w:szCs w:val="24"/>
              </w:rPr>
            </w:pPr>
            <w:r w:rsidRPr="008D45EF">
              <w:rPr>
                <w:sz w:val="24"/>
                <w:szCs w:val="24"/>
              </w:rPr>
              <w:t>Hud og subkutane væv</w:t>
            </w:r>
          </w:p>
        </w:tc>
        <w:tc>
          <w:tcPr>
            <w:tcW w:w="1670" w:type="pct"/>
            <w:tcBorders>
              <w:top w:val="single" w:sz="4" w:space="0" w:color="auto"/>
              <w:left w:val="single" w:sz="4" w:space="0" w:color="auto"/>
              <w:bottom w:val="single" w:sz="4" w:space="0" w:color="auto"/>
              <w:right w:val="single" w:sz="4" w:space="0" w:color="auto"/>
            </w:tcBorders>
            <w:hideMark/>
          </w:tcPr>
          <w:p w14:paraId="55310E26" w14:textId="77777777" w:rsidR="006B34A1" w:rsidRPr="008D45EF" w:rsidRDefault="006B34A1" w:rsidP="0081699D">
            <w:pPr>
              <w:ind w:left="142"/>
              <w:rPr>
                <w:sz w:val="24"/>
                <w:szCs w:val="24"/>
              </w:rPr>
            </w:pPr>
            <w:r w:rsidRPr="008D45EF">
              <w:rPr>
                <w:sz w:val="24"/>
                <w:szCs w:val="24"/>
              </w:rPr>
              <w:t>Alopeci; Hudreaktioner (G3/4: 0,8 %)</w:t>
            </w:r>
          </w:p>
        </w:tc>
        <w:tc>
          <w:tcPr>
            <w:tcW w:w="1659" w:type="pct"/>
            <w:tcBorders>
              <w:top w:val="single" w:sz="4" w:space="0" w:color="auto"/>
              <w:left w:val="single" w:sz="4" w:space="0" w:color="auto"/>
              <w:bottom w:val="single" w:sz="4" w:space="0" w:color="auto"/>
              <w:right w:val="single" w:sz="4" w:space="0" w:color="auto"/>
            </w:tcBorders>
            <w:hideMark/>
          </w:tcPr>
          <w:p w14:paraId="55F8AB89" w14:textId="77777777" w:rsidR="006B34A1" w:rsidRPr="008D45EF" w:rsidRDefault="006B34A1" w:rsidP="0081699D">
            <w:pPr>
              <w:ind w:left="142"/>
              <w:rPr>
                <w:sz w:val="24"/>
                <w:szCs w:val="24"/>
              </w:rPr>
            </w:pPr>
            <w:r w:rsidRPr="008D45EF">
              <w:rPr>
                <w:sz w:val="24"/>
                <w:szCs w:val="24"/>
              </w:rPr>
              <w:t>Neglesygdomme (alvorlig: 0,8 %)</w:t>
            </w:r>
          </w:p>
        </w:tc>
      </w:tr>
      <w:tr w:rsidR="006B34A1" w:rsidRPr="008D45EF" w14:paraId="231F467C" w14:textId="77777777" w:rsidTr="002A7D83">
        <w:trPr>
          <w:trHeight w:val="20"/>
        </w:trPr>
        <w:tc>
          <w:tcPr>
            <w:tcW w:w="1671" w:type="pct"/>
            <w:tcBorders>
              <w:top w:val="single" w:sz="4" w:space="0" w:color="auto"/>
              <w:left w:val="single" w:sz="4" w:space="0" w:color="auto"/>
              <w:bottom w:val="single" w:sz="4" w:space="0" w:color="auto"/>
              <w:right w:val="single" w:sz="4" w:space="0" w:color="auto"/>
            </w:tcBorders>
            <w:hideMark/>
          </w:tcPr>
          <w:p w14:paraId="14CBE1FF" w14:textId="77777777" w:rsidR="006B34A1" w:rsidRPr="008D45EF" w:rsidRDefault="006B34A1" w:rsidP="0081699D">
            <w:pPr>
              <w:ind w:left="142"/>
              <w:rPr>
                <w:sz w:val="24"/>
                <w:szCs w:val="24"/>
              </w:rPr>
            </w:pPr>
            <w:r w:rsidRPr="008D45EF">
              <w:rPr>
                <w:sz w:val="24"/>
                <w:szCs w:val="24"/>
              </w:rPr>
              <w:t>Knogler, led, muskler og bindevæv</w:t>
            </w:r>
          </w:p>
        </w:tc>
        <w:tc>
          <w:tcPr>
            <w:tcW w:w="1670" w:type="pct"/>
            <w:tcBorders>
              <w:top w:val="single" w:sz="4" w:space="0" w:color="auto"/>
              <w:left w:val="single" w:sz="4" w:space="0" w:color="auto"/>
              <w:bottom w:val="single" w:sz="4" w:space="0" w:color="auto"/>
              <w:right w:val="single" w:sz="4" w:space="0" w:color="auto"/>
            </w:tcBorders>
          </w:tcPr>
          <w:p w14:paraId="6CA9A696" w14:textId="77777777" w:rsidR="006B34A1" w:rsidRPr="008D45EF" w:rsidRDefault="006B34A1" w:rsidP="0081699D">
            <w:pPr>
              <w:ind w:left="142"/>
              <w:rPr>
                <w:sz w:val="24"/>
                <w:szCs w:val="24"/>
              </w:rPr>
            </w:pPr>
          </w:p>
        </w:tc>
        <w:tc>
          <w:tcPr>
            <w:tcW w:w="1659" w:type="pct"/>
            <w:tcBorders>
              <w:top w:val="single" w:sz="4" w:space="0" w:color="auto"/>
              <w:left w:val="single" w:sz="4" w:space="0" w:color="auto"/>
              <w:bottom w:val="single" w:sz="4" w:space="0" w:color="auto"/>
              <w:right w:val="single" w:sz="4" w:space="0" w:color="auto"/>
            </w:tcBorders>
            <w:hideMark/>
          </w:tcPr>
          <w:p w14:paraId="4368B61D" w14:textId="77777777" w:rsidR="006B34A1" w:rsidRPr="008D45EF" w:rsidRDefault="006B34A1" w:rsidP="0081699D">
            <w:pPr>
              <w:ind w:left="142"/>
              <w:rPr>
                <w:sz w:val="24"/>
                <w:szCs w:val="24"/>
              </w:rPr>
            </w:pPr>
            <w:r w:rsidRPr="008D45EF">
              <w:rPr>
                <w:sz w:val="24"/>
                <w:szCs w:val="24"/>
              </w:rPr>
              <w:t>Myalgi</w:t>
            </w:r>
          </w:p>
        </w:tc>
      </w:tr>
      <w:tr w:rsidR="006B34A1" w:rsidRPr="008D45EF" w14:paraId="0DE99106" w14:textId="77777777" w:rsidTr="002A7D83">
        <w:trPr>
          <w:trHeight w:val="20"/>
        </w:trPr>
        <w:tc>
          <w:tcPr>
            <w:tcW w:w="1671" w:type="pct"/>
            <w:tcBorders>
              <w:top w:val="single" w:sz="4" w:space="0" w:color="auto"/>
              <w:left w:val="single" w:sz="4" w:space="0" w:color="auto"/>
              <w:bottom w:val="single" w:sz="4" w:space="0" w:color="auto"/>
              <w:right w:val="single" w:sz="4" w:space="0" w:color="auto"/>
            </w:tcBorders>
            <w:hideMark/>
          </w:tcPr>
          <w:p w14:paraId="01DFD59F" w14:textId="77777777" w:rsidR="006B34A1" w:rsidRPr="008D45EF" w:rsidRDefault="006B34A1" w:rsidP="0081699D">
            <w:pPr>
              <w:ind w:left="142"/>
              <w:rPr>
                <w:sz w:val="24"/>
                <w:szCs w:val="24"/>
              </w:rPr>
            </w:pPr>
            <w:r w:rsidRPr="008D45EF">
              <w:rPr>
                <w:sz w:val="24"/>
                <w:szCs w:val="24"/>
              </w:rPr>
              <w:t>Almene symptomer og reaktioner på administrationsstedet</w:t>
            </w:r>
          </w:p>
        </w:tc>
        <w:tc>
          <w:tcPr>
            <w:tcW w:w="1670" w:type="pct"/>
            <w:tcBorders>
              <w:top w:val="single" w:sz="4" w:space="0" w:color="auto"/>
              <w:left w:val="single" w:sz="4" w:space="0" w:color="auto"/>
              <w:bottom w:val="single" w:sz="4" w:space="0" w:color="auto"/>
              <w:right w:val="single" w:sz="4" w:space="0" w:color="auto"/>
            </w:tcBorders>
            <w:hideMark/>
          </w:tcPr>
          <w:p w14:paraId="0312EEAF" w14:textId="77777777" w:rsidR="006B34A1" w:rsidRPr="008D45EF" w:rsidRDefault="006B34A1" w:rsidP="0081699D">
            <w:pPr>
              <w:ind w:left="142"/>
              <w:rPr>
                <w:sz w:val="24"/>
                <w:szCs w:val="24"/>
              </w:rPr>
            </w:pPr>
            <w:r w:rsidRPr="008D45EF">
              <w:rPr>
                <w:sz w:val="24"/>
                <w:szCs w:val="24"/>
              </w:rPr>
              <w:t xml:space="preserve">Asteni (alvorlig: 12,4 %); </w:t>
            </w:r>
          </w:p>
          <w:p w14:paraId="085B72B7" w14:textId="77777777" w:rsidR="006B34A1" w:rsidRPr="008D45EF" w:rsidRDefault="006B34A1" w:rsidP="0081699D">
            <w:pPr>
              <w:ind w:left="142"/>
              <w:rPr>
                <w:sz w:val="24"/>
                <w:szCs w:val="24"/>
              </w:rPr>
            </w:pPr>
            <w:r w:rsidRPr="008D45EF">
              <w:rPr>
                <w:sz w:val="24"/>
                <w:szCs w:val="24"/>
              </w:rPr>
              <w:t>Væskeretention (alvorlig: 0,8 %);</w:t>
            </w:r>
          </w:p>
          <w:p w14:paraId="374C975D" w14:textId="77777777" w:rsidR="006B34A1" w:rsidRPr="008D45EF" w:rsidRDefault="006B34A1" w:rsidP="0081699D">
            <w:pPr>
              <w:ind w:left="142"/>
              <w:rPr>
                <w:sz w:val="24"/>
                <w:szCs w:val="24"/>
              </w:rPr>
            </w:pPr>
            <w:r w:rsidRPr="008D45EF">
              <w:rPr>
                <w:sz w:val="24"/>
                <w:szCs w:val="24"/>
              </w:rPr>
              <w:t>Smerter</w:t>
            </w:r>
          </w:p>
        </w:tc>
        <w:tc>
          <w:tcPr>
            <w:tcW w:w="1659" w:type="pct"/>
            <w:tcBorders>
              <w:top w:val="single" w:sz="4" w:space="0" w:color="auto"/>
              <w:left w:val="single" w:sz="4" w:space="0" w:color="auto"/>
              <w:bottom w:val="single" w:sz="4" w:space="0" w:color="auto"/>
              <w:right w:val="single" w:sz="4" w:space="0" w:color="auto"/>
            </w:tcBorders>
          </w:tcPr>
          <w:p w14:paraId="1057A88B" w14:textId="77777777" w:rsidR="006B34A1" w:rsidRPr="008D45EF" w:rsidRDefault="006B34A1" w:rsidP="0081699D">
            <w:pPr>
              <w:ind w:left="142"/>
              <w:rPr>
                <w:sz w:val="24"/>
                <w:szCs w:val="24"/>
              </w:rPr>
            </w:pPr>
          </w:p>
        </w:tc>
      </w:tr>
      <w:tr w:rsidR="006B34A1" w:rsidRPr="008D45EF" w14:paraId="255BCF27" w14:textId="77777777" w:rsidTr="002A7D83">
        <w:trPr>
          <w:trHeight w:val="20"/>
        </w:trPr>
        <w:tc>
          <w:tcPr>
            <w:tcW w:w="1671" w:type="pct"/>
            <w:tcBorders>
              <w:top w:val="single" w:sz="4" w:space="0" w:color="auto"/>
              <w:left w:val="single" w:sz="4" w:space="0" w:color="auto"/>
              <w:bottom w:val="single" w:sz="4" w:space="0" w:color="auto"/>
              <w:right w:val="single" w:sz="4" w:space="0" w:color="auto"/>
            </w:tcBorders>
            <w:hideMark/>
          </w:tcPr>
          <w:p w14:paraId="546D5351" w14:textId="77777777" w:rsidR="006B34A1" w:rsidRPr="008D45EF" w:rsidRDefault="006B34A1" w:rsidP="0081699D">
            <w:pPr>
              <w:ind w:left="142"/>
              <w:rPr>
                <w:sz w:val="24"/>
                <w:szCs w:val="24"/>
              </w:rPr>
            </w:pPr>
            <w:r w:rsidRPr="008D45EF">
              <w:rPr>
                <w:sz w:val="24"/>
                <w:szCs w:val="24"/>
              </w:rPr>
              <w:t>Undersøgelser</w:t>
            </w:r>
          </w:p>
        </w:tc>
        <w:tc>
          <w:tcPr>
            <w:tcW w:w="1670" w:type="pct"/>
            <w:tcBorders>
              <w:top w:val="single" w:sz="4" w:space="0" w:color="auto"/>
              <w:left w:val="single" w:sz="4" w:space="0" w:color="auto"/>
              <w:bottom w:val="single" w:sz="4" w:space="0" w:color="auto"/>
              <w:right w:val="single" w:sz="4" w:space="0" w:color="auto"/>
            </w:tcBorders>
          </w:tcPr>
          <w:p w14:paraId="012236DA" w14:textId="77777777" w:rsidR="006B34A1" w:rsidRPr="008D45EF" w:rsidRDefault="006B34A1" w:rsidP="0081699D">
            <w:pPr>
              <w:ind w:left="142"/>
              <w:rPr>
                <w:sz w:val="24"/>
                <w:szCs w:val="24"/>
              </w:rPr>
            </w:pPr>
          </w:p>
        </w:tc>
        <w:tc>
          <w:tcPr>
            <w:tcW w:w="1659" w:type="pct"/>
            <w:tcBorders>
              <w:top w:val="single" w:sz="4" w:space="0" w:color="auto"/>
              <w:left w:val="single" w:sz="4" w:space="0" w:color="auto"/>
              <w:bottom w:val="single" w:sz="4" w:space="0" w:color="auto"/>
              <w:right w:val="single" w:sz="4" w:space="0" w:color="auto"/>
            </w:tcBorders>
            <w:hideMark/>
          </w:tcPr>
          <w:p w14:paraId="189EF64E" w14:textId="77777777" w:rsidR="006B34A1" w:rsidRPr="008D45EF" w:rsidRDefault="006B34A1" w:rsidP="0081699D">
            <w:pPr>
              <w:ind w:left="142"/>
              <w:rPr>
                <w:sz w:val="24"/>
                <w:szCs w:val="24"/>
              </w:rPr>
            </w:pPr>
            <w:r w:rsidRPr="008D45EF">
              <w:rPr>
                <w:sz w:val="24"/>
                <w:szCs w:val="24"/>
              </w:rPr>
              <w:t>G3/4 forhøjet bilirubin i blodet (&lt; 2 %)</w:t>
            </w:r>
          </w:p>
        </w:tc>
      </w:tr>
    </w:tbl>
    <w:p w14:paraId="4E26CEB7" w14:textId="77777777" w:rsidR="006B34A1" w:rsidRPr="008D45EF" w:rsidRDefault="006B34A1" w:rsidP="0081699D">
      <w:pPr>
        <w:ind w:left="851"/>
        <w:rPr>
          <w:sz w:val="24"/>
          <w:szCs w:val="24"/>
        </w:rPr>
      </w:pPr>
    </w:p>
    <w:p w14:paraId="41D525E0" w14:textId="77777777" w:rsidR="006B34A1" w:rsidRPr="008D45EF" w:rsidRDefault="006B34A1" w:rsidP="0081699D">
      <w:pPr>
        <w:ind w:left="142"/>
        <w:rPr>
          <w:sz w:val="24"/>
          <w:szCs w:val="24"/>
          <w:u w:val="single"/>
        </w:rPr>
      </w:pPr>
      <w:r w:rsidRPr="008D45EF">
        <w:rPr>
          <w:sz w:val="24"/>
          <w:szCs w:val="24"/>
          <w:u w:val="single"/>
        </w:rPr>
        <w:t>Tabel over bivirkninger ved behandling af brystkræft med docetaxel 75 mg/m² i kombination med doxorubicin</w:t>
      </w:r>
    </w:p>
    <w:p w14:paraId="291AC703" w14:textId="77777777" w:rsidR="006B34A1" w:rsidRPr="008D45EF" w:rsidRDefault="006B34A1" w:rsidP="0081699D">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2409"/>
        <w:gridCol w:w="2405"/>
        <w:gridCol w:w="2409"/>
      </w:tblGrid>
      <w:tr w:rsidR="006B34A1" w:rsidRPr="008D45EF" w14:paraId="43BAB9B2" w14:textId="77777777" w:rsidTr="002A7D83">
        <w:trPr>
          <w:trHeight w:val="20"/>
          <w:tblHeader/>
        </w:trPr>
        <w:tc>
          <w:tcPr>
            <w:tcW w:w="1249" w:type="pct"/>
            <w:tcBorders>
              <w:top w:val="single" w:sz="4" w:space="0" w:color="auto"/>
              <w:left w:val="single" w:sz="4" w:space="0" w:color="auto"/>
              <w:bottom w:val="single" w:sz="4" w:space="0" w:color="auto"/>
              <w:right w:val="single" w:sz="4" w:space="0" w:color="auto"/>
            </w:tcBorders>
            <w:hideMark/>
          </w:tcPr>
          <w:p w14:paraId="03518041" w14:textId="77777777" w:rsidR="006B34A1" w:rsidRPr="008D45EF" w:rsidRDefault="006B34A1" w:rsidP="0081699D">
            <w:pPr>
              <w:ind w:left="142"/>
              <w:rPr>
                <w:b/>
                <w:bCs/>
                <w:sz w:val="24"/>
                <w:szCs w:val="24"/>
              </w:rPr>
            </w:pPr>
            <w:r w:rsidRPr="008D45EF">
              <w:rPr>
                <w:b/>
                <w:bCs/>
                <w:sz w:val="24"/>
                <w:szCs w:val="24"/>
              </w:rPr>
              <w:t>Systemorganklasser i henhold til MedDRA-databasen</w:t>
            </w:r>
          </w:p>
        </w:tc>
        <w:tc>
          <w:tcPr>
            <w:tcW w:w="1251" w:type="pct"/>
            <w:tcBorders>
              <w:top w:val="single" w:sz="4" w:space="0" w:color="auto"/>
              <w:left w:val="single" w:sz="4" w:space="0" w:color="auto"/>
              <w:bottom w:val="single" w:sz="4" w:space="0" w:color="auto"/>
              <w:right w:val="single" w:sz="4" w:space="0" w:color="auto"/>
            </w:tcBorders>
            <w:hideMark/>
          </w:tcPr>
          <w:p w14:paraId="68B1FFFF" w14:textId="77777777" w:rsidR="006B34A1" w:rsidRPr="008D45EF" w:rsidRDefault="006B34A1" w:rsidP="0081699D">
            <w:pPr>
              <w:ind w:left="142"/>
              <w:rPr>
                <w:b/>
                <w:bCs/>
                <w:sz w:val="24"/>
                <w:szCs w:val="24"/>
              </w:rPr>
            </w:pPr>
            <w:r w:rsidRPr="008D45EF">
              <w:rPr>
                <w:b/>
                <w:bCs/>
                <w:sz w:val="24"/>
                <w:szCs w:val="24"/>
              </w:rPr>
              <w:t>Meget almindelige bivirkninger</w:t>
            </w:r>
          </w:p>
        </w:tc>
        <w:tc>
          <w:tcPr>
            <w:tcW w:w="1249" w:type="pct"/>
            <w:tcBorders>
              <w:top w:val="single" w:sz="4" w:space="0" w:color="auto"/>
              <w:left w:val="single" w:sz="4" w:space="0" w:color="auto"/>
              <w:bottom w:val="single" w:sz="4" w:space="0" w:color="auto"/>
              <w:right w:val="single" w:sz="4" w:space="0" w:color="auto"/>
            </w:tcBorders>
            <w:hideMark/>
          </w:tcPr>
          <w:p w14:paraId="0FB6D74C" w14:textId="77777777" w:rsidR="006B34A1" w:rsidRPr="008D45EF" w:rsidRDefault="006B34A1" w:rsidP="0081699D">
            <w:pPr>
              <w:ind w:left="142"/>
              <w:rPr>
                <w:b/>
                <w:bCs/>
                <w:sz w:val="24"/>
                <w:szCs w:val="24"/>
              </w:rPr>
            </w:pPr>
            <w:r w:rsidRPr="008D45EF">
              <w:rPr>
                <w:b/>
                <w:bCs/>
                <w:sz w:val="24"/>
                <w:szCs w:val="24"/>
              </w:rPr>
              <w:t>Almindelige bivirkninger</w:t>
            </w:r>
          </w:p>
        </w:tc>
        <w:tc>
          <w:tcPr>
            <w:tcW w:w="1251" w:type="pct"/>
            <w:tcBorders>
              <w:top w:val="single" w:sz="4" w:space="0" w:color="auto"/>
              <w:left w:val="single" w:sz="4" w:space="0" w:color="auto"/>
              <w:bottom w:val="single" w:sz="4" w:space="0" w:color="auto"/>
              <w:right w:val="single" w:sz="4" w:space="0" w:color="auto"/>
            </w:tcBorders>
            <w:hideMark/>
          </w:tcPr>
          <w:p w14:paraId="746E3A2D" w14:textId="77777777" w:rsidR="006B34A1" w:rsidRPr="008D45EF" w:rsidRDefault="006B34A1" w:rsidP="0081699D">
            <w:pPr>
              <w:ind w:left="142"/>
              <w:rPr>
                <w:b/>
                <w:bCs/>
                <w:sz w:val="24"/>
                <w:szCs w:val="24"/>
              </w:rPr>
            </w:pPr>
            <w:r w:rsidRPr="008D45EF">
              <w:rPr>
                <w:b/>
                <w:bCs/>
                <w:sz w:val="24"/>
                <w:szCs w:val="24"/>
              </w:rPr>
              <w:t>Ikke almindelige bivirkninger</w:t>
            </w:r>
          </w:p>
        </w:tc>
      </w:tr>
      <w:tr w:rsidR="006B34A1" w:rsidRPr="008D45EF" w14:paraId="77455F97" w14:textId="77777777" w:rsidTr="002A7D83">
        <w:trPr>
          <w:trHeight w:val="20"/>
        </w:trPr>
        <w:tc>
          <w:tcPr>
            <w:tcW w:w="1249" w:type="pct"/>
            <w:tcBorders>
              <w:top w:val="single" w:sz="4" w:space="0" w:color="auto"/>
              <w:left w:val="single" w:sz="4" w:space="0" w:color="auto"/>
              <w:bottom w:val="single" w:sz="4" w:space="0" w:color="auto"/>
              <w:right w:val="single" w:sz="4" w:space="0" w:color="auto"/>
            </w:tcBorders>
            <w:hideMark/>
          </w:tcPr>
          <w:p w14:paraId="6D72CA7C" w14:textId="77777777" w:rsidR="006B34A1" w:rsidRPr="008D45EF" w:rsidRDefault="006B34A1" w:rsidP="0081699D">
            <w:pPr>
              <w:ind w:left="142"/>
              <w:rPr>
                <w:sz w:val="24"/>
                <w:szCs w:val="24"/>
              </w:rPr>
            </w:pPr>
            <w:r w:rsidRPr="008D45EF">
              <w:rPr>
                <w:sz w:val="24"/>
                <w:szCs w:val="24"/>
              </w:rPr>
              <w:t>Infektioner og parasitære sygdomme</w:t>
            </w:r>
          </w:p>
        </w:tc>
        <w:tc>
          <w:tcPr>
            <w:tcW w:w="1251" w:type="pct"/>
            <w:tcBorders>
              <w:top w:val="single" w:sz="4" w:space="0" w:color="auto"/>
              <w:left w:val="single" w:sz="4" w:space="0" w:color="auto"/>
              <w:bottom w:val="single" w:sz="4" w:space="0" w:color="auto"/>
              <w:right w:val="single" w:sz="4" w:space="0" w:color="auto"/>
            </w:tcBorders>
            <w:hideMark/>
          </w:tcPr>
          <w:p w14:paraId="67CEFBAB" w14:textId="77777777" w:rsidR="006B34A1" w:rsidRPr="008D45EF" w:rsidRDefault="006B34A1" w:rsidP="0081699D">
            <w:pPr>
              <w:ind w:left="142"/>
              <w:rPr>
                <w:sz w:val="24"/>
                <w:szCs w:val="24"/>
              </w:rPr>
            </w:pPr>
            <w:r w:rsidRPr="008D45EF">
              <w:rPr>
                <w:sz w:val="24"/>
                <w:szCs w:val="24"/>
              </w:rPr>
              <w:t>Infektioner (G3/4: 7,8 %)</w:t>
            </w:r>
          </w:p>
        </w:tc>
        <w:tc>
          <w:tcPr>
            <w:tcW w:w="1249" w:type="pct"/>
            <w:tcBorders>
              <w:top w:val="single" w:sz="4" w:space="0" w:color="auto"/>
              <w:left w:val="single" w:sz="4" w:space="0" w:color="auto"/>
              <w:bottom w:val="single" w:sz="4" w:space="0" w:color="auto"/>
              <w:right w:val="single" w:sz="4" w:space="0" w:color="auto"/>
            </w:tcBorders>
          </w:tcPr>
          <w:p w14:paraId="0A99BC72" w14:textId="77777777" w:rsidR="006B34A1" w:rsidRPr="008D45EF" w:rsidRDefault="006B34A1" w:rsidP="0081699D">
            <w:pPr>
              <w:ind w:left="142"/>
              <w:rPr>
                <w:sz w:val="24"/>
                <w:szCs w:val="24"/>
              </w:rPr>
            </w:pPr>
          </w:p>
        </w:tc>
        <w:tc>
          <w:tcPr>
            <w:tcW w:w="1251" w:type="pct"/>
            <w:tcBorders>
              <w:top w:val="single" w:sz="4" w:space="0" w:color="auto"/>
              <w:left w:val="single" w:sz="4" w:space="0" w:color="auto"/>
              <w:bottom w:val="single" w:sz="4" w:space="0" w:color="auto"/>
              <w:right w:val="single" w:sz="4" w:space="0" w:color="auto"/>
            </w:tcBorders>
          </w:tcPr>
          <w:p w14:paraId="46DF156A" w14:textId="77777777" w:rsidR="006B34A1" w:rsidRPr="008D45EF" w:rsidRDefault="006B34A1" w:rsidP="0081699D">
            <w:pPr>
              <w:ind w:left="142"/>
              <w:rPr>
                <w:sz w:val="24"/>
                <w:szCs w:val="24"/>
              </w:rPr>
            </w:pPr>
          </w:p>
        </w:tc>
      </w:tr>
      <w:tr w:rsidR="006B34A1" w:rsidRPr="008D45EF" w14:paraId="1A832E13" w14:textId="77777777" w:rsidTr="002A7D83">
        <w:trPr>
          <w:trHeight w:val="20"/>
        </w:trPr>
        <w:tc>
          <w:tcPr>
            <w:tcW w:w="1249" w:type="pct"/>
            <w:tcBorders>
              <w:top w:val="single" w:sz="4" w:space="0" w:color="auto"/>
              <w:left w:val="single" w:sz="4" w:space="0" w:color="auto"/>
              <w:bottom w:val="single" w:sz="4" w:space="0" w:color="auto"/>
              <w:right w:val="single" w:sz="4" w:space="0" w:color="auto"/>
            </w:tcBorders>
            <w:hideMark/>
          </w:tcPr>
          <w:p w14:paraId="3B712D20" w14:textId="77777777" w:rsidR="006B34A1" w:rsidRPr="008D45EF" w:rsidRDefault="006B34A1" w:rsidP="0081699D">
            <w:pPr>
              <w:ind w:left="142"/>
              <w:rPr>
                <w:sz w:val="24"/>
                <w:szCs w:val="24"/>
              </w:rPr>
            </w:pPr>
            <w:r w:rsidRPr="008D45EF">
              <w:rPr>
                <w:sz w:val="24"/>
                <w:szCs w:val="24"/>
              </w:rPr>
              <w:t>Blod og lymfesystem</w:t>
            </w:r>
          </w:p>
        </w:tc>
        <w:tc>
          <w:tcPr>
            <w:tcW w:w="1251" w:type="pct"/>
            <w:tcBorders>
              <w:top w:val="single" w:sz="4" w:space="0" w:color="auto"/>
              <w:left w:val="single" w:sz="4" w:space="0" w:color="auto"/>
              <w:bottom w:val="single" w:sz="4" w:space="0" w:color="auto"/>
              <w:right w:val="single" w:sz="4" w:space="0" w:color="auto"/>
            </w:tcBorders>
            <w:hideMark/>
          </w:tcPr>
          <w:p w14:paraId="04E771C2" w14:textId="77777777" w:rsidR="009B0C24" w:rsidRPr="00EF58FE" w:rsidRDefault="009B0C24" w:rsidP="009B0C24">
            <w:pPr>
              <w:ind w:left="142"/>
              <w:rPr>
                <w:sz w:val="24"/>
                <w:szCs w:val="24"/>
                <w:lang w:val="en-US"/>
              </w:rPr>
            </w:pPr>
            <w:r w:rsidRPr="00EF58FE">
              <w:rPr>
                <w:sz w:val="24"/>
                <w:szCs w:val="24"/>
                <w:lang w:val="en-US"/>
              </w:rPr>
              <w:t xml:space="preserve">Neutropeni (G4: 91,7 %); </w:t>
            </w:r>
          </w:p>
          <w:p w14:paraId="3E03C1CB" w14:textId="77777777" w:rsidR="009B0C24" w:rsidRPr="009B0C24" w:rsidRDefault="009B0C24" w:rsidP="009B0C24">
            <w:pPr>
              <w:ind w:left="142"/>
              <w:rPr>
                <w:sz w:val="24"/>
                <w:szCs w:val="24"/>
                <w:lang w:val="en-US"/>
              </w:rPr>
            </w:pPr>
            <w:r w:rsidRPr="009B0C24">
              <w:rPr>
                <w:sz w:val="24"/>
                <w:szCs w:val="24"/>
                <w:lang w:val="en-US"/>
              </w:rPr>
              <w:t>Anæmi (G3/4: 9,4 %);</w:t>
            </w:r>
          </w:p>
          <w:p w14:paraId="312E69EE" w14:textId="77777777" w:rsidR="009B0C24" w:rsidRPr="009B0C24" w:rsidRDefault="009B0C24" w:rsidP="009B0C24">
            <w:pPr>
              <w:ind w:left="142"/>
              <w:rPr>
                <w:sz w:val="24"/>
                <w:szCs w:val="24"/>
                <w:lang w:val="en-US"/>
              </w:rPr>
            </w:pPr>
            <w:r w:rsidRPr="009B0C24">
              <w:rPr>
                <w:sz w:val="24"/>
                <w:szCs w:val="24"/>
                <w:lang w:val="en-US"/>
              </w:rPr>
              <w:t xml:space="preserve">Febril neutropeni; </w:t>
            </w:r>
          </w:p>
          <w:p w14:paraId="40A05356" w14:textId="5CA2997D" w:rsidR="006B34A1" w:rsidRPr="008D45EF" w:rsidRDefault="009B0C24" w:rsidP="009B0C24">
            <w:pPr>
              <w:ind w:left="142"/>
              <w:rPr>
                <w:sz w:val="24"/>
                <w:szCs w:val="24"/>
              </w:rPr>
            </w:pPr>
            <w:r w:rsidRPr="008D45EF">
              <w:rPr>
                <w:sz w:val="24"/>
                <w:szCs w:val="24"/>
              </w:rPr>
              <w:t>Trombocytopeni (G4: 0,8 %)</w:t>
            </w:r>
          </w:p>
        </w:tc>
        <w:tc>
          <w:tcPr>
            <w:tcW w:w="1249" w:type="pct"/>
            <w:tcBorders>
              <w:top w:val="single" w:sz="4" w:space="0" w:color="auto"/>
              <w:left w:val="single" w:sz="4" w:space="0" w:color="auto"/>
              <w:bottom w:val="single" w:sz="4" w:space="0" w:color="auto"/>
              <w:right w:val="single" w:sz="4" w:space="0" w:color="auto"/>
            </w:tcBorders>
          </w:tcPr>
          <w:p w14:paraId="61A9CE5A" w14:textId="77777777" w:rsidR="006B34A1" w:rsidRPr="008D45EF" w:rsidRDefault="006B34A1" w:rsidP="0081699D">
            <w:pPr>
              <w:ind w:left="142"/>
              <w:rPr>
                <w:sz w:val="24"/>
                <w:szCs w:val="24"/>
              </w:rPr>
            </w:pPr>
          </w:p>
        </w:tc>
        <w:tc>
          <w:tcPr>
            <w:tcW w:w="1251" w:type="pct"/>
            <w:tcBorders>
              <w:top w:val="single" w:sz="4" w:space="0" w:color="auto"/>
              <w:left w:val="single" w:sz="4" w:space="0" w:color="auto"/>
              <w:bottom w:val="single" w:sz="4" w:space="0" w:color="auto"/>
              <w:right w:val="single" w:sz="4" w:space="0" w:color="auto"/>
            </w:tcBorders>
          </w:tcPr>
          <w:p w14:paraId="4A5E30CE" w14:textId="77777777" w:rsidR="006B34A1" w:rsidRPr="008D45EF" w:rsidRDefault="006B34A1" w:rsidP="0081699D">
            <w:pPr>
              <w:ind w:left="142"/>
              <w:rPr>
                <w:sz w:val="24"/>
                <w:szCs w:val="24"/>
              </w:rPr>
            </w:pPr>
          </w:p>
        </w:tc>
      </w:tr>
      <w:tr w:rsidR="006B34A1" w:rsidRPr="008D45EF" w14:paraId="2A007A6E" w14:textId="77777777" w:rsidTr="002A7D83">
        <w:trPr>
          <w:trHeight w:val="20"/>
        </w:trPr>
        <w:tc>
          <w:tcPr>
            <w:tcW w:w="1249" w:type="pct"/>
            <w:tcBorders>
              <w:top w:val="single" w:sz="4" w:space="0" w:color="auto"/>
              <w:left w:val="single" w:sz="4" w:space="0" w:color="auto"/>
              <w:bottom w:val="single" w:sz="4" w:space="0" w:color="auto"/>
              <w:right w:val="single" w:sz="4" w:space="0" w:color="auto"/>
            </w:tcBorders>
            <w:hideMark/>
          </w:tcPr>
          <w:p w14:paraId="358B3D36" w14:textId="77777777" w:rsidR="006B34A1" w:rsidRPr="008D45EF" w:rsidRDefault="006B34A1" w:rsidP="0081699D">
            <w:pPr>
              <w:ind w:left="142"/>
              <w:rPr>
                <w:sz w:val="24"/>
                <w:szCs w:val="24"/>
              </w:rPr>
            </w:pPr>
            <w:r w:rsidRPr="008D45EF">
              <w:rPr>
                <w:sz w:val="24"/>
                <w:szCs w:val="24"/>
              </w:rPr>
              <w:t>Immunsystemet</w:t>
            </w:r>
          </w:p>
        </w:tc>
        <w:tc>
          <w:tcPr>
            <w:tcW w:w="1251" w:type="pct"/>
            <w:tcBorders>
              <w:top w:val="single" w:sz="4" w:space="0" w:color="auto"/>
              <w:left w:val="single" w:sz="4" w:space="0" w:color="auto"/>
              <w:bottom w:val="single" w:sz="4" w:space="0" w:color="auto"/>
              <w:right w:val="single" w:sz="4" w:space="0" w:color="auto"/>
            </w:tcBorders>
          </w:tcPr>
          <w:p w14:paraId="39B7FDD6" w14:textId="77777777" w:rsidR="006B34A1" w:rsidRPr="008D45EF" w:rsidRDefault="006B34A1" w:rsidP="0081699D">
            <w:pPr>
              <w:ind w:left="142"/>
              <w:rPr>
                <w:sz w:val="24"/>
                <w:szCs w:val="24"/>
              </w:rPr>
            </w:pPr>
          </w:p>
        </w:tc>
        <w:tc>
          <w:tcPr>
            <w:tcW w:w="1249" w:type="pct"/>
            <w:tcBorders>
              <w:top w:val="single" w:sz="4" w:space="0" w:color="auto"/>
              <w:left w:val="single" w:sz="4" w:space="0" w:color="auto"/>
              <w:bottom w:val="single" w:sz="4" w:space="0" w:color="auto"/>
              <w:right w:val="single" w:sz="4" w:space="0" w:color="auto"/>
            </w:tcBorders>
            <w:hideMark/>
          </w:tcPr>
          <w:p w14:paraId="6291BD94" w14:textId="77777777" w:rsidR="006B34A1" w:rsidRPr="008D45EF" w:rsidRDefault="006B34A1" w:rsidP="0081699D">
            <w:pPr>
              <w:ind w:left="142"/>
              <w:rPr>
                <w:sz w:val="24"/>
                <w:szCs w:val="24"/>
              </w:rPr>
            </w:pPr>
            <w:r w:rsidRPr="008D45EF">
              <w:rPr>
                <w:sz w:val="24"/>
                <w:szCs w:val="24"/>
              </w:rPr>
              <w:t>Overfølsomhed (G3/4: 1,2 %)</w:t>
            </w:r>
          </w:p>
        </w:tc>
        <w:tc>
          <w:tcPr>
            <w:tcW w:w="1251" w:type="pct"/>
            <w:tcBorders>
              <w:top w:val="single" w:sz="4" w:space="0" w:color="auto"/>
              <w:left w:val="single" w:sz="4" w:space="0" w:color="auto"/>
              <w:bottom w:val="single" w:sz="4" w:space="0" w:color="auto"/>
              <w:right w:val="single" w:sz="4" w:space="0" w:color="auto"/>
            </w:tcBorders>
          </w:tcPr>
          <w:p w14:paraId="0C22B182" w14:textId="77777777" w:rsidR="006B34A1" w:rsidRPr="008D45EF" w:rsidRDefault="006B34A1" w:rsidP="0081699D">
            <w:pPr>
              <w:ind w:left="142"/>
              <w:rPr>
                <w:sz w:val="24"/>
                <w:szCs w:val="24"/>
              </w:rPr>
            </w:pPr>
          </w:p>
        </w:tc>
      </w:tr>
      <w:tr w:rsidR="006B34A1" w:rsidRPr="008D45EF" w14:paraId="1434393D" w14:textId="77777777" w:rsidTr="002A7D83">
        <w:trPr>
          <w:trHeight w:val="20"/>
        </w:trPr>
        <w:tc>
          <w:tcPr>
            <w:tcW w:w="1249" w:type="pct"/>
            <w:tcBorders>
              <w:top w:val="single" w:sz="4" w:space="0" w:color="auto"/>
              <w:left w:val="single" w:sz="4" w:space="0" w:color="auto"/>
              <w:bottom w:val="single" w:sz="4" w:space="0" w:color="auto"/>
              <w:right w:val="single" w:sz="4" w:space="0" w:color="auto"/>
            </w:tcBorders>
            <w:hideMark/>
          </w:tcPr>
          <w:p w14:paraId="6F659C42" w14:textId="77777777" w:rsidR="006B34A1" w:rsidRPr="008D45EF" w:rsidRDefault="006B34A1" w:rsidP="0081699D">
            <w:pPr>
              <w:ind w:left="142"/>
              <w:rPr>
                <w:sz w:val="24"/>
                <w:szCs w:val="24"/>
              </w:rPr>
            </w:pPr>
            <w:r w:rsidRPr="008D45EF">
              <w:rPr>
                <w:sz w:val="24"/>
                <w:szCs w:val="24"/>
              </w:rPr>
              <w:t>Metabolisme og ernæring</w:t>
            </w:r>
          </w:p>
        </w:tc>
        <w:tc>
          <w:tcPr>
            <w:tcW w:w="1251" w:type="pct"/>
            <w:tcBorders>
              <w:top w:val="single" w:sz="4" w:space="0" w:color="auto"/>
              <w:left w:val="single" w:sz="4" w:space="0" w:color="auto"/>
              <w:bottom w:val="single" w:sz="4" w:space="0" w:color="auto"/>
              <w:right w:val="single" w:sz="4" w:space="0" w:color="auto"/>
            </w:tcBorders>
          </w:tcPr>
          <w:p w14:paraId="28288910" w14:textId="77777777" w:rsidR="006B34A1" w:rsidRPr="008D45EF" w:rsidRDefault="006B34A1" w:rsidP="0081699D">
            <w:pPr>
              <w:ind w:left="142"/>
              <w:rPr>
                <w:sz w:val="24"/>
                <w:szCs w:val="24"/>
              </w:rPr>
            </w:pPr>
          </w:p>
        </w:tc>
        <w:tc>
          <w:tcPr>
            <w:tcW w:w="1249" w:type="pct"/>
            <w:tcBorders>
              <w:top w:val="single" w:sz="4" w:space="0" w:color="auto"/>
              <w:left w:val="single" w:sz="4" w:space="0" w:color="auto"/>
              <w:bottom w:val="single" w:sz="4" w:space="0" w:color="auto"/>
              <w:right w:val="single" w:sz="4" w:space="0" w:color="auto"/>
            </w:tcBorders>
            <w:hideMark/>
          </w:tcPr>
          <w:p w14:paraId="361EF2AB" w14:textId="77777777" w:rsidR="006B34A1" w:rsidRPr="008D45EF" w:rsidRDefault="006B34A1" w:rsidP="0081699D">
            <w:pPr>
              <w:ind w:left="142"/>
              <w:rPr>
                <w:sz w:val="24"/>
                <w:szCs w:val="24"/>
              </w:rPr>
            </w:pPr>
            <w:r w:rsidRPr="008D45EF">
              <w:rPr>
                <w:sz w:val="24"/>
                <w:szCs w:val="24"/>
              </w:rPr>
              <w:t>Anoreksi</w:t>
            </w:r>
          </w:p>
        </w:tc>
        <w:tc>
          <w:tcPr>
            <w:tcW w:w="1251" w:type="pct"/>
            <w:tcBorders>
              <w:top w:val="single" w:sz="4" w:space="0" w:color="auto"/>
              <w:left w:val="single" w:sz="4" w:space="0" w:color="auto"/>
              <w:bottom w:val="single" w:sz="4" w:space="0" w:color="auto"/>
              <w:right w:val="single" w:sz="4" w:space="0" w:color="auto"/>
            </w:tcBorders>
          </w:tcPr>
          <w:p w14:paraId="5C506B60" w14:textId="77777777" w:rsidR="006B34A1" w:rsidRPr="008D45EF" w:rsidRDefault="006B34A1" w:rsidP="0081699D">
            <w:pPr>
              <w:ind w:left="142"/>
              <w:rPr>
                <w:sz w:val="24"/>
                <w:szCs w:val="24"/>
              </w:rPr>
            </w:pPr>
          </w:p>
        </w:tc>
      </w:tr>
      <w:tr w:rsidR="006B34A1" w:rsidRPr="008D45EF" w14:paraId="10B8FAA3" w14:textId="77777777" w:rsidTr="002A7D83">
        <w:trPr>
          <w:trHeight w:val="20"/>
        </w:trPr>
        <w:tc>
          <w:tcPr>
            <w:tcW w:w="1249" w:type="pct"/>
            <w:tcBorders>
              <w:top w:val="single" w:sz="4" w:space="0" w:color="auto"/>
              <w:left w:val="single" w:sz="4" w:space="0" w:color="auto"/>
              <w:bottom w:val="single" w:sz="4" w:space="0" w:color="auto"/>
              <w:right w:val="single" w:sz="4" w:space="0" w:color="auto"/>
            </w:tcBorders>
            <w:hideMark/>
          </w:tcPr>
          <w:p w14:paraId="32849A33" w14:textId="77777777" w:rsidR="006B34A1" w:rsidRPr="008D45EF" w:rsidRDefault="006B34A1" w:rsidP="0081699D">
            <w:pPr>
              <w:ind w:left="142"/>
              <w:rPr>
                <w:sz w:val="24"/>
                <w:szCs w:val="24"/>
              </w:rPr>
            </w:pPr>
            <w:r w:rsidRPr="008D45EF">
              <w:rPr>
                <w:sz w:val="24"/>
                <w:szCs w:val="24"/>
              </w:rPr>
              <w:t>Nervesystemet</w:t>
            </w:r>
          </w:p>
        </w:tc>
        <w:tc>
          <w:tcPr>
            <w:tcW w:w="1251" w:type="pct"/>
            <w:tcBorders>
              <w:top w:val="single" w:sz="4" w:space="0" w:color="auto"/>
              <w:left w:val="single" w:sz="4" w:space="0" w:color="auto"/>
              <w:bottom w:val="single" w:sz="4" w:space="0" w:color="auto"/>
              <w:right w:val="single" w:sz="4" w:space="0" w:color="auto"/>
            </w:tcBorders>
            <w:hideMark/>
          </w:tcPr>
          <w:p w14:paraId="241C637B" w14:textId="77777777" w:rsidR="006B34A1" w:rsidRPr="008D45EF" w:rsidRDefault="006B34A1" w:rsidP="0081699D">
            <w:pPr>
              <w:ind w:left="142"/>
              <w:rPr>
                <w:sz w:val="24"/>
                <w:szCs w:val="24"/>
              </w:rPr>
            </w:pPr>
            <w:r w:rsidRPr="008D45EF">
              <w:rPr>
                <w:sz w:val="24"/>
                <w:szCs w:val="24"/>
              </w:rPr>
              <w:t>Perifer sensorisk neuropati (G3: 0,4 %)</w:t>
            </w:r>
          </w:p>
        </w:tc>
        <w:tc>
          <w:tcPr>
            <w:tcW w:w="1249" w:type="pct"/>
            <w:tcBorders>
              <w:top w:val="single" w:sz="4" w:space="0" w:color="auto"/>
              <w:left w:val="single" w:sz="4" w:space="0" w:color="auto"/>
              <w:bottom w:val="single" w:sz="4" w:space="0" w:color="auto"/>
              <w:right w:val="single" w:sz="4" w:space="0" w:color="auto"/>
            </w:tcBorders>
            <w:hideMark/>
          </w:tcPr>
          <w:p w14:paraId="70212E10" w14:textId="77777777" w:rsidR="006B34A1" w:rsidRPr="008D45EF" w:rsidRDefault="006B34A1" w:rsidP="0081699D">
            <w:pPr>
              <w:ind w:left="142"/>
              <w:rPr>
                <w:sz w:val="24"/>
                <w:szCs w:val="24"/>
              </w:rPr>
            </w:pPr>
            <w:r w:rsidRPr="008D45EF">
              <w:rPr>
                <w:sz w:val="24"/>
                <w:szCs w:val="24"/>
              </w:rPr>
              <w:t>Perifer motorisk neuropati (G3/4: 0,4 %)</w:t>
            </w:r>
          </w:p>
        </w:tc>
        <w:tc>
          <w:tcPr>
            <w:tcW w:w="1251" w:type="pct"/>
            <w:tcBorders>
              <w:top w:val="single" w:sz="4" w:space="0" w:color="auto"/>
              <w:left w:val="single" w:sz="4" w:space="0" w:color="auto"/>
              <w:bottom w:val="single" w:sz="4" w:space="0" w:color="auto"/>
              <w:right w:val="single" w:sz="4" w:space="0" w:color="auto"/>
            </w:tcBorders>
          </w:tcPr>
          <w:p w14:paraId="43F1077C" w14:textId="77777777" w:rsidR="006B34A1" w:rsidRPr="008D45EF" w:rsidRDefault="006B34A1" w:rsidP="0081699D">
            <w:pPr>
              <w:ind w:left="142"/>
              <w:rPr>
                <w:sz w:val="24"/>
                <w:szCs w:val="24"/>
              </w:rPr>
            </w:pPr>
          </w:p>
        </w:tc>
      </w:tr>
      <w:tr w:rsidR="006B34A1" w:rsidRPr="008D45EF" w14:paraId="1EAA60F6" w14:textId="77777777" w:rsidTr="002A7D83">
        <w:trPr>
          <w:trHeight w:val="20"/>
        </w:trPr>
        <w:tc>
          <w:tcPr>
            <w:tcW w:w="1249" w:type="pct"/>
            <w:tcBorders>
              <w:top w:val="single" w:sz="4" w:space="0" w:color="auto"/>
              <w:left w:val="single" w:sz="4" w:space="0" w:color="auto"/>
              <w:bottom w:val="single" w:sz="4" w:space="0" w:color="auto"/>
              <w:right w:val="single" w:sz="4" w:space="0" w:color="auto"/>
            </w:tcBorders>
            <w:hideMark/>
          </w:tcPr>
          <w:p w14:paraId="237409D8" w14:textId="77777777" w:rsidR="006B34A1" w:rsidRPr="008D45EF" w:rsidRDefault="006B34A1" w:rsidP="0081699D">
            <w:pPr>
              <w:ind w:left="142"/>
              <w:rPr>
                <w:sz w:val="24"/>
                <w:szCs w:val="24"/>
              </w:rPr>
            </w:pPr>
            <w:r w:rsidRPr="008D45EF">
              <w:rPr>
                <w:sz w:val="24"/>
                <w:szCs w:val="24"/>
              </w:rPr>
              <w:t>Hjerte</w:t>
            </w:r>
          </w:p>
        </w:tc>
        <w:tc>
          <w:tcPr>
            <w:tcW w:w="1251" w:type="pct"/>
            <w:tcBorders>
              <w:top w:val="single" w:sz="4" w:space="0" w:color="auto"/>
              <w:left w:val="single" w:sz="4" w:space="0" w:color="auto"/>
              <w:bottom w:val="single" w:sz="4" w:space="0" w:color="auto"/>
              <w:right w:val="single" w:sz="4" w:space="0" w:color="auto"/>
            </w:tcBorders>
          </w:tcPr>
          <w:p w14:paraId="35AA7A03" w14:textId="77777777" w:rsidR="006B34A1" w:rsidRPr="008D45EF" w:rsidRDefault="006B34A1" w:rsidP="0081699D">
            <w:pPr>
              <w:ind w:left="142"/>
              <w:rPr>
                <w:sz w:val="24"/>
                <w:szCs w:val="24"/>
              </w:rPr>
            </w:pPr>
          </w:p>
        </w:tc>
        <w:tc>
          <w:tcPr>
            <w:tcW w:w="1249" w:type="pct"/>
            <w:tcBorders>
              <w:top w:val="single" w:sz="4" w:space="0" w:color="auto"/>
              <w:left w:val="single" w:sz="4" w:space="0" w:color="auto"/>
              <w:bottom w:val="single" w:sz="4" w:space="0" w:color="auto"/>
              <w:right w:val="single" w:sz="4" w:space="0" w:color="auto"/>
            </w:tcBorders>
            <w:hideMark/>
          </w:tcPr>
          <w:p w14:paraId="6817970F" w14:textId="77777777" w:rsidR="006B34A1" w:rsidRPr="008D45EF" w:rsidRDefault="006B34A1" w:rsidP="0081699D">
            <w:pPr>
              <w:ind w:left="142"/>
              <w:rPr>
                <w:sz w:val="24"/>
                <w:szCs w:val="24"/>
              </w:rPr>
            </w:pPr>
            <w:r w:rsidRPr="008D45EF">
              <w:rPr>
                <w:sz w:val="24"/>
                <w:szCs w:val="24"/>
              </w:rPr>
              <w:t>Hjertesvigt;</w:t>
            </w:r>
          </w:p>
          <w:p w14:paraId="6C0B0FB6" w14:textId="77777777" w:rsidR="006B34A1" w:rsidRPr="008D45EF" w:rsidRDefault="006B34A1" w:rsidP="0081699D">
            <w:pPr>
              <w:ind w:left="142"/>
              <w:rPr>
                <w:sz w:val="24"/>
                <w:szCs w:val="24"/>
              </w:rPr>
            </w:pPr>
            <w:r w:rsidRPr="008D45EF">
              <w:rPr>
                <w:sz w:val="24"/>
                <w:szCs w:val="24"/>
              </w:rPr>
              <w:t>Arytmi (ikke alvorlig)</w:t>
            </w:r>
          </w:p>
        </w:tc>
        <w:tc>
          <w:tcPr>
            <w:tcW w:w="1251" w:type="pct"/>
            <w:tcBorders>
              <w:top w:val="single" w:sz="4" w:space="0" w:color="auto"/>
              <w:left w:val="single" w:sz="4" w:space="0" w:color="auto"/>
              <w:bottom w:val="single" w:sz="4" w:space="0" w:color="auto"/>
              <w:right w:val="single" w:sz="4" w:space="0" w:color="auto"/>
            </w:tcBorders>
          </w:tcPr>
          <w:p w14:paraId="7F669D38" w14:textId="77777777" w:rsidR="006B34A1" w:rsidRPr="008D45EF" w:rsidRDefault="006B34A1" w:rsidP="0081699D">
            <w:pPr>
              <w:ind w:left="142"/>
              <w:rPr>
                <w:sz w:val="24"/>
                <w:szCs w:val="24"/>
              </w:rPr>
            </w:pPr>
          </w:p>
        </w:tc>
      </w:tr>
      <w:tr w:rsidR="006B34A1" w:rsidRPr="008D45EF" w14:paraId="6E431EB3" w14:textId="77777777" w:rsidTr="002A7D83">
        <w:trPr>
          <w:trHeight w:val="20"/>
        </w:trPr>
        <w:tc>
          <w:tcPr>
            <w:tcW w:w="1249" w:type="pct"/>
            <w:tcBorders>
              <w:top w:val="single" w:sz="4" w:space="0" w:color="auto"/>
              <w:left w:val="single" w:sz="4" w:space="0" w:color="auto"/>
              <w:bottom w:val="single" w:sz="4" w:space="0" w:color="auto"/>
              <w:right w:val="single" w:sz="4" w:space="0" w:color="auto"/>
            </w:tcBorders>
            <w:hideMark/>
          </w:tcPr>
          <w:p w14:paraId="09567B56" w14:textId="77777777" w:rsidR="006B34A1" w:rsidRPr="008D45EF" w:rsidRDefault="006B34A1" w:rsidP="0081699D">
            <w:pPr>
              <w:ind w:left="142"/>
              <w:rPr>
                <w:sz w:val="24"/>
                <w:szCs w:val="24"/>
              </w:rPr>
            </w:pPr>
            <w:r w:rsidRPr="008D45EF">
              <w:rPr>
                <w:sz w:val="24"/>
                <w:szCs w:val="24"/>
              </w:rPr>
              <w:t>Vaskulære sygdomme</w:t>
            </w:r>
          </w:p>
        </w:tc>
        <w:tc>
          <w:tcPr>
            <w:tcW w:w="1251" w:type="pct"/>
            <w:tcBorders>
              <w:top w:val="single" w:sz="4" w:space="0" w:color="auto"/>
              <w:left w:val="single" w:sz="4" w:space="0" w:color="auto"/>
              <w:bottom w:val="single" w:sz="4" w:space="0" w:color="auto"/>
              <w:right w:val="single" w:sz="4" w:space="0" w:color="auto"/>
            </w:tcBorders>
          </w:tcPr>
          <w:p w14:paraId="55C64E09" w14:textId="77777777" w:rsidR="006B34A1" w:rsidRPr="008D45EF" w:rsidRDefault="006B34A1" w:rsidP="0081699D">
            <w:pPr>
              <w:ind w:left="142"/>
              <w:rPr>
                <w:sz w:val="24"/>
                <w:szCs w:val="24"/>
              </w:rPr>
            </w:pPr>
          </w:p>
        </w:tc>
        <w:tc>
          <w:tcPr>
            <w:tcW w:w="1249" w:type="pct"/>
            <w:tcBorders>
              <w:top w:val="single" w:sz="4" w:space="0" w:color="auto"/>
              <w:left w:val="single" w:sz="4" w:space="0" w:color="auto"/>
              <w:bottom w:val="single" w:sz="4" w:space="0" w:color="auto"/>
              <w:right w:val="single" w:sz="4" w:space="0" w:color="auto"/>
            </w:tcBorders>
          </w:tcPr>
          <w:p w14:paraId="33AC8729" w14:textId="77777777" w:rsidR="006B34A1" w:rsidRPr="008D45EF" w:rsidRDefault="006B34A1" w:rsidP="0081699D">
            <w:pPr>
              <w:ind w:left="142"/>
              <w:rPr>
                <w:sz w:val="24"/>
                <w:szCs w:val="24"/>
              </w:rPr>
            </w:pPr>
          </w:p>
        </w:tc>
        <w:tc>
          <w:tcPr>
            <w:tcW w:w="1251" w:type="pct"/>
            <w:tcBorders>
              <w:top w:val="single" w:sz="4" w:space="0" w:color="auto"/>
              <w:left w:val="single" w:sz="4" w:space="0" w:color="auto"/>
              <w:bottom w:val="single" w:sz="4" w:space="0" w:color="auto"/>
              <w:right w:val="single" w:sz="4" w:space="0" w:color="auto"/>
            </w:tcBorders>
            <w:hideMark/>
          </w:tcPr>
          <w:p w14:paraId="7CCA0C34" w14:textId="77777777" w:rsidR="006B34A1" w:rsidRPr="008D45EF" w:rsidRDefault="006B34A1" w:rsidP="0081699D">
            <w:pPr>
              <w:ind w:left="142"/>
              <w:rPr>
                <w:sz w:val="24"/>
                <w:szCs w:val="24"/>
              </w:rPr>
            </w:pPr>
            <w:r w:rsidRPr="008D45EF">
              <w:rPr>
                <w:sz w:val="24"/>
                <w:szCs w:val="24"/>
              </w:rPr>
              <w:t>Hypotension</w:t>
            </w:r>
          </w:p>
        </w:tc>
      </w:tr>
      <w:tr w:rsidR="006B34A1" w:rsidRPr="008D45EF" w14:paraId="6F69C8F1" w14:textId="77777777" w:rsidTr="002A7D83">
        <w:trPr>
          <w:trHeight w:val="20"/>
        </w:trPr>
        <w:tc>
          <w:tcPr>
            <w:tcW w:w="1249" w:type="pct"/>
            <w:tcBorders>
              <w:top w:val="single" w:sz="4" w:space="0" w:color="auto"/>
              <w:left w:val="single" w:sz="4" w:space="0" w:color="auto"/>
              <w:bottom w:val="single" w:sz="4" w:space="0" w:color="auto"/>
              <w:right w:val="single" w:sz="4" w:space="0" w:color="auto"/>
            </w:tcBorders>
            <w:hideMark/>
          </w:tcPr>
          <w:p w14:paraId="1FFDA3F4" w14:textId="6B216DC7" w:rsidR="006B34A1" w:rsidRPr="008D45EF" w:rsidRDefault="000E6038" w:rsidP="0081699D">
            <w:pPr>
              <w:ind w:left="142"/>
              <w:rPr>
                <w:sz w:val="24"/>
                <w:szCs w:val="24"/>
              </w:rPr>
            </w:pPr>
            <w:r w:rsidRPr="003D4A39">
              <w:rPr>
                <w:sz w:val="24"/>
                <w:szCs w:val="24"/>
              </w:rPr>
              <w:t>Mave-tarm-kanalen</w:t>
            </w:r>
          </w:p>
        </w:tc>
        <w:tc>
          <w:tcPr>
            <w:tcW w:w="1251" w:type="pct"/>
            <w:tcBorders>
              <w:top w:val="single" w:sz="4" w:space="0" w:color="auto"/>
              <w:left w:val="single" w:sz="4" w:space="0" w:color="auto"/>
              <w:bottom w:val="single" w:sz="4" w:space="0" w:color="auto"/>
              <w:right w:val="single" w:sz="4" w:space="0" w:color="auto"/>
            </w:tcBorders>
            <w:hideMark/>
          </w:tcPr>
          <w:p w14:paraId="608782E8" w14:textId="77777777" w:rsidR="006B34A1" w:rsidRPr="008D45EF" w:rsidRDefault="006B34A1" w:rsidP="0081699D">
            <w:pPr>
              <w:ind w:left="142"/>
              <w:rPr>
                <w:sz w:val="24"/>
                <w:szCs w:val="24"/>
              </w:rPr>
            </w:pPr>
            <w:r w:rsidRPr="008D45EF">
              <w:rPr>
                <w:sz w:val="24"/>
                <w:szCs w:val="24"/>
              </w:rPr>
              <w:t xml:space="preserve">Kvalme (G3/4: 5 %); </w:t>
            </w:r>
          </w:p>
          <w:p w14:paraId="49B5F21F" w14:textId="77777777" w:rsidR="006B34A1" w:rsidRPr="008D45EF" w:rsidRDefault="006B34A1" w:rsidP="0081699D">
            <w:pPr>
              <w:ind w:left="142"/>
              <w:rPr>
                <w:sz w:val="24"/>
                <w:szCs w:val="24"/>
              </w:rPr>
            </w:pPr>
            <w:r w:rsidRPr="008D45EF">
              <w:rPr>
                <w:sz w:val="24"/>
                <w:szCs w:val="24"/>
              </w:rPr>
              <w:t xml:space="preserve">Stomatitis (G3/4: 7,8 %); </w:t>
            </w:r>
          </w:p>
          <w:p w14:paraId="6416620E" w14:textId="77777777" w:rsidR="006B34A1" w:rsidRPr="008D45EF" w:rsidRDefault="006B34A1" w:rsidP="0081699D">
            <w:pPr>
              <w:ind w:left="142"/>
              <w:rPr>
                <w:sz w:val="24"/>
                <w:szCs w:val="24"/>
              </w:rPr>
            </w:pPr>
            <w:r w:rsidRPr="008D45EF">
              <w:rPr>
                <w:sz w:val="24"/>
                <w:szCs w:val="24"/>
              </w:rPr>
              <w:t xml:space="preserve">Diarré (G3/4: 6,2 %); </w:t>
            </w:r>
          </w:p>
          <w:p w14:paraId="49BCA846" w14:textId="77777777" w:rsidR="006B34A1" w:rsidRPr="008D45EF" w:rsidRDefault="006B34A1" w:rsidP="0081699D">
            <w:pPr>
              <w:ind w:left="142"/>
              <w:rPr>
                <w:sz w:val="24"/>
                <w:szCs w:val="24"/>
              </w:rPr>
            </w:pPr>
            <w:r w:rsidRPr="008D45EF">
              <w:rPr>
                <w:sz w:val="24"/>
                <w:szCs w:val="24"/>
              </w:rPr>
              <w:t>Opkastning (G3/4: 5 %);</w:t>
            </w:r>
          </w:p>
          <w:p w14:paraId="65906290" w14:textId="77777777" w:rsidR="006B34A1" w:rsidRPr="008D45EF" w:rsidRDefault="006B34A1" w:rsidP="0081699D">
            <w:pPr>
              <w:ind w:left="142"/>
              <w:rPr>
                <w:sz w:val="24"/>
                <w:szCs w:val="24"/>
              </w:rPr>
            </w:pPr>
            <w:r w:rsidRPr="008D45EF">
              <w:rPr>
                <w:sz w:val="24"/>
                <w:szCs w:val="24"/>
              </w:rPr>
              <w:t>Konstipation</w:t>
            </w:r>
          </w:p>
        </w:tc>
        <w:tc>
          <w:tcPr>
            <w:tcW w:w="1249" w:type="pct"/>
            <w:tcBorders>
              <w:top w:val="single" w:sz="4" w:space="0" w:color="auto"/>
              <w:left w:val="single" w:sz="4" w:space="0" w:color="auto"/>
              <w:bottom w:val="single" w:sz="4" w:space="0" w:color="auto"/>
              <w:right w:val="single" w:sz="4" w:space="0" w:color="auto"/>
            </w:tcBorders>
          </w:tcPr>
          <w:p w14:paraId="6F22260C" w14:textId="77777777" w:rsidR="006B34A1" w:rsidRPr="008D45EF" w:rsidRDefault="006B34A1" w:rsidP="0081699D">
            <w:pPr>
              <w:ind w:left="142"/>
              <w:rPr>
                <w:sz w:val="24"/>
                <w:szCs w:val="24"/>
              </w:rPr>
            </w:pPr>
          </w:p>
        </w:tc>
        <w:tc>
          <w:tcPr>
            <w:tcW w:w="1251" w:type="pct"/>
            <w:tcBorders>
              <w:top w:val="single" w:sz="4" w:space="0" w:color="auto"/>
              <w:left w:val="single" w:sz="4" w:space="0" w:color="auto"/>
              <w:bottom w:val="single" w:sz="4" w:space="0" w:color="auto"/>
              <w:right w:val="single" w:sz="4" w:space="0" w:color="auto"/>
            </w:tcBorders>
          </w:tcPr>
          <w:p w14:paraId="0C1A7E3E" w14:textId="77777777" w:rsidR="006B34A1" w:rsidRPr="008D45EF" w:rsidRDefault="006B34A1" w:rsidP="0081699D">
            <w:pPr>
              <w:ind w:left="142"/>
              <w:rPr>
                <w:sz w:val="24"/>
                <w:szCs w:val="24"/>
              </w:rPr>
            </w:pPr>
          </w:p>
        </w:tc>
      </w:tr>
      <w:tr w:rsidR="006B34A1" w:rsidRPr="008D45EF" w14:paraId="7B23D654" w14:textId="77777777" w:rsidTr="002A7D83">
        <w:trPr>
          <w:trHeight w:val="20"/>
        </w:trPr>
        <w:tc>
          <w:tcPr>
            <w:tcW w:w="1249" w:type="pct"/>
            <w:tcBorders>
              <w:top w:val="single" w:sz="4" w:space="0" w:color="auto"/>
              <w:left w:val="single" w:sz="4" w:space="0" w:color="auto"/>
              <w:bottom w:val="single" w:sz="4" w:space="0" w:color="auto"/>
              <w:right w:val="single" w:sz="4" w:space="0" w:color="auto"/>
            </w:tcBorders>
            <w:hideMark/>
          </w:tcPr>
          <w:p w14:paraId="484EBD23" w14:textId="77777777" w:rsidR="006B34A1" w:rsidRPr="008D45EF" w:rsidRDefault="006B34A1" w:rsidP="0081699D">
            <w:pPr>
              <w:ind w:left="142"/>
              <w:rPr>
                <w:sz w:val="24"/>
                <w:szCs w:val="24"/>
              </w:rPr>
            </w:pPr>
            <w:r w:rsidRPr="008D45EF">
              <w:rPr>
                <w:sz w:val="24"/>
                <w:szCs w:val="24"/>
              </w:rPr>
              <w:t>Hud og subkutane væv</w:t>
            </w:r>
          </w:p>
        </w:tc>
        <w:tc>
          <w:tcPr>
            <w:tcW w:w="1251" w:type="pct"/>
            <w:tcBorders>
              <w:top w:val="single" w:sz="4" w:space="0" w:color="auto"/>
              <w:left w:val="single" w:sz="4" w:space="0" w:color="auto"/>
              <w:bottom w:val="single" w:sz="4" w:space="0" w:color="auto"/>
              <w:right w:val="single" w:sz="4" w:space="0" w:color="auto"/>
            </w:tcBorders>
            <w:hideMark/>
          </w:tcPr>
          <w:p w14:paraId="0FBABDA9" w14:textId="77777777" w:rsidR="006B34A1" w:rsidRPr="008D45EF" w:rsidRDefault="006B34A1" w:rsidP="0081699D">
            <w:pPr>
              <w:ind w:left="142"/>
              <w:rPr>
                <w:sz w:val="24"/>
                <w:szCs w:val="24"/>
              </w:rPr>
            </w:pPr>
            <w:r w:rsidRPr="008D45EF">
              <w:rPr>
                <w:sz w:val="24"/>
                <w:szCs w:val="24"/>
              </w:rPr>
              <w:t xml:space="preserve">Alopeci; </w:t>
            </w:r>
          </w:p>
          <w:p w14:paraId="0A0ABCFD" w14:textId="77777777" w:rsidR="006B34A1" w:rsidRPr="008D45EF" w:rsidRDefault="006B34A1" w:rsidP="0081699D">
            <w:pPr>
              <w:ind w:left="142"/>
              <w:rPr>
                <w:sz w:val="24"/>
                <w:szCs w:val="24"/>
              </w:rPr>
            </w:pPr>
            <w:r w:rsidRPr="008D45EF">
              <w:rPr>
                <w:sz w:val="24"/>
                <w:szCs w:val="24"/>
              </w:rPr>
              <w:t xml:space="preserve">Neglesygdomme (alvorlig 0,4 %); </w:t>
            </w:r>
          </w:p>
          <w:p w14:paraId="5900D90D" w14:textId="77777777" w:rsidR="006B34A1" w:rsidRPr="008D45EF" w:rsidRDefault="006B34A1" w:rsidP="0081699D">
            <w:pPr>
              <w:ind w:left="142"/>
              <w:rPr>
                <w:sz w:val="24"/>
                <w:szCs w:val="24"/>
              </w:rPr>
            </w:pPr>
            <w:r w:rsidRPr="008D45EF">
              <w:rPr>
                <w:sz w:val="24"/>
                <w:szCs w:val="24"/>
              </w:rPr>
              <w:t>Hudreaktioner (ikke alvorlig)</w:t>
            </w:r>
          </w:p>
        </w:tc>
        <w:tc>
          <w:tcPr>
            <w:tcW w:w="1249" w:type="pct"/>
            <w:tcBorders>
              <w:top w:val="single" w:sz="4" w:space="0" w:color="auto"/>
              <w:left w:val="single" w:sz="4" w:space="0" w:color="auto"/>
              <w:bottom w:val="single" w:sz="4" w:space="0" w:color="auto"/>
              <w:right w:val="single" w:sz="4" w:space="0" w:color="auto"/>
            </w:tcBorders>
          </w:tcPr>
          <w:p w14:paraId="1093A8D5" w14:textId="77777777" w:rsidR="006B34A1" w:rsidRPr="008D45EF" w:rsidRDefault="006B34A1" w:rsidP="0081699D">
            <w:pPr>
              <w:ind w:left="142"/>
              <w:rPr>
                <w:sz w:val="24"/>
                <w:szCs w:val="24"/>
              </w:rPr>
            </w:pPr>
          </w:p>
        </w:tc>
        <w:tc>
          <w:tcPr>
            <w:tcW w:w="1251" w:type="pct"/>
            <w:tcBorders>
              <w:top w:val="single" w:sz="4" w:space="0" w:color="auto"/>
              <w:left w:val="single" w:sz="4" w:space="0" w:color="auto"/>
              <w:bottom w:val="single" w:sz="4" w:space="0" w:color="auto"/>
              <w:right w:val="single" w:sz="4" w:space="0" w:color="auto"/>
            </w:tcBorders>
          </w:tcPr>
          <w:p w14:paraId="0BC0B671" w14:textId="77777777" w:rsidR="006B34A1" w:rsidRPr="008D45EF" w:rsidRDefault="006B34A1" w:rsidP="0081699D">
            <w:pPr>
              <w:ind w:left="142"/>
              <w:rPr>
                <w:sz w:val="24"/>
                <w:szCs w:val="24"/>
              </w:rPr>
            </w:pPr>
          </w:p>
        </w:tc>
      </w:tr>
      <w:tr w:rsidR="006B34A1" w:rsidRPr="008D45EF" w14:paraId="1124B40A" w14:textId="77777777" w:rsidTr="002A7D83">
        <w:trPr>
          <w:trHeight w:val="20"/>
        </w:trPr>
        <w:tc>
          <w:tcPr>
            <w:tcW w:w="1249" w:type="pct"/>
            <w:tcBorders>
              <w:top w:val="single" w:sz="4" w:space="0" w:color="auto"/>
              <w:left w:val="single" w:sz="4" w:space="0" w:color="auto"/>
              <w:bottom w:val="single" w:sz="4" w:space="0" w:color="auto"/>
              <w:right w:val="single" w:sz="4" w:space="0" w:color="auto"/>
            </w:tcBorders>
            <w:hideMark/>
          </w:tcPr>
          <w:p w14:paraId="28E24715" w14:textId="77777777" w:rsidR="006B34A1" w:rsidRPr="008D45EF" w:rsidRDefault="006B34A1" w:rsidP="0081699D">
            <w:pPr>
              <w:ind w:left="142"/>
              <w:rPr>
                <w:sz w:val="24"/>
                <w:szCs w:val="24"/>
              </w:rPr>
            </w:pPr>
            <w:r w:rsidRPr="008D45EF">
              <w:rPr>
                <w:sz w:val="24"/>
                <w:szCs w:val="24"/>
              </w:rPr>
              <w:t>Knogler, led, muskler og bindevæv</w:t>
            </w:r>
          </w:p>
        </w:tc>
        <w:tc>
          <w:tcPr>
            <w:tcW w:w="1251" w:type="pct"/>
            <w:tcBorders>
              <w:top w:val="single" w:sz="4" w:space="0" w:color="auto"/>
              <w:left w:val="single" w:sz="4" w:space="0" w:color="auto"/>
              <w:bottom w:val="single" w:sz="4" w:space="0" w:color="auto"/>
              <w:right w:val="single" w:sz="4" w:space="0" w:color="auto"/>
            </w:tcBorders>
          </w:tcPr>
          <w:p w14:paraId="0BCDC022" w14:textId="77777777" w:rsidR="006B34A1" w:rsidRPr="008D45EF" w:rsidRDefault="006B34A1" w:rsidP="0081699D">
            <w:pPr>
              <w:ind w:left="142"/>
              <w:rPr>
                <w:sz w:val="24"/>
                <w:szCs w:val="24"/>
              </w:rPr>
            </w:pPr>
          </w:p>
        </w:tc>
        <w:tc>
          <w:tcPr>
            <w:tcW w:w="1249" w:type="pct"/>
            <w:tcBorders>
              <w:top w:val="single" w:sz="4" w:space="0" w:color="auto"/>
              <w:left w:val="single" w:sz="4" w:space="0" w:color="auto"/>
              <w:bottom w:val="single" w:sz="4" w:space="0" w:color="auto"/>
              <w:right w:val="single" w:sz="4" w:space="0" w:color="auto"/>
            </w:tcBorders>
            <w:hideMark/>
          </w:tcPr>
          <w:p w14:paraId="6F50811C" w14:textId="77777777" w:rsidR="006B34A1" w:rsidRPr="008D45EF" w:rsidRDefault="006B34A1" w:rsidP="0081699D">
            <w:pPr>
              <w:ind w:left="142"/>
              <w:rPr>
                <w:sz w:val="24"/>
                <w:szCs w:val="24"/>
              </w:rPr>
            </w:pPr>
            <w:r w:rsidRPr="008D45EF">
              <w:rPr>
                <w:sz w:val="24"/>
                <w:szCs w:val="24"/>
              </w:rPr>
              <w:t>Myalgi</w:t>
            </w:r>
          </w:p>
        </w:tc>
        <w:tc>
          <w:tcPr>
            <w:tcW w:w="1251" w:type="pct"/>
            <w:tcBorders>
              <w:top w:val="single" w:sz="4" w:space="0" w:color="auto"/>
              <w:left w:val="single" w:sz="4" w:space="0" w:color="auto"/>
              <w:bottom w:val="single" w:sz="4" w:space="0" w:color="auto"/>
              <w:right w:val="single" w:sz="4" w:space="0" w:color="auto"/>
            </w:tcBorders>
          </w:tcPr>
          <w:p w14:paraId="7E76082D" w14:textId="77777777" w:rsidR="006B34A1" w:rsidRPr="008D45EF" w:rsidRDefault="006B34A1" w:rsidP="0081699D">
            <w:pPr>
              <w:ind w:left="142"/>
              <w:rPr>
                <w:sz w:val="24"/>
                <w:szCs w:val="24"/>
              </w:rPr>
            </w:pPr>
          </w:p>
        </w:tc>
      </w:tr>
      <w:tr w:rsidR="006B34A1" w:rsidRPr="008D45EF" w14:paraId="2EF1B049" w14:textId="77777777" w:rsidTr="002A7D83">
        <w:trPr>
          <w:trHeight w:val="20"/>
        </w:trPr>
        <w:tc>
          <w:tcPr>
            <w:tcW w:w="1249" w:type="pct"/>
            <w:tcBorders>
              <w:top w:val="single" w:sz="4" w:space="0" w:color="auto"/>
              <w:left w:val="single" w:sz="4" w:space="0" w:color="auto"/>
              <w:bottom w:val="single" w:sz="4" w:space="0" w:color="auto"/>
              <w:right w:val="single" w:sz="4" w:space="0" w:color="auto"/>
            </w:tcBorders>
            <w:hideMark/>
          </w:tcPr>
          <w:p w14:paraId="481BA9B1" w14:textId="77777777" w:rsidR="006B34A1" w:rsidRPr="008D45EF" w:rsidRDefault="006B34A1" w:rsidP="0081699D">
            <w:pPr>
              <w:ind w:left="142"/>
              <w:rPr>
                <w:sz w:val="24"/>
                <w:szCs w:val="24"/>
              </w:rPr>
            </w:pPr>
            <w:r w:rsidRPr="008D45EF">
              <w:rPr>
                <w:sz w:val="24"/>
                <w:szCs w:val="24"/>
              </w:rPr>
              <w:t>Almene symptomer og reaktioner på administrationsstedet</w:t>
            </w:r>
          </w:p>
        </w:tc>
        <w:tc>
          <w:tcPr>
            <w:tcW w:w="1251" w:type="pct"/>
            <w:tcBorders>
              <w:top w:val="single" w:sz="4" w:space="0" w:color="auto"/>
              <w:left w:val="single" w:sz="4" w:space="0" w:color="auto"/>
              <w:bottom w:val="single" w:sz="4" w:space="0" w:color="auto"/>
              <w:right w:val="single" w:sz="4" w:space="0" w:color="auto"/>
            </w:tcBorders>
            <w:hideMark/>
          </w:tcPr>
          <w:p w14:paraId="6849BEC5" w14:textId="77777777" w:rsidR="006B34A1" w:rsidRPr="008D45EF" w:rsidRDefault="006B34A1" w:rsidP="0081699D">
            <w:pPr>
              <w:ind w:left="142"/>
              <w:rPr>
                <w:sz w:val="24"/>
                <w:szCs w:val="24"/>
              </w:rPr>
            </w:pPr>
            <w:r w:rsidRPr="008D45EF">
              <w:rPr>
                <w:sz w:val="24"/>
                <w:szCs w:val="24"/>
              </w:rPr>
              <w:t>Asteni (alvorlig: 8,1 %);</w:t>
            </w:r>
          </w:p>
          <w:p w14:paraId="702872BD" w14:textId="77777777" w:rsidR="006B34A1" w:rsidRPr="008D45EF" w:rsidRDefault="006B34A1" w:rsidP="0081699D">
            <w:pPr>
              <w:ind w:left="142"/>
              <w:rPr>
                <w:sz w:val="24"/>
                <w:szCs w:val="24"/>
              </w:rPr>
            </w:pPr>
            <w:r w:rsidRPr="008D45EF">
              <w:rPr>
                <w:sz w:val="24"/>
                <w:szCs w:val="24"/>
              </w:rPr>
              <w:t xml:space="preserve">Væskeretention (alvorlig 1,2 %); </w:t>
            </w:r>
          </w:p>
          <w:p w14:paraId="5AC6C16F" w14:textId="77777777" w:rsidR="006B34A1" w:rsidRPr="008D45EF" w:rsidRDefault="006B34A1" w:rsidP="0081699D">
            <w:pPr>
              <w:ind w:left="142"/>
              <w:rPr>
                <w:sz w:val="24"/>
                <w:szCs w:val="24"/>
              </w:rPr>
            </w:pPr>
            <w:r w:rsidRPr="008D45EF">
              <w:rPr>
                <w:sz w:val="24"/>
                <w:szCs w:val="24"/>
              </w:rPr>
              <w:t>Smerter</w:t>
            </w:r>
          </w:p>
        </w:tc>
        <w:tc>
          <w:tcPr>
            <w:tcW w:w="1249" w:type="pct"/>
            <w:tcBorders>
              <w:top w:val="single" w:sz="4" w:space="0" w:color="auto"/>
              <w:left w:val="single" w:sz="4" w:space="0" w:color="auto"/>
              <w:bottom w:val="single" w:sz="4" w:space="0" w:color="auto"/>
              <w:right w:val="single" w:sz="4" w:space="0" w:color="auto"/>
            </w:tcBorders>
            <w:hideMark/>
          </w:tcPr>
          <w:p w14:paraId="15F79412" w14:textId="77777777" w:rsidR="006B34A1" w:rsidRPr="008D45EF" w:rsidRDefault="006B34A1" w:rsidP="0081699D">
            <w:pPr>
              <w:ind w:left="142"/>
              <w:rPr>
                <w:sz w:val="24"/>
                <w:szCs w:val="24"/>
              </w:rPr>
            </w:pPr>
            <w:r w:rsidRPr="008D45EF">
              <w:rPr>
                <w:sz w:val="24"/>
                <w:szCs w:val="24"/>
              </w:rPr>
              <w:t>Reaktioner på infusion</w:t>
            </w:r>
            <w:r>
              <w:rPr>
                <w:sz w:val="24"/>
                <w:szCs w:val="24"/>
              </w:rPr>
              <w:t>s</w:t>
            </w:r>
            <w:r w:rsidRPr="008D45EF">
              <w:rPr>
                <w:sz w:val="24"/>
                <w:szCs w:val="24"/>
              </w:rPr>
              <w:t>stedet</w:t>
            </w:r>
          </w:p>
        </w:tc>
        <w:tc>
          <w:tcPr>
            <w:tcW w:w="1251" w:type="pct"/>
            <w:tcBorders>
              <w:top w:val="single" w:sz="4" w:space="0" w:color="auto"/>
              <w:left w:val="single" w:sz="4" w:space="0" w:color="auto"/>
              <w:bottom w:val="single" w:sz="4" w:space="0" w:color="auto"/>
              <w:right w:val="single" w:sz="4" w:space="0" w:color="auto"/>
            </w:tcBorders>
          </w:tcPr>
          <w:p w14:paraId="55F83AB9" w14:textId="77777777" w:rsidR="006B34A1" w:rsidRPr="008D45EF" w:rsidRDefault="006B34A1" w:rsidP="0081699D">
            <w:pPr>
              <w:ind w:left="142"/>
              <w:rPr>
                <w:sz w:val="24"/>
                <w:szCs w:val="24"/>
              </w:rPr>
            </w:pPr>
          </w:p>
        </w:tc>
      </w:tr>
      <w:tr w:rsidR="006B34A1" w:rsidRPr="008D45EF" w14:paraId="32E0BDEF" w14:textId="77777777" w:rsidTr="002A7D83">
        <w:trPr>
          <w:trHeight w:val="20"/>
        </w:trPr>
        <w:tc>
          <w:tcPr>
            <w:tcW w:w="1249" w:type="pct"/>
            <w:tcBorders>
              <w:top w:val="single" w:sz="4" w:space="0" w:color="auto"/>
              <w:left w:val="single" w:sz="4" w:space="0" w:color="auto"/>
              <w:bottom w:val="single" w:sz="4" w:space="0" w:color="auto"/>
              <w:right w:val="single" w:sz="4" w:space="0" w:color="auto"/>
            </w:tcBorders>
            <w:hideMark/>
          </w:tcPr>
          <w:p w14:paraId="0904BBA3" w14:textId="77777777" w:rsidR="006B34A1" w:rsidRPr="008D45EF" w:rsidRDefault="006B34A1" w:rsidP="0081699D">
            <w:pPr>
              <w:ind w:left="142"/>
              <w:rPr>
                <w:sz w:val="24"/>
                <w:szCs w:val="24"/>
              </w:rPr>
            </w:pPr>
            <w:r w:rsidRPr="008D45EF">
              <w:rPr>
                <w:sz w:val="24"/>
                <w:szCs w:val="24"/>
              </w:rPr>
              <w:t>Undersøgelser</w:t>
            </w:r>
          </w:p>
        </w:tc>
        <w:tc>
          <w:tcPr>
            <w:tcW w:w="1251" w:type="pct"/>
            <w:tcBorders>
              <w:top w:val="single" w:sz="4" w:space="0" w:color="auto"/>
              <w:left w:val="single" w:sz="4" w:space="0" w:color="auto"/>
              <w:bottom w:val="single" w:sz="4" w:space="0" w:color="auto"/>
              <w:right w:val="single" w:sz="4" w:space="0" w:color="auto"/>
            </w:tcBorders>
          </w:tcPr>
          <w:p w14:paraId="159F0AE6" w14:textId="77777777" w:rsidR="006B34A1" w:rsidRPr="008D45EF" w:rsidRDefault="006B34A1" w:rsidP="0081699D">
            <w:pPr>
              <w:ind w:left="142"/>
              <w:rPr>
                <w:sz w:val="24"/>
                <w:szCs w:val="24"/>
              </w:rPr>
            </w:pPr>
          </w:p>
        </w:tc>
        <w:tc>
          <w:tcPr>
            <w:tcW w:w="1249" w:type="pct"/>
            <w:tcBorders>
              <w:top w:val="single" w:sz="4" w:space="0" w:color="auto"/>
              <w:left w:val="single" w:sz="4" w:space="0" w:color="auto"/>
              <w:bottom w:val="single" w:sz="4" w:space="0" w:color="auto"/>
              <w:right w:val="single" w:sz="4" w:space="0" w:color="auto"/>
            </w:tcBorders>
            <w:hideMark/>
          </w:tcPr>
          <w:p w14:paraId="1171D341" w14:textId="77777777" w:rsidR="006B34A1" w:rsidRPr="008D45EF" w:rsidRDefault="006B34A1" w:rsidP="0081699D">
            <w:pPr>
              <w:ind w:left="142"/>
              <w:rPr>
                <w:sz w:val="24"/>
                <w:szCs w:val="24"/>
              </w:rPr>
            </w:pPr>
            <w:r w:rsidRPr="008D45EF">
              <w:rPr>
                <w:sz w:val="24"/>
                <w:szCs w:val="24"/>
              </w:rPr>
              <w:t>G3/4 forhøjet bilirubin i blodet (&lt; 2,5 %);</w:t>
            </w:r>
          </w:p>
          <w:p w14:paraId="56C212D8" w14:textId="77777777" w:rsidR="006B34A1" w:rsidRPr="008D45EF" w:rsidRDefault="006B34A1" w:rsidP="0081699D">
            <w:pPr>
              <w:ind w:left="142"/>
              <w:rPr>
                <w:sz w:val="24"/>
                <w:szCs w:val="24"/>
              </w:rPr>
            </w:pPr>
            <w:r w:rsidRPr="008D45EF">
              <w:rPr>
                <w:sz w:val="24"/>
                <w:szCs w:val="24"/>
              </w:rPr>
              <w:t>G3/4 forhøjet alkalisk fosfatase i blodet (&lt; 2,5 %)</w:t>
            </w:r>
          </w:p>
        </w:tc>
        <w:tc>
          <w:tcPr>
            <w:tcW w:w="1251" w:type="pct"/>
            <w:tcBorders>
              <w:top w:val="single" w:sz="4" w:space="0" w:color="auto"/>
              <w:left w:val="single" w:sz="4" w:space="0" w:color="auto"/>
              <w:bottom w:val="single" w:sz="4" w:space="0" w:color="auto"/>
              <w:right w:val="single" w:sz="4" w:space="0" w:color="auto"/>
            </w:tcBorders>
            <w:hideMark/>
          </w:tcPr>
          <w:p w14:paraId="6E59C514" w14:textId="77777777" w:rsidR="006B34A1" w:rsidRPr="008D45EF" w:rsidRDefault="006B34A1" w:rsidP="0081699D">
            <w:pPr>
              <w:ind w:left="142"/>
              <w:rPr>
                <w:sz w:val="24"/>
                <w:szCs w:val="24"/>
              </w:rPr>
            </w:pPr>
            <w:r w:rsidRPr="008D45EF">
              <w:rPr>
                <w:sz w:val="24"/>
                <w:szCs w:val="24"/>
              </w:rPr>
              <w:t>G3/4 ASAT forhøjet (&lt; 1 %);</w:t>
            </w:r>
          </w:p>
          <w:p w14:paraId="04EA7D97" w14:textId="77777777" w:rsidR="006B34A1" w:rsidRPr="008D45EF" w:rsidRDefault="006B34A1" w:rsidP="0081699D">
            <w:pPr>
              <w:ind w:left="142"/>
              <w:rPr>
                <w:sz w:val="24"/>
                <w:szCs w:val="24"/>
              </w:rPr>
            </w:pPr>
            <w:r w:rsidRPr="008D45EF">
              <w:rPr>
                <w:sz w:val="24"/>
                <w:szCs w:val="24"/>
              </w:rPr>
              <w:t>G3/4 ALAT forhøjet (&lt; 1 %)</w:t>
            </w:r>
          </w:p>
        </w:tc>
      </w:tr>
    </w:tbl>
    <w:p w14:paraId="72E33683" w14:textId="77777777" w:rsidR="006B34A1" w:rsidRPr="008D45EF" w:rsidRDefault="006B34A1" w:rsidP="0081699D">
      <w:pPr>
        <w:ind w:left="851"/>
        <w:rPr>
          <w:sz w:val="24"/>
          <w:szCs w:val="24"/>
        </w:rPr>
      </w:pPr>
    </w:p>
    <w:p w14:paraId="11AF44BE" w14:textId="685D08D6" w:rsidR="006B34A1" w:rsidRPr="008D45EF" w:rsidRDefault="006B34A1" w:rsidP="0081699D">
      <w:pPr>
        <w:ind w:left="142"/>
        <w:rPr>
          <w:sz w:val="24"/>
          <w:szCs w:val="24"/>
          <w:u w:val="single"/>
        </w:rPr>
      </w:pPr>
      <w:r w:rsidRPr="008D45EF">
        <w:rPr>
          <w:sz w:val="24"/>
          <w:szCs w:val="24"/>
          <w:u w:val="single"/>
        </w:rPr>
        <w:t xml:space="preserve">Tabel over bivirkninger ved behandling af </w:t>
      </w:r>
      <w:r w:rsidR="002D24FF" w:rsidRPr="003D4A39">
        <w:rPr>
          <w:sz w:val="24"/>
          <w:szCs w:val="24"/>
          <w:u w:val="single"/>
        </w:rPr>
        <w:t xml:space="preserve">ikke-småcellet lungekræft </w:t>
      </w:r>
      <w:r w:rsidRPr="008D45EF">
        <w:rPr>
          <w:sz w:val="24"/>
          <w:szCs w:val="24"/>
          <w:u w:val="single"/>
        </w:rPr>
        <w:t>med docetaxel 75 mg/m² i kombination med cisplatin</w:t>
      </w:r>
    </w:p>
    <w:p w14:paraId="0BECD7F6" w14:textId="77777777" w:rsidR="006B34A1" w:rsidRPr="008D45EF" w:rsidRDefault="006B34A1" w:rsidP="0081699D">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2409"/>
        <w:gridCol w:w="2405"/>
        <w:gridCol w:w="2409"/>
      </w:tblGrid>
      <w:tr w:rsidR="006B34A1" w:rsidRPr="008D45EF" w14:paraId="3601BFEA" w14:textId="77777777" w:rsidTr="002A7D83">
        <w:trPr>
          <w:trHeight w:val="20"/>
          <w:tblHeader/>
        </w:trPr>
        <w:tc>
          <w:tcPr>
            <w:tcW w:w="1249" w:type="pct"/>
            <w:tcBorders>
              <w:top w:val="single" w:sz="4" w:space="0" w:color="auto"/>
              <w:left w:val="single" w:sz="4" w:space="0" w:color="auto"/>
              <w:bottom w:val="single" w:sz="4" w:space="0" w:color="auto"/>
              <w:right w:val="single" w:sz="4" w:space="0" w:color="auto"/>
            </w:tcBorders>
            <w:hideMark/>
          </w:tcPr>
          <w:p w14:paraId="1825AEEB" w14:textId="77777777" w:rsidR="006B34A1" w:rsidRPr="008D45EF" w:rsidRDefault="006B34A1" w:rsidP="0081699D">
            <w:pPr>
              <w:ind w:left="142"/>
              <w:rPr>
                <w:b/>
                <w:bCs/>
                <w:sz w:val="24"/>
                <w:szCs w:val="24"/>
              </w:rPr>
            </w:pPr>
            <w:r w:rsidRPr="008D45EF">
              <w:rPr>
                <w:b/>
                <w:bCs/>
                <w:sz w:val="24"/>
                <w:szCs w:val="24"/>
              </w:rPr>
              <w:t>Systemorganklasser i henhold til MedDRA-databasen</w:t>
            </w:r>
          </w:p>
        </w:tc>
        <w:tc>
          <w:tcPr>
            <w:tcW w:w="1251" w:type="pct"/>
            <w:tcBorders>
              <w:top w:val="single" w:sz="4" w:space="0" w:color="auto"/>
              <w:left w:val="single" w:sz="4" w:space="0" w:color="auto"/>
              <w:bottom w:val="single" w:sz="4" w:space="0" w:color="auto"/>
              <w:right w:val="single" w:sz="4" w:space="0" w:color="auto"/>
            </w:tcBorders>
            <w:hideMark/>
          </w:tcPr>
          <w:p w14:paraId="78B429D6" w14:textId="77777777" w:rsidR="006B34A1" w:rsidRPr="008D45EF" w:rsidRDefault="006B34A1" w:rsidP="0081699D">
            <w:pPr>
              <w:ind w:left="142"/>
              <w:rPr>
                <w:b/>
                <w:bCs/>
                <w:sz w:val="24"/>
                <w:szCs w:val="24"/>
              </w:rPr>
            </w:pPr>
            <w:r w:rsidRPr="008D45EF">
              <w:rPr>
                <w:b/>
                <w:bCs/>
                <w:sz w:val="24"/>
                <w:szCs w:val="24"/>
              </w:rPr>
              <w:t>Meget almindelige bivirkninger</w:t>
            </w:r>
          </w:p>
        </w:tc>
        <w:tc>
          <w:tcPr>
            <w:tcW w:w="1249" w:type="pct"/>
            <w:tcBorders>
              <w:top w:val="single" w:sz="4" w:space="0" w:color="auto"/>
              <w:left w:val="single" w:sz="4" w:space="0" w:color="auto"/>
              <w:bottom w:val="single" w:sz="4" w:space="0" w:color="auto"/>
              <w:right w:val="single" w:sz="4" w:space="0" w:color="auto"/>
            </w:tcBorders>
            <w:hideMark/>
          </w:tcPr>
          <w:p w14:paraId="32B5E6FC" w14:textId="77777777" w:rsidR="006B34A1" w:rsidRPr="008D45EF" w:rsidRDefault="006B34A1" w:rsidP="0081699D">
            <w:pPr>
              <w:ind w:left="142"/>
              <w:rPr>
                <w:b/>
                <w:bCs/>
                <w:sz w:val="24"/>
                <w:szCs w:val="24"/>
              </w:rPr>
            </w:pPr>
            <w:r w:rsidRPr="008D45EF">
              <w:rPr>
                <w:b/>
                <w:bCs/>
                <w:sz w:val="24"/>
                <w:szCs w:val="24"/>
              </w:rPr>
              <w:t>Almindelige bivirkninger</w:t>
            </w:r>
          </w:p>
        </w:tc>
        <w:tc>
          <w:tcPr>
            <w:tcW w:w="1251" w:type="pct"/>
            <w:tcBorders>
              <w:top w:val="single" w:sz="4" w:space="0" w:color="auto"/>
              <w:left w:val="single" w:sz="4" w:space="0" w:color="auto"/>
              <w:bottom w:val="single" w:sz="4" w:space="0" w:color="auto"/>
              <w:right w:val="single" w:sz="4" w:space="0" w:color="auto"/>
            </w:tcBorders>
            <w:hideMark/>
          </w:tcPr>
          <w:p w14:paraId="076B2F49" w14:textId="77777777" w:rsidR="006B34A1" w:rsidRPr="008D45EF" w:rsidRDefault="006B34A1" w:rsidP="0081699D">
            <w:pPr>
              <w:ind w:left="142"/>
              <w:rPr>
                <w:b/>
                <w:bCs/>
                <w:sz w:val="24"/>
                <w:szCs w:val="24"/>
              </w:rPr>
            </w:pPr>
            <w:r w:rsidRPr="008D45EF">
              <w:rPr>
                <w:b/>
                <w:bCs/>
                <w:sz w:val="24"/>
                <w:szCs w:val="24"/>
              </w:rPr>
              <w:t>Ikke almindelige bivirkninger</w:t>
            </w:r>
          </w:p>
        </w:tc>
      </w:tr>
      <w:tr w:rsidR="006B34A1" w:rsidRPr="008D45EF" w14:paraId="6730BCF1" w14:textId="77777777" w:rsidTr="002A7D83">
        <w:trPr>
          <w:trHeight w:val="20"/>
        </w:trPr>
        <w:tc>
          <w:tcPr>
            <w:tcW w:w="1249" w:type="pct"/>
            <w:tcBorders>
              <w:top w:val="single" w:sz="4" w:space="0" w:color="auto"/>
              <w:left w:val="single" w:sz="4" w:space="0" w:color="auto"/>
              <w:bottom w:val="single" w:sz="4" w:space="0" w:color="auto"/>
              <w:right w:val="single" w:sz="4" w:space="0" w:color="auto"/>
            </w:tcBorders>
            <w:hideMark/>
          </w:tcPr>
          <w:p w14:paraId="7C2C36EA" w14:textId="77777777" w:rsidR="006B34A1" w:rsidRPr="008D45EF" w:rsidRDefault="006B34A1" w:rsidP="0081699D">
            <w:pPr>
              <w:ind w:left="142"/>
              <w:rPr>
                <w:sz w:val="24"/>
                <w:szCs w:val="24"/>
              </w:rPr>
            </w:pPr>
            <w:r w:rsidRPr="008D45EF">
              <w:rPr>
                <w:sz w:val="24"/>
                <w:szCs w:val="24"/>
              </w:rPr>
              <w:t>Infektioner og parasitære sygdomme</w:t>
            </w:r>
          </w:p>
        </w:tc>
        <w:tc>
          <w:tcPr>
            <w:tcW w:w="1251" w:type="pct"/>
            <w:tcBorders>
              <w:top w:val="single" w:sz="4" w:space="0" w:color="auto"/>
              <w:left w:val="single" w:sz="4" w:space="0" w:color="auto"/>
              <w:bottom w:val="single" w:sz="4" w:space="0" w:color="auto"/>
              <w:right w:val="single" w:sz="4" w:space="0" w:color="auto"/>
            </w:tcBorders>
            <w:hideMark/>
          </w:tcPr>
          <w:p w14:paraId="4743B714" w14:textId="77777777" w:rsidR="006B34A1" w:rsidRPr="008D45EF" w:rsidRDefault="006B34A1" w:rsidP="0081699D">
            <w:pPr>
              <w:ind w:left="142"/>
              <w:rPr>
                <w:sz w:val="24"/>
                <w:szCs w:val="24"/>
              </w:rPr>
            </w:pPr>
            <w:r w:rsidRPr="008D45EF">
              <w:rPr>
                <w:sz w:val="24"/>
                <w:szCs w:val="24"/>
              </w:rPr>
              <w:t>Infektioner (G3/4: 5,7 %)</w:t>
            </w:r>
          </w:p>
        </w:tc>
        <w:tc>
          <w:tcPr>
            <w:tcW w:w="1249" w:type="pct"/>
            <w:tcBorders>
              <w:top w:val="single" w:sz="4" w:space="0" w:color="auto"/>
              <w:left w:val="single" w:sz="4" w:space="0" w:color="auto"/>
              <w:bottom w:val="single" w:sz="4" w:space="0" w:color="auto"/>
              <w:right w:val="single" w:sz="4" w:space="0" w:color="auto"/>
            </w:tcBorders>
          </w:tcPr>
          <w:p w14:paraId="0BD34EB7" w14:textId="77777777" w:rsidR="006B34A1" w:rsidRPr="008D45EF" w:rsidRDefault="006B34A1" w:rsidP="0081699D">
            <w:pPr>
              <w:ind w:left="142"/>
              <w:rPr>
                <w:sz w:val="24"/>
                <w:szCs w:val="24"/>
              </w:rPr>
            </w:pPr>
          </w:p>
        </w:tc>
        <w:tc>
          <w:tcPr>
            <w:tcW w:w="1251" w:type="pct"/>
            <w:tcBorders>
              <w:top w:val="single" w:sz="4" w:space="0" w:color="auto"/>
              <w:left w:val="single" w:sz="4" w:space="0" w:color="auto"/>
              <w:bottom w:val="single" w:sz="4" w:space="0" w:color="auto"/>
              <w:right w:val="single" w:sz="4" w:space="0" w:color="auto"/>
            </w:tcBorders>
          </w:tcPr>
          <w:p w14:paraId="447F6ACB" w14:textId="77777777" w:rsidR="006B34A1" w:rsidRPr="008D45EF" w:rsidRDefault="006B34A1" w:rsidP="0081699D">
            <w:pPr>
              <w:ind w:left="142"/>
              <w:rPr>
                <w:sz w:val="24"/>
                <w:szCs w:val="24"/>
              </w:rPr>
            </w:pPr>
          </w:p>
        </w:tc>
      </w:tr>
      <w:tr w:rsidR="006B34A1" w:rsidRPr="008D45EF" w14:paraId="0CD5EBA2" w14:textId="77777777" w:rsidTr="002A7D83">
        <w:trPr>
          <w:trHeight w:val="20"/>
        </w:trPr>
        <w:tc>
          <w:tcPr>
            <w:tcW w:w="1249" w:type="pct"/>
            <w:tcBorders>
              <w:top w:val="single" w:sz="4" w:space="0" w:color="auto"/>
              <w:left w:val="single" w:sz="4" w:space="0" w:color="auto"/>
              <w:bottom w:val="single" w:sz="4" w:space="0" w:color="auto"/>
              <w:right w:val="single" w:sz="4" w:space="0" w:color="auto"/>
            </w:tcBorders>
            <w:hideMark/>
          </w:tcPr>
          <w:p w14:paraId="53CD6987" w14:textId="77777777" w:rsidR="006B34A1" w:rsidRPr="008D45EF" w:rsidRDefault="006B34A1" w:rsidP="0081699D">
            <w:pPr>
              <w:ind w:left="142"/>
              <w:rPr>
                <w:sz w:val="24"/>
                <w:szCs w:val="24"/>
              </w:rPr>
            </w:pPr>
            <w:r w:rsidRPr="008D45EF">
              <w:rPr>
                <w:sz w:val="24"/>
                <w:szCs w:val="24"/>
              </w:rPr>
              <w:t>Blod og lymfesystem</w:t>
            </w:r>
          </w:p>
        </w:tc>
        <w:tc>
          <w:tcPr>
            <w:tcW w:w="1251" w:type="pct"/>
            <w:tcBorders>
              <w:top w:val="single" w:sz="4" w:space="0" w:color="auto"/>
              <w:left w:val="single" w:sz="4" w:space="0" w:color="auto"/>
              <w:bottom w:val="single" w:sz="4" w:space="0" w:color="auto"/>
              <w:right w:val="single" w:sz="4" w:space="0" w:color="auto"/>
            </w:tcBorders>
            <w:hideMark/>
          </w:tcPr>
          <w:p w14:paraId="402AC02D" w14:textId="77777777" w:rsidR="009B0C24" w:rsidRPr="00EF58FE" w:rsidRDefault="009B0C24" w:rsidP="009B0C24">
            <w:pPr>
              <w:ind w:left="142"/>
              <w:rPr>
                <w:sz w:val="24"/>
                <w:szCs w:val="24"/>
                <w:lang w:val="en-US"/>
              </w:rPr>
            </w:pPr>
            <w:r w:rsidRPr="00EF58FE">
              <w:rPr>
                <w:sz w:val="24"/>
                <w:szCs w:val="24"/>
                <w:lang w:val="en-US"/>
              </w:rPr>
              <w:t xml:space="preserve">Neutropeni (G4: 51,5 %); </w:t>
            </w:r>
          </w:p>
          <w:p w14:paraId="431B4CF3" w14:textId="77777777" w:rsidR="009B0C24" w:rsidRPr="009B0C24" w:rsidRDefault="009B0C24" w:rsidP="009B0C24">
            <w:pPr>
              <w:ind w:left="142"/>
              <w:rPr>
                <w:sz w:val="24"/>
                <w:szCs w:val="24"/>
                <w:lang w:val="en-US"/>
              </w:rPr>
            </w:pPr>
            <w:r w:rsidRPr="009B0C24">
              <w:rPr>
                <w:sz w:val="24"/>
                <w:szCs w:val="24"/>
                <w:lang w:val="en-US"/>
              </w:rPr>
              <w:t>Anæmi (G3/4: 6,9 %);</w:t>
            </w:r>
          </w:p>
          <w:p w14:paraId="1FFD23C3" w14:textId="0963CE83" w:rsidR="006B34A1" w:rsidRPr="008D45EF" w:rsidRDefault="009B0C24" w:rsidP="009B0C24">
            <w:pPr>
              <w:ind w:left="142"/>
              <w:rPr>
                <w:sz w:val="24"/>
                <w:szCs w:val="24"/>
                <w:lang w:val="en-US"/>
              </w:rPr>
            </w:pPr>
            <w:r w:rsidRPr="009B0C24">
              <w:rPr>
                <w:sz w:val="24"/>
                <w:szCs w:val="24"/>
                <w:lang w:val="en-US"/>
              </w:rPr>
              <w:t>Trombocytopeni (G4: 0,5 %)</w:t>
            </w:r>
          </w:p>
        </w:tc>
        <w:tc>
          <w:tcPr>
            <w:tcW w:w="1249" w:type="pct"/>
            <w:tcBorders>
              <w:top w:val="single" w:sz="4" w:space="0" w:color="auto"/>
              <w:left w:val="single" w:sz="4" w:space="0" w:color="auto"/>
              <w:bottom w:val="single" w:sz="4" w:space="0" w:color="auto"/>
              <w:right w:val="single" w:sz="4" w:space="0" w:color="auto"/>
            </w:tcBorders>
            <w:hideMark/>
          </w:tcPr>
          <w:p w14:paraId="4D51C628" w14:textId="77777777" w:rsidR="006B34A1" w:rsidRPr="008D45EF" w:rsidRDefault="006B34A1" w:rsidP="0081699D">
            <w:pPr>
              <w:ind w:left="142"/>
              <w:rPr>
                <w:sz w:val="24"/>
                <w:szCs w:val="24"/>
              </w:rPr>
            </w:pPr>
            <w:r w:rsidRPr="008D45EF">
              <w:rPr>
                <w:sz w:val="24"/>
                <w:szCs w:val="24"/>
              </w:rPr>
              <w:t>Febril neutropeni</w:t>
            </w:r>
          </w:p>
        </w:tc>
        <w:tc>
          <w:tcPr>
            <w:tcW w:w="1251" w:type="pct"/>
            <w:tcBorders>
              <w:top w:val="single" w:sz="4" w:space="0" w:color="auto"/>
              <w:left w:val="single" w:sz="4" w:space="0" w:color="auto"/>
              <w:bottom w:val="single" w:sz="4" w:space="0" w:color="auto"/>
              <w:right w:val="single" w:sz="4" w:space="0" w:color="auto"/>
            </w:tcBorders>
          </w:tcPr>
          <w:p w14:paraId="552BCFF6" w14:textId="77777777" w:rsidR="006B34A1" w:rsidRPr="008D45EF" w:rsidRDefault="006B34A1" w:rsidP="0081699D">
            <w:pPr>
              <w:ind w:left="142"/>
              <w:rPr>
                <w:sz w:val="24"/>
                <w:szCs w:val="24"/>
              </w:rPr>
            </w:pPr>
          </w:p>
        </w:tc>
      </w:tr>
      <w:tr w:rsidR="006B34A1" w:rsidRPr="008D45EF" w14:paraId="5C01AB71" w14:textId="77777777" w:rsidTr="002A7D83">
        <w:trPr>
          <w:trHeight w:val="20"/>
        </w:trPr>
        <w:tc>
          <w:tcPr>
            <w:tcW w:w="1249" w:type="pct"/>
            <w:tcBorders>
              <w:top w:val="single" w:sz="4" w:space="0" w:color="auto"/>
              <w:left w:val="single" w:sz="4" w:space="0" w:color="auto"/>
              <w:bottom w:val="single" w:sz="4" w:space="0" w:color="auto"/>
              <w:right w:val="single" w:sz="4" w:space="0" w:color="auto"/>
            </w:tcBorders>
            <w:hideMark/>
          </w:tcPr>
          <w:p w14:paraId="05BD6279" w14:textId="77777777" w:rsidR="006B34A1" w:rsidRPr="008D45EF" w:rsidRDefault="006B34A1" w:rsidP="0081699D">
            <w:pPr>
              <w:ind w:left="142"/>
              <w:rPr>
                <w:sz w:val="24"/>
                <w:szCs w:val="24"/>
              </w:rPr>
            </w:pPr>
            <w:r w:rsidRPr="008D45EF">
              <w:rPr>
                <w:sz w:val="24"/>
                <w:szCs w:val="24"/>
              </w:rPr>
              <w:t>Immunsystemet</w:t>
            </w:r>
          </w:p>
        </w:tc>
        <w:tc>
          <w:tcPr>
            <w:tcW w:w="1251" w:type="pct"/>
            <w:tcBorders>
              <w:top w:val="single" w:sz="4" w:space="0" w:color="auto"/>
              <w:left w:val="single" w:sz="4" w:space="0" w:color="auto"/>
              <w:bottom w:val="single" w:sz="4" w:space="0" w:color="auto"/>
              <w:right w:val="single" w:sz="4" w:space="0" w:color="auto"/>
            </w:tcBorders>
            <w:hideMark/>
          </w:tcPr>
          <w:p w14:paraId="4D776D69" w14:textId="77777777" w:rsidR="006B34A1" w:rsidRPr="008D45EF" w:rsidRDefault="006B34A1" w:rsidP="0081699D">
            <w:pPr>
              <w:ind w:left="142"/>
              <w:rPr>
                <w:sz w:val="24"/>
                <w:szCs w:val="24"/>
              </w:rPr>
            </w:pPr>
            <w:r w:rsidRPr="008D45EF">
              <w:rPr>
                <w:sz w:val="24"/>
                <w:szCs w:val="24"/>
              </w:rPr>
              <w:t>Overfølsomhed (G3/4: 2,5 %)</w:t>
            </w:r>
          </w:p>
        </w:tc>
        <w:tc>
          <w:tcPr>
            <w:tcW w:w="1249" w:type="pct"/>
            <w:tcBorders>
              <w:top w:val="single" w:sz="4" w:space="0" w:color="auto"/>
              <w:left w:val="single" w:sz="4" w:space="0" w:color="auto"/>
              <w:bottom w:val="single" w:sz="4" w:space="0" w:color="auto"/>
              <w:right w:val="single" w:sz="4" w:space="0" w:color="auto"/>
            </w:tcBorders>
          </w:tcPr>
          <w:p w14:paraId="79AD2A7C" w14:textId="77777777" w:rsidR="006B34A1" w:rsidRPr="008D45EF" w:rsidRDefault="006B34A1" w:rsidP="0081699D">
            <w:pPr>
              <w:ind w:left="142"/>
              <w:rPr>
                <w:sz w:val="24"/>
                <w:szCs w:val="24"/>
              </w:rPr>
            </w:pPr>
          </w:p>
        </w:tc>
        <w:tc>
          <w:tcPr>
            <w:tcW w:w="1251" w:type="pct"/>
            <w:tcBorders>
              <w:top w:val="single" w:sz="4" w:space="0" w:color="auto"/>
              <w:left w:val="single" w:sz="4" w:space="0" w:color="auto"/>
              <w:bottom w:val="single" w:sz="4" w:space="0" w:color="auto"/>
              <w:right w:val="single" w:sz="4" w:space="0" w:color="auto"/>
            </w:tcBorders>
          </w:tcPr>
          <w:p w14:paraId="0343D2FB" w14:textId="77777777" w:rsidR="006B34A1" w:rsidRPr="008D45EF" w:rsidRDefault="006B34A1" w:rsidP="0081699D">
            <w:pPr>
              <w:ind w:left="142"/>
              <w:rPr>
                <w:sz w:val="24"/>
                <w:szCs w:val="24"/>
              </w:rPr>
            </w:pPr>
          </w:p>
        </w:tc>
      </w:tr>
      <w:tr w:rsidR="006B34A1" w:rsidRPr="008D45EF" w14:paraId="0E4BD8A1" w14:textId="77777777" w:rsidTr="002A7D83">
        <w:trPr>
          <w:trHeight w:val="20"/>
        </w:trPr>
        <w:tc>
          <w:tcPr>
            <w:tcW w:w="1249" w:type="pct"/>
            <w:tcBorders>
              <w:top w:val="single" w:sz="4" w:space="0" w:color="auto"/>
              <w:left w:val="single" w:sz="4" w:space="0" w:color="auto"/>
              <w:bottom w:val="single" w:sz="4" w:space="0" w:color="auto"/>
              <w:right w:val="single" w:sz="4" w:space="0" w:color="auto"/>
            </w:tcBorders>
            <w:hideMark/>
          </w:tcPr>
          <w:p w14:paraId="471AFA1A" w14:textId="077D4CDD" w:rsidR="006B34A1" w:rsidRPr="008D45EF" w:rsidRDefault="000E6038" w:rsidP="0081699D">
            <w:pPr>
              <w:ind w:left="142"/>
              <w:rPr>
                <w:sz w:val="24"/>
                <w:szCs w:val="24"/>
              </w:rPr>
            </w:pPr>
            <w:r w:rsidRPr="003D4A39">
              <w:rPr>
                <w:sz w:val="24"/>
                <w:szCs w:val="24"/>
              </w:rPr>
              <w:t>Metabolisme og ernæring</w:t>
            </w:r>
          </w:p>
        </w:tc>
        <w:tc>
          <w:tcPr>
            <w:tcW w:w="1251" w:type="pct"/>
            <w:tcBorders>
              <w:top w:val="single" w:sz="4" w:space="0" w:color="auto"/>
              <w:left w:val="single" w:sz="4" w:space="0" w:color="auto"/>
              <w:bottom w:val="single" w:sz="4" w:space="0" w:color="auto"/>
              <w:right w:val="single" w:sz="4" w:space="0" w:color="auto"/>
            </w:tcBorders>
            <w:hideMark/>
          </w:tcPr>
          <w:p w14:paraId="70F97F13" w14:textId="77777777" w:rsidR="006B34A1" w:rsidRPr="008D45EF" w:rsidRDefault="006B34A1" w:rsidP="0081699D">
            <w:pPr>
              <w:ind w:left="142"/>
              <w:rPr>
                <w:sz w:val="24"/>
                <w:szCs w:val="24"/>
              </w:rPr>
            </w:pPr>
            <w:r w:rsidRPr="008D45EF">
              <w:rPr>
                <w:sz w:val="24"/>
                <w:szCs w:val="24"/>
              </w:rPr>
              <w:t>Anoreksi</w:t>
            </w:r>
          </w:p>
        </w:tc>
        <w:tc>
          <w:tcPr>
            <w:tcW w:w="1249" w:type="pct"/>
            <w:tcBorders>
              <w:top w:val="single" w:sz="4" w:space="0" w:color="auto"/>
              <w:left w:val="single" w:sz="4" w:space="0" w:color="auto"/>
              <w:bottom w:val="single" w:sz="4" w:space="0" w:color="auto"/>
              <w:right w:val="single" w:sz="4" w:space="0" w:color="auto"/>
            </w:tcBorders>
          </w:tcPr>
          <w:p w14:paraId="2E8CEE9E" w14:textId="77777777" w:rsidR="006B34A1" w:rsidRPr="008D45EF" w:rsidRDefault="006B34A1" w:rsidP="0081699D">
            <w:pPr>
              <w:ind w:left="142"/>
              <w:rPr>
                <w:sz w:val="24"/>
                <w:szCs w:val="24"/>
              </w:rPr>
            </w:pPr>
          </w:p>
        </w:tc>
        <w:tc>
          <w:tcPr>
            <w:tcW w:w="1251" w:type="pct"/>
            <w:tcBorders>
              <w:top w:val="single" w:sz="4" w:space="0" w:color="auto"/>
              <w:left w:val="single" w:sz="4" w:space="0" w:color="auto"/>
              <w:bottom w:val="single" w:sz="4" w:space="0" w:color="auto"/>
              <w:right w:val="single" w:sz="4" w:space="0" w:color="auto"/>
            </w:tcBorders>
          </w:tcPr>
          <w:p w14:paraId="6FAB00D5" w14:textId="77777777" w:rsidR="006B34A1" w:rsidRPr="008D45EF" w:rsidRDefault="006B34A1" w:rsidP="0081699D">
            <w:pPr>
              <w:ind w:left="142"/>
              <w:rPr>
                <w:sz w:val="24"/>
                <w:szCs w:val="24"/>
              </w:rPr>
            </w:pPr>
          </w:p>
        </w:tc>
      </w:tr>
      <w:tr w:rsidR="006B34A1" w:rsidRPr="002535BC" w14:paraId="4E59B888" w14:textId="77777777" w:rsidTr="002A7D83">
        <w:trPr>
          <w:trHeight w:val="20"/>
        </w:trPr>
        <w:tc>
          <w:tcPr>
            <w:tcW w:w="1249" w:type="pct"/>
            <w:tcBorders>
              <w:top w:val="single" w:sz="4" w:space="0" w:color="auto"/>
              <w:left w:val="single" w:sz="4" w:space="0" w:color="auto"/>
              <w:bottom w:val="single" w:sz="4" w:space="0" w:color="auto"/>
              <w:right w:val="single" w:sz="4" w:space="0" w:color="auto"/>
            </w:tcBorders>
            <w:hideMark/>
          </w:tcPr>
          <w:p w14:paraId="0EC245AC" w14:textId="77777777" w:rsidR="006B34A1" w:rsidRPr="008D45EF" w:rsidRDefault="006B34A1" w:rsidP="0081699D">
            <w:pPr>
              <w:ind w:left="142"/>
              <w:rPr>
                <w:sz w:val="24"/>
                <w:szCs w:val="24"/>
              </w:rPr>
            </w:pPr>
            <w:r w:rsidRPr="008D45EF">
              <w:rPr>
                <w:sz w:val="24"/>
                <w:szCs w:val="24"/>
              </w:rPr>
              <w:t>Nervesystemet</w:t>
            </w:r>
          </w:p>
        </w:tc>
        <w:tc>
          <w:tcPr>
            <w:tcW w:w="1251" w:type="pct"/>
            <w:tcBorders>
              <w:top w:val="single" w:sz="4" w:space="0" w:color="auto"/>
              <w:left w:val="single" w:sz="4" w:space="0" w:color="auto"/>
              <w:bottom w:val="single" w:sz="4" w:space="0" w:color="auto"/>
              <w:right w:val="single" w:sz="4" w:space="0" w:color="auto"/>
            </w:tcBorders>
            <w:hideMark/>
          </w:tcPr>
          <w:p w14:paraId="4DF79F44" w14:textId="77777777" w:rsidR="006B34A1" w:rsidRPr="002535BC" w:rsidRDefault="006B34A1" w:rsidP="0081699D">
            <w:pPr>
              <w:ind w:left="142"/>
              <w:rPr>
                <w:sz w:val="24"/>
                <w:szCs w:val="24"/>
                <w:lang w:val="sv-SE"/>
              </w:rPr>
            </w:pPr>
            <w:r w:rsidRPr="002535BC">
              <w:rPr>
                <w:sz w:val="24"/>
                <w:szCs w:val="24"/>
                <w:lang w:val="sv-SE"/>
              </w:rPr>
              <w:t xml:space="preserve">Perifer sensorisk neuropati (G3: 3,7 %); </w:t>
            </w:r>
          </w:p>
          <w:p w14:paraId="2FA5CDFE" w14:textId="77777777" w:rsidR="006B34A1" w:rsidRPr="002535BC" w:rsidRDefault="006B34A1" w:rsidP="0081699D">
            <w:pPr>
              <w:ind w:left="142"/>
              <w:rPr>
                <w:sz w:val="24"/>
                <w:szCs w:val="24"/>
                <w:lang w:val="sv-SE"/>
              </w:rPr>
            </w:pPr>
            <w:r w:rsidRPr="002535BC">
              <w:rPr>
                <w:sz w:val="24"/>
                <w:szCs w:val="24"/>
                <w:lang w:val="sv-SE"/>
              </w:rPr>
              <w:t>Perifer motorisk neuropati (G3/4: 2 %)</w:t>
            </w:r>
          </w:p>
        </w:tc>
        <w:tc>
          <w:tcPr>
            <w:tcW w:w="1249" w:type="pct"/>
            <w:tcBorders>
              <w:top w:val="single" w:sz="4" w:space="0" w:color="auto"/>
              <w:left w:val="single" w:sz="4" w:space="0" w:color="auto"/>
              <w:bottom w:val="single" w:sz="4" w:space="0" w:color="auto"/>
              <w:right w:val="single" w:sz="4" w:space="0" w:color="auto"/>
            </w:tcBorders>
          </w:tcPr>
          <w:p w14:paraId="06DC5E65" w14:textId="77777777" w:rsidR="006B34A1" w:rsidRPr="002535BC" w:rsidRDefault="006B34A1" w:rsidP="0081699D">
            <w:pPr>
              <w:ind w:left="142"/>
              <w:rPr>
                <w:sz w:val="24"/>
                <w:szCs w:val="24"/>
                <w:lang w:val="sv-SE"/>
              </w:rPr>
            </w:pPr>
          </w:p>
        </w:tc>
        <w:tc>
          <w:tcPr>
            <w:tcW w:w="1251" w:type="pct"/>
            <w:tcBorders>
              <w:top w:val="single" w:sz="4" w:space="0" w:color="auto"/>
              <w:left w:val="single" w:sz="4" w:space="0" w:color="auto"/>
              <w:bottom w:val="single" w:sz="4" w:space="0" w:color="auto"/>
              <w:right w:val="single" w:sz="4" w:space="0" w:color="auto"/>
            </w:tcBorders>
          </w:tcPr>
          <w:p w14:paraId="4F1E095B" w14:textId="77777777" w:rsidR="006B34A1" w:rsidRPr="002535BC" w:rsidRDefault="006B34A1" w:rsidP="0081699D">
            <w:pPr>
              <w:ind w:left="142"/>
              <w:rPr>
                <w:sz w:val="24"/>
                <w:szCs w:val="24"/>
                <w:lang w:val="sv-SE"/>
              </w:rPr>
            </w:pPr>
          </w:p>
        </w:tc>
      </w:tr>
      <w:tr w:rsidR="006B34A1" w:rsidRPr="008D45EF" w14:paraId="27419394" w14:textId="77777777" w:rsidTr="002A7D83">
        <w:trPr>
          <w:trHeight w:val="20"/>
        </w:trPr>
        <w:tc>
          <w:tcPr>
            <w:tcW w:w="1249" w:type="pct"/>
            <w:tcBorders>
              <w:top w:val="single" w:sz="4" w:space="0" w:color="auto"/>
              <w:left w:val="single" w:sz="4" w:space="0" w:color="auto"/>
              <w:bottom w:val="single" w:sz="4" w:space="0" w:color="auto"/>
              <w:right w:val="single" w:sz="4" w:space="0" w:color="auto"/>
            </w:tcBorders>
            <w:hideMark/>
          </w:tcPr>
          <w:p w14:paraId="63091664" w14:textId="77777777" w:rsidR="006B34A1" w:rsidRPr="008D45EF" w:rsidRDefault="006B34A1" w:rsidP="0081699D">
            <w:pPr>
              <w:ind w:left="142"/>
              <w:rPr>
                <w:sz w:val="24"/>
                <w:szCs w:val="24"/>
              </w:rPr>
            </w:pPr>
            <w:r w:rsidRPr="008D45EF">
              <w:rPr>
                <w:sz w:val="24"/>
                <w:szCs w:val="24"/>
              </w:rPr>
              <w:t>Hjerte</w:t>
            </w:r>
          </w:p>
        </w:tc>
        <w:tc>
          <w:tcPr>
            <w:tcW w:w="1251" w:type="pct"/>
            <w:tcBorders>
              <w:top w:val="single" w:sz="4" w:space="0" w:color="auto"/>
              <w:left w:val="single" w:sz="4" w:space="0" w:color="auto"/>
              <w:bottom w:val="single" w:sz="4" w:space="0" w:color="auto"/>
              <w:right w:val="single" w:sz="4" w:space="0" w:color="auto"/>
            </w:tcBorders>
          </w:tcPr>
          <w:p w14:paraId="6EACE420" w14:textId="77777777" w:rsidR="006B34A1" w:rsidRPr="008D45EF" w:rsidRDefault="006B34A1" w:rsidP="0081699D">
            <w:pPr>
              <w:ind w:left="142"/>
              <w:rPr>
                <w:sz w:val="24"/>
                <w:szCs w:val="24"/>
              </w:rPr>
            </w:pPr>
          </w:p>
        </w:tc>
        <w:tc>
          <w:tcPr>
            <w:tcW w:w="1249" w:type="pct"/>
            <w:tcBorders>
              <w:top w:val="single" w:sz="4" w:space="0" w:color="auto"/>
              <w:left w:val="single" w:sz="4" w:space="0" w:color="auto"/>
              <w:bottom w:val="single" w:sz="4" w:space="0" w:color="auto"/>
              <w:right w:val="single" w:sz="4" w:space="0" w:color="auto"/>
            </w:tcBorders>
            <w:hideMark/>
          </w:tcPr>
          <w:p w14:paraId="79B88BBE" w14:textId="77777777" w:rsidR="006B34A1" w:rsidRPr="008D45EF" w:rsidRDefault="006B34A1" w:rsidP="0081699D">
            <w:pPr>
              <w:ind w:left="142"/>
              <w:rPr>
                <w:sz w:val="24"/>
                <w:szCs w:val="24"/>
              </w:rPr>
            </w:pPr>
            <w:r w:rsidRPr="008D45EF">
              <w:rPr>
                <w:sz w:val="24"/>
                <w:szCs w:val="24"/>
              </w:rPr>
              <w:t>Arytmi (G3/4: 0,7 %)</w:t>
            </w:r>
          </w:p>
        </w:tc>
        <w:tc>
          <w:tcPr>
            <w:tcW w:w="1251" w:type="pct"/>
            <w:tcBorders>
              <w:top w:val="single" w:sz="4" w:space="0" w:color="auto"/>
              <w:left w:val="single" w:sz="4" w:space="0" w:color="auto"/>
              <w:bottom w:val="single" w:sz="4" w:space="0" w:color="auto"/>
              <w:right w:val="single" w:sz="4" w:space="0" w:color="auto"/>
            </w:tcBorders>
            <w:hideMark/>
          </w:tcPr>
          <w:p w14:paraId="37D5FC6C" w14:textId="77777777" w:rsidR="006B34A1" w:rsidRPr="008D45EF" w:rsidRDefault="006B34A1" w:rsidP="0081699D">
            <w:pPr>
              <w:ind w:left="142"/>
              <w:rPr>
                <w:sz w:val="24"/>
                <w:szCs w:val="24"/>
              </w:rPr>
            </w:pPr>
            <w:r w:rsidRPr="008D45EF">
              <w:rPr>
                <w:sz w:val="24"/>
                <w:szCs w:val="24"/>
              </w:rPr>
              <w:t>Hjertesvigt</w:t>
            </w:r>
          </w:p>
        </w:tc>
      </w:tr>
      <w:tr w:rsidR="006B34A1" w:rsidRPr="008D45EF" w14:paraId="5C79B177" w14:textId="77777777" w:rsidTr="002A7D83">
        <w:trPr>
          <w:trHeight w:val="20"/>
        </w:trPr>
        <w:tc>
          <w:tcPr>
            <w:tcW w:w="1249" w:type="pct"/>
            <w:tcBorders>
              <w:top w:val="single" w:sz="4" w:space="0" w:color="auto"/>
              <w:left w:val="single" w:sz="4" w:space="0" w:color="auto"/>
              <w:bottom w:val="single" w:sz="4" w:space="0" w:color="auto"/>
              <w:right w:val="single" w:sz="4" w:space="0" w:color="auto"/>
            </w:tcBorders>
            <w:hideMark/>
          </w:tcPr>
          <w:p w14:paraId="19C74E2A" w14:textId="77777777" w:rsidR="006B34A1" w:rsidRPr="008D45EF" w:rsidRDefault="006B34A1" w:rsidP="0081699D">
            <w:pPr>
              <w:ind w:left="142"/>
              <w:rPr>
                <w:sz w:val="24"/>
                <w:szCs w:val="24"/>
              </w:rPr>
            </w:pPr>
            <w:r w:rsidRPr="008D45EF">
              <w:rPr>
                <w:sz w:val="24"/>
                <w:szCs w:val="24"/>
              </w:rPr>
              <w:t>Vaskulære sygdomme</w:t>
            </w:r>
          </w:p>
        </w:tc>
        <w:tc>
          <w:tcPr>
            <w:tcW w:w="1251" w:type="pct"/>
            <w:tcBorders>
              <w:top w:val="single" w:sz="4" w:space="0" w:color="auto"/>
              <w:left w:val="single" w:sz="4" w:space="0" w:color="auto"/>
              <w:bottom w:val="single" w:sz="4" w:space="0" w:color="auto"/>
              <w:right w:val="single" w:sz="4" w:space="0" w:color="auto"/>
            </w:tcBorders>
          </w:tcPr>
          <w:p w14:paraId="0E0E59FB" w14:textId="77777777" w:rsidR="006B34A1" w:rsidRPr="008D45EF" w:rsidRDefault="006B34A1" w:rsidP="0081699D">
            <w:pPr>
              <w:ind w:left="142"/>
              <w:rPr>
                <w:sz w:val="24"/>
                <w:szCs w:val="24"/>
              </w:rPr>
            </w:pPr>
          </w:p>
        </w:tc>
        <w:tc>
          <w:tcPr>
            <w:tcW w:w="1249" w:type="pct"/>
            <w:tcBorders>
              <w:top w:val="single" w:sz="4" w:space="0" w:color="auto"/>
              <w:left w:val="single" w:sz="4" w:space="0" w:color="auto"/>
              <w:bottom w:val="single" w:sz="4" w:space="0" w:color="auto"/>
              <w:right w:val="single" w:sz="4" w:space="0" w:color="auto"/>
            </w:tcBorders>
            <w:hideMark/>
          </w:tcPr>
          <w:p w14:paraId="579EB8EA" w14:textId="77777777" w:rsidR="006B34A1" w:rsidRPr="008D45EF" w:rsidRDefault="006B34A1" w:rsidP="0081699D">
            <w:pPr>
              <w:ind w:left="142"/>
              <w:rPr>
                <w:sz w:val="24"/>
                <w:szCs w:val="24"/>
              </w:rPr>
            </w:pPr>
            <w:r w:rsidRPr="008D45EF">
              <w:rPr>
                <w:sz w:val="24"/>
                <w:szCs w:val="24"/>
              </w:rPr>
              <w:t>Hypotension (G3/4: 0,7 %)</w:t>
            </w:r>
          </w:p>
        </w:tc>
        <w:tc>
          <w:tcPr>
            <w:tcW w:w="1251" w:type="pct"/>
            <w:tcBorders>
              <w:top w:val="single" w:sz="4" w:space="0" w:color="auto"/>
              <w:left w:val="single" w:sz="4" w:space="0" w:color="auto"/>
              <w:bottom w:val="single" w:sz="4" w:space="0" w:color="auto"/>
              <w:right w:val="single" w:sz="4" w:space="0" w:color="auto"/>
            </w:tcBorders>
          </w:tcPr>
          <w:p w14:paraId="7F28D4D3" w14:textId="77777777" w:rsidR="006B34A1" w:rsidRPr="008D45EF" w:rsidRDefault="006B34A1" w:rsidP="0081699D">
            <w:pPr>
              <w:ind w:left="142"/>
              <w:rPr>
                <w:sz w:val="24"/>
                <w:szCs w:val="24"/>
              </w:rPr>
            </w:pPr>
          </w:p>
        </w:tc>
      </w:tr>
      <w:tr w:rsidR="006B34A1" w:rsidRPr="008D45EF" w14:paraId="6E3EC69E" w14:textId="77777777" w:rsidTr="002A7D83">
        <w:trPr>
          <w:trHeight w:val="20"/>
        </w:trPr>
        <w:tc>
          <w:tcPr>
            <w:tcW w:w="1249" w:type="pct"/>
            <w:tcBorders>
              <w:top w:val="single" w:sz="4" w:space="0" w:color="auto"/>
              <w:left w:val="single" w:sz="4" w:space="0" w:color="auto"/>
              <w:bottom w:val="single" w:sz="4" w:space="0" w:color="auto"/>
              <w:right w:val="single" w:sz="4" w:space="0" w:color="auto"/>
            </w:tcBorders>
            <w:hideMark/>
          </w:tcPr>
          <w:p w14:paraId="439A0429" w14:textId="4F692C1C" w:rsidR="006B34A1" w:rsidRPr="008D45EF" w:rsidRDefault="000E6038" w:rsidP="0081699D">
            <w:pPr>
              <w:ind w:left="142"/>
              <w:rPr>
                <w:sz w:val="24"/>
                <w:szCs w:val="24"/>
              </w:rPr>
            </w:pPr>
            <w:r w:rsidRPr="003D4A39">
              <w:rPr>
                <w:sz w:val="24"/>
                <w:szCs w:val="24"/>
              </w:rPr>
              <w:t>Mave-tarm</w:t>
            </w:r>
            <w:r>
              <w:rPr>
                <w:sz w:val="24"/>
                <w:szCs w:val="24"/>
              </w:rPr>
              <w:t>-</w:t>
            </w:r>
            <w:r w:rsidRPr="003D4A39">
              <w:rPr>
                <w:sz w:val="24"/>
                <w:szCs w:val="24"/>
              </w:rPr>
              <w:t>kanalen</w:t>
            </w:r>
          </w:p>
        </w:tc>
        <w:tc>
          <w:tcPr>
            <w:tcW w:w="1251" w:type="pct"/>
            <w:tcBorders>
              <w:top w:val="single" w:sz="4" w:space="0" w:color="auto"/>
              <w:left w:val="single" w:sz="4" w:space="0" w:color="auto"/>
              <w:bottom w:val="single" w:sz="4" w:space="0" w:color="auto"/>
              <w:right w:val="single" w:sz="4" w:space="0" w:color="auto"/>
            </w:tcBorders>
            <w:hideMark/>
          </w:tcPr>
          <w:p w14:paraId="069E823F" w14:textId="77777777" w:rsidR="006B34A1" w:rsidRPr="008D45EF" w:rsidRDefault="006B34A1" w:rsidP="0081699D">
            <w:pPr>
              <w:ind w:left="142"/>
              <w:rPr>
                <w:sz w:val="24"/>
                <w:szCs w:val="24"/>
              </w:rPr>
            </w:pPr>
            <w:r w:rsidRPr="008D45EF">
              <w:rPr>
                <w:sz w:val="24"/>
                <w:szCs w:val="24"/>
              </w:rPr>
              <w:t xml:space="preserve">Kvalme (G3/4: 9,6 %); </w:t>
            </w:r>
          </w:p>
          <w:p w14:paraId="09F76D34" w14:textId="77777777" w:rsidR="006B34A1" w:rsidRPr="008D45EF" w:rsidRDefault="006B34A1" w:rsidP="0081699D">
            <w:pPr>
              <w:ind w:left="142"/>
              <w:rPr>
                <w:sz w:val="24"/>
                <w:szCs w:val="24"/>
              </w:rPr>
            </w:pPr>
            <w:r w:rsidRPr="008D45EF">
              <w:rPr>
                <w:sz w:val="24"/>
                <w:szCs w:val="24"/>
              </w:rPr>
              <w:t xml:space="preserve">Opkastning (G3/4: 7,6 %); </w:t>
            </w:r>
          </w:p>
          <w:p w14:paraId="74250DD9" w14:textId="77777777" w:rsidR="006B34A1" w:rsidRPr="008D45EF" w:rsidRDefault="006B34A1" w:rsidP="0081699D">
            <w:pPr>
              <w:ind w:left="142"/>
              <w:rPr>
                <w:sz w:val="24"/>
                <w:szCs w:val="24"/>
              </w:rPr>
            </w:pPr>
            <w:r w:rsidRPr="008D45EF">
              <w:rPr>
                <w:sz w:val="24"/>
                <w:szCs w:val="24"/>
              </w:rPr>
              <w:t xml:space="preserve">Diarré (G3/4: 6,4 %); </w:t>
            </w:r>
          </w:p>
          <w:p w14:paraId="4C91333F" w14:textId="77777777" w:rsidR="006B34A1" w:rsidRPr="008D45EF" w:rsidRDefault="006B34A1" w:rsidP="0081699D">
            <w:pPr>
              <w:ind w:left="142"/>
              <w:rPr>
                <w:sz w:val="24"/>
                <w:szCs w:val="24"/>
              </w:rPr>
            </w:pPr>
            <w:r w:rsidRPr="008D45EF">
              <w:rPr>
                <w:sz w:val="24"/>
                <w:szCs w:val="24"/>
              </w:rPr>
              <w:t>Stomatitis (G3/4: 2 %)</w:t>
            </w:r>
          </w:p>
        </w:tc>
        <w:tc>
          <w:tcPr>
            <w:tcW w:w="1249" w:type="pct"/>
            <w:tcBorders>
              <w:top w:val="single" w:sz="4" w:space="0" w:color="auto"/>
              <w:left w:val="single" w:sz="4" w:space="0" w:color="auto"/>
              <w:bottom w:val="single" w:sz="4" w:space="0" w:color="auto"/>
              <w:right w:val="single" w:sz="4" w:space="0" w:color="auto"/>
            </w:tcBorders>
            <w:hideMark/>
          </w:tcPr>
          <w:p w14:paraId="7967C3A3" w14:textId="77777777" w:rsidR="006B34A1" w:rsidRPr="008D45EF" w:rsidRDefault="006B34A1" w:rsidP="0081699D">
            <w:pPr>
              <w:ind w:left="142"/>
              <w:rPr>
                <w:sz w:val="24"/>
                <w:szCs w:val="24"/>
              </w:rPr>
            </w:pPr>
            <w:r w:rsidRPr="008D45EF">
              <w:rPr>
                <w:sz w:val="24"/>
                <w:szCs w:val="24"/>
              </w:rPr>
              <w:t>Konstipation</w:t>
            </w:r>
          </w:p>
        </w:tc>
        <w:tc>
          <w:tcPr>
            <w:tcW w:w="1251" w:type="pct"/>
            <w:tcBorders>
              <w:top w:val="single" w:sz="4" w:space="0" w:color="auto"/>
              <w:left w:val="single" w:sz="4" w:space="0" w:color="auto"/>
              <w:bottom w:val="single" w:sz="4" w:space="0" w:color="auto"/>
              <w:right w:val="single" w:sz="4" w:space="0" w:color="auto"/>
            </w:tcBorders>
          </w:tcPr>
          <w:p w14:paraId="1CC9368F" w14:textId="77777777" w:rsidR="006B34A1" w:rsidRPr="008D45EF" w:rsidRDefault="006B34A1" w:rsidP="0081699D">
            <w:pPr>
              <w:ind w:left="142"/>
              <w:rPr>
                <w:sz w:val="24"/>
                <w:szCs w:val="24"/>
              </w:rPr>
            </w:pPr>
          </w:p>
        </w:tc>
      </w:tr>
      <w:tr w:rsidR="006B34A1" w:rsidRPr="008D45EF" w14:paraId="2AF6BA26" w14:textId="77777777" w:rsidTr="002A7D83">
        <w:trPr>
          <w:trHeight w:val="20"/>
        </w:trPr>
        <w:tc>
          <w:tcPr>
            <w:tcW w:w="1249" w:type="pct"/>
            <w:tcBorders>
              <w:top w:val="single" w:sz="4" w:space="0" w:color="auto"/>
              <w:left w:val="single" w:sz="4" w:space="0" w:color="auto"/>
              <w:bottom w:val="single" w:sz="4" w:space="0" w:color="auto"/>
              <w:right w:val="single" w:sz="4" w:space="0" w:color="auto"/>
            </w:tcBorders>
            <w:hideMark/>
          </w:tcPr>
          <w:p w14:paraId="79567DDA" w14:textId="77777777" w:rsidR="006B34A1" w:rsidRPr="008D45EF" w:rsidRDefault="006B34A1" w:rsidP="0081699D">
            <w:pPr>
              <w:ind w:left="142"/>
              <w:rPr>
                <w:sz w:val="24"/>
                <w:szCs w:val="24"/>
              </w:rPr>
            </w:pPr>
            <w:r w:rsidRPr="008D45EF">
              <w:rPr>
                <w:sz w:val="24"/>
                <w:szCs w:val="24"/>
              </w:rPr>
              <w:t>Hud og subkutane væv</w:t>
            </w:r>
          </w:p>
        </w:tc>
        <w:tc>
          <w:tcPr>
            <w:tcW w:w="1251" w:type="pct"/>
            <w:tcBorders>
              <w:top w:val="single" w:sz="4" w:space="0" w:color="auto"/>
              <w:left w:val="single" w:sz="4" w:space="0" w:color="auto"/>
              <w:bottom w:val="single" w:sz="4" w:space="0" w:color="auto"/>
              <w:right w:val="single" w:sz="4" w:space="0" w:color="auto"/>
            </w:tcBorders>
            <w:hideMark/>
          </w:tcPr>
          <w:p w14:paraId="0627081D" w14:textId="77777777" w:rsidR="006B34A1" w:rsidRPr="008D45EF" w:rsidRDefault="006B34A1" w:rsidP="0081699D">
            <w:pPr>
              <w:ind w:left="142"/>
              <w:rPr>
                <w:sz w:val="24"/>
                <w:szCs w:val="24"/>
              </w:rPr>
            </w:pPr>
            <w:r w:rsidRPr="008D45EF">
              <w:rPr>
                <w:sz w:val="24"/>
                <w:szCs w:val="24"/>
              </w:rPr>
              <w:t xml:space="preserve">Alopeci; </w:t>
            </w:r>
          </w:p>
          <w:p w14:paraId="226EF403" w14:textId="77777777" w:rsidR="006B34A1" w:rsidRPr="008D45EF" w:rsidRDefault="006B34A1" w:rsidP="0081699D">
            <w:pPr>
              <w:ind w:left="142"/>
              <w:rPr>
                <w:sz w:val="24"/>
                <w:szCs w:val="24"/>
              </w:rPr>
            </w:pPr>
            <w:r w:rsidRPr="008D45EF">
              <w:rPr>
                <w:sz w:val="24"/>
                <w:szCs w:val="24"/>
              </w:rPr>
              <w:t xml:space="preserve">Neglesygdomme (alvorlig 0,7 %); </w:t>
            </w:r>
          </w:p>
          <w:p w14:paraId="1593E8C4" w14:textId="77777777" w:rsidR="006B34A1" w:rsidRPr="008D45EF" w:rsidRDefault="006B34A1" w:rsidP="0081699D">
            <w:pPr>
              <w:ind w:left="142"/>
              <w:rPr>
                <w:sz w:val="24"/>
                <w:szCs w:val="24"/>
              </w:rPr>
            </w:pPr>
            <w:r w:rsidRPr="008D45EF">
              <w:rPr>
                <w:sz w:val="24"/>
                <w:szCs w:val="24"/>
              </w:rPr>
              <w:t>Hudreaktioner (G3/4: 0,2 %)</w:t>
            </w:r>
          </w:p>
        </w:tc>
        <w:tc>
          <w:tcPr>
            <w:tcW w:w="1249" w:type="pct"/>
            <w:tcBorders>
              <w:top w:val="single" w:sz="4" w:space="0" w:color="auto"/>
              <w:left w:val="single" w:sz="4" w:space="0" w:color="auto"/>
              <w:bottom w:val="single" w:sz="4" w:space="0" w:color="auto"/>
              <w:right w:val="single" w:sz="4" w:space="0" w:color="auto"/>
            </w:tcBorders>
          </w:tcPr>
          <w:p w14:paraId="66555A3A" w14:textId="77777777" w:rsidR="006B34A1" w:rsidRPr="008D45EF" w:rsidRDefault="006B34A1" w:rsidP="0081699D">
            <w:pPr>
              <w:ind w:left="142"/>
              <w:rPr>
                <w:sz w:val="24"/>
                <w:szCs w:val="24"/>
              </w:rPr>
            </w:pPr>
          </w:p>
        </w:tc>
        <w:tc>
          <w:tcPr>
            <w:tcW w:w="1251" w:type="pct"/>
            <w:tcBorders>
              <w:top w:val="single" w:sz="4" w:space="0" w:color="auto"/>
              <w:left w:val="single" w:sz="4" w:space="0" w:color="auto"/>
              <w:bottom w:val="single" w:sz="4" w:space="0" w:color="auto"/>
              <w:right w:val="single" w:sz="4" w:space="0" w:color="auto"/>
            </w:tcBorders>
          </w:tcPr>
          <w:p w14:paraId="737357A8" w14:textId="77777777" w:rsidR="006B34A1" w:rsidRPr="008D45EF" w:rsidRDefault="006B34A1" w:rsidP="0081699D">
            <w:pPr>
              <w:ind w:left="142"/>
              <w:rPr>
                <w:sz w:val="24"/>
                <w:szCs w:val="24"/>
              </w:rPr>
            </w:pPr>
          </w:p>
        </w:tc>
      </w:tr>
      <w:tr w:rsidR="006B34A1" w:rsidRPr="008D45EF" w14:paraId="0F2F1983" w14:textId="77777777" w:rsidTr="002A7D83">
        <w:trPr>
          <w:trHeight w:val="20"/>
        </w:trPr>
        <w:tc>
          <w:tcPr>
            <w:tcW w:w="1249" w:type="pct"/>
            <w:tcBorders>
              <w:top w:val="single" w:sz="4" w:space="0" w:color="auto"/>
              <w:left w:val="single" w:sz="4" w:space="0" w:color="auto"/>
              <w:bottom w:val="single" w:sz="4" w:space="0" w:color="auto"/>
              <w:right w:val="single" w:sz="4" w:space="0" w:color="auto"/>
            </w:tcBorders>
            <w:hideMark/>
          </w:tcPr>
          <w:p w14:paraId="56500FDB" w14:textId="77777777" w:rsidR="006B34A1" w:rsidRPr="008D45EF" w:rsidRDefault="006B34A1" w:rsidP="0081699D">
            <w:pPr>
              <w:ind w:left="142"/>
              <w:rPr>
                <w:sz w:val="24"/>
                <w:szCs w:val="24"/>
              </w:rPr>
            </w:pPr>
            <w:r w:rsidRPr="008D45EF">
              <w:rPr>
                <w:sz w:val="24"/>
                <w:szCs w:val="24"/>
              </w:rPr>
              <w:t>Knogler, led, muskler og bindevæv</w:t>
            </w:r>
          </w:p>
        </w:tc>
        <w:tc>
          <w:tcPr>
            <w:tcW w:w="1251" w:type="pct"/>
            <w:tcBorders>
              <w:top w:val="single" w:sz="4" w:space="0" w:color="auto"/>
              <w:left w:val="single" w:sz="4" w:space="0" w:color="auto"/>
              <w:bottom w:val="single" w:sz="4" w:space="0" w:color="auto"/>
              <w:right w:val="single" w:sz="4" w:space="0" w:color="auto"/>
            </w:tcBorders>
            <w:hideMark/>
          </w:tcPr>
          <w:p w14:paraId="587D2C68" w14:textId="77777777" w:rsidR="006B34A1" w:rsidRPr="008D45EF" w:rsidRDefault="006B34A1" w:rsidP="0081699D">
            <w:pPr>
              <w:ind w:left="142"/>
              <w:rPr>
                <w:sz w:val="24"/>
                <w:szCs w:val="24"/>
              </w:rPr>
            </w:pPr>
            <w:r w:rsidRPr="008D45EF">
              <w:rPr>
                <w:sz w:val="24"/>
                <w:szCs w:val="24"/>
              </w:rPr>
              <w:t>Myalgi (alvorlig 0,5 %)</w:t>
            </w:r>
          </w:p>
        </w:tc>
        <w:tc>
          <w:tcPr>
            <w:tcW w:w="1249" w:type="pct"/>
            <w:tcBorders>
              <w:top w:val="single" w:sz="4" w:space="0" w:color="auto"/>
              <w:left w:val="single" w:sz="4" w:space="0" w:color="auto"/>
              <w:bottom w:val="single" w:sz="4" w:space="0" w:color="auto"/>
              <w:right w:val="single" w:sz="4" w:space="0" w:color="auto"/>
            </w:tcBorders>
          </w:tcPr>
          <w:p w14:paraId="551D888B" w14:textId="77777777" w:rsidR="006B34A1" w:rsidRPr="008D45EF" w:rsidRDefault="006B34A1" w:rsidP="0081699D">
            <w:pPr>
              <w:ind w:left="142"/>
              <w:rPr>
                <w:sz w:val="24"/>
                <w:szCs w:val="24"/>
              </w:rPr>
            </w:pPr>
          </w:p>
        </w:tc>
        <w:tc>
          <w:tcPr>
            <w:tcW w:w="1251" w:type="pct"/>
            <w:tcBorders>
              <w:top w:val="single" w:sz="4" w:space="0" w:color="auto"/>
              <w:left w:val="single" w:sz="4" w:space="0" w:color="auto"/>
              <w:bottom w:val="single" w:sz="4" w:space="0" w:color="auto"/>
              <w:right w:val="single" w:sz="4" w:space="0" w:color="auto"/>
            </w:tcBorders>
          </w:tcPr>
          <w:p w14:paraId="690C1283" w14:textId="77777777" w:rsidR="006B34A1" w:rsidRPr="008D45EF" w:rsidRDefault="006B34A1" w:rsidP="0081699D">
            <w:pPr>
              <w:ind w:left="142"/>
              <w:rPr>
                <w:sz w:val="24"/>
                <w:szCs w:val="24"/>
              </w:rPr>
            </w:pPr>
          </w:p>
        </w:tc>
      </w:tr>
      <w:tr w:rsidR="006B34A1" w:rsidRPr="008D45EF" w14:paraId="60FCE0A0" w14:textId="77777777" w:rsidTr="002A7D83">
        <w:trPr>
          <w:trHeight w:val="20"/>
        </w:trPr>
        <w:tc>
          <w:tcPr>
            <w:tcW w:w="1249" w:type="pct"/>
            <w:tcBorders>
              <w:top w:val="single" w:sz="4" w:space="0" w:color="auto"/>
              <w:left w:val="single" w:sz="4" w:space="0" w:color="auto"/>
              <w:bottom w:val="single" w:sz="4" w:space="0" w:color="auto"/>
              <w:right w:val="single" w:sz="4" w:space="0" w:color="auto"/>
            </w:tcBorders>
            <w:hideMark/>
          </w:tcPr>
          <w:p w14:paraId="1CF27BFA" w14:textId="77777777" w:rsidR="006B34A1" w:rsidRPr="008D45EF" w:rsidRDefault="006B34A1" w:rsidP="0081699D">
            <w:pPr>
              <w:ind w:left="142"/>
              <w:rPr>
                <w:sz w:val="24"/>
                <w:szCs w:val="24"/>
              </w:rPr>
            </w:pPr>
            <w:r w:rsidRPr="008D45EF">
              <w:rPr>
                <w:sz w:val="24"/>
                <w:szCs w:val="24"/>
              </w:rPr>
              <w:t>Almene symptomer og reaktioner på administrationsstedet</w:t>
            </w:r>
          </w:p>
        </w:tc>
        <w:tc>
          <w:tcPr>
            <w:tcW w:w="1251" w:type="pct"/>
            <w:tcBorders>
              <w:top w:val="single" w:sz="4" w:space="0" w:color="auto"/>
              <w:left w:val="single" w:sz="4" w:space="0" w:color="auto"/>
              <w:bottom w:val="single" w:sz="4" w:space="0" w:color="auto"/>
              <w:right w:val="single" w:sz="4" w:space="0" w:color="auto"/>
            </w:tcBorders>
            <w:hideMark/>
          </w:tcPr>
          <w:p w14:paraId="1D8AE0F1" w14:textId="77777777" w:rsidR="006B34A1" w:rsidRPr="008D45EF" w:rsidRDefault="006B34A1" w:rsidP="0081699D">
            <w:pPr>
              <w:ind w:left="142"/>
              <w:rPr>
                <w:sz w:val="24"/>
                <w:szCs w:val="24"/>
              </w:rPr>
            </w:pPr>
            <w:r w:rsidRPr="008D45EF">
              <w:rPr>
                <w:sz w:val="24"/>
                <w:szCs w:val="24"/>
              </w:rPr>
              <w:t xml:space="preserve">Asteni (alvorlig 9,9 %); </w:t>
            </w:r>
          </w:p>
          <w:p w14:paraId="73E43D16" w14:textId="77777777" w:rsidR="006B34A1" w:rsidRPr="008D45EF" w:rsidRDefault="006B34A1" w:rsidP="0081699D">
            <w:pPr>
              <w:ind w:left="142"/>
              <w:rPr>
                <w:sz w:val="24"/>
                <w:szCs w:val="24"/>
              </w:rPr>
            </w:pPr>
            <w:r w:rsidRPr="008D45EF">
              <w:rPr>
                <w:sz w:val="24"/>
                <w:szCs w:val="24"/>
              </w:rPr>
              <w:t>Væskeretention (alvorlig 0,7 %);</w:t>
            </w:r>
          </w:p>
          <w:p w14:paraId="16087665" w14:textId="77777777" w:rsidR="006B34A1" w:rsidRPr="008D45EF" w:rsidRDefault="006B34A1" w:rsidP="0081699D">
            <w:pPr>
              <w:ind w:left="142"/>
              <w:rPr>
                <w:sz w:val="24"/>
                <w:szCs w:val="24"/>
              </w:rPr>
            </w:pPr>
            <w:r w:rsidRPr="008D45EF">
              <w:rPr>
                <w:sz w:val="24"/>
                <w:szCs w:val="24"/>
              </w:rPr>
              <w:t>Feber (G3/4: 1,2 %)</w:t>
            </w:r>
          </w:p>
        </w:tc>
        <w:tc>
          <w:tcPr>
            <w:tcW w:w="1249" w:type="pct"/>
            <w:tcBorders>
              <w:top w:val="single" w:sz="4" w:space="0" w:color="auto"/>
              <w:left w:val="single" w:sz="4" w:space="0" w:color="auto"/>
              <w:bottom w:val="single" w:sz="4" w:space="0" w:color="000000"/>
              <w:right w:val="single" w:sz="4" w:space="0" w:color="auto"/>
            </w:tcBorders>
            <w:hideMark/>
          </w:tcPr>
          <w:p w14:paraId="5DB2CED7" w14:textId="77777777" w:rsidR="006B34A1" w:rsidRPr="008D45EF" w:rsidRDefault="006B34A1" w:rsidP="0081699D">
            <w:pPr>
              <w:ind w:left="142"/>
              <w:rPr>
                <w:sz w:val="24"/>
                <w:szCs w:val="24"/>
              </w:rPr>
            </w:pPr>
            <w:r w:rsidRPr="008D45EF">
              <w:rPr>
                <w:sz w:val="24"/>
                <w:szCs w:val="24"/>
              </w:rPr>
              <w:t>Reakti</w:t>
            </w:r>
            <w:r>
              <w:rPr>
                <w:sz w:val="24"/>
                <w:szCs w:val="24"/>
              </w:rPr>
              <w:t>o</w:t>
            </w:r>
            <w:r w:rsidRPr="008D45EF">
              <w:rPr>
                <w:sz w:val="24"/>
                <w:szCs w:val="24"/>
              </w:rPr>
              <w:t xml:space="preserve">ner på infusionsstedet; </w:t>
            </w:r>
          </w:p>
          <w:p w14:paraId="2FB5F941" w14:textId="77777777" w:rsidR="006B34A1" w:rsidRPr="008D45EF" w:rsidRDefault="006B34A1" w:rsidP="0081699D">
            <w:pPr>
              <w:ind w:left="142"/>
              <w:rPr>
                <w:sz w:val="24"/>
                <w:szCs w:val="24"/>
              </w:rPr>
            </w:pPr>
            <w:r w:rsidRPr="008D45EF">
              <w:rPr>
                <w:sz w:val="24"/>
                <w:szCs w:val="24"/>
              </w:rPr>
              <w:t>Smerter</w:t>
            </w:r>
          </w:p>
        </w:tc>
        <w:tc>
          <w:tcPr>
            <w:tcW w:w="1251" w:type="pct"/>
            <w:tcBorders>
              <w:top w:val="single" w:sz="4" w:space="0" w:color="auto"/>
              <w:left w:val="single" w:sz="4" w:space="0" w:color="auto"/>
              <w:bottom w:val="single" w:sz="4" w:space="0" w:color="auto"/>
              <w:right w:val="single" w:sz="4" w:space="0" w:color="auto"/>
            </w:tcBorders>
          </w:tcPr>
          <w:p w14:paraId="732802B5" w14:textId="77777777" w:rsidR="006B34A1" w:rsidRPr="008D45EF" w:rsidRDefault="006B34A1" w:rsidP="0081699D">
            <w:pPr>
              <w:ind w:left="142"/>
              <w:rPr>
                <w:sz w:val="24"/>
                <w:szCs w:val="24"/>
              </w:rPr>
            </w:pPr>
          </w:p>
        </w:tc>
      </w:tr>
      <w:tr w:rsidR="006B34A1" w:rsidRPr="008D45EF" w14:paraId="25E3C7A9" w14:textId="77777777" w:rsidTr="002A7D83">
        <w:trPr>
          <w:trHeight w:val="20"/>
        </w:trPr>
        <w:tc>
          <w:tcPr>
            <w:tcW w:w="1249" w:type="pct"/>
            <w:tcBorders>
              <w:top w:val="single" w:sz="4" w:space="0" w:color="auto"/>
              <w:left w:val="single" w:sz="4" w:space="0" w:color="auto"/>
              <w:bottom w:val="single" w:sz="4" w:space="0" w:color="auto"/>
              <w:right w:val="single" w:sz="4" w:space="0" w:color="auto"/>
            </w:tcBorders>
            <w:hideMark/>
          </w:tcPr>
          <w:p w14:paraId="6042322A" w14:textId="77777777" w:rsidR="006B34A1" w:rsidRPr="008D45EF" w:rsidRDefault="006B34A1" w:rsidP="0081699D">
            <w:pPr>
              <w:ind w:left="142"/>
              <w:rPr>
                <w:sz w:val="24"/>
                <w:szCs w:val="24"/>
              </w:rPr>
            </w:pPr>
            <w:r w:rsidRPr="008D45EF">
              <w:rPr>
                <w:sz w:val="24"/>
                <w:szCs w:val="24"/>
              </w:rPr>
              <w:t>Undersøgelser</w:t>
            </w:r>
          </w:p>
        </w:tc>
        <w:tc>
          <w:tcPr>
            <w:tcW w:w="1251" w:type="pct"/>
            <w:tcBorders>
              <w:top w:val="single" w:sz="4" w:space="0" w:color="auto"/>
              <w:left w:val="single" w:sz="4" w:space="0" w:color="auto"/>
              <w:bottom w:val="single" w:sz="4" w:space="0" w:color="auto"/>
              <w:right w:val="single" w:sz="4" w:space="0" w:color="000000"/>
            </w:tcBorders>
          </w:tcPr>
          <w:p w14:paraId="668B5F81" w14:textId="77777777" w:rsidR="006B34A1" w:rsidRPr="008D45EF" w:rsidRDefault="006B34A1" w:rsidP="0081699D">
            <w:pPr>
              <w:ind w:left="142"/>
              <w:rPr>
                <w:sz w:val="24"/>
                <w:szCs w:val="24"/>
              </w:rPr>
            </w:pPr>
          </w:p>
        </w:tc>
        <w:tc>
          <w:tcPr>
            <w:tcW w:w="1249" w:type="pct"/>
            <w:tcBorders>
              <w:top w:val="single" w:sz="4" w:space="0" w:color="000000"/>
              <w:left w:val="single" w:sz="4" w:space="0" w:color="000000"/>
              <w:bottom w:val="single" w:sz="4" w:space="0" w:color="auto"/>
              <w:right w:val="single" w:sz="4" w:space="0" w:color="000000"/>
            </w:tcBorders>
            <w:hideMark/>
          </w:tcPr>
          <w:p w14:paraId="0BDBC76F" w14:textId="77777777" w:rsidR="006B34A1" w:rsidRPr="008D45EF" w:rsidRDefault="006B34A1" w:rsidP="0081699D">
            <w:pPr>
              <w:ind w:left="142"/>
              <w:rPr>
                <w:sz w:val="24"/>
                <w:szCs w:val="24"/>
              </w:rPr>
            </w:pPr>
            <w:r w:rsidRPr="008D45EF">
              <w:rPr>
                <w:sz w:val="24"/>
                <w:szCs w:val="24"/>
              </w:rPr>
              <w:t>G3/4 forhøjet bilirubin i blodet (2,1 %);</w:t>
            </w:r>
          </w:p>
          <w:p w14:paraId="097EB290" w14:textId="77777777" w:rsidR="006B34A1" w:rsidRPr="008D45EF" w:rsidRDefault="006B34A1" w:rsidP="0081699D">
            <w:pPr>
              <w:ind w:left="142"/>
              <w:rPr>
                <w:sz w:val="24"/>
                <w:szCs w:val="24"/>
              </w:rPr>
            </w:pPr>
            <w:r w:rsidRPr="008D45EF">
              <w:rPr>
                <w:sz w:val="24"/>
                <w:szCs w:val="24"/>
              </w:rPr>
              <w:t>G3/4 ALAT forhøjet (1,3 %)</w:t>
            </w:r>
          </w:p>
        </w:tc>
        <w:tc>
          <w:tcPr>
            <w:tcW w:w="1251" w:type="pct"/>
            <w:tcBorders>
              <w:top w:val="single" w:sz="4" w:space="0" w:color="auto"/>
              <w:left w:val="single" w:sz="4" w:space="0" w:color="000000"/>
              <w:bottom w:val="single" w:sz="4" w:space="0" w:color="auto"/>
              <w:right w:val="single" w:sz="4" w:space="0" w:color="auto"/>
            </w:tcBorders>
            <w:hideMark/>
          </w:tcPr>
          <w:p w14:paraId="5C94EB7E" w14:textId="77777777" w:rsidR="006B34A1" w:rsidRPr="008D45EF" w:rsidRDefault="006B34A1" w:rsidP="0081699D">
            <w:pPr>
              <w:ind w:left="142"/>
              <w:rPr>
                <w:sz w:val="24"/>
                <w:szCs w:val="24"/>
              </w:rPr>
            </w:pPr>
            <w:r w:rsidRPr="008D45EF">
              <w:rPr>
                <w:sz w:val="24"/>
                <w:szCs w:val="24"/>
              </w:rPr>
              <w:t>G3/4 ASAT forhøjet (0,5 %);</w:t>
            </w:r>
          </w:p>
          <w:p w14:paraId="581B2EEB" w14:textId="77777777" w:rsidR="006B34A1" w:rsidRPr="008D45EF" w:rsidRDefault="006B34A1" w:rsidP="0081699D">
            <w:pPr>
              <w:ind w:left="142"/>
              <w:rPr>
                <w:sz w:val="24"/>
                <w:szCs w:val="24"/>
              </w:rPr>
            </w:pPr>
            <w:r w:rsidRPr="008D45EF">
              <w:rPr>
                <w:sz w:val="24"/>
                <w:szCs w:val="24"/>
              </w:rPr>
              <w:t>G3/4 forhøjet alkalisk fosfatase i blodet (0,3 %)</w:t>
            </w:r>
          </w:p>
        </w:tc>
      </w:tr>
    </w:tbl>
    <w:p w14:paraId="2E6F7384" w14:textId="77777777" w:rsidR="006B34A1" w:rsidRPr="008D45EF" w:rsidRDefault="006B34A1" w:rsidP="0081699D">
      <w:pPr>
        <w:ind w:left="851"/>
        <w:rPr>
          <w:sz w:val="24"/>
          <w:szCs w:val="24"/>
        </w:rPr>
      </w:pPr>
    </w:p>
    <w:p w14:paraId="04AF4F9F" w14:textId="77777777" w:rsidR="006B34A1" w:rsidRPr="008D45EF" w:rsidRDefault="006B34A1" w:rsidP="0081699D">
      <w:pPr>
        <w:ind w:left="142"/>
        <w:rPr>
          <w:sz w:val="24"/>
          <w:szCs w:val="24"/>
          <w:u w:val="single"/>
        </w:rPr>
      </w:pPr>
      <w:r w:rsidRPr="008D45EF">
        <w:rPr>
          <w:sz w:val="24"/>
          <w:szCs w:val="24"/>
          <w:u w:val="single"/>
        </w:rPr>
        <w:t>Tabel over bivirkninger ved behandling af brystkræft med docetaxel 100 mg/m² i kombination med trastuzumab</w:t>
      </w:r>
    </w:p>
    <w:p w14:paraId="548E30DF" w14:textId="77777777" w:rsidR="006B34A1" w:rsidRPr="008D45EF" w:rsidRDefault="006B34A1" w:rsidP="0081699D">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44"/>
        <w:gridCol w:w="3245"/>
        <w:gridCol w:w="3139"/>
      </w:tblGrid>
      <w:tr w:rsidR="006B34A1" w:rsidRPr="008D45EF" w14:paraId="43773C60" w14:textId="77777777" w:rsidTr="002A7D83">
        <w:trPr>
          <w:trHeight w:val="20"/>
          <w:tblHeader/>
        </w:trPr>
        <w:tc>
          <w:tcPr>
            <w:tcW w:w="1685" w:type="pct"/>
            <w:tcBorders>
              <w:top w:val="single" w:sz="4" w:space="0" w:color="auto"/>
              <w:left w:val="single" w:sz="4" w:space="0" w:color="auto"/>
              <w:bottom w:val="single" w:sz="4" w:space="0" w:color="auto"/>
              <w:right w:val="single" w:sz="4" w:space="0" w:color="auto"/>
            </w:tcBorders>
            <w:hideMark/>
          </w:tcPr>
          <w:p w14:paraId="6DF5B7FF" w14:textId="77777777" w:rsidR="006B34A1" w:rsidRPr="008D45EF" w:rsidRDefault="006B34A1" w:rsidP="0081699D">
            <w:pPr>
              <w:ind w:left="142"/>
              <w:rPr>
                <w:b/>
                <w:bCs/>
                <w:sz w:val="24"/>
                <w:szCs w:val="24"/>
              </w:rPr>
            </w:pPr>
            <w:r w:rsidRPr="008D45EF">
              <w:rPr>
                <w:b/>
                <w:bCs/>
                <w:sz w:val="24"/>
                <w:szCs w:val="24"/>
              </w:rPr>
              <w:t>Systemorganklasser i henhold til MedDRA-databasen</w:t>
            </w:r>
          </w:p>
        </w:tc>
        <w:tc>
          <w:tcPr>
            <w:tcW w:w="1685" w:type="pct"/>
            <w:tcBorders>
              <w:top w:val="single" w:sz="4" w:space="0" w:color="auto"/>
              <w:left w:val="single" w:sz="4" w:space="0" w:color="auto"/>
              <w:bottom w:val="single" w:sz="4" w:space="0" w:color="auto"/>
              <w:right w:val="single" w:sz="4" w:space="0" w:color="auto"/>
            </w:tcBorders>
            <w:hideMark/>
          </w:tcPr>
          <w:p w14:paraId="06A09B70" w14:textId="77777777" w:rsidR="006B34A1" w:rsidRPr="008D45EF" w:rsidRDefault="006B34A1" w:rsidP="0081699D">
            <w:pPr>
              <w:ind w:left="142"/>
              <w:rPr>
                <w:b/>
                <w:bCs/>
                <w:sz w:val="24"/>
                <w:szCs w:val="24"/>
              </w:rPr>
            </w:pPr>
            <w:r w:rsidRPr="008D45EF">
              <w:rPr>
                <w:b/>
                <w:bCs/>
                <w:sz w:val="24"/>
                <w:szCs w:val="24"/>
              </w:rPr>
              <w:t>Meget almindelige bivirkninger</w:t>
            </w:r>
          </w:p>
        </w:tc>
        <w:tc>
          <w:tcPr>
            <w:tcW w:w="1630" w:type="pct"/>
            <w:tcBorders>
              <w:top w:val="single" w:sz="4" w:space="0" w:color="auto"/>
              <w:left w:val="single" w:sz="4" w:space="0" w:color="auto"/>
              <w:bottom w:val="single" w:sz="4" w:space="0" w:color="auto"/>
              <w:right w:val="single" w:sz="4" w:space="0" w:color="auto"/>
            </w:tcBorders>
            <w:hideMark/>
          </w:tcPr>
          <w:p w14:paraId="5A77DD72" w14:textId="77777777" w:rsidR="006B34A1" w:rsidRPr="008D45EF" w:rsidRDefault="006B34A1" w:rsidP="0081699D">
            <w:pPr>
              <w:ind w:left="142"/>
              <w:rPr>
                <w:b/>
                <w:bCs/>
                <w:sz w:val="24"/>
                <w:szCs w:val="24"/>
              </w:rPr>
            </w:pPr>
            <w:r w:rsidRPr="008D45EF">
              <w:rPr>
                <w:b/>
                <w:bCs/>
                <w:sz w:val="24"/>
                <w:szCs w:val="24"/>
              </w:rPr>
              <w:t>Almindelige bivirkninger</w:t>
            </w:r>
          </w:p>
        </w:tc>
      </w:tr>
      <w:tr w:rsidR="006B34A1" w:rsidRPr="008D45EF" w14:paraId="2B312509" w14:textId="77777777" w:rsidTr="002A7D83">
        <w:trPr>
          <w:trHeight w:val="20"/>
        </w:trPr>
        <w:tc>
          <w:tcPr>
            <w:tcW w:w="1685" w:type="pct"/>
            <w:tcBorders>
              <w:top w:val="single" w:sz="4" w:space="0" w:color="auto"/>
              <w:left w:val="single" w:sz="4" w:space="0" w:color="000000"/>
              <w:bottom w:val="single" w:sz="4" w:space="0" w:color="000000"/>
              <w:right w:val="single" w:sz="4" w:space="0" w:color="000000"/>
            </w:tcBorders>
            <w:hideMark/>
          </w:tcPr>
          <w:p w14:paraId="5054002C" w14:textId="77777777" w:rsidR="006B34A1" w:rsidRPr="008D45EF" w:rsidRDefault="006B34A1" w:rsidP="0081699D">
            <w:pPr>
              <w:ind w:left="142"/>
              <w:rPr>
                <w:sz w:val="24"/>
                <w:szCs w:val="24"/>
              </w:rPr>
            </w:pPr>
            <w:r w:rsidRPr="008D45EF">
              <w:rPr>
                <w:sz w:val="24"/>
                <w:szCs w:val="24"/>
              </w:rPr>
              <w:t>Blod og lymfesystem</w:t>
            </w:r>
          </w:p>
        </w:tc>
        <w:tc>
          <w:tcPr>
            <w:tcW w:w="1685" w:type="pct"/>
            <w:tcBorders>
              <w:top w:val="single" w:sz="4" w:space="0" w:color="auto"/>
              <w:left w:val="single" w:sz="4" w:space="0" w:color="000000"/>
              <w:bottom w:val="single" w:sz="4" w:space="0" w:color="000000"/>
              <w:right w:val="single" w:sz="4" w:space="0" w:color="000000"/>
            </w:tcBorders>
            <w:hideMark/>
          </w:tcPr>
          <w:p w14:paraId="419774E5" w14:textId="77777777" w:rsidR="006B34A1" w:rsidRPr="008D45EF" w:rsidRDefault="006B34A1" w:rsidP="0081699D">
            <w:pPr>
              <w:ind w:left="142"/>
              <w:rPr>
                <w:sz w:val="24"/>
                <w:szCs w:val="24"/>
              </w:rPr>
            </w:pPr>
            <w:r w:rsidRPr="008D45EF">
              <w:rPr>
                <w:sz w:val="24"/>
                <w:szCs w:val="24"/>
              </w:rPr>
              <w:t>Neutropeni (G3/4: 32 %);</w:t>
            </w:r>
          </w:p>
          <w:p w14:paraId="6A6C5805" w14:textId="77777777" w:rsidR="006B34A1" w:rsidRPr="008D45EF" w:rsidRDefault="006B34A1" w:rsidP="0081699D">
            <w:pPr>
              <w:ind w:left="142"/>
              <w:rPr>
                <w:sz w:val="24"/>
                <w:szCs w:val="24"/>
              </w:rPr>
            </w:pPr>
            <w:r w:rsidRPr="008D45EF">
              <w:rPr>
                <w:sz w:val="24"/>
                <w:szCs w:val="24"/>
              </w:rPr>
              <w:t>Febril neutropeni (inclusive neutropeni associeret med feber og brug af antibiotika) eller neutropenisk sepsis</w:t>
            </w:r>
          </w:p>
        </w:tc>
        <w:tc>
          <w:tcPr>
            <w:tcW w:w="1630" w:type="pct"/>
            <w:tcBorders>
              <w:top w:val="single" w:sz="4" w:space="0" w:color="auto"/>
              <w:left w:val="single" w:sz="4" w:space="0" w:color="000000"/>
              <w:bottom w:val="single" w:sz="4" w:space="0" w:color="000000"/>
              <w:right w:val="single" w:sz="4" w:space="0" w:color="000000"/>
            </w:tcBorders>
          </w:tcPr>
          <w:p w14:paraId="5979A80F" w14:textId="77777777" w:rsidR="006B34A1" w:rsidRPr="008D45EF" w:rsidRDefault="006B34A1" w:rsidP="0081699D">
            <w:pPr>
              <w:ind w:left="142"/>
              <w:rPr>
                <w:sz w:val="24"/>
                <w:szCs w:val="24"/>
              </w:rPr>
            </w:pPr>
          </w:p>
        </w:tc>
      </w:tr>
      <w:tr w:rsidR="006B34A1" w:rsidRPr="008D45EF" w14:paraId="317F5290" w14:textId="77777777" w:rsidTr="002A7D83">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17669F17" w14:textId="77777777" w:rsidR="006B34A1" w:rsidRPr="008D45EF" w:rsidRDefault="006B34A1" w:rsidP="0081699D">
            <w:pPr>
              <w:ind w:left="142"/>
              <w:rPr>
                <w:sz w:val="24"/>
                <w:szCs w:val="24"/>
              </w:rPr>
            </w:pPr>
            <w:r w:rsidRPr="008D45EF">
              <w:rPr>
                <w:sz w:val="24"/>
                <w:szCs w:val="24"/>
              </w:rPr>
              <w:t>Metabolisme og ernæring</w:t>
            </w:r>
          </w:p>
        </w:tc>
        <w:tc>
          <w:tcPr>
            <w:tcW w:w="1685" w:type="pct"/>
            <w:tcBorders>
              <w:top w:val="single" w:sz="4" w:space="0" w:color="000000"/>
              <w:left w:val="single" w:sz="4" w:space="0" w:color="000000"/>
              <w:bottom w:val="single" w:sz="4" w:space="0" w:color="000000"/>
              <w:right w:val="single" w:sz="4" w:space="0" w:color="000000"/>
            </w:tcBorders>
            <w:hideMark/>
          </w:tcPr>
          <w:p w14:paraId="56F20082" w14:textId="77777777" w:rsidR="006B34A1" w:rsidRPr="008D45EF" w:rsidRDefault="006B34A1" w:rsidP="0081699D">
            <w:pPr>
              <w:ind w:left="142"/>
              <w:rPr>
                <w:sz w:val="24"/>
                <w:szCs w:val="24"/>
              </w:rPr>
            </w:pPr>
            <w:r w:rsidRPr="008D45EF">
              <w:rPr>
                <w:sz w:val="24"/>
                <w:szCs w:val="24"/>
              </w:rPr>
              <w:t>Anoreksi</w:t>
            </w:r>
          </w:p>
        </w:tc>
        <w:tc>
          <w:tcPr>
            <w:tcW w:w="1630" w:type="pct"/>
            <w:tcBorders>
              <w:top w:val="single" w:sz="4" w:space="0" w:color="000000"/>
              <w:left w:val="single" w:sz="4" w:space="0" w:color="000000"/>
              <w:bottom w:val="single" w:sz="4" w:space="0" w:color="000000"/>
              <w:right w:val="single" w:sz="4" w:space="0" w:color="000000"/>
            </w:tcBorders>
          </w:tcPr>
          <w:p w14:paraId="1D0A5C30" w14:textId="77777777" w:rsidR="006B34A1" w:rsidRPr="008D45EF" w:rsidRDefault="006B34A1" w:rsidP="0081699D">
            <w:pPr>
              <w:ind w:left="142"/>
              <w:rPr>
                <w:sz w:val="24"/>
                <w:szCs w:val="24"/>
              </w:rPr>
            </w:pPr>
          </w:p>
        </w:tc>
      </w:tr>
      <w:tr w:rsidR="006B34A1" w:rsidRPr="008D45EF" w14:paraId="56E8E5B9" w14:textId="77777777" w:rsidTr="002A7D83">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7C8F2FD5" w14:textId="77777777" w:rsidR="006B34A1" w:rsidRPr="008D45EF" w:rsidRDefault="006B34A1" w:rsidP="0081699D">
            <w:pPr>
              <w:ind w:left="142"/>
              <w:rPr>
                <w:sz w:val="24"/>
                <w:szCs w:val="24"/>
              </w:rPr>
            </w:pPr>
            <w:r w:rsidRPr="008D45EF">
              <w:rPr>
                <w:sz w:val="24"/>
                <w:szCs w:val="24"/>
              </w:rPr>
              <w:t>Psykiske forstyrrelser</w:t>
            </w:r>
          </w:p>
        </w:tc>
        <w:tc>
          <w:tcPr>
            <w:tcW w:w="1685" w:type="pct"/>
            <w:tcBorders>
              <w:top w:val="single" w:sz="4" w:space="0" w:color="000000"/>
              <w:left w:val="single" w:sz="4" w:space="0" w:color="000000"/>
              <w:bottom w:val="single" w:sz="4" w:space="0" w:color="000000"/>
              <w:right w:val="single" w:sz="4" w:space="0" w:color="000000"/>
            </w:tcBorders>
            <w:hideMark/>
          </w:tcPr>
          <w:p w14:paraId="1C2AF033" w14:textId="77777777" w:rsidR="006B34A1" w:rsidRPr="008D45EF" w:rsidRDefault="006B34A1" w:rsidP="0081699D">
            <w:pPr>
              <w:ind w:left="142"/>
              <w:rPr>
                <w:sz w:val="24"/>
                <w:szCs w:val="24"/>
              </w:rPr>
            </w:pPr>
            <w:r w:rsidRPr="008D45EF">
              <w:rPr>
                <w:sz w:val="24"/>
                <w:szCs w:val="24"/>
              </w:rPr>
              <w:t>Søvnløshed</w:t>
            </w:r>
          </w:p>
        </w:tc>
        <w:tc>
          <w:tcPr>
            <w:tcW w:w="1630" w:type="pct"/>
            <w:tcBorders>
              <w:top w:val="single" w:sz="4" w:space="0" w:color="000000"/>
              <w:left w:val="single" w:sz="4" w:space="0" w:color="000000"/>
              <w:bottom w:val="single" w:sz="4" w:space="0" w:color="000000"/>
              <w:right w:val="single" w:sz="4" w:space="0" w:color="000000"/>
            </w:tcBorders>
          </w:tcPr>
          <w:p w14:paraId="364D84B5" w14:textId="77777777" w:rsidR="006B34A1" w:rsidRPr="008D45EF" w:rsidRDefault="006B34A1" w:rsidP="0081699D">
            <w:pPr>
              <w:ind w:left="142"/>
              <w:rPr>
                <w:sz w:val="24"/>
                <w:szCs w:val="24"/>
              </w:rPr>
            </w:pPr>
          </w:p>
        </w:tc>
      </w:tr>
      <w:tr w:rsidR="006B34A1" w:rsidRPr="008D45EF" w14:paraId="36EFA5F3" w14:textId="77777777" w:rsidTr="002A7D83">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3FC1DF78" w14:textId="77777777" w:rsidR="006B34A1" w:rsidRPr="008D45EF" w:rsidRDefault="006B34A1" w:rsidP="0081699D">
            <w:pPr>
              <w:ind w:left="142"/>
              <w:rPr>
                <w:sz w:val="24"/>
                <w:szCs w:val="24"/>
              </w:rPr>
            </w:pPr>
            <w:r w:rsidRPr="008D45EF">
              <w:rPr>
                <w:sz w:val="24"/>
                <w:szCs w:val="24"/>
              </w:rPr>
              <w:t>Nervesystemet</w:t>
            </w:r>
          </w:p>
        </w:tc>
        <w:tc>
          <w:tcPr>
            <w:tcW w:w="1685" w:type="pct"/>
            <w:tcBorders>
              <w:top w:val="single" w:sz="4" w:space="0" w:color="000000"/>
              <w:left w:val="single" w:sz="4" w:space="0" w:color="000000"/>
              <w:bottom w:val="single" w:sz="4" w:space="0" w:color="000000"/>
              <w:right w:val="single" w:sz="4" w:space="0" w:color="000000"/>
            </w:tcBorders>
            <w:hideMark/>
          </w:tcPr>
          <w:p w14:paraId="0BA6E2B4" w14:textId="77777777" w:rsidR="006B34A1" w:rsidRPr="008D45EF" w:rsidRDefault="006B34A1" w:rsidP="0081699D">
            <w:pPr>
              <w:ind w:left="142"/>
              <w:rPr>
                <w:sz w:val="24"/>
                <w:szCs w:val="24"/>
              </w:rPr>
            </w:pPr>
            <w:r w:rsidRPr="008D45EF">
              <w:rPr>
                <w:sz w:val="24"/>
                <w:szCs w:val="24"/>
              </w:rPr>
              <w:t xml:space="preserve">Paræstesi; </w:t>
            </w:r>
          </w:p>
          <w:p w14:paraId="1C53BA48" w14:textId="77777777" w:rsidR="006B34A1" w:rsidRPr="008D45EF" w:rsidRDefault="006B34A1" w:rsidP="0081699D">
            <w:pPr>
              <w:ind w:left="142"/>
              <w:rPr>
                <w:sz w:val="24"/>
                <w:szCs w:val="24"/>
              </w:rPr>
            </w:pPr>
            <w:r w:rsidRPr="008D45EF">
              <w:rPr>
                <w:sz w:val="24"/>
                <w:szCs w:val="24"/>
              </w:rPr>
              <w:t xml:space="preserve">Hovedpine; </w:t>
            </w:r>
          </w:p>
          <w:p w14:paraId="531E1A0C" w14:textId="77777777" w:rsidR="006B34A1" w:rsidRPr="008D45EF" w:rsidRDefault="006B34A1" w:rsidP="0081699D">
            <w:pPr>
              <w:ind w:left="142"/>
              <w:rPr>
                <w:sz w:val="24"/>
                <w:szCs w:val="24"/>
              </w:rPr>
            </w:pPr>
            <w:r w:rsidRPr="008D45EF">
              <w:rPr>
                <w:sz w:val="24"/>
                <w:szCs w:val="24"/>
              </w:rPr>
              <w:t xml:space="preserve">Dysgeusi; </w:t>
            </w:r>
          </w:p>
          <w:p w14:paraId="44DA198C" w14:textId="77777777" w:rsidR="006B34A1" w:rsidRPr="008D45EF" w:rsidRDefault="006B34A1" w:rsidP="0081699D">
            <w:pPr>
              <w:ind w:left="142"/>
              <w:rPr>
                <w:sz w:val="24"/>
                <w:szCs w:val="24"/>
              </w:rPr>
            </w:pPr>
            <w:r w:rsidRPr="008D45EF">
              <w:rPr>
                <w:sz w:val="24"/>
                <w:szCs w:val="24"/>
              </w:rPr>
              <w:t>Hypoæstesi</w:t>
            </w:r>
          </w:p>
        </w:tc>
        <w:tc>
          <w:tcPr>
            <w:tcW w:w="1630" w:type="pct"/>
            <w:tcBorders>
              <w:top w:val="single" w:sz="4" w:space="0" w:color="000000"/>
              <w:left w:val="single" w:sz="4" w:space="0" w:color="000000"/>
              <w:bottom w:val="single" w:sz="4" w:space="0" w:color="000000"/>
              <w:right w:val="single" w:sz="4" w:space="0" w:color="000000"/>
            </w:tcBorders>
          </w:tcPr>
          <w:p w14:paraId="7E12EBDE" w14:textId="77777777" w:rsidR="006B34A1" w:rsidRPr="008D45EF" w:rsidRDefault="006B34A1" w:rsidP="0081699D">
            <w:pPr>
              <w:ind w:left="142"/>
              <w:rPr>
                <w:sz w:val="24"/>
                <w:szCs w:val="24"/>
              </w:rPr>
            </w:pPr>
          </w:p>
        </w:tc>
      </w:tr>
      <w:tr w:rsidR="006B34A1" w:rsidRPr="008D45EF" w14:paraId="5F89C671" w14:textId="77777777" w:rsidTr="002A7D83">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22BE3053" w14:textId="77777777" w:rsidR="006B34A1" w:rsidRPr="008D45EF" w:rsidRDefault="006B34A1" w:rsidP="0081699D">
            <w:pPr>
              <w:ind w:left="142"/>
              <w:rPr>
                <w:sz w:val="24"/>
                <w:szCs w:val="24"/>
              </w:rPr>
            </w:pPr>
            <w:r w:rsidRPr="008D45EF">
              <w:rPr>
                <w:sz w:val="24"/>
                <w:szCs w:val="24"/>
              </w:rPr>
              <w:t>Øjne</w:t>
            </w:r>
          </w:p>
        </w:tc>
        <w:tc>
          <w:tcPr>
            <w:tcW w:w="1685" w:type="pct"/>
            <w:tcBorders>
              <w:top w:val="single" w:sz="4" w:space="0" w:color="000000"/>
              <w:left w:val="single" w:sz="4" w:space="0" w:color="000000"/>
              <w:bottom w:val="single" w:sz="4" w:space="0" w:color="000000"/>
              <w:right w:val="single" w:sz="4" w:space="0" w:color="000000"/>
            </w:tcBorders>
            <w:hideMark/>
          </w:tcPr>
          <w:p w14:paraId="755099D8" w14:textId="77777777" w:rsidR="006B34A1" w:rsidRPr="008D45EF" w:rsidRDefault="006B34A1" w:rsidP="0081699D">
            <w:pPr>
              <w:ind w:left="142"/>
              <w:rPr>
                <w:sz w:val="24"/>
                <w:szCs w:val="24"/>
              </w:rPr>
            </w:pPr>
            <w:r w:rsidRPr="008D45EF">
              <w:rPr>
                <w:sz w:val="24"/>
                <w:szCs w:val="24"/>
              </w:rPr>
              <w:t xml:space="preserve">Forhøjet lakrimation; </w:t>
            </w:r>
          </w:p>
          <w:p w14:paraId="302AEE6D" w14:textId="77777777" w:rsidR="006B34A1" w:rsidRPr="008D45EF" w:rsidRDefault="006B34A1" w:rsidP="0081699D">
            <w:pPr>
              <w:ind w:left="142"/>
              <w:rPr>
                <w:sz w:val="24"/>
                <w:szCs w:val="24"/>
              </w:rPr>
            </w:pPr>
            <w:r w:rsidRPr="008D45EF">
              <w:rPr>
                <w:sz w:val="24"/>
                <w:szCs w:val="24"/>
              </w:rPr>
              <w:t>Konjunktivitis</w:t>
            </w:r>
          </w:p>
        </w:tc>
        <w:tc>
          <w:tcPr>
            <w:tcW w:w="1630" w:type="pct"/>
            <w:tcBorders>
              <w:top w:val="single" w:sz="4" w:space="0" w:color="000000"/>
              <w:left w:val="single" w:sz="4" w:space="0" w:color="000000"/>
              <w:bottom w:val="single" w:sz="4" w:space="0" w:color="000000"/>
              <w:right w:val="single" w:sz="4" w:space="0" w:color="000000"/>
            </w:tcBorders>
          </w:tcPr>
          <w:p w14:paraId="7A09A848" w14:textId="77777777" w:rsidR="006B34A1" w:rsidRPr="008D45EF" w:rsidRDefault="006B34A1" w:rsidP="0081699D">
            <w:pPr>
              <w:ind w:left="142"/>
              <w:rPr>
                <w:sz w:val="24"/>
                <w:szCs w:val="24"/>
              </w:rPr>
            </w:pPr>
          </w:p>
        </w:tc>
      </w:tr>
      <w:tr w:rsidR="006B34A1" w:rsidRPr="008D45EF" w14:paraId="0F164C24" w14:textId="77777777" w:rsidTr="002A7D83">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438ED9A8" w14:textId="77777777" w:rsidR="006B34A1" w:rsidRPr="008D45EF" w:rsidRDefault="006B34A1" w:rsidP="0081699D">
            <w:pPr>
              <w:ind w:left="142"/>
              <w:rPr>
                <w:sz w:val="24"/>
                <w:szCs w:val="24"/>
              </w:rPr>
            </w:pPr>
            <w:r w:rsidRPr="008D45EF">
              <w:rPr>
                <w:sz w:val="24"/>
                <w:szCs w:val="24"/>
              </w:rPr>
              <w:t>Hjerte</w:t>
            </w:r>
          </w:p>
        </w:tc>
        <w:tc>
          <w:tcPr>
            <w:tcW w:w="1685" w:type="pct"/>
            <w:tcBorders>
              <w:top w:val="single" w:sz="4" w:space="0" w:color="000000"/>
              <w:left w:val="single" w:sz="4" w:space="0" w:color="000000"/>
              <w:bottom w:val="single" w:sz="4" w:space="0" w:color="000000"/>
              <w:right w:val="single" w:sz="4" w:space="0" w:color="000000"/>
            </w:tcBorders>
          </w:tcPr>
          <w:p w14:paraId="5A40DE7E" w14:textId="77777777" w:rsidR="006B34A1" w:rsidRPr="008D45EF" w:rsidRDefault="006B34A1" w:rsidP="0081699D">
            <w:pPr>
              <w:ind w:left="142"/>
              <w:rPr>
                <w:sz w:val="24"/>
                <w:szCs w:val="24"/>
              </w:rPr>
            </w:pPr>
          </w:p>
        </w:tc>
        <w:tc>
          <w:tcPr>
            <w:tcW w:w="1630" w:type="pct"/>
            <w:tcBorders>
              <w:top w:val="single" w:sz="4" w:space="0" w:color="000000"/>
              <w:left w:val="single" w:sz="4" w:space="0" w:color="000000"/>
              <w:bottom w:val="single" w:sz="4" w:space="0" w:color="000000"/>
              <w:right w:val="single" w:sz="4" w:space="0" w:color="000000"/>
            </w:tcBorders>
            <w:hideMark/>
          </w:tcPr>
          <w:p w14:paraId="05A46729" w14:textId="77777777" w:rsidR="006B34A1" w:rsidRPr="008D45EF" w:rsidRDefault="006B34A1" w:rsidP="0081699D">
            <w:pPr>
              <w:ind w:left="142"/>
              <w:rPr>
                <w:sz w:val="24"/>
                <w:szCs w:val="24"/>
              </w:rPr>
            </w:pPr>
            <w:r w:rsidRPr="008D45EF">
              <w:rPr>
                <w:sz w:val="24"/>
                <w:szCs w:val="24"/>
              </w:rPr>
              <w:t>Hjertesvigt</w:t>
            </w:r>
          </w:p>
        </w:tc>
      </w:tr>
      <w:tr w:rsidR="006B34A1" w:rsidRPr="008D45EF" w14:paraId="717EF66D" w14:textId="77777777" w:rsidTr="002A7D83">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6573B60D" w14:textId="77777777" w:rsidR="006B34A1" w:rsidRPr="008D45EF" w:rsidRDefault="006B34A1" w:rsidP="0081699D">
            <w:pPr>
              <w:ind w:left="142"/>
              <w:rPr>
                <w:sz w:val="24"/>
                <w:szCs w:val="24"/>
              </w:rPr>
            </w:pPr>
            <w:r w:rsidRPr="008D45EF">
              <w:rPr>
                <w:sz w:val="24"/>
                <w:szCs w:val="24"/>
              </w:rPr>
              <w:t>Vaskulære sygdomme</w:t>
            </w:r>
          </w:p>
        </w:tc>
        <w:tc>
          <w:tcPr>
            <w:tcW w:w="1685" w:type="pct"/>
            <w:tcBorders>
              <w:top w:val="single" w:sz="4" w:space="0" w:color="000000"/>
              <w:left w:val="single" w:sz="4" w:space="0" w:color="000000"/>
              <w:bottom w:val="single" w:sz="4" w:space="0" w:color="000000"/>
              <w:right w:val="single" w:sz="4" w:space="0" w:color="000000"/>
            </w:tcBorders>
            <w:hideMark/>
          </w:tcPr>
          <w:p w14:paraId="231BFAAC" w14:textId="77777777" w:rsidR="006B34A1" w:rsidRPr="008D45EF" w:rsidRDefault="006B34A1" w:rsidP="0081699D">
            <w:pPr>
              <w:ind w:left="142"/>
              <w:rPr>
                <w:sz w:val="24"/>
                <w:szCs w:val="24"/>
              </w:rPr>
            </w:pPr>
            <w:r w:rsidRPr="008D45EF">
              <w:rPr>
                <w:sz w:val="24"/>
                <w:szCs w:val="24"/>
              </w:rPr>
              <w:t>Lymfødem</w:t>
            </w:r>
          </w:p>
        </w:tc>
        <w:tc>
          <w:tcPr>
            <w:tcW w:w="1630" w:type="pct"/>
            <w:tcBorders>
              <w:top w:val="single" w:sz="4" w:space="0" w:color="000000"/>
              <w:left w:val="single" w:sz="4" w:space="0" w:color="000000"/>
              <w:bottom w:val="single" w:sz="4" w:space="0" w:color="000000"/>
              <w:right w:val="single" w:sz="4" w:space="0" w:color="000000"/>
            </w:tcBorders>
          </w:tcPr>
          <w:p w14:paraId="036C6C2F" w14:textId="77777777" w:rsidR="006B34A1" w:rsidRPr="008D45EF" w:rsidRDefault="006B34A1" w:rsidP="0081699D">
            <w:pPr>
              <w:ind w:left="142"/>
              <w:rPr>
                <w:sz w:val="24"/>
                <w:szCs w:val="24"/>
              </w:rPr>
            </w:pPr>
          </w:p>
        </w:tc>
      </w:tr>
      <w:tr w:rsidR="006B34A1" w:rsidRPr="008D45EF" w14:paraId="2788224D" w14:textId="77777777" w:rsidTr="002A7D83">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2EC0AC02" w14:textId="77777777" w:rsidR="006B34A1" w:rsidRPr="008D45EF" w:rsidRDefault="006B34A1" w:rsidP="0081699D">
            <w:pPr>
              <w:ind w:left="142"/>
              <w:rPr>
                <w:sz w:val="24"/>
                <w:szCs w:val="24"/>
              </w:rPr>
            </w:pPr>
            <w:r w:rsidRPr="008D45EF">
              <w:rPr>
                <w:sz w:val="24"/>
                <w:szCs w:val="24"/>
              </w:rPr>
              <w:t>Luftveje, thorax og mediastinum</w:t>
            </w:r>
          </w:p>
        </w:tc>
        <w:tc>
          <w:tcPr>
            <w:tcW w:w="1685" w:type="pct"/>
            <w:tcBorders>
              <w:top w:val="single" w:sz="4" w:space="0" w:color="000000"/>
              <w:left w:val="single" w:sz="4" w:space="0" w:color="000000"/>
              <w:bottom w:val="single" w:sz="4" w:space="0" w:color="000000"/>
              <w:right w:val="single" w:sz="4" w:space="0" w:color="000000"/>
            </w:tcBorders>
            <w:hideMark/>
          </w:tcPr>
          <w:p w14:paraId="651E0A1C" w14:textId="77777777" w:rsidR="000E6038" w:rsidRPr="003D4A39" w:rsidRDefault="000E6038" w:rsidP="000E6038">
            <w:pPr>
              <w:ind w:left="142"/>
              <w:rPr>
                <w:sz w:val="24"/>
                <w:szCs w:val="24"/>
              </w:rPr>
            </w:pPr>
            <w:r w:rsidRPr="003D4A39">
              <w:rPr>
                <w:sz w:val="24"/>
                <w:szCs w:val="24"/>
              </w:rPr>
              <w:t xml:space="preserve">Epistaxis; </w:t>
            </w:r>
          </w:p>
          <w:p w14:paraId="4C76B714" w14:textId="121E08E5" w:rsidR="000E6038" w:rsidRPr="003D4A39" w:rsidRDefault="000E6038" w:rsidP="000E6038">
            <w:pPr>
              <w:ind w:left="142"/>
              <w:rPr>
                <w:sz w:val="24"/>
                <w:szCs w:val="24"/>
              </w:rPr>
            </w:pPr>
            <w:r>
              <w:rPr>
                <w:sz w:val="24"/>
                <w:szCs w:val="24"/>
              </w:rPr>
              <w:t>F</w:t>
            </w:r>
            <w:r w:rsidRPr="003D4A39">
              <w:rPr>
                <w:sz w:val="24"/>
                <w:szCs w:val="24"/>
              </w:rPr>
              <w:t>aryngolaryngeal Naso</w:t>
            </w:r>
            <w:r>
              <w:rPr>
                <w:sz w:val="24"/>
                <w:szCs w:val="24"/>
              </w:rPr>
              <w:t>f</w:t>
            </w:r>
            <w:r w:rsidRPr="003D4A39">
              <w:rPr>
                <w:sz w:val="24"/>
                <w:szCs w:val="24"/>
              </w:rPr>
              <w:t xml:space="preserve">aryngitis; </w:t>
            </w:r>
          </w:p>
          <w:p w14:paraId="015A4B1E" w14:textId="77777777" w:rsidR="000E6038" w:rsidRPr="003D4A39" w:rsidRDefault="000E6038" w:rsidP="000E6038">
            <w:pPr>
              <w:ind w:left="142"/>
              <w:rPr>
                <w:sz w:val="24"/>
                <w:szCs w:val="24"/>
              </w:rPr>
            </w:pPr>
            <w:r w:rsidRPr="003D4A39">
              <w:rPr>
                <w:sz w:val="24"/>
                <w:szCs w:val="24"/>
              </w:rPr>
              <w:t xml:space="preserve">Dyspnø; </w:t>
            </w:r>
          </w:p>
          <w:p w14:paraId="00007101" w14:textId="77777777" w:rsidR="000E6038" w:rsidRPr="003D4A39" w:rsidRDefault="000E6038" w:rsidP="000E6038">
            <w:pPr>
              <w:ind w:left="142"/>
              <w:rPr>
                <w:sz w:val="24"/>
                <w:szCs w:val="24"/>
              </w:rPr>
            </w:pPr>
            <w:r w:rsidRPr="003D4A39">
              <w:rPr>
                <w:sz w:val="24"/>
                <w:szCs w:val="24"/>
              </w:rPr>
              <w:t xml:space="preserve">Hoste; </w:t>
            </w:r>
          </w:p>
          <w:p w14:paraId="5C345A1B" w14:textId="2BFBE232" w:rsidR="006B34A1" w:rsidRPr="008D45EF" w:rsidRDefault="000E6038" w:rsidP="000E6038">
            <w:pPr>
              <w:ind w:left="142"/>
              <w:rPr>
                <w:sz w:val="24"/>
                <w:szCs w:val="24"/>
              </w:rPr>
            </w:pPr>
            <w:r w:rsidRPr="003D4A39">
              <w:rPr>
                <w:sz w:val="24"/>
                <w:szCs w:val="24"/>
              </w:rPr>
              <w:t>Næseflåd</w:t>
            </w:r>
          </w:p>
        </w:tc>
        <w:tc>
          <w:tcPr>
            <w:tcW w:w="1630" w:type="pct"/>
            <w:tcBorders>
              <w:top w:val="single" w:sz="4" w:space="0" w:color="000000"/>
              <w:left w:val="single" w:sz="4" w:space="0" w:color="000000"/>
              <w:bottom w:val="single" w:sz="4" w:space="0" w:color="000000"/>
              <w:right w:val="single" w:sz="4" w:space="0" w:color="000000"/>
            </w:tcBorders>
          </w:tcPr>
          <w:p w14:paraId="5F71B05F" w14:textId="77777777" w:rsidR="006B34A1" w:rsidRPr="008D45EF" w:rsidRDefault="006B34A1" w:rsidP="0081699D">
            <w:pPr>
              <w:ind w:left="142"/>
              <w:rPr>
                <w:sz w:val="24"/>
                <w:szCs w:val="24"/>
              </w:rPr>
            </w:pPr>
          </w:p>
        </w:tc>
      </w:tr>
      <w:tr w:rsidR="006B34A1" w:rsidRPr="008D45EF" w14:paraId="243BBFA2" w14:textId="77777777" w:rsidTr="002A7D83">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2C98AC21" w14:textId="77777777" w:rsidR="006B34A1" w:rsidRPr="008D45EF" w:rsidRDefault="006B34A1" w:rsidP="0081699D">
            <w:pPr>
              <w:ind w:left="142"/>
              <w:rPr>
                <w:sz w:val="24"/>
                <w:szCs w:val="24"/>
              </w:rPr>
            </w:pPr>
            <w:r w:rsidRPr="008D45EF">
              <w:rPr>
                <w:sz w:val="24"/>
                <w:szCs w:val="24"/>
              </w:rPr>
              <w:t>Mave-tarm</w:t>
            </w:r>
            <w:r w:rsidR="00074186">
              <w:rPr>
                <w:sz w:val="24"/>
                <w:szCs w:val="24"/>
              </w:rPr>
              <w:t>-</w:t>
            </w:r>
            <w:r w:rsidRPr="008D45EF">
              <w:rPr>
                <w:sz w:val="24"/>
                <w:szCs w:val="24"/>
              </w:rPr>
              <w:t>kanalen</w:t>
            </w:r>
          </w:p>
        </w:tc>
        <w:tc>
          <w:tcPr>
            <w:tcW w:w="1685" w:type="pct"/>
            <w:tcBorders>
              <w:top w:val="single" w:sz="4" w:space="0" w:color="000000"/>
              <w:left w:val="single" w:sz="4" w:space="0" w:color="000000"/>
              <w:bottom w:val="single" w:sz="4" w:space="0" w:color="000000"/>
              <w:right w:val="single" w:sz="4" w:space="0" w:color="000000"/>
            </w:tcBorders>
            <w:hideMark/>
          </w:tcPr>
          <w:p w14:paraId="781044C1" w14:textId="77777777" w:rsidR="006B34A1" w:rsidRPr="008D45EF" w:rsidRDefault="006B34A1" w:rsidP="0081699D">
            <w:pPr>
              <w:ind w:left="142"/>
              <w:rPr>
                <w:sz w:val="24"/>
                <w:szCs w:val="24"/>
              </w:rPr>
            </w:pPr>
            <w:r w:rsidRPr="008D45EF">
              <w:rPr>
                <w:sz w:val="24"/>
                <w:szCs w:val="24"/>
              </w:rPr>
              <w:t xml:space="preserve">Kvalme; </w:t>
            </w:r>
          </w:p>
          <w:p w14:paraId="232A86FE" w14:textId="77777777" w:rsidR="006B34A1" w:rsidRPr="008D45EF" w:rsidRDefault="006B34A1" w:rsidP="0081699D">
            <w:pPr>
              <w:ind w:left="142"/>
              <w:rPr>
                <w:sz w:val="24"/>
                <w:szCs w:val="24"/>
              </w:rPr>
            </w:pPr>
            <w:r w:rsidRPr="008D45EF">
              <w:rPr>
                <w:sz w:val="24"/>
                <w:szCs w:val="24"/>
              </w:rPr>
              <w:t xml:space="preserve">Diarré; </w:t>
            </w:r>
          </w:p>
          <w:p w14:paraId="318980E3" w14:textId="77777777" w:rsidR="006B34A1" w:rsidRPr="008D45EF" w:rsidRDefault="006B34A1" w:rsidP="0081699D">
            <w:pPr>
              <w:ind w:left="142"/>
              <w:rPr>
                <w:sz w:val="24"/>
                <w:szCs w:val="24"/>
              </w:rPr>
            </w:pPr>
            <w:r w:rsidRPr="008D45EF">
              <w:rPr>
                <w:sz w:val="24"/>
                <w:szCs w:val="24"/>
              </w:rPr>
              <w:t xml:space="preserve">Opkastning; </w:t>
            </w:r>
          </w:p>
          <w:p w14:paraId="03224A4D" w14:textId="77777777" w:rsidR="006B34A1" w:rsidRPr="008D45EF" w:rsidRDefault="006B34A1" w:rsidP="0081699D">
            <w:pPr>
              <w:ind w:left="142"/>
              <w:rPr>
                <w:sz w:val="24"/>
                <w:szCs w:val="24"/>
              </w:rPr>
            </w:pPr>
            <w:r w:rsidRPr="008D45EF">
              <w:rPr>
                <w:sz w:val="24"/>
                <w:szCs w:val="24"/>
              </w:rPr>
              <w:t xml:space="preserve">Konstipation; </w:t>
            </w:r>
          </w:p>
          <w:p w14:paraId="55892A89" w14:textId="77777777" w:rsidR="006B34A1" w:rsidRPr="008D45EF" w:rsidRDefault="006B34A1" w:rsidP="0081699D">
            <w:pPr>
              <w:ind w:left="142"/>
              <w:rPr>
                <w:sz w:val="24"/>
                <w:szCs w:val="24"/>
              </w:rPr>
            </w:pPr>
            <w:r w:rsidRPr="008D45EF">
              <w:rPr>
                <w:sz w:val="24"/>
                <w:szCs w:val="24"/>
              </w:rPr>
              <w:t xml:space="preserve">Stomatitis; </w:t>
            </w:r>
          </w:p>
          <w:p w14:paraId="0A31BD51" w14:textId="77777777" w:rsidR="006B34A1" w:rsidRPr="008D45EF" w:rsidRDefault="006B34A1" w:rsidP="0081699D">
            <w:pPr>
              <w:ind w:left="142"/>
              <w:rPr>
                <w:sz w:val="24"/>
                <w:szCs w:val="24"/>
              </w:rPr>
            </w:pPr>
            <w:r w:rsidRPr="008D45EF">
              <w:rPr>
                <w:sz w:val="24"/>
                <w:szCs w:val="24"/>
              </w:rPr>
              <w:t xml:space="preserve">Dyspepsi; </w:t>
            </w:r>
          </w:p>
          <w:p w14:paraId="313873FD" w14:textId="77777777" w:rsidR="006B34A1" w:rsidRPr="008D45EF" w:rsidRDefault="006B34A1" w:rsidP="0081699D">
            <w:pPr>
              <w:ind w:left="142"/>
              <w:rPr>
                <w:sz w:val="24"/>
                <w:szCs w:val="24"/>
              </w:rPr>
            </w:pPr>
            <w:r w:rsidRPr="008D45EF">
              <w:rPr>
                <w:sz w:val="24"/>
                <w:szCs w:val="24"/>
              </w:rPr>
              <w:t>Mavesmerter</w:t>
            </w:r>
          </w:p>
        </w:tc>
        <w:tc>
          <w:tcPr>
            <w:tcW w:w="1630" w:type="pct"/>
            <w:tcBorders>
              <w:top w:val="single" w:sz="4" w:space="0" w:color="000000"/>
              <w:left w:val="single" w:sz="4" w:space="0" w:color="000000"/>
              <w:bottom w:val="single" w:sz="4" w:space="0" w:color="000000"/>
              <w:right w:val="single" w:sz="4" w:space="0" w:color="000000"/>
            </w:tcBorders>
          </w:tcPr>
          <w:p w14:paraId="5DC68727" w14:textId="77777777" w:rsidR="006B34A1" w:rsidRPr="008D45EF" w:rsidRDefault="006B34A1" w:rsidP="0081699D">
            <w:pPr>
              <w:ind w:left="142"/>
              <w:rPr>
                <w:sz w:val="24"/>
                <w:szCs w:val="24"/>
              </w:rPr>
            </w:pPr>
          </w:p>
        </w:tc>
      </w:tr>
      <w:tr w:rsidR="006B34A1" w:rsidRPr="008D45EF" w14:paraId="5851D0BF" w14:textId="77777777" w:rsidTr="002A7D83">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233362E0" w14:textId="77777777" w:rsidR="006B34A1" w:rsidRPr="008D45EF" w:rsidRDefault="006B34A1" w:rsidP="0081699D">
            <w:pPr>
              <w:ind w:left="142"/>
              <w:rPr>
                <w:sz w:val="24"/>
                <w:szCs w:val="24"/>
              </w:rPr>
            </w:pPr>
            <w:r w:rsidRPr="008D45EF">
              <w:rPr>
                <w:sz w:val="24"/>
                <w:szCs w:val="24"/>
              </w:rPr>
              <w:t>Hud og subkutane væv</w:t>
            </w:r>
          </w:p>
        </w:tc>
        <w:tc>
          <w:tcPr>
            <w:tcW w:w="1685" w:type="pct"/>
            <w:tcBorders>
              <w:top w:val="single" w:sz="4" w:space="0" w:color="000000"/>
              <w:left w:val="single" w:sz="4" w:space="0" w:color="000000"/>
              <w:bottom w:val="single" w:sz="4" w:space="0" w:color="000000"/>
              <w:right w:val="single" w:sz="4" w:space="0" w:color="000000"/>
            </w:tcBorders>
            <w:hideMark/>
          </w:tcPr>
          <w:p w14:paraId="0564E79F" w14:textId="77777777" w:rsidR="006B34A1" w:rsidRPr="008D45EF" w:rsidRDefault="006B34A1" w:rsidP="0081699D">
            <w:pPr>
              <w:ind w:left="142"/>
              <w:rPr>
                <w:sz w:val="24"/>
                <w:szCs w:val="24"/>
              </w:rPr>
            </w:pPr>
            <w:r w:rsidRPr="008D45EF">
              <w:rPr>
                <w:sz w:val="24"/>
                <w:szCs w:val="24"/>
              </w:rPr>
              <w:t xml:space="preserve">Alopeci; </w:t>
            </w:r>
          </w:p>
          <w:p w14:paraId="0B1673BD" w14:textId="77777777" w:rsidR="006B34A1" w:rsidRPr="008D45EF" w:rsidRDefault="006B34A1" w:rsidP="0081699D">
            <w:pPr>
              <w:ind w:left="142"/>
              <w:rPr>
                <w:sz w:val="24"/>
                <w:szCs w:val="24"/>
              </w:rPr>
            </w:pPr>
            <w:r w:rsidRPr="008D45EF">
              <w:rPr>
                <w:sz w:val="24"/>
                <w:szCs w:val="24"/>
              </w:rPr>
              <w:t xml:space="preserve">Erythema; </w:t>
            </w:r>
          </w:p>
          <w:p w14:paraId="7762DD3E" w14:textId="77777777" w:rsidR="006B34A1" w:rsidRPr="008D45EF" w:rsidRDefault="006B34A1" w:rsidP="0081699D">
            <w:pPr>
              <w:ind w:left="142"/>
              <w:rPr>
                <w:sz w:val="24"/>
                <w:szCs w:val="24"/>
              </w:rPr>
            </w:pPr>
            <w:r w:rsidRPr="008D45EF">
              <w:rPr>
                <w:sz w:val="24"/>
                <w:szCs w:val="24"/>
              </w:rPr>
              <w:t xml:space="preserve">Udslæt; </w:t>
            </w:r>
          </w:p>
          <w:p w14:paraId="26CE8D95" w14:textId="77777777" w:rsidR="006B34A1" w:rsidRPr="008D45EF" w:rsidRDefault="006B34A1" w:rsidP="0081699D">
            <w:pPr>
              <w:ind w:left="142"/>
              <w:rPr>
                <w:sz w:val="24"/>
                <w:szCs w:val="24"/>
              </w:rPr>
            </w:pPr>
            <w:r w:rsidRPr="008D45EF">
              <w:rPr>
                <w:sz w:val="24"/>
                <w:szCs w:val="24"/>
              </w:rPr>
              <w:t>Neglesygdomme</w:t>
            </w:r>
          </w:p>
        </w:tc>
        <w:tc>
          <w:tcPr>
            <w:tcW w:w="1630" w:type="pct"/>
            <w:tcBorders>
              <w:top w:val="single" w:sz="4" w:space="0" w:color="000000"/>
              <w:left w:val="single" w:sz="4" w:space="0" w:color="000000"/>
              <w:bottom w:val="single" w:sz="4" w:space="0" w:color="000000"/>
              <w:right w:val="single" w:sz="4" w:space="0" w:color="000000"/>
            </w:tcBorders>
          </w:tcPr>
          <w:p w14:paraId="5D1A62EC" w14:textId="77777777" w:rsidR="006B34A1" w:rsidRPr="008D45EF" w:rsidRDefault="006B34A1" w:rsidP="0081699D">
            <w:pPr>
              <w:ind w:left="142"/>
              <w:rPr>
                <w:sz w:val="24"/>
                <w:szCs w:val="24"/>
              </w:rPr>
            </w:pPr>
          </w:p>
        </w:tc>
      </w:tr>
      <w:tr w:rsidR="006B34A1" w:rsidRPr="008D45EF" w14:paraId="1F70BA1A" w14:textId="77777777" w:rsidTr="002A7D83">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55C2277F" w14:textId="77777777" w:rsidR="006B34A1" w:rsidRPr="008D45EF" w:rsidRDefault="006B34A1" w:rsidP="0081699D">
            <w:pPr>
              <w:ind w:left="142"/>
              <w:rPr>
                <w:sz w:val="24"/>
                <w:szCs w:val="24"/>
              </w:rPr>
            </w:pPr>
            <w:r w:rsidRPr="008D45EF">
              <w:rPr>
                <w:sz w:val="24"/>
                <w:szCs w:val="24"/>
              </w:rPr>
              <w:t>Knogler, led, muskler og bindevæv</w:t>
            </w:r>
          </w:p>
        </w:tc>
        <w:tc>
          <w:tcPr>
            <w:tcW w:w="1685" w:type="pct"/>
            <w:tcBorders>
              <w:top w:val="single" w:sz="4" w:space="0" w:color="000000"/>
              <w:left w:val="single" w:sz="4" w:space="0" w:color="000000"/>
              <w:bottom w:val="single" w:sz="4" w:space="0" w:color="000000"/>
              <w:right w:val="single" w:sz="4" w:space="0" w:color="000000"/>
            </w:tcBorders>
            <w:hideMark/>
          </w:tcPr>
          <w:p w14:paraId="1472137F" w14:textId="77777777" w:rsidR="006B34A1" w:rsidRPr="008D45EF" w:rsidRDefault="006B34A1" w:rsidP="0081699D">
            <w:pPr>
              <w:ind w:left="142"/>
              <w:rPr>
                <w:sz w:val="24"/>
                <w:szCs w:val="24"/>
              </w:rPr>
            </w:pPr>
            <w:r w:rsidRPr="008D45EF">
              <w:rPr>
                <w:sz w:val="24"/>
                <w:szCs w:val="24"/>
              </w:rPr>
              <w:t xml:space="preserve">Myalgi; </w:t>
            </w:r>
          </w:p>
          <w:p w14:paraId="7762B93D" w14:textId="77777777" w:rsidR="006B34A1" w:rsidRPr="008D45EF" w:rsidRDefault="006B34A1" w:rsidP="0081699D">
            <w:pPr>
              <w:ind w:left="142"/>
              <w:rPr>
                <w:sz w:val="24"/>
                <w:szCs w:val="24"/>
              </w:rPr>
            </w:pPr>
            <w:r w:rsidRPr="008D45EF">
              <w:rPr>
                <w:sz w:val="24"/>
                <w:szCs w:val="24"/>
              </w:rPr>
              <w:t xml:space="preserve">Artralgi; </w:t>
            </w:r>
          </w:p>
          <w:p w14:paraId="21694BA7" w14:textId="77777777" w:rsidR="006B34A1" w:rsidRPr="008D45EF" w:rsidRDefault="006B34A1" w:rsidP="0081699D">
            <w:pPr>
              <w:ind w:left="142"/>
              <w:rPr>
                <w:sz w:val="24"/>
                <w:szCs w:val="24"/>
              </w:rPr>
            </w:pPr>
            <w:r w:rsidRPr="008D45EF">
              <w:rPr>
                <w:sz w:val="24"/>
                <w:szCs w:val="24"/>
              </w:rPr>
              <w:t xml:space="preserve">Smerter i ekstremiteterne; </w:t>
            </w:r>
          </w:p>
          <w:p w14:paraId="5F880E1F" w14:textId="77777777" w:rsidR="006B34A1" w:rsidRPr="008D45EF" w:rsidRDefault="006B34A1" w:rsidP="0081699D">
            <w:pPr>
              <w:ind w:left="142"/>
              <w:rPr>
                <w:sz w:val="24"/>
                <w:szCs w:val="24"/>
              </w:rPr>
            </w:pPr>
            <w:r w:rsidRPr="008D45EF">
              <w:rPr>
                <w:sz w:val="24"/>
                <w:szCs w:val="24"/>
              </w:rPr>
              <w:t xml:space="preserve">Knoglesmerter; </w:t>
            </w:r>
          </w:p>
          <w:p w14:paraId="0192ADE8" w14:textId="77777777" w:rsidR="006B34A1" w:rsidRPr="008D45EF" w:rsidRDefault="006B34A1" w:rsidP="0081699D">
            <w:pPr>
              <w:ind w:left="142"/>
              <w:rPr>
                <w:sz w:val="24"/>
                <w:szCs w:val="24"/>
              </w:rPr>
            </w:pPr>
            <w:r w:rsidRPr="008D45EF">
              <w:rPr>
                <w:sz w:val="24"/>
                <w:szCs w:val="24"/>
              </w:rPr>
              <w:t>Rygsmerter</w:t>
            </w:r>
          </w:p>
        </w:tc>
        <w:tc>
          <w:tcPr>
            <w:tcW w:w="1630" w:type="pct"/>
            <w:tcBorders>
              <w:top w:val="single" w:sz="4" w:space="0" w:color="000000"/>
              <w:left w:val="single" w:sz="4" w:space="0" w:color="000000"/>
              <w:bottom w:val="single" w:sz="4" w:space="0" w:color="000000"/>
              <w:right w:val="single" w:sz="4" w:space="0" w:color="000000"/>
            </w:tcBorders>
          </w:tcPr>
          <w:p w14:paraId="73264D4F" w14:textId="77777777" w:rsidR="006B34A1" w:rsidRPr="008D45EF" w:rsidRDefault="006B34A1" w:rsidP="0081699D">
            <w:pPr>
              <w:ind w:left="142"/>
              <w:rPr>
                <w:sz w:val="24"/>
                <w:szCs w:val="24"/>
              </w:rPr>
            </w:pPr>
          </w:p>
        </w:tc>
      </w:tr>
      <w:tr w:rsidR="006B34A1" w:rsidRPr="008D45EF" w14:paraId="2F5AC6F9" w14:textId="77777777" w:rsidTr="002A7D83">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42A033C3" w14:textId="77777777" w:rsidR="006B34A1" w:rsidRPr="008D45EF" w:rsidRDefault="006B34A1" w:rsidP="0081699D">
            <w:pPr>
              <w:ind w:left="142"/>
              <w:rPr>
                <w:sz w:val="24"/>
                <w:szCs w:val="24"/>
              </w:rPr>
            </w:pPr>
            <w:r w:rsidRPr="008D45EF">
              <w:rPr>
                <w:sz w:val="24"/>
                <w:szCs w:val="24"/>
              </w:rPr>
              <w:t>Almene symptomer og reaktioner på administrationsstedet</w:t>
            </w:r>
          </w:p>
        </w:tc>
        <w:tc>
          <w:tcPr>
            <w:tcW w:w="1685" w:type="pct"/>
            <w:tcBorders>
              <w:top w:val="single" w:sz="4" w:space="0" w:color="000000"/>
              <w:left w:val="single" w:sz="4" w:space="0" w:color="000000"/>
              <w:bottom w:val="single" w:sz="4" w:space="0" w:color="000000"/>
              <w:right w:val="single" w:sz="4" w:space="0" w:color="000000"/>
            </w:tcBorders>
            <w:hideMark/>
          </w:tcPr>
          <w:p w14:paraId="052F4B41" w14:textId="77777777" w:rsidR="000E6038" w:rsidRPr="003D4A39" w:rsidRDefault="000E6038" w:rsidP="000E6038">
            <w:pPr>
              <w:keepNext/>
              <w:ind w:left="142"/>
              <w:rPr>
                <w:sz w:val="24"/>
                <w:szCs w:val="24"/>
              </w:rPr>
            </w:pPr>
            <w:r w:rsidRPr="003D4A39">
              <w:rPr>
                <w:sz w:val="24"/>
                <w:szCs w:val="24"/>
              </w:rPr>
              <w:t xml:space="preserve">Asteni; </w:t>
            </w:r>
          </w:p>
          <w:p w14:paraId="0266B14B" w14:textId="77777777" w:rsidR="000E6038" w:rsidRPr="003D4A39" w:rsidRDefault="000E6038" w:rsidP="000E6038">
            <w:pPr>
              <w:keepNext/>
              <w:ind w:left="142"/>
              <w:rPr>
                <w:sz w:val="24"/>
                <w:szCs w:val="24"/>
              </w:rPr>
            </w:pPr>
            <w:r w:rsidRPr="003D4A39">
              <w:rPr>
                <w:sz w:val="24"/>
                <w:szCs w:val="24"/>
              </w:rPr>
              <w:t xml:space="preserve">Periferalt ødem; </w:t>
            </w:r>
          </w:p>
          <w:p w14:paraId="38AC31F5" w14:textId="6EA283EE" w:rsidR="000E6038" w:rsidRPr="003D4A39" w:rsidRDefault="000E6038" w:rsidP="000E6038">
            <w:pPr>
              <w:keepNext/>
              <w:ind w:left="142"/>
              <w:rPr>
                <w:sz w:val="24"/>
                <w:szCs w:val="24"/>
              </w:rPr>
            </w:pPr>
            <w:r w:rsidRPr="003D4A39">
              <w:rPr>
                <w:sz w:val="24"/>
                <w:szCs w:val="24"/>
              </w:rPr>
              <w:t>Pyre</w:t>
            </w:r>
            <w:r>
              <w:rPr>
                <w:sz w:val="24"/>
                <w:szCs w:val="24"/>
              </w:rPr>
              <w:t>ks</w:t>
            </w:r>
            <w:r w:rsidRPr="003D4A39">
              <w:rPr>
                <w:sz w:val="24"/>
                <w:szCs w:val="24"/>
              </w:rPr>
              <w:t xml:space="preserve">i; </w:t>
            </w:r>
          </w:p>
          <w:p w14:paraId="41056830" w14:textId="77777777" w:rsidR="000E6038" w:rsidRPr="003D4A39" w:rsidRDefault="000E6038" w:rsidP="000E6038">
            <w:pPr>
              <w:keepNext/>
              <w:ind w:left="142"/>
              <w:rPr>
                <w:sz w:val="24"/>
                <w:szCs w:val="24"/>
              </w:rPr>
            </w:pPr>
            <w:r w:rsidRPr="003D4A39">
              <w:rPr>
                <w:sz w:val="24"/>
                <w:szCs w:val="24"/>
              </w:rPr>
              <w:t xml:space="preserve">Træthed; </w:t>
            </w:r>
          </w:p>
          <w:p w14:paraId="077ABE4D" w14:textId="77777777" w:rsidR="000E6038" w:rsidRPr="003D4A39" w:rsidRDefault="000E6038" w:rsidP="000E6038">
            <w:pPr>
              <w:keepNext/>
              <w:ind w:left="142"/>
              <w:rPr>
                <w:sz w:val="24"/>
                <w:szCs w:val="24"/>
              </w:rPr>
            </w:pPr>
            <w:r w:rsidRPr="003D4A39">
              <w:rPr>
                <w:sz w:val="24"/>
                <w:szCs w:val="24"/>
              </w:rPr>
              <w:t xml:space="preserve">Inflammation i slimhinderne; </w:t>
            </w:r>
          </w:p>
          <w:p w14:paraId="0AE340AE" w14:textId="77777777" w:rsidR="000E6038" w:rsidRPr="003D4A39" w:rsidRDefault="000E6038" w:rsidP="000E6038">
            <w:pPr>
              <w:keepNext/>
              <w:ind w:left="142"/>
              <w:rPr>
                <w:sz w:val="24"/>
                <w:szCs w:val="24"/>
              </w:rPr>
            </w:pPr>
            <w:r w:rsidRPr="003D4A39">
              <w:rPr>
                <w:sz w:val="24"/>
                <w:szCs w:val="24"/>
              </w:rPr>
              <w:t xml:space="preserve">Smerter; </w:t>
            </w:r>
          </w:p>
          <w:p w14:paraId="4B35093C" w14:textId="77777777" w:rsidR="000E6038" w:rsidRPr="003D4A39" w:rsidRDefault="000E6038" w:rsidP="000E6038">
            <w:pPr>
              <w:keepNext/>
              <w:ind w:left="142"/>
              <w:rPr>
                <w:sz w:val="24"/>
                <w:szCs w:val="24"/>
              </w:rPr>
            </w:pPr>
            <w:r w:rsidRPr="003D4A39">
              <w:rPr>
                <w:sz w:val="24"/>
                <w:szCs w:val="24"/>
              </w:rPr>
              <w:t xml:space="preserve">Influenza-lignende symptomer; </w:t>
            </w:r>
          </w:p>
          <w:p w14:paraId="4CB01B36" w14:textId="77777777" w:rsidR="000E6038" w:rsidRPr="003D4A39" w:rsidRDefault="000E6038" w:rsidP="000E6038">
            <w:pPr>
              <w:keepNext/>
              <w:ind w:left="142"/>
              <w:rPr>
                <w:sz w:val="24"/>
                <w:szCs w:val="24"/>
              </w:rPr>
            </w:pPr>
            <w:r w:rsidRPr="003D4A39">
              <w:rPr>
                <w:sz w:val="24"/>
                <w:szCs w:val="24"/>
              </w:rPr>
              <w:t xml:space="preserve">Brystsmerter; </w:t>
            </w:r>
          </w:p>
          <w:p w14:paraId="6C43AA02" w14:textId="1B10CD59" w:rsidR="006B34A1" w:rsidRPr="008D45EF" w:rsidRDefault="000E6038" w:rsidP="000E6038">
            <w:pPr>
              <w:ind w:left="142"/>
              <w:rPr>
                <w:sz w:val="24"/>
                <w:szCs w:val="24"/>
              </w:rPr>
            </w:pPr>
            <w:r w:rsidRPr="003D4A39">
              <w:rPr>
                <w:sz w:val="24"/>
                <w:szCs w:val="24"/>
              </w:rPr>
              <w:t>Kulderystelser</w:t>
            </w:r>
          </w:p>
        </w:tc>
        <w:tc>
          <w:tcPr>
            <w:tcW w:w="1630" w:type="pct"/>
            <w:tcBorders>
              <w:top w:val="single" w:sz="4" w:space="0" w:color="000000"/>
              <w:left w:val="single" w:sz="4" w:space="0" w:color="000000"/>
              <w:bottom w:val="single" w:sz="4" w:space="0" w:color="000000"/>
              <w:right w:val="single" w:sz="4" w:space="0" w:color="000000"/>
            </w:tcBorders>
            <w:hideMark/>
          </w:tcPr>
          <w:p w14:paraId="7ADDF05B" w14:textId="77777777" w:rsidR="006B34A1" w:rsidRPr="008D45EF" w:rsidRDefault="006B34A1" w:rsidP="0081699D">
            <w:pPr>
              <w:ind w:left="142"/>
              <w:rPr>
                <w:sz w:val="24"/>
                <w:szCs w:val="24"/>
              </w:rPr>
            </w:pPr>
            <w:r w:rsidRPr="008D45EF">
              <w:rPr>
                <w:sz w:val="24"/>
                <w:szCs w:val="24"/>
              </w:rPr>
              <w:t>Letargi</w:t>
            </w:r>
          </w:p>
        </w:tc>
      </w:tr>
      <w:tr w:rsidR="006B34A1" w:rsidRPr="008D45EF" w14:paraId="6A9D1515" w14:textId="77777777" w:rsidTr="002A7D83">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4890184C" w14:textId="77777777" w:rsidR="006B34A1" w:rsidRPr="008D45EF" w:rsidRDefault="006B34A1" w:rsidP="0081699D">
            <w:pPr>
              <w:ind w:left="142"/>
              <w:rPr>
                <w:sz w:val="24"/>
                <w:szCs w:val="24"/>
              </w:rPr>
            </w:pPr>
            <w:r w:rsidRPr="008D45EF">
              <w:rPr>
                <w:sz w:val="24"/>
                <w:szCs w:val="24"/>
              </w:rPr>
              <w:t>Undersøgelser</w:t>
            </w:r>
          </w:p>
        </w:tc>
        <w:tc>
          <w:tcPr>
            <w:tcW w:w="1685" w:type="pct"/>
            <w:tcBorders>
              <w:top w:val="single" w:sz="4" w:space="0" w:color="000000"/>
              <w:left w:val="single" w:sz="4" w:space="0" w:color="000000"/>
              <w:bottom w:val="single" w:sz="4" w:space="0" w:color="000000"/>
              <w:right w:val="single" w:sz="4" w:space="0" w:color="000000"/>
            </w:tcBorders>
            <w:hideMark/>
          </w:tcPr>
          <w:p w14:paraId="5B00ED48" w14:textId="77777777" w:rsidR="006B34A1" w:rsidRPr="008D45EF" w:rsidRDefault="006B34A1" w:rsidP="0081699D">
            <w:pPr>
              <w:ind w:left="142"/>
              <w:rPr>
                <w:sz w:val="24"/>
                <w:szCs w:val="24"/>
              </w:rPr>
            </w:pPr>
            <w:r w:rsidRPr="008D45EF">
              <w:rPr>
                <w:sz w:val="24"/>
                <w:szCs w:val="24"/>
              </w:rPr>
              <w:t>Vægtforøgelse</w:t>
            </w:r>
          </w:p>
        </w:tc>
        <w:tc>
          <w:tcPr>
            <w:tcW w:w="1630" w:type="pct"/>
            <w:tcBorders>
              <w:top w:val="single" w:sz="4" w:space="0" w:color="000000"/>
              <w:left w:val="single" w:sz="4" w:space="0" w:color="000000"/>
              <w:bottom w:val="single" w:sz="4" w:space="0" w:color="000000"/>
              <w:right w:val="single" w:sz="4" w:space="0" w:color="000000"/>
            </w:tcBorders>
          </w:tcPr>
          <w:p w14:paraId="4D9BBC8C" w14:textId="77777777" w:rsidR="006B34A1" w:rsidRPr="008D45EF" w:rsidRDefault="006B34A1" w:rsidP="0081699D">
            <w:pPr>
              <w:ind w:left="142"/>
              <w:rPr>
                <w:sz w:val="24"/>
                <w:szCs w:val="24"/>
              </w:rPr>
            </w:pPr>
          </w:p>
        </w:tc>
      </w:tr>
    </w:tbl>
    <w:p w14:paraId="273EB8BF" w14:textId="77777777" w:rsidR="006B34A1" w:rsidRPr="008D45EF" w:rsidRDefault="006B34A1" w:rsidP="0081699D">
      <w:pPr>
        <w:ind w:left="851"/>
        <w:rPr>
          <w:sz w:val="24"/>
          <w:szCs w:val="24"/>
        </w:rPr>
      </w:pPr>
    </w:p>
    <w:p w14:paraId="2C42435E" w14:textId="77777777" w:rsidR="006B34A1" w:rsidRPr="008D45EF" w:rsidRDefault="006B34A1" w:rsidP="0081699D">
      <w:pPr>
        <w:ind w:left="851"/>
        <w:rPr>
          <w:sz w:val="24"/>
          <w:szCs w:val="24"/>
          <w:u w:val="single"/>
        </w:rPr>
      </w:pPr>
      <w:r w:rsidRPr="008D45EF">
        <w:rPr>
          <w:sz w:val="24"/>
          <w:szCs w:val="24"/>
          <w:u w:val="single"/>
        </w:rPr>
        <w:t>Beskrivelse af udvalgte bivirkninger ved behandling af brystkræft med docetaxel 100 mg/m² i kombination med trastuzumab</w:t>
      </w:r>
    </w:p>
    <w:p w14:paraId="5B2B51C9" w14:textId="77777777" w:rsidR="006B34A1" w:rsidRPr="008D45EF" w:rsidRDefault="006B34A1" w:rsidP="000E6038">
      <w:pPr>
        <w:rPr>
          <w:sz w:val="24"/>
          <w:szCs w:val="24"/>
        </w:rPr>
      </w:pPr>
    </w:p>
    <w:p w14:paraId="57150582" w14:textId="77777777" w:rsidR="000E6038" w:rsidRPr="003D4A39" w:rsidRDefault="000E6038" w:rsidP="000E6038">
      <w:pPr>
        <w:keepNext/>
        <w:ind w:left="851"/>
        <w:rPr>
          <w:sz w:val="24"/>
          <w:szCs w:val="24"/>
        </w:rPr>
      </w:pPr>
      <w:r w:rsidRPr="003D4A39">
        <w:rPr>
          <w:i/>
          <w:iCs/>
          <w:sz w:val="24"/>
          <w:szCs w:val="24"/>
        </w:rPr>
        <w:t>Hjerte</w:t>
      </w:r>
    </w:p>
    <w:p w14:paraId="5C812AA3" w14:textId="13088B17" w:rsidR="000E6038" w:rsidRPr="003D4A39" w:rsidRDefault="000E6038" w:rsidP="000E6038">
      <w:pPr>
        <w:keepLines/>
        <w:ind w:left="851"/>
        <w:rPr>
          <w:sz w:val="24"/>
          <w:szCs w:val="24"/>
        </w:rPr>
      </w:pPr>
      <w:r w:rsidRPr="003D4A39">
        <w:rPr>
          <w:sz w:val="24"/>
          <w:szCs w:val="24"/>
        </w:rPr>
        <w:t>Symptomatisk hjertesvigt blev rapporteret hos 2,2 % af patienterne, som fik docetaxel plus trastuzumab i forhold til 0 % af de patienter, som fik docetaxel alene. I docetaxel - plus trastuzumab - armen, havde 64 % modtaget en tidligere behandling med antracy</w:t>
      </w:r>
      <w:r>
        <w:rPr>
          <w:sz w:val="24"/>
          <w:szCs w:val="24"/>
        </w:rPr>
        <w:t>k</w:t>
      </w:r>
      <w:r w:rsidRPr="003D4A39">
        <w:rPr>
          <w:sz w:val="24"/>
          <w:szCs w:val="24"/>
        </w:rPr>
        <w:t>lin som adjuverende behandling sammenlignet med 55 % i docetaxel-armen alene.</w:t>
      </w:r>
    </w:p>
    <w:p w14:paraId="624D83F5" w14:textId="77777777" w:rsidR="000E6038" w:rsidRPr="003D4A39" w:rsidRDefault="000E6038" w:rsidP="000E6038">
      <w:pPr>
        <w:ind w:left="851"/>
        <w:rPr>
          <w:sz w:val="24"/>
          <w:szCs w:val="24"/>
        </w:rPr>
      </w:pPr>
    </w:p>
    <w:p w14:paraId="52CC388D" w14:textId="77777777" w:rsidR="000E6038" w:rsidRPr="005D4D80" w:rsidRDefault="000E6038" w:rsidP="000E6038">
      <w:pPr>
        <w:ind w:left="851"/>
        <w:rPr>
          <w:i/>
          <w:iCs/>
          <w:sz w:val="24"/>
          <w:szCs w:val="24"/>
        </w:rPr>
      </w:pPr>
      <w:r w:rsidRPr="005D4D80">
        <w:rPr>
          <w:i/>
          <w:iCs/>
          <w:sz w:val="24"/>
          <w:szCs w:val="24"/>
        </w:rPr>
        <w:t xml:space="preserve">Blod og lymfesystem </w:t>
      </w:r>
    </w:p>
    <w:p w14:paraId="7FA25E4C" w14:textId="6F83C01B" w:rsidR="000E6038" w:rsidRPr="003D4A39" w:rsidRDefault="000E6038" w:rsidP="000E6038">
      <w:pPr>
        <w:ind w:left="851"/>
        <w:rPr>
          <w:sz w:val="24"/>
          <w:szCs w:val="24"/>
        </w:rPr>
      </w:pPr>
      <w:r w:rsidRPr="003D4A39">
        <w:rPr>
          <w:sz w:val="24"/>
          <w:szCs w:val="24"/>
        </w:rPr>
        <w:t xml:space="preserve">Meget almindelig: Hæmatologisk toksicitet var forhøjet hos de patienter, som modtog trastuzumab og docetaxel, i forhold til de patienter som fik behandling med docetaxel alene (32 % grad 3/4 neutropeni </w:t>
      </w:r>
      <w:r w:rsidRPr="005D4D80">
        <w:rPr>
          <w:i/>
          <w:iCs/>
          <w:sz w:val="24"/>
          <w:szCs w:val="24"/>
        </w:rPr>
        <w:t>versus</w:t>
      </w:r>
      <w:r w:rsidRPr="003D4A39">
        <w:rPr>
          <w:sz w:val="24"/>
          <w:szCs w:val="24"/>
        </w:rPr>
        <w:t xml:space="preserve"> 22 %, under anvendelse af NCI-CTC-kriterierne). Bemærk, at dette sandsynligvis er underestimeret, da docetaxel alene ved en dosis på 100 mg/m² er kendt for at resultere i neutropeni hos 97 % af patienterne, 76 % grad 4, baseret på laveste blodtælling. Forekomsten af febril neutropeni/neutropenisk sepsis var også forhøjet hos de patienter, der fik behandling med Herceptin plus docetaxel (23 % </w:t>
      </w:r>
      <w:r w:rsidRPr="005D4D80">
        <w:rPr>
          <w:i/>
          <w:iCs/>
          <w:sz w:val="24"/>
          <w:szCs w:val="24"/>
        </w:rPr>
        <w:t>versus</w:t>
      </w:r>
      <w:r w:rsidRPr="003D4A39">
        <w:rPr>
          <w:sz w:val="24"/>
          <w:szCs w:val="24"/>
        </w:rPr>
        <w:t xml:space="preserve"> 17 % for de patienter, der fik behandling med docetaxel alene).</w:t>
      </w:r>
    </w:p>
    <w:p w14:paraId="1B1DC664" w14:textId="77777777" w:rsidR="006B34A1" w:rsidRPr="008D45EF" w:rsidRDefault="006B34A1" w:rsidP="0081699D">
      <w:pPr>
        <w:ind w:left="851"/>
        <w:rPr>
          <w:sz w:val="24"/>
          <w:szCs w:val="24"/>
        </w:rPr>
      </w:pPr>
    </w:p>
    <w:p w14:paraId="6050B94D" w14:textId="77777777" w:rsidR="006B34A1" w:rsidRPr="008D45EF" w:rsidRDefault="006B34A1" w:rsidP="002F3AAC">
      <w:pPr>
        <w:keepNext/>
        <w:ind w:left="142"/>
        <w:rPr>
          <w:sz w:val="24"/>
          <w:szCs w:val="24"/>
          <w:u w:val="single"/>
        </w:rPr>
      </w:pPr>
      <w:r w:rsidRPr="008D45EF">
        <w:rPr>
          <w:sz w:val="24"/>
          <w:szCs w:val="24"/>
          <w:u w:val="single"/>
        </w:rPr>
        <w:t>Tabel over bivirkninger ved behandling af brystkræft med docetaxel 75 mg/m² i kombination med capecitabin</w:t>
      </w:r>
    </w:p>
    <w:p w14:paraId="13E1AA0C" w14:textId="77777777" w:rsidR="006B34A1" w:rsidRPr="008D45EF" w:rsidRDefault="006B34A1" w:rsidP="002F3AAC">
      <w:pPr>
        <w:keepNext/>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44"/>
        <w:gridCol w:w="3245"/>
        <w:gridCol w:w="3139"/>
      </w:tblGrid>
      <w:tr w:rsidR="000E6038" w:rsidRPr="003D4A39" w14:paraId="21C937C9" w14:textId="77777777" w:rsidTr="000E6038">
        <w:trPr>
          <w:trHeight w:val="20"/>
          <w:tblHeader/>
        </w:trPr>
        <w:tc>
          <w:tcPr>
            <w:tcW w:w="1685" w:type="pct"/>
            <w:tcBorders>
              <w:top w:val="single" w:sz="4" w:space="0" w:color="auto"/>
              <w:left w:val="single" w:sz="4" w:space="0" w:color="auto"/>
              <w:bottom w:val="single" w:sz="4" w:space="0" w:color="auto"/>
              <w:right w:val="single" w:sz="4" w:space="0" w:color="auto"/>
            </w:tcBorders>
            <w:hideMark/>
          </w:tcPr>
          <w:p w14:paraId="3FFE46B9" w14:textId="77777777" w:rsidR="000E6038" w:rsidRPr="003D4A39" w:rsidRDefault="000E6038" w:rsidP="000E6038">
            <w:pPr>
              <w:keepNext/>
              <w:ind w:left="142"/>
              <w:rPr>
                <w:b/>
                <w:bCs/>
                <w:sz w:val="24"/>
                <w:szCs w:val="24"/>
              </w:rPr>
            </w:pPr>
            <w:r w:rsidRPr="003D4A39">
              <w:rPr>
                <w:b/>
                <w:bCs/>
                <w:sz w:val="24"/>
                <w:szCs w:val="24"/>
              </w:rPr>
              <w:t>Systemorganklasser i henhold til MedDRA-databasen</w:t>
            </w:r>
          </w:p>
        </w:tc>
        <w:tc>
          <w:tcPr>
            <w:tcW w:w="1685" w:type="pct"/>
            <w:tcBorders>
              <w:top w:val="single" w:sz="4" w:space="0" w:color="auto"/>
              <w:left w:val="single" w:sz="4" w:space="0" w:color="auto"/>
              <w:bottom w:val="single" w:sz="4" w:space="0" w:color="auto"/>
              <w:right w:val="single" w:sz="4" w:space="0" w:color="auto"/>
            </w:tcBorders>
            <w:hideMark/>
          </w:tcPr>
          <w:p w14:paraId="18EC0791" w14:textId="77777777" w:rsidR="000E6038" w:rsidRPr="003D4A39" w:rsidRDefault="000E6038" w:rsidP="000E6038">
            <w:pPr>
              <w:keepNext/>
              <w:ind w:left="142"/>
              <w:rPr>
                <w:b/>
                <w:bCs/>
                <w:sz w:val="24"/>
                <w:szCs w:val="24"/>
              </w:rPr>
            </w:pPr>
            <w:r w:rsidRPr="003D4A39">
              <w:rPr>
                <w:b/>
                <w:bCs/>
                <w:sz w:val="24"/>
                <w:szCs w:val="24"/>
              </w:rPr>
              <w:t>Meget almindelige bivirkninger</w:t>
            </w:r>
          </w:p>
        </w:tc>
        <w:tc>
          <w:tcPr>
            <w:tcW w:w="1630" w:type="pct"/>
            <w:tcBorders>
              <w:top w:val="single" w:sz="4" w:space="0" w:color="auto"/>
              <w:left w:val="single" w:sz="4" w:space="0" w:color="auto"/>
              <w:bottom w:val="single" w:sz="4" w:space="0" w:color="auto"/>
              <w:right w:val="single" w:sz="4" w:space="0" w:color="auto"/>
            </w:tcBorders>
            <w:hideMark/>
          </w:tcPr>
          <w:p w14:paraId="31EB0FC8" w14:textId="77777777" w:rsidR="000E6038" w:rsidRPr="003D4A39" w:rsidRDefault="000E6038" w:rsidP="000E6038">
            <w:pPr>
              <w:keepNext/>
              <w:ind w:left="142"/>
              <w:rPr>
                <w:b/>
                <w:bCs/>
                <w:sz w:val="24"/>
                <w:szCs w:val="24"/>
              </w:rPr>
            </w:pPr>
            <w:r w:rsidRPr="003D4A39">
              <w:rPr>
                <w:b/>
                <w:bCs/>
                <w:sz w:val="24"/>
                <w:szCs w:val="24"/>
              </w:rPr>
              <w:t>Almindelige bivirkninger</w:t>
            </w:r>
          </w:p>
        </w:tc>
      </w:tr>
      <w:tr w:rsidR="000E6038" w:rsidRPr="003D4A39" w14:paraId="4B022FEE" w14:textId="77777777" w:rsidTr="000E6038">
        <w:trPr>
          <w:trHeight w:val="20"/>
        </w:trPr>
        <w:tc>
          <w:tcPr>
            <w:tcW w:w="1685" w:type="pct"/>
            <w:tcBorders>
              <w:top w:val="single" w:sz="4" w:space="0" w:color="auto"/>
              <w:left w:val="single" w:sz="4" w:space="0" w:color="000000"/>
              <w:bottom w:val="single" w:sz="4" w:space="0" w:color="000000"/>
              <w:right w:val="single" w:sz="4" w:space="0" w:color="000000"/>
            </w:tcBorders>
            <w:hideMark/>
          </w:tcPr>
          <w:p w14:paraId="3F6DE27A" w14:textId="77777777" w:rsidR="000E6038" w:rsidRPr="003D4A39" w:rsidRDefault="000E6038" w:rsidP="000E6038">
            <w:pPr>
              <w:keepNext/>
              <w:ind w:left="142"/>
              <w:rPr>
                <w:sz w:val="24"/>
                <w:szCs w:val="24"/>
              </w:rPr>
            </w:pPr>
            <w:r w:rsidRPr="003D4A39">
              <w:rPr>
                <w:sz w:val="24"/>
                <w:szCs w:val="24"/>
              </w:rPr>
              <w:t>Infektioner og parasitære sygdomme</w:t>
            </w:r>
          </w:p>
        </w:tc>
        <w:tc>
          <w:tcPr>
            <w:tcW w:w="1685" w:type="pct"/>
            <w:tcBorders>
              <w:top w:val="single" w:sz="4" w:space="0" w:color="auto"/>
              <w:left w:val="single" w:sz="4" w:space="0" w:color="000000"/>
              <w:bottom w:val="single" w:sz="4" w:space="0" w:color="000000"/>
              <w:right w:val="single" w:sz="4" w:space="0" w:color="000000"/>
            </w:tcBorders>
          </w:tcPr>
          <w:p w14:paraId="75962E98" w14:textId="77777777" w:rsidR="000E6038" w:rsidRPr="003D4A39" w:rsidRDefault="000E6038" w:rsidP="000E6038">
            <w:pPr>
              <w:keepNext/>
              <w:ind w:left="142"/>
              <w:rPr>
                <w:sz w:val="24"/>
                <w:szCs w:val="24"/>
              </w:rPr>
            </w:pPr>
          </w:p>
        </w:tc>
        <w:tc>
          <w:tcPr>
            <w:tcW w:w="1630" w:type="pct"/>
            <w:tcBorders>
              <w:top w:val="single" w:sz="4" w:space="0" w:color="auto"/>
              <w:left w:val="single" w:sz="4" w:space="0" w:color="000000"/>
              <w:bottom w:val="single" w:sz="4" w:space="0" w:color="000000"/>
              <w:right w:val="single" w:sz="4" w:space="0" w:color="000000"/>
            </w:tcBorders>
            <w:hideMark/>
          </w:tcPr>
          <w:p w14:paraId="1D8679FA" w14:textId="77777777" w:rsidR="000E6038" w:rsidRPr="003D4A39" w:rsidRDefault="000E6038" w:rsidP="000E6038">
            <w:pPr>
              <w:keepNext/>
              <w:ind w:left="142"/>
              <w:rPr>
                <w:sz w:val="24"/>
                <w:szCs w:val="24"/>
              </w:rPr>
            </w:pPr>
            <w:r w:rsidRPr="003D4A39">
              <w:rPr>
                <w:sz w:val="24"/>
                <w:szCs w:val="24"/>
              </w:rPr>
              <w:t>Oral candidiasis (G3/4: &lt; 1 %)</w:t>
            </w:r>
          </w:p>
        </w:tc>
      </w:tr>
      <w:tr w:rsidR="000E6038" w:rsidRPr="003D4A39" w14:paraId="37A4C398" w14:textId="77777777" w:rsidTr="000E6038">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2DF59B93" w14:textId="77777777" w:rsidR="000E6038" w:rsidRPr="003D4A39" w:rsidRDefault="000E6038" w:rsidP="000E6038">
            <w:pPr>
              <w:keepNext/>
              <w:ind w:left="142"/>
              <w:rPr>
                <w:sz w:val="24"/>
                <w:szCs w:val="24"/>
              </w:rPr>
            </w:pPr>
            <w:r w:rsidRPr="003D4A39">
              <w:rPr>
                <w:sz w:val="24"/>
                <w:szCs w:val="24"/>
              </w:rPr>
              <w:t>Blod og lymfesystem</w:t>
            </w:r>
          </w:p>
        </w:tc>
        <w:tc>
          <w:tcPr>
            <w:tcW w:w="1685" w:type="pct"/>
            <w:tcBorders>
              <w:top w:val="single" w:sz="4" w:space="0" w:color="000000"/>
              <w:left w:val="single" w:sz="4" w:space="0" w:color="000000"/>
              <w:bottom w:val="single" w:sz="4" w:space="0" w:color="000000"/>
              <w:right w:val="single" w:sz="4" w:space="0" w:color="000000"/>
            </w:tcBorders>
            <w:hideMark/>
          </w:tcPr>
          <w:p w14:paraId="425E0F46" w14:textId="77777777" w:rsidR="000E6038" w:rsidRPr="003D4A39" w:rsidRDefault="000E6038" w:rsidP="000E6038">
            <w:pPr>
              <w:keepNext/>
              <w:ind w:left="142"/>
              <w:rPr>
                <w:sz w:val="24"/>
                <w:szCs w:val="24"/>
              </w:rPr>
            </w:pPr>
            <w:r w:rsidRPr="003D4A39">
              <w:rPr>
                <w:sz w:val="24"/>
                <w:szCs w:val="24"/>
              </w:rPr>
              <w:t xml:space="preserve">Neutropeni (G3/4: 63 %); </w:t>
            </w:r>
          </w:p>
          <w:p w14:paraId="2D7CC51A" w14:textId="77777777" w:rsidR="000E6038" w:rsidRPr="003D4A39" w:rsidRDefault="000E6038" w:rsidP="000E6038">
            <w:pPr>
              <w:keepNext/>
              <w:ind w:left="142"/>
              <w:rPr>
                <w:sz w:val="24"/>
                <w:szCs w:val="24"/>
              </w:rPr>
            </w:pPr>
            <w:r w:rsidRPr="003D4A39">
              <w:rPr>
                <w:sz w:val="24"/>
                <w:szCs w:val="24"/>
              </w:rPr>
              <w:t>Anæmi (G3/4: 10 %)</w:t>
            </w:r>
          </w:p>
        </w:tc>
        <w:tc>
          <w:tcPr>
            <w:tcW w:w="1630" w:type="pct"/>
            <w:tcBorders>
              <w:top w:val="single" w:sz="4" w:space="0" w:color="000000"/>
              <w:left w:val="single" w:sz="4" w:space="0" w:color="000000"/>
              <w:bottom w:val="single" w:sz="4" w:space="0" w:color="000000"/>
              <w:right w:val="single" w:sz="4" w:space="0" w:color="000000"/>
            </w:tcBorders>
            <w:hideMark/>
          </w:tcPr>
          <w:p w14:paraId="26A233AA" w14:textId="77777777" w:rsidR="000E6038" w:rsidRPr="003D4A39" w:rsidRDefault="000E6038" w:rsidP="000E6038">
            <w:pPr>
              <w:keepNext/>
              <w:ind w:left="142"/>
              <w:rPr>
                <w:sz w:val="24"/>
                <w:szCs w:val="24"/>
              </w:rPr>
            </w:pPr>
            <w:r w:rsidRPr="003D4A39">
              <w:rPr>
                <w:sz w:val="24"/>
                <w:szCs w:val="24"/>
              </w:rPr>
              <w:t>Trombocytopeni (G3/4: 3 %)</w:t>
            </w:r>
          </w:p>
        </w:tc>
      </w:tr>
      <w:tr w:rsidR="000E6038" w:rsidRPr="003D4A39" w14:paraId="0BDE7460" w14:textId="77777777" w:rsidTr="000E6038">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46F078F5" w14:textId="77777777" w:rsidR="000E6038" w:rsidRPr="003D4A39" w:rsidRDefault="000E6038" w:rsidP="000E6038">
            <w:pPr>
              <w:keepNext/>
              <w:ind w:left="142"/>
              <w:rPr>
                <w:sz w:val="24"/>
                <w:szCs w:val="24"/>
              </w:rPr>
            </w:pPr>
            <w:r w:rsidRPr="003D4A39">
              <w:rPr>
                <w:sz w:val="24"/>
                <w:szCs w:val="24"/>
              </w:rPr>
              <w:t>Metabolisme og ernæring</w:t>
            </w:r>
          </w:p>
        </w:tc>
        <w:tc>
          <w:tcPr>
            <w:tcW w:w="1685" w:type="pct"/>
            <w:tcBorders>
              <w:top w:val="single" w:sz="4" w:space="0" w:color="000000"/>
              <w:left w:val="single" w:sz="4" w:space="0" w:color="000000"/>
              <w:bottom w:val="single" w:sz="4" w:space="0" w:color="000000"/>
              <w:right w:val="single" w:sz="4" w:space="0" w:color="000000"/>
            </w:tcBorders>
            <w:hideMark/>
          </w:tcPr>
          <w:p w14:paraId="125D2792" w14:textId="77777777" w:rsidR="000E6038" w:rsidRPr="003D4A39" w:rsidRDefault="000E6038" w:rsidP="000E6038">
            <w:pPr>
              <w:keepNext/>
              <w:ind w:left="142"/>
              <w:rPr>
                <w:sz w:val="24"/>
                <w:szCs w:val="24"/>
              </w:rPr>
            </w:pPr>
            <w:r w:rsidRPr="003D4A39">
              <w:rPr>
                <w:sz w:val="24"/>
                <w:szCs w:val="24"/>
              </w:rPr>
              <w:t xml:space="preserve">Anoreksi (G3/4: 1 %); </w:t>
            </w:r>
          </w:p>
          <w:p w14:paraId="1AC3DA57" w14:textId="77777777" w:rsidR="000E6038" w:rsidRPr="003D4A39" w:rsidRDefault="000E6038" w:rsidP="000E6038">
            <w:pPr>
              <w:keepNext/>
              <w:ind w:left="142"/>
              <w:rPr>
                <w:sz w:val="24"/>
                <w:szCs w:val="24"/>
              </w:rPr>
            </w:pPr>
            <w:r w:rsidRPr="003D4A39">
              <w:rPr>
                <w:sz w:val="24"/>
                <w:szCs w:val="24"/>
              </w:rPr>
              <w:t>Nedsat appetit</w:t>
            </w:r>
          </w:p>
        </w:tc>
        <w:tc>
          <w:tcPr>
            <w:tcW w:w="1630" w:type="pct"/>
            <w:tcBorders>
              <w:top w:val="single" w:sz="4" w:space="0" w:color="000000"/>
              <w:left w:val="single" w:sz="4" w:space="0" w:color="000000"/>
              <w:bottom w:val="single" w:sz="4" w:space="0" w:color="000000"/>
              <w:right w:val="single" w:sz="4" w:space="0" w:color="000000"/>
            </w:tcBorders>
            <w:hideMark/>
          </w:tcPr>
          <w:p w14:paraId="669C0E53" w14:textId="77777777" w:rsidR="000E6038" w:rsidRPr="003D4A39" w:rsidRDefault="000E6038" w:rsidP="000E6038">
            <w:pPr>
              <w:keepNext/>
              <w:ind w:left="142"/>
              <w:rPr>
                <w:sz w:val="24"/>
                <w:szCs w:val="24"/>
              </w:rPr>
            </w:pPr>
            <w:r w:rsidRPr="003D4A39">
              <w:rPr>
                <w:sz w:val="24"/>
                <w:szCs w:val="24"/>
              </w:rPr>
              <w:t>Dehydrering (G3/4: 2 %);</w:t>
            </w:r>
          </w:p>
        </w:tc>
      </w:tr>
      <w:tr w:rsidR="000E6038" w:rsidRPr="003D4A39" w14:paraId="671601B1" w14:textId="77777777" w:rsidTr="000E6038">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702341C4" w14:textId="77777777" w:rsidR="000E6038" w:rsidRPr="003D4A39" w:rsidRDefault="000E6038" w:rsidP="000E6038">
            <w:pPr>
              <w:keepNext/>
              <w:ind w:left="142"/>
              <w:rPr>
                <w:sz w:val="24"/>
                <w:szCs w:val="24"/>
              </w:rPr>
            </w:pPr>
            <w:r w:rsidRPr="003D4A39">
              <w:rPr>
                <w:sz w:val="24"/>
                <w:szCs w:val="24"/>
              </w:rPr>
              <w:t>Nervesystemet</w:t>
            </w:r>
          </w:p>
        </w:tc>
        <w:tc>
          <w:tcPr>
            <w:tcW w:w="1685" w:type="pct"/>
            <w:tcBorders>
              <w:top w:val="single" w:sz="4" w:space="0" w:color="000000"/>
              <w:left w:val="single" w:sz="4" w:space="0" w:color="000000"/>
              <w:bottom w:val="single" w:sz="4" w:space="0" w:color="000000"/>
              <w:right w:val="single" w:sz="4" w:space="0" w:color="000000"/>
            </w:tcBorders>
            <w:hideMark/>
          </w:tcPr>
          <w:p w14:paraId="139EF391" w14:textId="77777777" w:rsidR="000E6038" w:rsidRPr="003D4A39" w:rsidRDefault="000E6038" w:rsidP="000E6038">
            <w:pPr>
              <w:keepNext/>
              <w:ind w:left="142"/>
              <w:rPr>
                <w:sz w:val="24"/>
                <w:szCs w:val="24"/>
              </w:rPr>
            </w:pPr>
            <w:r w:rsidRPr="003D4A39">
              <w:rPr>
                <w:sz w:val="24"/>
                <w:szCs w:val="24"/>
              </w:rPr>
              <w:t xml:space="preserve">Dysgeusi (G3/4: &lt; 1 %); </w:t>
            </w:r>
          </w:p>
          <w:p w14:paraId="53F2C2CA" w14:textId="3A99BC91" w:rsidR="000E6038" w:rsidRPr="003D4A39" w:rsidRDefault="000E6038" w:rsidP="000E6038">
            <w:pPr>
              <w:keepNext/>
              <w:ind w:left="142"/>
              <w:rPr>
                <w:sz w:val="24"/>
                <w:szCs w:val="24"/>
              </w:rPr>
            </w:pPr>
            <w:r w:rsidRPr="003D4A39">
              <w:rPr>
                <w:sz w:val="24"/>
                <w:szCs w:val="24"/>
              </w:rPr>
              <w:t>Paræstesi (G3/4: &lt; 1 %)</w:t>
            </w:r>
          </w:p>
        </w:tc>
        <w:tc>
          <w:tcPr>
            <w:tcW w:w="1630" w:type="pct"/>
            <w:tcBorders>
              <w:top w:val="single" w:sz="4" w:space="0" w:color="000000"/>
              <w:left w:val="single" w:sz="4" w:space="0" w:color="000000"/>
              <w:bottom w:val="single" w:sz="4" w:space="0" w:color="000000"/>
              <w:right w:val="single" w:sz="4" w:space="0" w:color="000000"/>
            </w:tcBorders>
            <w:hideMark/>
          </w:tcPr>
          <w:p w14:paraId="2327934E" w14:textId="77777777" w:rsidR="000E6038" w:rsidRPr="003D4A39" w:rsidRDefault="000E6038" w:rsidP="000E6038">
            <w:pPr>
              <w:keepNext/>
              <w:ind w:left="142"/>
              <w:rPr>
                <w:sz w:val="24"/>
                <w:szCs w:val="24"/>
              </w:rPr>
            </w:pPr>
            <w:r w:rsidRPr="003D4A39">
              <w:rPr>
                <w:sz w:val="24"/>
                <w:szCs w:val="24"/>
              </w:rPr>
              <w:t>Svimmelhed;</w:t>
            </w:r>
          </w:p>
          <w:p w14:paraId="404ADB99" w14:textId="77777777" w:rsidR="000E6038" w:rsidRPr="003D4A39" w:rsidRDefault="000E6038" w:rsidP="000E6038">
            <w:pPr>
              <w:keepNext/>
              <w:ind w:left="142"/>
              <w:rPr>
                <w:sz w:val="24"/>
                <w:szCs w:val="24"/>
              </w:rPr>
            </w:pPr>
            <w:r w:rsidRPr="003D4A39">
              <w:rPr>
                <w:sz w:val="24"/>
                <w:szCs w:val="24"/>
              </w:rPr>
              <w:t xml:space="preserve">Hovedpine (G3/4: &lt; 1 %); </w:t>
            </w:r>
          </w:p>
          <w:p w14:paraId="12D74245" w14:textId="77777777" w:rsidR="000E6038" w:rsidRPr="003D4A39" w:rsidRDefault="000E6038" w:rsidP="000E6038">
            <w:pPr>
              <w:keepNext/>
              <w:ind w:left="142"/>
              <w:rPr>
                <w:sz w:val="24"/>
                <w:szCs w:val="24"/>
              </w:rPr>
            </w:pPr>
            <w:r w:rsidRPr="003D4A39">
              <w:rPr>
                <w:sz w:val="24"/>
                <w:szCs w:val="24"/>
              </w:rPr>
              <w:t>Perifer neuropati</w:t>
            </w:r>
          </w:p>
        </w:tc>
      </w:tr>
      <w:tr w:rsidR="000E6038" w:rsidRPr="003D4A39" w14:paraId="0821F929" w14:textId="77777777" w:rsidTr="000E6038">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524BDF15" w14:textId="77777777" w:rsidR="000E6038" w:rsidRPr="003D4A39" w:rsidRDefault="000E6038" w:rsidP="000E6038">
            <w:pPr>
              <w:keepNext/>
              <w:ind w:left="142"/>
              <w:rPr>
                <w:sz w:val="24"/>
                <w:szCs w:val="24"/>
              </w:rPr>
            </w:pPr>
            <w:r w:rsidRPr="003D4A39">
              <w:rPr>
                <w:sz w:val="24"/>
                <w:szCs w:val="24"/>
              </w:rPr>
              <w:t>Øjne</w:t>
            </w:r>
          </w:p>
        </w:tc>
        <w:tc>
          <w:tcPr>
            <w:tcW w:w="1685" w:type="pct"/>
            <w:tcBorders>
              <w:top w:val="single" w:sz="4" w:space="0" w:color="000000"/>
              <w:left w:val="single" w:sz="4" w:space="0" w:color="000000"/>
              <w:bottom w:val="single" w:sz="4" w:space="0" w:color="000000"/>
              <w:right w:val="single" w:sz="4" w:space="0" w:color="000000"/>
            </w:tcBorders>
            <w:hideMark/>
          </w:tcPr>
          <w:p w14:paraId="43BA052A" w14:textId="77777777" w:rsidR="000E6038" w:rsidRPr="003D4A39" w:rsidRDefault="000E6038" w:rsidP="000E6038">
            <w:pPr>
              <w:keepNext/>
              <w:ind w:left="142"/>
              <w:rPr>
                <w:sz w:val="24"/>
                <w:szCs w:val="24"/>
              </w:rPr>
            </w:pPr>
            <w:r w:rsidRPr="003D4A39">
              <w:rPr>
                <w:sz w:val="24"/>
                <w:szCs w:val="24"/>
              </w:rPr>
              <w:t>Forhøjet lakrimation</w:t>
            </w:r>
          </w:p>
        </w:tc>
        <w:tc>
          <w:tcPr>
            <w:tcW w:w="1630" w:type="pct"/>
            <w:tcBorders>
              <w:top w:val="single" w:sz="4" w:space="0" w:color="000000"/>
              <w:left w:val="single" w:sz="4" w:space="0" w:color="000000"/>
              <w:bottom w:val="single" w:sz="4" w:space="0" w:color="000000"/>
              <w:right w:val="single" w:sz="4" w:space="0" w:color="000000"/>
            </w:tcBorders>
          </w:tcPr>
          <w:p w14:paraId="5265029C" w14:textId="77777777" w:rsidR="000E6038" w:rsidRPr="003D4A39" w:rsidRDefault="000E6038" w:rsidP="000E6038">
            <w:pPr>
              <w:keepNext/>
              <w:ind w:left="142"/>
              <w:rPr>
                <w:sz w:val="24"/>
                <w:szCs w:val="24"/>
              </w:rPr>
            </w:pPr>
          </w:p>
        </w:tc>
      </w:tr>
      <w:tr w:rsidR="000E6038" w:rsidRPr="003D4A39" w14:paraId="25739645" w14:textId="77777777" w:rsidTr="000E6038">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1A604F3F" w14:textId="77777777" w:rsidR="000E6038" w:rsidRPr="003D4A39" w:rsidRDefault="000E6038" w:rsidP="000E6038">
            <w:pPr>
              <w:keepNext/>
              <w:ind w:left="142"/>
              <w:rPr>
                <w:sz w:val="24"/>
                <w:szCs w:val="24"/>
              </w:rPr>
            </w:pPr>
            <w:r w:rsidRPr="003D4A39">
              <w:rPr>
                <w:sz w:val="24"/>
                <w:szCs w:val="24"/>
              </w:rPr>
              <w:t>Luftveje, thorax og mediastinum</w:t>
            </w:r>
          </w:p>
        </w:tc>
        <w:tc>
          <w:tcPr>
            <w:tcW w:w="1685" w:type="pct"/>
            <w:tcBorders>
              <w:top w:val="single" w:sz="4" w:space="0" w:color="000000"/>
              <w:left w:val="single" w:sz="4" w:space="0" w:color="000000"/>
              <w:bottom w:val="single" w:sz="4" w:space="0" w:color="000000"/>
              <w:right w:val="single" w:sz="4" w:space="0" w:color="000000"/>
            </w:tcBorders>
            <w:hideMark/>
          </w:tcPr>
          <w:p w14:paraId="7BCCE3F2" w14:textId="36E3DCB2" w:rsidR="000E6038" w:rsidRPr="003D4A39" w:rsidRDefault="000E6038" w:rsidP="000E6038">
            <w:pPr>
              <w:keepNext/>
              <w:ind w:left="142"/>
              <w:rPr>
                <w:sz w:val="24"/>
                <w:szCs w:val="24"/>
              </w:rPr>
            </w:pPr>
            <w:r>
              <w:rPr>
                <w:sz w:val="24"/>
                <w:szCs w:val="24"/>
              </w:rPr>
              <w:t>F</w:t>
            </w:r>
            <w:r w:rsidRPr="003D4A39">
              <w:rPr>
                <w:sz w:val="24"/>
                <w:szCs w:val="24"/>
              </w:rPr>
              <w:t>aryngolaryngeale smerter (G3/4: 2 %)</w:t>
            </w:r>
          </w:p>
        </w:tc>
        <w:tc>
          <w:tcPr>
            <w:tcW w:w="1630" w:type="pct"/>
            <w:tcBorders>
              <w:top w:val="single" w:sz="4" w:space="0" w:color="000000"/>
              <w:left w:val="single" w:sz="4" w:space="0" w:color="000000"/>
              <w:bottom w:val="single" w:sz="4" w:space="0" w:color="000000"/>
              <w:right w:val="single" w:sz="4" w:space="0" w:color="000000"/>
            </w:tcBorders>
            <w:hideMark/>
          </w:tcPr>
          <w:p w14:paraId="7E51C6BA" w14:textId="77777777" w:rsidR="000E6038" w:rsidRPr="003D4A39" w:rsidRDefault="000E6038" w:rsidP="000E6038">
            <w:pPr>
              <w:keepNext/>
              <w:ind w:left="142"/>
              <w:rPr>
                <w:sz w:val="24"/>
                <w:szCs w:val="24"/>
              </w:rPr>
            </w:pPr>
            <w:r w:rsidRPr="003D4A39">
              <w:rPr>
                <w:sz w:val="24"/>
                <w:szCs w:val="24"/>
              </w:rPr>
              <w:t xml:space="preserve">Dyspnø (G3/4: 1 %); </w:t>
            </w:r>
          </w:p>
          <w:p w14:paraId="2241CBAD" w14:textId="77777777" w:rsidR="000E6038" w:rsidRPr="003D4A39" w:rsidRDefault="000E6038" w:rsidP="000E6038">
            <w:pPr>
              <w:keepNext/>
              <w:ind w:left="142"/>
              <w:rPr>
                <w:sz w:val="24"/>
                <w:szCs w:val="24"/>
              </w:rPr>
            </w:pPr>
            <w:r w:rsidRPr="003D4A39">
              <w:rPr>
                <w:sz w:val="24"/>
                <w:szCs w:val="24"/>
              </w:rPr>
              <w:t xml:space="preserve">Hoste (G3/4: &lt; 1 %); </w:t>
            </w:r>
          </w:p>
          <w:p w14:paraId="512F7A4C" w14:textId="77777777" w:rsidR="000E6038" w:rsidRPr="003D4A39" w:rsidRDefault="000E6038" w:rsidP="000E6038">
            <w:pPr>
              <w:keepNext/>
              <w:ind w:left="142"/>
              <w:rPr>
                <w:sz w:val="24"/>
                <w:szCs w:val="24"/>
              </w:rPr>
            </w:pPr>
            <w:r w:rsidRPr="003D4A39">
              <w:rPr>
                <w:sz w:val="24"/>
                <w:szCs w:val="24"/>
              </w:rPr>
              <w:t>Epistaxis (G3/4: &lt; 1 %)</w:t>
            </w:r>
          </w:p>
        </w:tc>
      </w:tr>
      <w:tr w:rsidR="000E6038" w:rsidRPr="003D4A39" w14:paraId="1EFBD2C1" w14:textId="77777777" w:rsidTr="000E6038">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5E5894AE" w14:textId="49F63017" w:rsidR="000E6038" w:rsidRPr="003D4A39" w:rsidRDefault="000E6038" w:rsidP="000E6038">
            <w:pPr>
              <w:ind w:left="142"/>
              <w:rPr>
                <w:sz w:val="24"/>
                <w:szCs w:val="24"/>
              </w:rPr>
            </w:pPr>
            <w:r w:rsidRPr="003D4A39">
              <w:rPr>
                <w:sz w:val="24"/>
                <w:szCs w:val="24"/>
              </w:rPr>
              <w:t>Mave-tarm</w:t>
            </w:r>
            <w:r>
              <w:rPr>
                <w:sz w:val="24"/>
                <w:szCs w:val="24"/>
              </w:rPr>
              <w:t>-</w:t>
            </w:r>
            <w:r w:rsidRPr="003D4A39">
              <w:rPr>
                <w:sz w:val="24"/>
                <w:szCs w:val="24"/>
              </w:rPr>
              <w:t>kanalen</w:t>
            </w:r>
          </w:p>
        </w:tc>
        <w:tc>
          <w:tcPr>
            <w:tcW w:w="1685" w:type="pct"/>
            <w:tcBorders>
              <w:top w:val="single" w:sz="4" w:space="0" w:color="000000"/>
              <w:left w:val="single" w:sz="4" w:space="0" w:color="000000"/>
              <w:bottom w:val="single" w:sz="4" w:space="0" w:color="000000"/>
              <w:right w:val="single" w:sz="4" w:space="0" w:color="000000"/>
            </w:tcBorders>
            <w:hideMark/>
          </w:tcPr>
          <w:p w14:paraId="074CB939" w14:textId="77777777" w:rsidR="000E6038" w:rsidRPr="003D4A39" w:rsidRDefault="000E6038" w:rsidP="000E6038">
            <w:pPr>
              <w:ind w:left="142"/>
              <w:rPr>
                <w:sz w:val="24"/>
                <w:szCs w:val="24"/>
              </w:rPr>
            </w:pPr>
            <w:r w:rsidRPr="003D4A39">
              <w:rPr>
                <w:sz w:val="24"/>
                <w:szCs w:val="24"/>
              </w:rPr>
              <w:t xml:space="preserve">Stomatitis (G3/4: 18 %); </w:t>
            </w:r>
          </w:p>
          <w:p w14:paraId="256A634D" w14:textId="77777777" w:rsidR="000E6038" w:rsidRPr="003D4A39" w:rsidRDefault="000E6038" w:rsidP="000E6038">
            <w:pPr>
              <w:ind w:left="142"/>
              <w:rPr>
                <w:sz w:val="24"/>
                <w:szCs w:val="24"/>
              </w:rPr>
            </w:pPr>
            <w:r w:rsidRPr="003D4A39">
              <w:rPr>
                <w:sz w:val="24"/>
                <w:szCs w:val="24"/>
              </w:rPr>
              <w:t xml:space="preserve">Diarré (G3/4: 14 %); </w:t>
            </w:r>
          </w:p>
          <w:p w14:paraId="7D703F29" w14:textId="77777777" w:rsidR="000E6038" w:rsidRPr="003D4A39" w:rsidRDefault="000E6038" w:rsidP="000E6038">
            <w:pPr>
              <w:ind w:left="142"/>
              <w:rPr>
                <w:sz w:val="24"/>
                <w:szCs w:val="24"/>
              </w:rPr>
            </w:pPr>
            <w:r w:rsidRPr="003D4A39">
              <w:rPr>
                <w:sz w:val="24"/>
                <w:szCs w:val="24"/>
              </w:rPr>
              <w:t xml:space="preserve">Kvalme (G3/4: 6 %); </w:t>
            </w:r>
          </w:p>
          <w:p w14:paraId="5633FEF4" w14:textId="77777777" w:rsidR="000E6038" w:rsidRPr="003D4A39" w:rsidRDefault="000E6038" w:rsidP="000E6038">
            <w:pPr>
              <w:ind w:left="142"/>
              <w:rPr>
                <w:sz w:val="24"/>
                <w:szCs w:val="24"/>
              </w:rPr>
            </w:pPr>
            <w:r w:rsidRPr="003D4A39">
              <w:rPr>
                <w:sz w:val="24"/>
                <w:szCs w:val="24"/>
              </w:rPr>
              <w:t xml:space="preserve">Opkastning (G3/4: 4 %); </w:t>
            </w:r>
          </w:p>
          <w:p w14:paraId="23C8C89C" w14:textId="77777777" w:rsidR="000E6038" w:rsidRPr="003D4A39" w:rsidRDefault="000E6038" w:rsidP="000E6038">
            <w:pPr>
              <w:ind w:left="142"/>
              <w:rPr>
                <w:sz w:val="24"/>
                <w:szCs w:val="24"/>
              </w:rPr>
            </w:pPr>
            <w:r w:rsidRPr="003D4A39">
              <w:rPr>
                <w:sz w:val="24"/>
                <w:szCs w:val="24"/>
              </w:rPr>
              <w:t xml:space="preserve">Konstipation (G3/4: 1 %); </w:t>
            </w:r>
          </w:p>
          <w:p w14:paraId="68C4C6B6" w14:textId="77777777" w:rsidR="000E6038" w:rsidRPr="003D4A39" w:rsidRDefault="000E6038" w:rsidP="000E6038">
            <w:pPr>
              <w:ind w:left="142"/>
              <w:rPr>
                <w:sz w:val="24"/>
                <w:szCs w:val="24"/>
              </w:rPr>
            </w:pPr>
            <w:r w:rsidRPr="003D4A39">
              <w:rPr>
                <w:sz w:val="24"/>
                <w:szCs w:val="24"/>
              </w:rPr>
              <w:t xml:space="preserve">Mavesmerter (G3/4: 2 %); </w:t>
            </w:r>
          </w:p>
          <w:p w14:paraId="60081D3D" w14:textId="77777777" w:rsidR="000E6038" w:rsidRPr="003D4A39" w:rsidRDefault="000E6038" w:rsidP="000E6038">
            <w:pPr>
              <w:ind w:left="142"/>
              <w:rPr>
                <w:sz w:val="24"/>
                <w:szCs w:val="24"/>
              </w:rPr>
            </w:pPr>
            <w:r w:rsidRPr="003D4A39">
              <w:rPr>
                <w:sz w:val="24"/>
                <w:szCs w:val="24"/>
              </w:rPr>
              <w:t>Dyspepsi</w:t>
            </w:r>
          </w:p>
        </w:tc>
        <w:tc>
          <w:tcPr>
            <w:tcW w:w="1630" w:type="pct"/>
            <w:tcBorders>
              <w:top w:val="single" w:sz="4" w:space="0" w:color="000000"/>
              <w:left w:val="single" w:sz="4" w:space="0" w:color="000000"/>
              <w:bottom w:val="single" w:sz="4" w:space="0" w:color="000000"/>
              <w:right w:val="single" w:sz="4" w:space="0" w:color="000000"/>
            </w:tcBorders>
            <w:hideMark/>
          </w:tcPr>
          <w:p w14:paraId="3256A74B" w14:textId="77777777" w:rsidR="000E6038" w:rsidRPr="003D4A39" w:rsidRDefault="000E6038" w:rsidP="000E6038">
            <w:pPr>
              <w:ind w:left="142"/>
              <w:rPr>
                <w:sz w:val="24"/>
                <w:szCs w:val="24"/>
              </w:rPr>
            </w:pPr>
            <w:r w:rsidRPr="003D4A39">
              <w:rPr>
                <w:sz w:val="24"/>
                <w:szCs w:val="24"/>
              </w:rPr>
              <w:t xml:space="preserve">Øvre mavesmerter; </w:t>
            </w:r>
          </w:p>
          <w:p w14:paraId="415CC4EF" w14:textId="77777777" w:rsidR="000E6038" w:rsidRPr="003D4A39" w:rsidRDefault="000E6038" w:rsidP="000E6038">
            <w:pPr>
              <w:ind w:left="142"/>
              <w:rPr>
                <w:sz w:val="24"/>
                <w:szCs w:val="24"/>
              </w:rPr>
            </w:pPr>
            <w:r w:rsidRPr="003D4A39">
              <w:rPr>
                <w:sz w:val="24"/>
                <w:szCs w:val="24"/>
              </w:rPr>
              <w:t>Tør mund</w:t>
            </w:r>
          </w:p>
        </w:tc>
      </w:tr>
      <w:tr w:rsidR="000E6038" w:rsidRPr="003D4A39" w14:paraId="0098FE19" w14:textId="77777777" w:rsidTr="000E6038">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3DD0E5FE" w14:textId="77777777" w:rsidR="000E6038" w:rsidRPr="003D4A39" w:rsidRDefault="000E6038" w:rsidP="000E6038">
            <w:pPr>
              <w:keepNext/>
              <w:ind w:left="142"/>
              <w:rPr>
                <w:sz w:val="24"/>
                <w:szCs w:val="24"/>
              </w:rPr>
            </w:pPr>
            <w:r w:rsidRPr="003D4A39">
              <w:rPr>
                <w:sz w:val="24"/>
                <w:szCs w:val="24"/>
              </w:rPr>
              <w:t>Hud og subkutane væv</w:t>
            </w:r>
          </w:p>
        </w:tc>
        <w:tc>
          <w:tcPr>
            <w:tcW w:w="1685" w:type="pct"/>
            <w:tcBorders>
              <w:top w:val="single" w:sz="4" w:space="0" w:color="000000"/>
              <w:left w:val="single" w:sz="4" w:space="0" w:color="000000"/>
              <w:bottom w:val="single" w:sz="4" w:space="0" w:color="000000"/>
              <w:right w:val="single" w:sz="4" w:space="0" w:color="000000"/>
            </w:tcBorders>
            <w:hideMark/>
          </w:tcPr>
          <w:p w14:paraId="12141DBD" w14:textId="77777777" w:rsidR="000E6038" w:rsidRPr="003D4A39" w:rsidRDefault="000E6038" w:rsidP="000E6038">
            <w:pPr>
              <w:keepNext/>
              <w:ind w:left="142"/>
              <w:rPr>
                <w:sz w:val="24"/>
                <w:szCs w:val="24"/>
              </w:rPr>
            </w:pPr>
            <w:r w:rsidRPr="003D4A39">
              <w:rPr>
                <w:sz w:val="24"/>
                <w:szCs w:val="24"/>
              </w:rPr>
              <w:t>Hånd- og fodsyndrom (G3/4: 24 %);</w:t>
            </w:r>
          </w:p>
          <w:p w14:paraId="28C594AF" w14:textId="77777777" w:rsidR="000E6038" w:rsidRPr="003D4A39" w:rsidRDefault="000E6038" w:rsidP="000E6038">
            <w:pPr>
              <w:keepNext/>
              <w:ind w:left="142"/>
              <w:rPr>
                <w:sz w:val="24"/>
                <w:szCs w:val="24"/>
              </w:rPr>
            </w:pPr>
            <w:r w:rsidRPr="003D4A39">
              <w:rPr>
                <w:sz w:val="24"/>
                <w:szCs w:val="24"/>
              </w:rPr>
              <w:t xml:space="preserve">Alopeci (G3/4: 6 %); </w:t>
            </w:r>
          </w:p>
          <w:p w14:paraId="3EE5B9D1" w14:textId="77777777" w:rsidR="000E6038" w:rsidRPr="003D4A39" w:rsidRDefault="000E6038" w:rsidP="000E6038">
            <w:pPr>
              <w:keepNext/>
              <w:ind w:left="142"/>
              <w:rPr>
                <w:sz w:val="24"/>
                <w:szCs w:val="24"/>
              </w:rPr>
            </w:pPr>
            <w:r w:rsidRPr="003D4A39">
              <w:rPr>
                <w:sz w:val="24"/>
                <w:szCs w:val="24"/>
              </w:rPr>
              <w:t>Neglesygdomme (G3/4: 2 %)</w:t>
            </w:r>
          </w:p>
        </w:tc>
        <w:tc>
          <w:tcPr>
            <w:tcW w:w="1630" w:type="pct"/>
            <w:tcBorders>
              <w:top w:val="single" w:sz="4" w:space="0" w:color="000000"/>
              <w:left w:val="single" w:sz="4" w:space="0" w:color="000000"/>
              <w:bottom w:val="single" w:sz="4" w:space="0" w:color="000000"/>
              <w:right w:val="single" w:sz="4" w:space="0" w:color="000000"/>
            </w:tcBorders>
            <w:hideMark/>
          </w:tcPr>
          <w:p w14:paraId="0E166244" w14:textId="77777777" w:rsidR="000E6038" w:rsidRPr="003D4A39" w:rsidRDefault="000E6038" w:rsidP="000E6038">
            <w:pPr>
              <w:keepNext/>
              <w:ind w:left="142"/>
              <w:rPr>
                <w:sz w:val="24"/>
                <w:szCs w:val="24"/>
              </w:rPr>
            </w:pPr>
            <w:r w:rsidRPr="003D4A39">
              <w:rPr>
                <w:sz w:val="24"/>
                <w:szCs w:val="24"/>
              </w:rPr>
              <w:t>Dermatitis;</w:t>
            </w:r>
          </w:p>
          <w:p w14:paraId="0BC48E4B" w14:textId="049FC3D7" w:rsidR="000E6038" w:rsidRPr="003D4A39" w:rsidRDefault="000E6038" w:rsidP="000E6038">
            <w:pPr>
              <w:keepNext/>
              <w:ind w:left="142"/>
              <w:rPr>
                <w:sz w:val="24"/>
                <w:szCs w:val="24"/>
              </w:rPr>
            </w:pPr>
            <w:r w:rsidRPr="003D4A39">
              <w:rPr>
                <w:sz w:val="24"/>
                <w:szCs w:val="24"/>
              </w:rPr>
              <w:t xml:space="preserve">Erytematøst udslæt (G3/4: &lt; 1 %); </w:t>
            </w:r>
          </w:p>
          <w:p w14:paraId="0E938095" w14:textId="77777777" w:rsidR="000E6038" w:rsidRPr="003D4A39" w:rsidRDefault="000E6038" w:rsidP="000E6038">
            <w:pPr>
              <w:keepNext/>
              <w:ind w:left="142"/>
              <w:rPr>
                <w:sz w:val="24"/>
                <w:szCs w:val="24"/>
              </w:rPr>
            </w:pPr>
            <w:r w:rsidRPr="003D4A39">
              <w:rPr>
                <w:sz w:val="24"/>
                <w:szCs w:val="24"/>
              </w:rPr>
              <w:t xml:space="preserve">Misfarvning af negle; </w:t>
            </w:r>
          </w:p>
          <w:p w14:paraId="4BB8837C" w14:textId="0028CEA6" w:rsidR="000E6038" w:rsidRPr="003D4A39" w:rsidRDefault="000E6038" w:rsidP="000E6038">
            <w:pPr>
              <w:keepNext/>
              <w:ind w:left="142"/>
              <w:rPr>
                <w:sz w:val="24"/>
                <w:szCs w:val="24"/>
              </w:rPr>
            </w:pPr>
            <w:r w:rsidRPr="003D4A39">
              <w:rPr>
                <w:sz w:val="24"/>
                <w:szCs w:val="24"/>
              </w:rPr>
              <w:t>Ony</w:t>
            </w:r>
            <w:r>
              <w:rPr>
                <w:sz w:val="24"/>
                <w:szCs w:val="24"/>
              </w:rPr>
              <w:t>k</w:t>
            </w:r>
            <w:r w:rsidRPr="003D4A39">
              <w:rPr>
                <w:sz w:val="24"/>
                <w:szCs w:val="24"/>
              </w:rPr>
              <w:t>olys</w:t>
            </w:r>
            <w:r>
              <w:rPr>
                <w:sz w:val="24"/>
                <w:szCs w:val="24"/>
              </w:rPr>
              <w:t>e</w:t>
            </w:r>
            <w:r w:rsidRPr="003D4A39">
              <w:rPr>
                <w:sz w:val="24"/>
                <w:szCs w:val="24"/>
              </w:rPr>
              <w:t xml:space="preserve"> (G3/4: 1 %)</w:t>
            </w:r>
          </w:p>
        </w:tc>
      </w:tr>
      <w:tr w:rsidR="000E6038" w:rsidRPr="003D4A39" w14:paraId="052CDD9C" w14:textId="77777777" w:rsidTr="000E6038">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0858B497" w14:textId="77777777" w:rsidR="000E6038" w:rsidRPr="003D4A39" w:rsidRDefault="000E6038" w:rsidP="000E6038">
            <w:pPr>
              <w:ind w:left="142"/>
              <w:rPr>
                <w:sz w:val="24"/>
                <w:szCs w:val="24"/>
              </w:rPr>
            </w:pPr>
            <w:r w:rsidRPr="003D4A39">
              <w:rPr>
                <w:sz w:val="24"/>
                <w:szCs w:val="24"/>
              </w:rPr>
              <w:t>Knogler, led, muskler og bindevæv</w:t>
            </w:r>
          </w:p>
        </w:tc>
        <w:tc>
          <w:tcPr>
            <w:tcW w:w="1685" w:type="pct"/>
            <w:tcBorders>
              <w:top w:val="single" w:sz="4" w:space="0" w:color="000000"/>
              <w:left w:val="single" w:sz="4" w:space="0" w:color="000000"/>
              <w:bottom w:val="single" w:sz="4" w:space="0" w:color="000000"/>
              <w:right w:val="single" w:sz="4" w:space="0" w:color="000000"/>
            </w:tcBorders>
            <w:hideMark/>
          </w:tcPr>
          <w:p w14:paraId="4E14BE7A" w14:textId="77777777" w:rsidR="000E6038" w:rsidRPr="003D4A39" w:rsidRDefault="000E6038" w:rsidP="000E6038">
            <w:pPr>
              <w:ind w:left="142"/>
              <w:rPr>
                <w:sz w:val="24"/>
                <w:szCs w:val="24"/>
              </w:rPr>
            </w:pPr>
            <w:r w:rsidRPr="003D4A39">
              <w:rPr>
                <w:sz w:val="24"/>
                <w:szCs w:val="24"/>
              </w:rPr>
              <w:t xml:space="preserve">Myalgi (G3/4: 2 %); </w:t>
            </w:r>
          </w:p>
          <w:p w14:paraId="0CDC2773" w14:textId="77777777" w:rsidR="000E6038" w:rsidRPr="003D4A39" w:rsidRDefault="000E6038" w:rsidP="000E6038">
            <w:pPr>
              <w:ind w:left="142"/>
              <w:rPr>
                <w:sz w:val="24"/>
                <w:szCs w:val="24"/>
              </w:rPr>
            </w:pPr>
            <w:r w:rsidRPr="003D4A39">
              <w:rPr>
                <w:sz w:val="24"/>
                <w:szCs w:val="24"/>
              </w:rPr>
              <w:t>Artralgi (G3/4: 1 %)</w:t>
            </w:r>
          </w:p>
        </w:tc>
        <w:tc>
          <w:tcPr>
            <w:tcW w:w="1630" w:type="pct"/>
            <w:tcBorders>
              <w:top w:val="single" w:sz="4" w:space="0" w:color="000000"/>
              <w:left w:val="single" w:sz="4" w:space="0" w:color="000000"/>
              <w:bottom w:val="single" w:sz="4" w:space="0" w:color="000000"/>
              <w:right w:val="single" w:sz="4" w:space="0" w:color="000000"/>
            </w:tcBorders>
            <w:hideMark/>
          </w:tcPr>
          <w:p w14:paraId="74E22FC1" w14:textId="77777777" w:rsidR="000E6038" w:rsidRPr="003D4A39" w:rsidRDefault="000E6038" w:rsidP="000E6038">
            <w:pPr>
              <w:ind w:left="142"/>
              <w:rPr>
                <w:sz w:val="24"/>
                <w:szCs w:val="24"/>
              </w:rPr>
            </w:pPr>
            <w:r w:rsidRPr="003D4A39">
              <w:rPr>
                <w:sz w:val="24"/>
                <w:szCs w:val="24"/>
              </w:rPr>
              <w:t>Smerter i ekstremiteterne (G3/4: &lt; 1 %);</w:t>
            </w:r>
          </w:p>
          <w:p w14:paraId="244EFC2C" w14:textId="77777777" w:rsidR="000E6038" w:rsidRPr="003D4A39" w:rsidRDefault="000E6038" w:rsidP="000E6038">
            <w:pPr>
              <w:ind w:left="142"/>
              <w:rPr>
                <w:sz w:val="24"/>
                <w:szCs w:val="24"/>
              </w:rPr>
            </w:pPr>
            <w:r w:rsidRPr="003D4A39">
              <w:rPr>
                <w:sz w:val="24"/>
                <w:szCs w:val="24"/>
              </w:rPr>
              <w:t>Rygsmerter (G3/4: 1 %);</w:t>
            </w:r>
          </w:p>
        </w:tc>
      </w:tr>
      <w:tr w:rsidR="000E6038" w:rsidRPr="003D4A39" w14:paraId="4920A7C8" w14:textId="77777777" w:rsidTr="000E6038">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253E50F0" w14:textId="77777777" w:rsidR="000E6038" w:rsidRPr="003D4A39" w:rsidRDefault="000E6038" w:rsidP="000E6038">
            <w:pPr>
              <w:ind w:left="142"/>
              <w:rPr>
                <w:sz w:val="24"/>
                <w:szCs w:val="24"/>
              </w:rPr>
            </w:pPr>
            <w:r w:rsidRPr="003D4A39">
              <w:rPr>
                <w:sz w:val="24"/>
                <w:szCs w:val="24"/>
              </w:rPr>
              <w:t>Almene symptomer og reaktioner på administrationsstedet</w:t>
            </w:r>
          </w:p>
        </w:tc>
        <w:tc>
          <w:tcPr>
            <w:tcW w:w="1685" w:type="pct"/>
            <w:tcBorders>
              <w:top w:val="single" w:sz="4" w:space="0" w:color="000000"/>
              <w:left w:val="single" w:sz="4" w:space="0" w:color="000000"/>
              <w:bottom w:val="single" w:sz="4" w:space="0" w:color="000000"/>
              <w:right w:val="single" w:sz="4" w:space="0" w:color="000000"/>
            </w:tcBorders>
            <w:hideMark/>
          </w:tcPr>
          <w:p w14:paraId="62B3C18E" w14:textId="77777777" w:rsidR="000E6038" w:rsidRPr="003D4A39" w:rsidRDefault="000E6038" w:rsidP="000E6038">
            <w:pPr>
              <w:ind w:left="142"/>
              <w:rPr>
                <w:sz w:val="24"/>
                <w:szCs w:val="24"/>
              </w:rPr>
            </w:pPr>
            <w:r w:rsidRPr="003D4A39">
              <w:rPr>
                <w:sz w:val="24"/>
                <w:szCs w:val="24"/>
              </w:rPr>
              <w:t xml:space="preserve">Asteni (G3/4: 3 %); </w:t>
            </w:r>
          </w:p>
          <w:p w14:paraId="25155189" w14:textId="388C6AFB" w:rsidR="000E6038" w:rsidRPr="003D4A39" w:rsidRDefault="000E6038" w:rsidP="000E6038">
            <w:pPr>
              <w:ind w:left="142"/>
              <w:rPr>
                <w:sz w:val="24"/>
                <w:szCs w:val="24"/>
              </w:rPr>
            </w:pPr>
            <w:r w:rsidRPr="003D4A39">
              <w:rPr>
                <w:sz w:val="24"/>
                <w:szCs w:val="24"/>
              </w:rPr>
              <w:t>Pyre</w:t>
            </w:r>
            <w:r>
              <w:rPr>
                <w:sz w:val="24"/>
                <w:szCs w:val="24"/>
              </w:rPr>
              <w:t>ks</w:t>
            </w:r>
            <w:r w:rsidRPr="003D4A39">
              <w:rPr>
                <w:sz w:val="24"/>
                <w:szCs w:val="24"/>
              </w:rPr>
              <w:t>i (G3/4: 1 %);</w:t>
            </w:r>
          </w:p>
          <w:p w14:paraId="3DE5AC4B" w14:textId="77777777" w:rsidR="000E6038" w:rsidRPr="003D4A39" w:rsidRDefault="000E6038" w:rsidP="000E6038">
            <w:pPr>
              <w:ind w:left="142"/>
              <w:rPr>
                <w:sz w:val="24"/>
                <w:szCs w:val="24"/>
              </w:rPr>
            </w:pPr>
            <w:r w:rsidRPr="003D4A39">
              <w:rPr>
                <w:sz w:val="24"/>
                <w:szCs w:val="24"/>
              </w:rPr>
              <w:t xml:space="preserve">Træthed/svaghed (G3/4: 5 %); </w:t>
            </w:r>
          </w:p>
          <w:p w14:paraId="2F0F8394" w14:textId="77777777" w:rsidR="000E6038" w:rsidRPr="003D4A39" w:rsidRDefault="000E6038" w:rsidP="000E6038">
            <w:pPr>
              <w:ind w:left="142"/>
              <w:rPr>
                <w:sz w:val="24"/>
                <w:szCs w:val="24"/>
              </w:rPr>
            </w:pPr>
            <w:r w:rsidRPr="003D4A39">
              <w:rPr>
                <w:sz w:val="24"/>
                <w:szCs w:val="24"/>
              </w:rPr>
              <w:t>Perifert ødem (G3/4: 1 %)</w:t>
            </w:r>
          </w:p>
        </w:tc>
        <w:tc>
          <w:tcPr>
            <w:tcW w:w="1630" w:type="pct"/>
            <w:tcBorders>
              <w:top w:val="single" w:sz="4" w:space="0" w:color="000000"/>
              <w:left w:val="single" w:sz="4" w:space="0" w:color="000000"/>
              <w:bottom w:val="single" w:sz="4" w:space="0" w:color="000000"/>
              <w:right w:val="single" w:sz="4" w:space="0" w:color="000000"/>
            </w:tcBorders>
            <w:hideMark/>
          </w:tcPr>
          <w:p w14:paraId="01377F70" w14:textId="77777777" w:rsidR="000E6038" w:rsidRPr="003D4A39" w:rsidRDefault="000E6038" w:rsidP="000E6038">
            <w:pPr>
              <w:ind w:left="142"/>
              <w:rPr>
                <w:sz w:val="24"/>
                <w:szCs w:val="24"/>
              </w:rPr>
            </w:pPr>
            <w:r w:rsidRPr="003D4A39">
              <w:rPr>
                <w:sz w:val="24"/>
                <w:szCs w:val="24"/>
              </w:rPr>
              <w:t>Letargi; smerter</w:t>
            </w:r>
          </w:p>
        </w:tc>
      </w:tr>
      <w:tr w:rsidR="000E6038" w:rsidRPr="003D4A39" w14:paraId="5C8A2426" w14:textId="77777777" w:rsidTr="000E6038">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04D17110" w14:textId="77777777" w:rsidR="000E6038" w:rsidRPr="003D4A39" w:rsidRDefault="000E6038" w:rsidP="000E6038">
            <w:pPr>
              <w:ind w:left="142"/>
              <w:rPr>
                <w:sz w:val="24"/>
                <w:szCs w:val="24"/>
              </w:rPr>
            </w:pPr>
            <w:r w:rsidRPr="003D4A39">
              <w:rPr>
                <w:sz w:val="24"/>
                <w:szCs w:val="24"/>
              </w:rPr>
              <w:t>Undersøgelser</w:t>
            </w:r>
          </w:p>
        </w:tc>
        <w:tc>
          <w:tcPr>
            <w:tcW w:w="1685" w:type="pct"/>
            <w:tcBorders>
              <w:top w:val="single" w:sz="4" w:space="0" w:color="000000"/>
              <w:left w:val="single" w:sz="4" w:space="0" w:color="000000"/>
              <w:bottom w:val="single" w:sz="4" w:space="0" w:color="000000"/>
              <w:right w:val="single" w:sz="4" w:space="0" w:color="000000"/>
            </w:tcBorders>
          </w:tcPr>
          <w:p w14:paraId="71EB23BD" w14:textId="77777777" w:rsidR="000E6038" w:rsidRPr="003D4A39" w:rsidRDefault="000E6038" w:rsidP="000E6038">
            <w:pPr>
              <w:ind w:left="142"/>
              <w:rPr>
                <w:sz w:val="24"/>
                <w:szCs w:val="24"/>
              </w:rPr>
            </w:pPr>
          </w:p>
        </w:tc>
        <w:tc>
          <w:tcPr>
            <w:tcW w:w="1630" w:type="pct"/>
            <w:tcBorders>
              <w:top w:val="single" w:sz="4" w:space="0" w:color="000000"/>
              <w:left w:val="single" w:sz="4" w:space="0" w:color="000000"/>
              <w:bottom w:val="single" w:sz="4" w:space="0" w:color="000000"/>
              <w:right w:val="single" w:sz="4" w:space="0" w:color="000000"/>
            </w:tcBorders>
            <w:hideMark/>
          </w:tcPr>
          <w:p w14:paraId="64C6FAF3" w14:textId="77777777" w:rsidR="000E6038" w:rsidRPr="003D4A39" w:rsidRDefault="000E6038" w:rsidP="000E6038">
            <w:pPr>
              <w:ind w:left="142"/>
              <w:rPr>
                <w:sz w:val="24"/>
                <w:szCs w:val="24"/>
              </w:rPr>
            </w:pPr>
            <w:r w:rsidRPr="003D4A39">
              <w:rPr>
                <w:sz w:val="24"/>
                <w:szCs w:val="24"/>
              </w:rPr>
              <w:t>Vægttab;</w:t>
            </w:r>
          </w:p>
          <w:p w14:paraId="40962EB1" w14:textId="77777777" w:rsidR="000E6038" w:rsidRPr="003D4A39" w:rsidRDefault="000E6038" w:rsidP="000E6038">
            <w:pPr>
              <w:ind w:left="142"/>
              <w:rPr>
                <w:sz w:val="24"/>
                <w:szCs w:val="24"/>
              </w:rPr>
            </w:pPr>
            <w:r w:rsidRPr="003D4A39">
              <w:rPr>
                <w:sz w:val="24"/>
                <w:szCs w:val="24"/>
              </w:rPr>
              <w:t>G3/4 forhøjet bilirubin i blodet (9 %)</w:t>
            </w:r>
          </w:p>
        </w:tc>
      </w:tr>
    </w:tbl>
    <w:p w14:paraId="50A23D1B" w14:textId="77777777" w:rsidR="006B34A1" w:rsidRPr="008D45EF" w:rsidRDefault="006B34A1" w:rsidP="0081699D">
      <w:pPr>
        <w:ind w:left="851"/>
        <w:rPr>
          <w:sz w:val="24"/>
          <w:szCs w:val="24"/>
        </w:rPr>
      </w:pPr>
    </w:p>
    <w:p w14:paraId="1ECAEF8B" w14:textId="6A5476FE" w:rsidR="000E6038" w:rsidRPr="003D4A39" w:rsidRDefault="000E6038" w:rsidP="000E6038">
      <w:pPr>
        <w:keepNext/>
        <w:ind w:left="142"/>
        <w:rPr>
          <w:sz w:val="24"/>
          <w:szCs w:val="24"/>
          <w:u w:val="single"/>
        </w:rPr>
      </w:pPr>
      <w:r w:rsidRPr="003D4A39">
        <w:rPr>
          <w:sz w:val="24"/>
          <w:szCs w:val="24"/>
          <w:u w:val="single"/>
        </w:rPr>
        <w:t>Tabel over bivirkninger ved behandling af metastatisk kastrationsresistent prostatakræft med docetaxel 75 mg/m² i kombination med prednison eller prednisolon</w:t>
      </w:r>
    </w:p>
    <w:p w14:paraId="0BFC849E" w14:textId="77777777" w:rsidR="006B34A1" w:rsidRPr="008D45EF" w:rsidRDefault="006B34A1" w:rsidP="0081699D">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44"/>
        <w:gridCol w:w="3245"/>
        <w:gridCol w:w="3139"/>
      </w:tblGrid>
      <w:tr w:rsidR="006B34A1" w:rsidRPr="008D45EF" w14:paraId="4E4AF7FE" w14:textId="77777777" w:rsidTr="002A7D83">
        <w:trPr>
          <w:trHeight w:val="20"/>
          <w:tblHeader/>
        </w:trPr>
        <w:tc>
          <w:tcPr>
            <w:tcW w:w="1685" w:type="pct"/>
            <w:tcBorders>
              <w:top w:val="single" w:sz="4" w:space="0" w:color="auto"/>
              <w:left w:val="single" w:sz="4" w:space="0" w:color="auto"/>
              <w:bottom w:val="single" w:sz="4" w:space="0" w:color="auto"/>
              <w:right w:val="single" w:sz="4" w:space="0" w:color="auto"/>
            </w:tcBorders>
            <w:hideMark/>
          </w:tcPr>
          <w:p w14:paraId="71785C5D" w14:textId="77777777" w:rsidR="006B34A1" w:rsidRPr="008D45EF" w:rsidRDefault="006B34A1" w:rsidP="0081699D">
            <w:pPr>
              <w:ind w:left="142"/>
              <w:rPr>
                <w:b/>
                <w:bCs/>
                <w:sz w:val="24"/>
                <w:szCs w:val="24"/>
              </w:rPr>
            </w:pPr>
            <w:r w:rsidRPr="008D45EF">
              <w:rPr>
                <w:b/>
                <w:bCs/>
                <w:sz w:val="24"/>
                <w:szCs w:val="24"/>
              </w:rPr>
              <w:t>Systemorganklasser i henhold til MedDRA-databasen</w:t>
            </w:r>
          </w:p>
        </w:tc>
        <w:tc>
          <w:tcPr>
            <w:tcW w:w="1685" w:type="pct"/>
            <w:tcBorders>
              <w:top w:val="single" w:sz="4" w:space="0" w:color="auto"/>
              <w:left w:val="single" w:sz="4" w:space="0" w:color="auto"/>
              <w:bottom w:val="single" w:sz="4" w:space="0" w:color="auto"/>
              <w:right w:val="single" w:sz="4" w:space="0" w:color="auto"/>
            </w:tcBorders>
            <w:hideMark/>
          </w:tcPr>
          <w:p w14:paraId="317C5A1E" w14:textId="77777777" w:rsidR="006B34A1" w:rsidRPr="008D45EF" w:rsidRDefault="006B34A1" w:rsidP="0081699D">
            <w:pPr>
              <w:ind w:left="142"/>
              <w:rPr>
                <w:b/>
                <w:bCs/>
                <w:sz w:val="24"/>
                <w:szCs w:val="24"/>
              </w:rPr>
            </w:pPr>
            <w:r w:rsidRPr="008D45EF">
              <w:rPr>
                <w:b/>
                <w:bCs/>
                <w:sz w:val="24"/>
                <w:szCs w:val="24"/>
              </w:rPr>
              <w:t>Meget almindelige bivirkninger</w:t>
            </w:r>
          </w:p>
        </w:tc>
        <w:tc>
          <w:tcPr>
            <w:tcW w:w="1630" w:type="pct"/>
            <w:tcBorders>
              <w:top w:val="single" w:sz="4" w:space="0" w:color="auto"/>
              <w:left w:val="single" w:sz="4" w:space="0" w:color="auto"/>
              <w:bottom w:val="single" w:sz="4" w:space="0" w:color="auto"/>
              <w:right w:val="single" w:sz="4" w:space="0" w:color="auto"/>
            </w:tcBorders>
            <w:hideMark/>
          </w:tcPr>
          <w:p w14:paraId="0A99EDF8" w14:textId="77777777" w:rsidR="006B34A1" w:rsidRPr="008D45EF" w:rsidRDefault="006B34A1" w:rsidP="0081699D">
            <w:pPr>
              <w:ind w:left="142"/>
              <w:rPr>
                <w:b/>
                <w:bCs/>
                <w:sz w:val="24"/>
                <w:szCs w:val="24"/>
              </w:rPr>
            </w:pPr>
            <w:r w:rsidRPr="008D45EF">
              <w:rPr>
                <w:b/>
                <w:bCs/>
                <w:sz w:val="24"/>
                <w:szCs w:val="24"/>
              </w:rPr>
              <w:t>Almindelige bivirkninger</w:t>
            </w:r>
          </w:p>
        </w:tc>
      </w:tr>
      <w:tr w:rsidR="006B34A1" w:rsidRPr="008D45EF" w14:paraId="7DEC55E7" w14:textId="77777777" w:rsidTr="002A7D83">
        <w:trPr>
          <w:trHeight w:val="20"/>
        </w:trPr>
        <w:tc>
          <w:tcPr>
            <w:tcW w:w="1685" w:type="pct"/>
            <w:tcBorders>
              <w:top w:val="single" w:sz="4" w:space="0" w:color="auto"/>
              <w:left w:val="single" w:sz="4" w:space="0" w:color="000000"/>
              <w:bottom w:val="single" w:sz="4" w:space="0" w:color="000000"/>
              <w:right w:val="single" w:sz="4" w:space="0" w:color="000000"/>
            </w:tcBorders>
            <w:hideMark/>
          </w:tcPr>
          <w:p w14:paraId="2D18AE41" w14:textId="77777777" w:rsidR="006B34A1" w:rsidRPr="008D45EF" w:rsidRDefault="006B34A1" w:rsidP="0081699D">
            <w:pPr>
              <w:ind w:left="142"/>
              <w:rPr>
                <w:sz w:val="24"/>
                <w:szCs w:val="24"/>
              </w:rPr>
            </w:pPr>
            <w:r w:rsidRPr="008D45EF">
              <w:rPr>
                <w:sz w:val="24"/>
                <w:szCs w:val="24"/>
              </w:rPr>
              <w:t>Infektioner og parasitære sygdomme</w:t>
            </w:r>
          </w:p>
        </w:tc>
        <w:tc>
          <w:tcPr>
            <w:tcW w:w="1685" w:type="pct"/>
            <w:tcBorders>
              <w:top w:val="single" w:sz="4" w:space="0" w:color="auto"/>
              <w:left w:val="single" w:sz="4" w:space="0" w:color="000000"/>
              <w:bottom w:val="single" w:sz="4" w:space="0" w:color="000000"/>
              <w:right w:val="single" w:sz="4" w:space="0" w:color="000000"/>
            </w:tcBorders>
            <w:hideMark/>
          </w:tcPr>
          <w:p w14:paraId="26E1CB6E" w14:textId="77777777" w:rsidR="006B34A1" w:rsidRPr="008D45EF" w:rsidRDefault="006B34A1" w:rsidP="0081699D">
            <w:pPr>
              <w:ind w:left="142"/>
              <w:rPr>
                <w:sz w:val="24"/>
                <w:szCs w:val="24"/>
              </w:rPr>
            </w:pPr>
            <w:r w:rsidRPr="008D45EF">
              <w:rPr>
                <w:sz w:val="24"/>
                <w:szCs w:val="24"/>
              </w:rPr>
              <w:t>Infektioner (G3/4: 3,3 %)</w:t>
            </w:r>
          </w:p>
        </w:tc>
        <w:tc>
          <w:tcPr>
            <w:tcW w:w="1630" w:type="pct"/>
            <w:tcBorders>
              <w:top w:val="single" w:sz="4" w:space="0" w:color="auto"/>
              <w:left w:val="single" w:sz="4" w:space="0" w:color="000000"/>
              <w:bottom w:val="single" w:sz="4" w:space="0" w:color="000000"/>
              <w:right w:val="single" w:sz="4" w:space="0" w:color="000000"/>
            </w:tcBorders>
          </w:tcPr>
          <w:p w14:paraId="3F46104E" w14:textId="77777777" w:rsidR="006B34A1" w:rsidRPr="008D45EF" w:rsidRDefault="006B34A1" w:rsidP="0081699D">
            <w:pPr>
              <w:ind w:left="142"/>
              <w:rPr>
                <w:sz w:val="24"/>
                <w:szCs w:val="24"/>
              </w:rPr>
            </w:pPr>
          </w:p>
        </w:tc>
      </w:tr>
      <w:tr w:rsidR="006B34A1" w:rsidRPr="008D45EF" w14:paraId="0DC85118" w14:textId="77777777" w:rsidTr="002A7D83">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6EA86963" w14:textId="77777777" w:rsidR="006B34A1" w:rsidRPr="008D45EF" w:rsidRDefault="006B34A1" w:rsidP="0081699D">
            <w:pPr>
              <w:ind w:left="142"/>
              <w:rPr>
                <w:sz w:val="24"/>
                <w:szCs w:val="24"/>
              </w:rPr>
            </w:pPr>
            <w:r w:rsidRPr="008D45EF">
              <w:rPr>
                <w:sz w:val="24"/>
                <w:szCs w:val="24"/>
              </w:rPr>
              <w:t>Blod og lymfesystem</w:t>
            </w:r>
          </w:p>
        </w:tc>
        <w:tc>
          <w:tcPr>
            <w:tcW w:w="1685" w:type="pct"/>
            <w:tcBorders>
              <w:top w:val="single" w:sz="4" w:space="0" w:color="000000"/>
              <w:left w:val="single" w:sz="4" w:space="0" w:color="000000"/>
              <w:bottom w:val="single" w:sz="4" w:space="0" w:color="000000"/>
              <w:right w:val="single" w:sz="4" w:space="0" w:color="000000"/>
            </w:tcBorders>
            <w:hideMark/>
          </w:tcPr>
          <w:p w14:paraId="4DDFFF83" w14:textId="77777777" w:rsidR="006B34A1" w:rsidRPr="008D45EF" w:rsidRDefault="006B34A1" w:rsidP="0081699D">
            <w:pPr>
              <w:ind w:left="142"/>
              <w:rPr>
                <w:sz w:val="24"/>
                <w:szCs w:val="24"/>
              </w:rPr>
            </w:pPr>
            <w:r w:rsidRPr="008D45EF">
              <w:rPr>
                <w:sz w:val="24"/>
                <w:szCs w:val="24"/>
              </w:rPr>
              <w:t xml:space="preserve">Neutropeni (G3/4: 32 %); </w:t>
            </w:r>
          </w:p>
          <w:p w14:paraId="255A2ADE" w14:textId="77777777" w:rsidR="006B34A1" w:rsidRPr="008D45EF" w:rsidRDefault="006B34A1" w:rsidP="0081699D">
            <w:pPr>
              <w:ind w:left="142"/>
              <w:rPr>
                <w:sz w:val="24"/>
                <w:szCs w:val="24"/>
              </w:rPr>
            </w:pPr>
            <w:r w:rsidRPr="008D45EF">
              <w:rPr>
                <w:sz w:val="24"/>
                <w:szCs w:val="24"/>
              </w:rPr>
              <w:t>Anæmi (G3/4: 4,9 %)</w:t>
            </w:r>
          </w:p>
        </w:tc>
        <w:tc>
          <w:tcPr>
            <w:tcW w:w="1630" w:type="pct"/>
            <w:tcBorders>
              <w:top w:val="single" w:sz="4" w:space="0" w:color="000000"/>
              <w:left w:val="single" w:sz="4" w:space="0" w:color="000000"/>
              <w:bottom w:val="single" w:sz="4" w:space="0" w:color="000000"/>
              <w:right w:val="single" w:sz="4" w:space="0" w:color="000000"/>
            </w:tcBorders>
            <w:hideMark/>
          </w:tcPr>
          <w:p w14:paraId="0F2B5E2B" w14:textId="77777777" w:rsidR="006B34A1" w:rsidRPr="008D45EF" w:rsidRDefault="006B34A1" w:rsidP="0081699D">
            <w:pPr>
              <w:ind w:left="142"/>
              <w:rPr>
                <w:sz w:val="24"/>
                <w:szCs w:val="24"/>
              </w:rPr>
            </w:pPr>
            <w:r w:rsidRPr="008D45EF">
              <w:rPr>
                <w:sz w:val="24"/>
                <w:szCs w:val="24"/>
              </w:rPr>
              <w:t>Trombocytopeni; (G3/4: 0,6 %); Febril neutropeni</w:t>
            </w:r>
          </w:p>
        </w:tc>
      </w:tr>
      <w:tr w:rsidR="006B34A1" w:rsidRPr="008D45EF" w14:paraId="50F3FAA1" w14:textId="77777777" w:rsidTr="002A7D83">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58DBC568" w14:textId="77777777" w:rsidR="006B34A1" w:rsidRPr="008D45EF" w:rsidRDefault="006B34A1" w:rsidP="0081699D">
            <w:pPr>
              <w:ind w:left="142"/>
              <w:rPr>
                <w:sz w:val="24"/>
                <w:szCs w:val="24"/>
              </w:rPr>
            </w:pPr>
            <w:r w:rsidRPr="008D45EF">
              <w:rPr>
                <w:sz w:val="24"/>
                <w:szCs w:val="24"/>
              </w:rPr>
              <w:t>Immunsystemet</w:t>
            </w:r>
          </w:p>
        </w:tc>
        <w:tc>
          <w:tcPr>
            <w:tcW w:w="1685" w:type="pct"/>
            <w:tcBorders>
              <w:top w:val="single" w:sz="4" w:space="0" w:color="000000"/>
              <w:left w:val="single" w:sz="4" w:space="0" w:color="000000"/>
              <w:bottom w:val="single" w:sz="4" w:space="0" w:color="000000"/>
              <w:right w:val="single" w:sz="4" w:space="0" w:color="000000"/>
            </w:tcBorders>
          </w:tcPr>
          <w:p w14:paraId="02310FC3" w14:textId="77777777" w:rsidR="006B34A1" w:rsidRPr="008D45EF" w:rsidRDefault="006B34A1" w:rsidP="0081699D">
            <w:pPr>
              <w:ind w:left="142"/>
              <w:rPr>
                <w:sz w:val="24"/>
                <w:szCs w:val="24"/>
              </w:rPr>
            </w:pPr>
          </w:p>
        </w:tc>
        <w:tc>
          <w:tcPr>
            <w:tcW w:w="1630" w:type="pct"/>
            <w:tcBorders>
              <w:top w:val="single" w:sz="4" w:space="0" w:color="000000"/>
              <w:left w:val="single" w:sz="4" w:space="0" w:color="000000"/>
              <w:bottom w:val="single" w:sz="4" w:space="0" w:color="000000"/>
              <w:right w:val="single" w:sz="4" w:space="0" w:color="000000"/>
            </w:tcBorders>
            <w:hideMark/>
          </w:tcPr>
          <w:p w14:paraId="2F364B50" w14:textId="77777777" w:rsidR="006B34A1" w:rsidRPr="008D45EF" w:rsidRDefault="006B34A1" w:rsidP="0081699D">
            <w:pPr>
              <w:ind w:left="142"/>
              <w:rPr>
                <w:sz w:val="24"/>
                <w:szCs w:val="24"/>
              </w:rPr>
            </w:pPr>
            <w:r w:rsidRPr="008D45EF">
              <w:rPr>
                <w:sz w:val="24"/>
                <w:szCs w:val="24"/>
              </w:rPr>
              <w:t>Overfølsomhed (G3/4: 0,6 %)</w:t>
            </w:r>
          </w:p>
        </w:tc>
      </w:tr>
      <w:tr w:rsidR="006B34A1" w:rsidRPr="008D45EF" w14:paraId="4C9C1539" w14:textId="77777777" w:rsidTr="002A7D83">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3AE2D6AB" w14:textId="77777777" w:rsidR="006B34A1" w:rsidRPr="008D45EF" w:rsidRDefault="006B34A1" w:rsidP="0081699D">
            <w:pPr>
              <w:ind w:left="142"/>
              <w:rPr>
                <w:sz w:val="24"/>
                <w:szCs w:val="24"/>
              </w:rPr>
            </w:pPr>
            <w:r w:rsidRPr="008D45EF">
              <w:rPr>
                <w:sz w:val="24"/>
                <w:szCs w:val="24"/>
              </w:rPr>
              <w:t>Metabolisme og ernæring</w:t>
            </w:r>
          </w:p>
        </w:tc>
        <w:tc>
          <w:tcPr>
            <w:tcW w:w="1685" w:type="pct"/>
            <w:tcBorders>
              <w:top w:val="single" w:sz="4" w:space="0" w:color="000000"/>
              <w:left w:val="single" w:sz="4" w:space="0" w:color="000000"/>
              <w:bottom w:val="single" w:sz="4" w:space="0" w:color="000000"/>
              <w:right w:val="single" w:sz="4" w:space="0" w:color="000000"/>
            </w:tcBorders>
            <w:hideMark/>
          </w:tcPr>
          <w:p w14:paraId="2B523258" w14:textId="77777777" w:rsidR="006B34A1" w:rsidRPr="008D45EF" w:rsidRDefault="006B34A1" w:rsidP="0081699D">
            <w:pPr>
              <w:ind w:left="142"/>
              <w:rPr>
                <w:sz w:val="24"/>
                <w:szCs w:val="24"/>
              </w:rPr>
            </w:pPr>
            <w:r w:rsidRPr="008D45EF">
              <w:rPr>
                <w:sz w:val="24"/>
                <w:szCs w:val="24"/>
              </w:rPr>
              <w:t>Anoreksi (G3/4: 0.6 %)</w:t>
            </w:r>
          </w:p>
        </w:tc>
        <w:tc>
          <w:tcPr>
            <w:tcW w:w="1630" w:type="pct"/>
            <w:tcBorders>
              <w:top w:val="single" w:sz="4" w:space="0" w:color="000000"/>
              <w:left w:val="single" w:sz="4" w:space="0" w:color="000000"/>
              <w:bottom w:val="single" w:sz="4" w:space="0" w:color="000000"/>
              <w:right w:val="single" w:sz="4" w:space="0" w:color="000000"/>
            </w:tcBorders>
          </w:tcPr>
          <w:p w14:paraId="0B6213BE" w14:textId="77777777" w:rsidR="006B34A1" w:rsidRPr="008D45EF" w:rsidRDefault="006B34A1" w:rsidP="0081699D">
            <w:pPr>
              <w:ind w:left="142"/>
              <w:rPr>
                <w:sz w:val="24"/>
                <w:szCs w:val="24"/>
              </w:rPr>
            </w:pPr>
          </w:p>
        </w:tc>
      </w:tr>
      <w:tr w:rsidR="006B34A1" w:rsidRPr="008D45EF" w14:paraId="2A5C055B" w14:textId="77777777" w:rsidTr="002A7D83">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1AE70433" w14:textId="77777777" w:rsidR="006B34A1" w:rsidRPr="008D45EF" w:rsidRDefault="006B34A1" w:rsidP="0081699D">
            <w:pPr>
              <w:ind w:left="142"/>
              <w:rPr>
                <w:sz w:val="24"/>
                <w:szCs w:val="24"/>
              </w:rPr>
            </w:pPr>
            <w:r w:rsidRPr="008D45EF">
              <w:rPr>
                <w:sz w:val="24"/>
                <w:szCs w:val="24"/>
              </w:rPr>
              <w:t>Nervesystemet</w:t>
            </w:r>
          </w:p>
        </w:tc>
        <w:tc>
          <w:tcPr>
            <w:tcW w:w="1685" w:type="pct"/>
            <w:tcBorders>
              <w:top w:val="single" w:sz="4" w:space="0" w:color="000000"/>
              <w:left w:val="single" w:sz="4" w:space="0" w:color="000000"/>
              <w:bottom w:val="single" w:sz="4" w:space="0" w:color="000000"/>
              <w:right w:val="single" w:sz="4" w:space="0" w:color="000000"/>
            </w:tcBorders>
            <w:hideMark/>
          </w:tcPr>
          <w:p w14:paraId="2B98DFDC" w14:textId="77777777" w:rsidR="006B34A1" w:rsidRPr="008D45EF" w:rsidRDefault="006B34A1" w:rsidP="0081699D">
            <w:pPr>
              <w:ind w:left="142"/>
              <w:rPr>
                <w:sz w:val="24"/>
                <w:szCs w:val="24"/>
              </w:rPr>
            </w:pPr>
            <w:r w:rsidRPr="008D45EF">
              <w:rPr>
                <w:sz w:val="24"/>
                <w:szCs w:val="24"/>
              </w:rPr>
              <w:t>Perifer sensorisk neuropati (G3/4: 1,2 %);</w:t>
            </w:r>
          </w:p>
          <w:p w14:paraId="22D0D1C4" w14:textId="77777777" w:rsidR="006B34A1" w:rsidRPr="008D45EF" w:rsidRDefault="006B34A1" w:rsidP="0081699D">
            <w:pPr>
              <w:ind w:left="142"/>
              <w:rPr>
                <w:sz w:val="24"/>
                <w:szCs w:val="24"/>
              </w:rPr>
            </w:pPr>
            <w:r w:rsidRPr="008D45EF">
              <w:rPr>
                <w:sz w:val="24"/>
                <w:szCs w:val="24"/>
              </w:rPr>
              <w:t>Dysgeusi (G3/4: 0 %)</w:t>
            </w:r>
          </w:p>
        </w:tc>
        <w:tc>
          <w:tcPr>
            <w:tcW w:w="1630" w:type="pct"/>
            <w:tcBorders>
              <w:top w:val="single" w:sz="4" w:space="0" w:color="000000"/>
              <w:left w:val="single" w:sz="4" w:space="0" w:color="000000"/>
              <w:bottom w:val="single" w:sz="4" w:space="0" w:color="000000"/>
              <w:right w:val="single" w:sz="4" w:space="0" w:color="000000"/>
            </w:tcBorders>
            <w:hideMark/>
          </w:tcPr>
          <w:p w14:paraId="400C13AF" w14:textId="77777777" w:rsidR="006B34A1" w:rsidRPr="008D45EF" w:rsidRDefault="006B34A1" w:rsidP="0081699D">
            <w:pPr>
              <w:ind w:left="142"/>
              <w:rPr>
                <w:sz w:val="24"/>
                <w:szCs w:val="24"/>
              </w:rPr>
            </w:pPr>
            <w:r w:rsidRPr="008D45EF">
              <w:rPr>
                <w:sz w:val="24"/>
                <w:szCs w:val="24"/>
              </w:rPr>
              <w:t>Perifer motorisk neuropati (G3/4: 0 %)</w:t>
            </w:r>
          </w:p>
        </w:tc>
      </w:tr>
      <w:tr w:rsidR="006B34A1" w:rsidRPr="008D45EF" w14:paraId="7127391C" w14:textId="77777777" w:rsidTr="002A7D83">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2746334D" w14:textId="77777777" w:rsidR="006B34A1" w:rsidRPr="008D45EF" w:rsidRDefault="006B34A1" w:rsidP="0081699D">
            <w:pPr>
              <w:ind w:left="142"/>
              <w:rPr>
                <w:sz w:val="24"/>
                <w:szCs w:val="24"/>
              </w:rPr>
            </w:pPr>
            <w:r w:rsidRPr="008D45EF">
              <w:rPr>
                <w:sz w:val="24"/>
                <w:szCs w:val="24"/>
              </w:rPr>
              <w:t>Øjne</w:t>
            </w:r>
          </w:p>
        </w:tc>
        <w:tc>
          <w:tcPr>
            <w:tcW w:w="1685" w:type="pct"/>
            <w:tcBorders>
              <w:top w:val="single" w:sz="4" w:space="0" w:color="000000"/>
              <w:left w:val="single" w:sz="4" w:space="0" w:color="000000"/>
              <w:bottom w:val="single" w:sz="4" w:space="0" w:color="000000"/>
              <w:right w:val="single" w:sz="4" w:space="0" w:color="000000"/>
            </w:tcBorders>
          </w:tcPr>
          <w:p w14:paraId="4B2AD023" w14:textId="77777777" w:rsidR="006B34A1" w:rsidRPr="008D45EF" w:rsidRDefault="006B34A1" w:rsidP="0081699D">
            <w:pPr>
              <w:ind w:left="142"/>
              <w:rPr>
                <w:sz w:val="24"/>
                <w:szCs w:val="24"/>
              </w:rPr>
            </w:pPr>
          </w:p>
        </w:tc>
        <w:tc>
          <w:tcPr>
            <w:tcW w:w="1630" w:type="pct"/>
            <w:tcBorders>
              <w:top w:val="single" w:sz="4" w:space="0" w:color="000000"/>
              <w:left w:val="single" w:sz="4" w:space="0" w:color="000000"/>
              <w:bottom w:val="single" w:sz="4" w:space="0" w:color="000000"/>
              <w:right w:val="single" w:sz="4" w:space="0" w:color="000000"/>
            </w:tcBorders>
            <w:hideMark/>
          </w:tcPr>
          <w:p w14:paraId="447FAD46" w14:textId="77777777" w:rsidR="006B34A1" w:rsidRPr="008D45EF" w:rsidRDefault="006B34A1" w:rsidP="0081699D">
            <w:pPr>
              <w:ind w:left="142"/>
              <w:rPr>
                <w:sz w:val="24"/>
                <w:szCs w:val="24"/>
              </w:rPr>
            </w:pPr>
            <w:r w:rsidRPr="008D45EF">
              <w:rPr>
                <w:sz w:val="24"/>
                <w:szCs w:val="24"/>
              </w:rPr>
              <w:t>Forhøjet lakrimation (G3/4: 0,6 %)</w:t>
            </w:r>
          </w:p>
        </w:tc>
      </w:tr>
      <w:tr w:rsidR="006B34A1" w:rsidRPr="008D45EF" w14:paraId="7701BF91" w14:textId="77777777" w:rsidTr="002A7D83">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08C6C97B" w14:textId="77777777" w:rsidR="006B34A1" w:rsidRPr="008D45EF" w:rsidRDefault="006B34A1" w:rsidP="0081699D">
            <w:pPr>
              <w:ind w:left="142"/>
              <w:rPr>
                <w:sz w:val="24"/>
                <w:szCs w:val="24"/>
              </w:rPr>
            </w:pPr>
            <w:r w:rsidRPr="008D45EF">
              <w:rPr>
                <w:sz w:val="24"/>
                <w:szCs w:val="24"/>
              </w:rPr>
              <w:t>Hjerte</w:t>
            </w:r>
          </w:p>
        </w:tc>
        <w:tc>
          <w:tcPr>
            <w:tcW w:w="1685" w:type="pct"/>
            <w:tcBorders>
              <w:top w:val="single" w:sz="4" w:space="0" w:color="000000"/>
              <w:left w:val="single" w:sz="4" w:space="0" w:color="000000"/>
              <w:bottom w:val="single" w:sz="4" w:space="0" w:color="000000"/>
              <w:right w:val="single" w:sz="4" w:space="0" w:color="000000"/>
            </w:tcBorders>
          </w:tcPr>
          <w:p w14:paraId="4D2C3326" w14:textId="77777777" w:rsidR="006B34A1" w:rsidRPr="008D45EF" w:rsidRDefault="006B34A1" w:rsidP="0081699D">
            <w:pPr>
              <w:ind w:left="142"/>
              <w:rPr>
                <w:sz w:val="24"/>
                <w:szCs w:val="24"/>
              </w:rPr>
            </w:pPr>
          </w:p>
        </w:tc>
        <w:tc>
          <w:tcPr>
            <w:tcW w:w="1630" w:type="pct"/>
            <w:tcBorders>
              <w:top w:val="single" w:sz="4" w:space="0" w:color="000000"/>
              <w:left w:val="single" w:sz="4" w:space="0" w:color="000000"/>
              <w:bottom w:val="single" w:sz="4" w:space="0" w:color="000000"/>
              <w:right w:val="single" w:sz="4" w:space="0" w:color="000000"/>
            </w:tcBorders>
            <w:hideMark/>
          </w:tcPr>
          <w:p w14:paraId="33B30CE0" w14:textId="77777777" w:rsidR="006B34A1" w:rsidRPr="008D45EF" w:rsidRDefault="006B34A1" w:rsidP="0081699D">
            <w:pPr>
              <w:ind w:left="142"/>
              <w:rPr>
                <w:sz w:val="24"/>
                <w:szCs w:val="24"/>
              </w:rPr>
            </w:pPr>
            <w:r w:rsidRPr="008D45EF">
              <w:rPr>
                <w:sz w:val="24"/>
                <w:szCs w:val="24"/>
              </w:rPr>
              <w:t>Nedsat venstre ventrikelfunktion (G3/4: 0,3 %)</w:t>
            </w:r>
          </w:p>
        </w:tc>
      </w:tr>
      <w:tr w:rsidR="006B34A1" w:rsidRPr="008D45EF" w14:paraId="062AB3DC" w14:textId="77777777" w:rsidTr="002A7D83">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191F27D9" w14:textId="77777777" w:rsidR="006B34A1" w:rsidRPr="008D45EF" w:rsidRDefault="006B34A1" w:rsidP="0081699D">
            <w:pPr>
              <w:ind w:left="142"/>
              <w:rPr>
                <w:sz w:val="24"/>
                <w:szCs w:val="24"/>
              </w:rPr>
            </w:pPr>
            <w:r w:rsidRPr="008D45EF">
              <w:rPr>
                <w:sz w:val="24"/>
                <w:szCs w:val="24"/>
              </w:rPr>
              <w:t>Luftveje, thorax og mediastinum</w:t>
            </w:r>
          </w:p>
        </w:tc>
        <w:tc>
          <w:tcPr>
            <w:tcW w:w="1685" w:type="pct"/>
            <w:tcBorders>
              <w:top w:val="single" w:sz="4" w:space="0" w:color="000000"/>
              <w:left w:val="single" w:sz="4" w:space="0" w:color="000000"/>
              <w:bottom w:val="single" w:sz="4" w:space="0" w:color="000000"/>
              <w:right w:val="single" w:sz="4" w:space="0" w:color="000000"/>
            </w:tcBorders>
          </w:tcPr>
          <w:p w14:paraId="5B486135" w14:textId="77777777" w:rsidR="006B34A1" w:rsidRPr="008D45EF" w:rsidRDefault="006B34A1" w:rsidP="0081699D">
            <w:pPr>
              <w:ind w:left="142"/>
              <w:rPr>
                <w:sz w:val="24"/>
                <w:szCs w:val="24"/>
              </w:rPr>
            </w:pPr>
          </w:p>
        </w:tc>
        <w:tc>
          <w:tcPr>
            <w:tcW w:w="1630" w:type="pct"/>
            <w:tcBorders>
              <w:top w:val="single" w:sz="4" w:space="0" w:color="000000"/>
              <w:left w:val="single" w:sz="4" w:space="0" w:color="000000"/>
              <w:bottom w:val="single" w:sz="4" w:space="0" w:color="000000"/>
              <w:right w:val="single" w:sz="4" w:space="0" w:color="000000"/>
            </w:tcBorders>
            <w:hideMark/>
          </w:tcPr>
          <w:p w14:paraId="02C622FF" w14:textId="77777777" w:rsidR="006B34A1" w:rsidRPr="008D45EF" w:rsidRDefault="006B34A1" w:rsidP="0081699D">
            <w:pPr>
              <w:ind w:left="142"/>
              <w:rPr>
                <w:sz w:val="24"/>
                <w:szCs w:val="24"/>
              </w:rPr>
            </w:pPr>
            <w:r w:rsidRPr="008D45EF">
              <w:rPr>
                <w:sz w:val="24"/>
                <w:szCs w:val="24"/>
              </w:rPr>
              <w:t xml:space="preserve">Epistaxis (G3/4: 0 %); </w:t>
            </w:r>
          </w:p>
          <w:p w14:paraId="063943F7" w14:textId="77777777" w:rsidR="006B34A1" w:rsidRPr="008D45EF" w:rsidRDefault="006B34A1" w:rsidP="0081699D">
            <w:pPr>
              <w:ind w:left="142"/>
              <w:rPr>
                <w:sz w:val="24"/>
                <w:szCs w:val="24"/>
              </w:rPr>
            </w:pPr>
            <w:r w:rsidRPr="008D45EF">
              <w:rPr>
                <w:sz w:val="24"/>
                <w:szCs w:val="24"/>
              </w:rPr>
              <w:t xml:space="preserve">Dyspnø (G3/4: 0,6 %); </w:t>
            </w:r>
          </w:p>
          <w:p w14:paraId="5DF11E77" w14:textId="77777777" w:rsidR="006B34A1" w:rsidRPr="008D45EF" w:rsidRDefault="006B34A1" w:rsidP="0081699D">
            <w:pPr>
              <w:ind w:left="142"/>
              <w:rPr>
                <w:sz w:val="24"/>
                <w:szCs w:val="24"/>
              </w:rPr>
            </w:pPr>
            <w:r w:rsidRPr="008D45EF">
              <w:rPr>
                <w:sz w:val="24"/>
                <w:szCs w:val="24"/>
              </w:rPr>
              <w:t>Hoste (G3/4: 0 %)</w:t>
            </w:r>
          </w:p>
        </w:tc>
      </w:tr>
      <w:tr w:rsidR="006B34A1" w:rsidRPr="008D45EF" w14:paraId="0512B77B" w14:textId="77777777" w:rsidTr="002A7D83">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2F42B40C" w14:textId="1968331D" w:rsidR="006B34A1" w:rsidRPr="008D45EF" w:rsidRDefault="000E6038" w:rsidP="0081699D">
            <w:pPr>
              <w:ind w:left="142"/>
              <w:rPr>
                <w:sz w:val="24"/>
                <w:szCs w:val="24"/>
              </w:rPr>
            </w:pPr>
            <w:r w:rsidRPr="003D4A39">
              <w:rPr>
                <w:sz w:val="24"/>
                <w:szCs w:val="24"/>
              </w:rPr>
              <w:t>Mave-tarm</w:t>
            </w:r>
            <w:r>
              <w:rPr>
                <w:sz w:val="24"/>
                <w:szCs w:val="24"/>
              </w:rPr>
              <w:t>-</w:t>
            </w:r>
            <w:r w:rsidRPr="003D4A39">
              <w:rPr>
                <w:sz w:val="24"/>
                <w:szCs w:val="24"/>
              </w:rPr>
              <w:t>kanale</w:t>
            </w:r>
            <w:r>
              <w:rPr>
                <w:sz w:val="24"/>
                <w:szCs w:val="24"/>
              </w:rPr>
              <w:t>n</w:t>
            </w:r>
          </w:p>
        </w:tc>
        <w:tc>
          <w:tcPr>
            <w:tcW w:w="1685" w:type="pct"/>
            <w:tcBorders>
              <w:top w:val="single" w:sz="4" w:space="0" w:color="000000"/>
              <w:left w:val="single" w:sz="4" w:space="0" w:color="000000"/>
              <w:bottom w:val="single" w:sz="4" w:space="0" w:color="000000"/>
              <w:right w:val="single" w:sz="4" w:space="0" w:color="000000"/>
            </w:tcBorders>
            <w:hideMark/>
          </w:tcPr>
          <w:p w14:paraId="499C7E92" w14:textId="77777777" w:rsidR="000E6038" w:rsidRPr="003D4A39" w:rsidRDefault="000E6038" w:rsidP="000E6038">
            <w:pPr>
              <w:ind w:left="142"/>
              <w:rPr>
                <w:sz w:val="24"/>
                <w:szCs w:val="24"/>
              </w:rPr>
            </w:pPr>
            <w:r w:rsidRPr="003D4A39">
              <w:rPr>
                <w:sz w:val="24"/>
                <w:szCs w:val="24"/>
              </w:rPr>
              <w:t xml:space="preserve">Kvalme (G3/4: 2,4 %); </w:t>
            </w:r>
          </w:p>
          <w:p w14:paraId="13B08AD9" w14:textId="77777777" w:rsidR="000E6038" w:rsidRPr="003D4A39" w:rsidRDefault="000E6038" w:rsidP="000E6038">
            <w:pPr>
              <w:ind w:left="142"/>
              <w:rPr>
                <w:sz w:val="24"/>
                <w:szCs w:val="24"/>
              </w:rPr>
            </w:pPr>
            <w:r w:rsidRPr="003D4A39">
              <w:rPr>
                <w:sz w:val="24"/>
                <w:szCs w:val="24"/>
              </w:rPr>
              <w:t xml:space="preserve">Diarré (G3/4: 1,2 %); </w:t>
            </w:r>
          </w:p>
          <w:p w14:paraId="76CB5835" w14:textId="4D7DB148" w:rsidR="000E6038" w:rsidRPr="003D4A39" w:rsidRDefault="000E6038" w:rsidP="000E6038">
            <w:pPr>
              <w:ind w:left="142"/>
              <w:rPr>
                <w:sz w:val="24"/>
                <w:szCs w:val="24"/>
              </w:rPr>
            </w:pPr>
            <w:r w:rsidRPr="003D4A39">
              <w:rPr>
                <w:sz w:val="24"/>
                <w:szCs w:val="24"/>
              </w:rPr>
              <w:t>Stomatitis/</w:t>
            </w:r>
            <w:r w:rsidRPr="008D45EF">
              <w:rPr>
                <w:sz w:val="24"/>
                <w:szCs w:val="24"/>
              </w:rPr>
              <w:t xml:space="preserve"> </w:t>
            </w:r>
            <w:r>
              <w:rPr>
                <w:sz w:val="24"/>
                <w:szCs w:val="24"/>
              </w:rPr>
              <w:t>f</w:t>
            </w:r>
            <w:r w:rsidRPr="003D4A39">
              <w:rPr>
                <w:sz w:val="24"/>
                <w:szCs w:val="24"/>
              </w:rPr>
              <w:t>aryngitis (G3/4: 0,9 %);</w:t>
            </w:r>
          </w:p>
          <w:p w14:paraId="2D218017" w14:textId="7203DDFD" w:rsidR="006B34A1" w:rsidRPr="008D45EF" w:rsidRDefault="000E6038" w:rsidP="000E6038">
            <w:pPr>
              <w:ind w:left="142"/>
              <w:rPr>
                <w:sz w:val="24"/>
                <w:szCs w:val="24"/>
              </w:rPr>
            </w:pPr>
            <w:r w:rsidRPr="003D4A39">
              <w:rPr>
                <w:sz w:val="24"/>
                <w:szCs w:val="24"/>
              </w:rPr>
              <w:t>Opkastning (G3/4: 1,2 %)</w:t>
            </w:r>
          </w:p>
        </w:tc>
        <w:tc>
          <w:tcPr>
            <w:tcW w:w="1630" w:type="pct"/>
            <w:tcBorders>
              <w:top w:val="single" w:sz="4" w:space="0" w:color="000000"/>
              <w:left w:val="single" w:sz="4" w:space="0" w:color="000000"/>
              <w:bottom w:val="single" w:sz="4" w:space="0" w:color="000000"/>
              <w:right w:val="single" w:sz="4" w:space="0" w:color="000000"/>
            </w:tcBorders>
          </w:tcPr>
          <w:p w14:paraId="793BC573" w14:textId="77777777" w:rsidR="006B34A1" w:rsidRPr="008D45EF" w:rsidRDefault="006B34A1" w:rsidP="0081699D">
            <w:pPr>
              <w:ind w:left="142"/>
              <w:rPr>
                <w:sz w:val="24"/>
                <w:szCs w:val="24"/>
              </w:rPr>
            </w:pPr>
          </w:p>
        </w:tc>
      </w:tr>
      <w:tr w:rsidR="006B34A1" w:rsidRPr="008D45EF" w14:paraId="41410B3A" w14:textId="77777777" w:rsidTr="002A7D83">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3A158FF9" w14:textId="77777777" w:rsidR="006B34A1" w:rsidRPr="008D45EF" w:rsidRDefault="006B34A1" w:rsidP="0081699D">
            <w:pPr>
              <w:ind w:left="142"/>
              <w:rPr>
                <w:sz w:val="24"/>
                <w:szCs w:val="24"/>
              </w:rPr>
            </w:pPr>
            <w:r w:rsidRPr="008D45EF">
              <w:rPr>
                <w:sz w:val="24"/>
                <w:szCs w:val="24"/>
              </w:rPr>
              <w:t>Hud og subkutane væv</w:t>
            </w:r>
          </w:p>
        </w:tc>
        <w:tc>
          <w:tcPr>
            <w:tcW w:w="1685" w:type="pct"/>
            <w:tcBorders>
              <w:top w:val="single" w:sz="4" w:space="0" w:color="000000"/>
              <w:left w:val="single" w:sz="4" w:space="0" w:color="000000"/>
              <w:bottom w:val="single" w:sz="4" w:space="0" w:color="000000"/>
              <w:right w:val="single" w:sz="4" w:space="0" w:color="000000"/>
            </w:tcBorders>
            <w:hideMark/>
          </w:tcPr>
          <w:p w14:paraId="68411653" w14:textId="77777777" w:rsidR="006B34A1" w:rsidRPr="008D45EF" w:rsidRDefault="006B34A1" w:rsidP="0081699D">
            <w:pPr>
              <w:ind w:left="142"/>
              <w:rPr>
                <w:sz w:val="24"/>
                <w:szCs w:val="24"/>
              </w:rPr>
            </w:pPr>
            <w:r w:rsidRPr="008D45EF">
              <w:rPr>
                <w:sz w:val="24"/>
                <w:szCs w:val="24"/>
              </w:rPr>
              <w:t>Alopeci;</w:t>
            </w:r>
          </w:p>
          <w:p w14:paraId="24026A50" w14:textId="77777777" w:rsidR="006B34A1" w:rsidRPr="008D45EF" w:rsidRDefault="006B34A1" w:rsidP="0081699D">
            <w:pPr>
              <w:ind w:left="142"/>
              <w:rPr>
                <w:sz w:val="24"/>
                <w:szCs w:val="24"/>
              </w:rPr>
            </w:pPr>
            <w:r w:rsidRPr="008D45EF">
              <w:rPr>
                <w:sz w:val="24"/>
                <w:szCs w:val="24"/>
              </w:rPr>
              <w:t>Neglesygdomme (ikke alvorlig)</w:t>
            </w:r>
          </w:p>
        </w:tc>
        <w:tc>
          <w:tcPr>
            <w:tcW w:w="1630" w:type="pct"/>
            <w:tcBorders>
              <w:top w:val="single" w:sz="4" w:space="0" w:color="000000"/>
              <w:left w:val="single" w:sz="4" w:space="0" w:color="000000"/>
              <w:bottom w:val="single" w:sz="4" w:space="0" w:color="000000"/>
              <w:right w:val="single" w:sz="4" w:space="0" w:color="000000"/>
            </w:tcBorders>
            <w:hideMark/>
          </w:tcPr>
          <w:p w14:paraId="0BB531B8" w14:textId="77777777" w:rsidR="006B34A1" w:rsidRPr="008D45EF" w:rsidRDefault="006B34A1" w:rsidP="0081699D">
            <w:pPr>
              <w:ind w:left="142"/>
              <w:rPr>
                <w:sz w:val="24"/>
                <w:szCs w:val="24"/>
              </w:rPr>
            </w:pPr>
            <w:r w:rsidRPr="008D45EF">
              <w:rPr>
                <w:sz w:val="24"/>
                <w:szCs w:val="24"/>
              </w:rPr>
              <w:t>Eksfoliativt udslæt (G3/4: 0,3 %)</w:t>
            </w:r>
          </w:p>
        </w:tc>
      </w:tr>
      <w:tr w:rsidR="006B34A1" w:rsidRPr="008D45EF" w14:paraId="67A93FE9" w14:textId="77777777" w:rsidTr="002A7D83">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7758906D" w14:textId="77777777" w:rsidR="006B34A1" w:rsidRPr="008D45EF" w:rsidRDefault="006B34A1" w:rsidP="0081699D">
            <w:pPr>
              <w:ind w:left="142"/>
              <w:rPr>
                <w:sz w:val="24"/>
                <w:szCs w:val="24"/>
              </w:rPr>
            </w:pPr>
            <w:r w:rsidRPr="008D45EF">
              <w:rPr>
                <w:sz w:val="24"/>
                <w:szCs w:val="24"/>
              </w:rPr>
              <w:t>Knogler, led, muskler og bindevæv</w:t>
            </w:r>
          </w:p>
        </w:tc>
        <w:tc>
          <w:tcPr>
            <w:tcW w:w="1685" w:type="pct"/>
            <w:tcBorders>
              <w:top w:val="single" w:sz="4" w:space="0" w:color="000000"/>
              <w:left w:val="single" w:sz="4" w:space="0" w:color="000000"/>
              <w:bottom w:val="single" w:sz="4" w:space="0" w:color="000000"/>
              <w:right w:val="single" w:sz="4" w:space="0" w:color="000000"/>
            </w:tcBorders>
          </w:tcPr>
          <w:p w14:paraId="1BA99611" w14:textId="77777777" w:rsidR="006B34A1" w:rsidRPr="008D45EF" w:rsidRDefault="006B34A1" w:rsidP="0081699D">
            <w:pPr>
              <w:ind w:left="142"/>
              <w:rPr>
                <w:sz w:val="24"/>
                <w:szCs w:val="24"/>
              </w:rPr>
            </w:pPr>
          </w:p>
        </w:tc>
        <w:tc>
          <w:tcPr>
            <w:tcW w:w="1630" w:type="pct"/>
            <w:tcBorders>
              <w:top w:val="single" w:sz="4" w:space="0" w:color="000000"/>
              <w:left w:val="single" w:sz="4" w:space="0" w:color="000000"/>
              <w:bottom w:val="single" w:sz="4" w:space="0" w:color="000000"/>
              <w:right w:val="single" w:sz="4" w:space="0" w:color="000000"/>
            </w:tcBorders>
            <w:hideMark/>
          </w:tcPr>
          <w:p w14:paraId="53EED661" w14:textId="77777777" w:rsidR="006B34A1" w:rsidRPr="008D45EF" w:rsidRDefault="006B34A1" w:rsidP="0081699D">
            <w:pPr>
              <w:ind w:left="142"/>
              <w:rPr>
                <w:sz w:val="24"/>
                <w:szCs w:val="24"/>
              </w:rPr>
            </w:pPr>
            <w:r w:rsidRPr="008D45EF">
              <w:rPr>
                <w:sz w:val="24"/>
                <w:szCs w:val="24"/>
              </w:rPr>
              <w:t xml:space="preserve">Artralgi (G3/4: 0,3 %); </w:t>
            </w:r>
          </w:p>
          <w:p w14:paraId="0CA316AA" w14:textId="77777777" w:rsidR="006B34A1" w:rsidRPr="008D45EF" w:rsidRDefault="006B34A1" w:rsidP="0081699D">
            <w:pPr>
              <w:ind w:left="142"/>
              <w:rPr>
                <w:sz w:val="24"/>
                <w:szCs w:val="24"/>
              </w:rPr>
            </w:pPr>
            <w:r w:rsidRPr="008D45EF">
              <w:rPr>
                <w:sz w:val="24"/>
                <w:szCs w:val="24"/>
              </w:rPr>
              <w:t>Myalgi (G3/4: 0,3 %)</w:t>
            </w:r>
          </w:p>
        </w:tc>
      </w:tr>
      <w:tr w:rsidR="006B34A1" w:rsidRPr="008D45EF" w14:paraId="3DC12DBB" w14:textId="77777777" w:rsidTr="002A7D83">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6305CAC6" w14:textId="77777777" w:rsidR="006B34A1" w:rsidRPr="008D45EF" w:rsidRDefault="006B34A1" w:rsidP="0081699D">
            <w:pPr>
              <w:ind w:left="142"/>
              <w:rPr>
                <w:sz w:val="24"/>
                <w:szCs w:val="24"/>
              </w:rPr>
            </w:pPr>
            <w:r w:rsidRPr="008D45EF">
              <w:rPr>
                <w:sz w:val="24"/>
                <w:szCs w:val="24"/>
              </w:rPr>
              <w:t>Almene symptomer og reaktioner på administrationsstedet</w:t>
            </w:r>
          </w:p>
        </w:tc>
        <w:tc>
          <w:tcPr>
            <w:tcW w:w="1685" w:type="pct"/>
            <w:tcBorders>
              <w:top w:val="single" w:sz="4" w:space="0" w:color="000000"/>
              <w:left w:val="single" w:sz="4" w:space="0" w:color="000000"/>
              <w:bottom w:val="single" w:sz="4" w:space="0" w:color="000000"/>
              <w:right w:val="single" w:sz="4" w:space="0" w:color="000000"/>
            </w:tcBorders>
            <w:hideMark/>
          </w:tcPr>
          <w:p w14:paraId="7040F4CE" w14:textId="77777777" w:rsidR="006B34A1" w:rsidRPr="008D45EF" w:rsidRDefault="006B34A1" w:rsidP="0081699D">
            <w:pPr>
              <w:ind w:left="142"/>
              <w:rPr>
                <w:sz w:val="24"/>
                <w:szCs w:val="24"/>
              </w:rPr>
            </w:pPr>
            <w:r w:rsidRPr="008D45EF">
              <w:rPr>
                <w:sz w:val="24"/>
                <w:szCs w:val="24"/>
              </w:rPr>
              <w:t xml:space="preserve">Træthed (G3/4: 3,9 %); </w:t>
            </w:r>
          </w:p>
          <w:p w14:paraId="06FC6BBD" w14:textId="77777777" w:rsidR="006B34A1" w:rsidRPr="008D45EF" w:rsidRDefault="006B34A1" w:rsidP="0081699D">
            <w:pPr>
              <w:ind w:left="142"/>
              <w:rPr>
                <w:sz w:val="24"/>
                <w:szCs w:val="24"/>
              </w:rPr>
            </w:pPr>
            <w:r w:rsidRPr="008D45EF">
              <w:rPr>
                <w:sz w:val="24"/>
                <w:szCs w:val="24"/>
              </w:rPr>
              <w:t>Væskeretention (alvorlig: 0,6 %)</w:t>
            </w:r>
          </w:p>
        </w:tc>
        <w:tc>
          <w:tcPr>
            <w:tcW w:w="1630" w:type="pct"/>
            <w:tcBorders>
              <w:top w:val="single" w:sz="4" w:space="0" w:color="000000"/>
              <w:left w:val="single" w:sz="4" w:space="0" w:color="000000"/>
              <w:bottom w:val="single" w:sz="4" w:space="0" w:color="000000"/>
              <w:right w:val="single" w:sz="4" w:space="0" w:color="000000"/>
            </w:tcBorders>
          </w:tcPr>
          <w:p w14:paraId="1CBDF087" w14:textId="77777777" w:rsidR="006B34A1" w:rsidRPr="008D45EF" w:rsidRDefault="006B34A1" w:rsidP="0081699D">
            <w:pPr>
              <w:ind w:left="142"/>
              <w:rPr>
                <w:sz w:val="24"/>
                <w:szCs w:val="24"/>
              </w:rPr>
            </w:pPr>
          </w:p>
        </w:tc>
      </w:tr>
    </w:tbl>
    <w:p w14:paraId="37042BBC" w14:textId="77777777" w:rsidR="006B34A1" w:rsidRPr="008D45EF" w:rsidRDefault="006B34A1" w:rsidP="0081699D">
      <w:pPr>
        <w:ind w:left="851"/>
        <w:rPr>
          <w:sz w:val="24"/>
          <w:szCs w:val="24"/>
        </w:rPr>
      </w:pPr>
    </w:p>
    <w:p w14:paraId="78630493" w14:textId="77777777" w:rsidR="000E6038" w:rsidRPr="003D4A39" w:rsidRDefault="000E6038" w:rsidP="000E6038">
      <w:pPr>
        <w:keepNext/>
        <w:ind w:left="142"/>
        <w:rPr>
          <w:sz w:val="24"/>
          <w:szCs w:val="24"/>
          <w:u w:val="single"/>
        </w:rPr>
      </w:pPr>
      <w:r w:rsidRPr="003D4A39">
        <w:rPr>
          <w:sz w:val="24"/>
          <w:szCs w:val="24"/>
          <w:u w:val="single"/>
        </w:rPr>
        <w:t>Tabel over bivirkninger i højrisiko lokalt avanceret eller metastatisk hormonfølsom prostatakræft med docetaxel 75 mg/m² i kombination med prednison eller prednisolon og androgen deprivationsbehandling (STAMPEDE studie).</w:t>
      </w:r>
    </w:p>
    <w:p w14:paraId="273CAE45" w14:textId="5DF658BE" w:rsidR="000E6038" w:rsidRDefault="000E6038" w:rsidP="000E6038">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44"/>
        <w:gridCol w:w="3245"/>
        <w:gridCol w:w="3139"/>
      </w:tblGrid>
      <w:tr w:rsidR="000E6038" w:rsidRPr="003D4A39" w14:paraId="343F146A" w14:textId="77777777" w:rsidTr="000E6038">
        <w:trPr>
          <w:trHeight w:val="20"/>
          <w:tblHeader/>
        </w:trPr>
        <w:tc>
          <w:tcPr>
            <w:tcW w:w="1685" w:type="pct"/>
            <w:tcBorders>
              <w:top w:val="single" w:sz="4" w:space="0" w:color="auto"/>
              <w:left w:val="single" w:sz="4" w:space="0" w:color="auto"/>
              <w:bottom w:val="single" w:sz="4" w:space="0" w:color="auto"/>
              <w:right w:val="single" w:sz="4" w:space="0" w:color="auto"/>
            </w:tcBorders>
            <w:hideMark/>
          </w:tcPr>
          <w:p w14:paraId="6B6073B1" w14:textId="77777777" w:rsidR="000E6038" w:rsidRPr="003D4A39" w:rsidRDefault="000E6038" w:rsidP="000E6038">
            <w:pPr>
              <w:keepNext/>
              <w:ind w:left="142"/>
              <w:rPr>
                <w:b/>
                <w:bCs/>
                <w:sz w:val="24"/>
                <w:szCs w:val="24"/>
              </w:rPr>
            </w:pPr>
            <w:r w:rsidRPr="003D4A39">
              <w:rPr>
                <w:b/>
                <w:bCs/>
                <w:sz w:val="24"/>
                <w:szCs w:val="24"/>
              </w:rPr>
              <w:t>Systemorganklasser i henhold til MedDRA-databasen</w:t>
            </w:r>
          </w:p>
        </w:tc>
        <w:tc>
          <w:tcPr>
            <w:tcW w:w="1685" w:type="pct"/>
            <w:tcBorders>
              <w:top w:val="single" w:sz="4" w:space="0" w:color="auto"/>
              <w:left w:val="single" w:sz="4" w:space="0" w:color="auto"/>
              <w:bottom w:val="single" w:sz="4" w:space="0" w:color="auto"/>
              <w:right w:val="single" w:sz="4" w:space="0" w:color="auto"/>
            </w:tcBorders>
            <w:hideMark/>
          </w:tcPr>
          <w:p w14:paraId="6E4347CE" w14:textId="77777777" w:rsidR="000E6038" w:rsidRPr="003D4A39" w:rsidRDefault="000E6038" w:rsidP="000E6038">
            <w:pPr>
              <w:keepNext/>
              <w:ind w:left="142"/>
              <w:rPr>
                <w:b/>
                <w:bCs/>
                <w:sz w:val="24"/>
                <w:szCs w:val="24"/>
              </w:rPr>
            </w:pPr>
            <w:r w:rsidRPr="003D4A39">
              <w:rPr>
                <w:b/>
                <w:bCs/>
                <w:sz w:val="24"/>
                <w:szCs w:val="24"/>
              </w:rPr>
              <w:t>Meget almindelige bivirkninger</w:t>
            </w:r>
          </w:p>
        </w:tc>
        <w:tc>
          <w:tcPr>
            <w:tcW w:w="1630" w:type="pct"/>
            <w:tcBorders>
              <w:top w:val="single" w:sz="4" w:space="0" w:color="auto"/>
              <w:left w:val="single" w:sz="4" w:space="0" w:color="auto"/>
              <w:bottom w:val="single" w:sz="4" w:space="0" w:color="auto"/>
              <w:right w:val="single" w:sz="4" w:space="0" w:color="auto"/>
            </w:tcBorders>
            <w:hideMark/>
          </w:tcPr>
          <w:p w14:paraId="2626A971" w14:textId="77777777" w:rsidR="000E6038" w:rsidRPr="003D4A39" w:rsidRDefault="000E6038" w:rsidP="000E6038">
            <w:pPr>
              <w:keepNext/>
              <w:ind w:left="142"/>
              <w:rPr>
                <w:b/>
                <w:bCs/>
                <w:sz w:val="24"/>
                <w:szCs w:val="24"/>
              </w:rPr>
            </w:pPr>
            <w:r w:rsidRPr="003D4A39">
              <w:rPr>
                <w:b/>
                <w:bCs/>
                <w:sz w:val="24"/>
                <w:szCs w:val="24"/>
              </w:rPr>
              <w:t>Almindelige bivirkninger</w:t>
            </w:r>
          </w:p>
        </w:tc>
      </w:tr>
      <w:tr w:rsidR="000E6038" w:rsidRPr="00FE4E30" w14:paraId="2E78DF46" w14:textId="77777777" w:rsidTr="000E6038">
        <w:trPr>
          <w:trHeight w:val="20"/>
        </w:trPr>
        <w:tc>
          <w:tcPr>
            <w:tcW w:w="1685" w:type="pct"/>
            <w:tcBorders>
              <w:top w:val="single" w:sz="4" w:space="0" w:color="auto"/>
              <w:left w:val="single" w:sz="4" w:space="0" w:color="000000"/>
              <w:bottom w:val="single" w:sz="4" w:space="0" w:color="000000"/>
              <w:right w:val="single" w:sz="4" w:space="0" w:color="000000"/>
            </w:tcBorders>
            <w:hideMark/>
          </w:tcPr>
          <w:p w14:paraId="72FF0178" w14:textId="77777777" w:rsidR="000E6038" w:rsidRPr="003D4A39" w:rsidRDefault="000E6038" w:rsidP="000E6038">
            <w:pPr>
              <w:keepNext/>
              <w:ind w:left="142"/>
              <w:rPr>
                <w:sz w:val="24"/>
                <w:szCs w:val="24"/>
              </w:rPr>
            </w:pPr>
            <w:r w:rsidRPr="003D4A39">
              <w:rPr>
                <w:sz w:val="24"/>
                <w:szCs w:val="24"/>
              </w:rPr>
              <w:t>Blod og lymfesystem</w:t>
            </w:r>
          </w:p>
        </w:tc>
        <w:tc>
          <w:tcPr>
            <w:tcW w:w="1685" w:type="pct"/>
            <w:tcBorders>
              <w:top w:val="single" w:sz="4" w:space="0" w:color="auto"/>
              <w:left w:val="single" w:sz="4" w:space="0" w:color="000000"/>
              <w:bottom w:val="single" w:sz="4" w:space="0" w:color="000000"/>
              <w:right w:val="single" w:sz="4" w:space="0" w:color="000000"/>
            </w:tcBorders>
            <w:hideMark/>
          </w:tcPr>
          <w:p w14:paraId="3BE84611" w14:textId="77777777" w:rsidR="000E6038" w:rsidRPr="00DB67D0" w:rsidRDefault="000E6038" w:rsidP="000E6038">
            <w:pPr>
              <w:keepNext/>
              <w:ind w:left="142"/>
              <w:rPr>
                <w:sz w:val="24"/>
                <w:szCs w:val="24"/>
                <w:lang w:val="en-US"/>
              </w:rPr>
            </w:pPr>
            <w:r w:rsidRPr="00DB67D0">
              <w:rPr>
                <w:sz w:val="24"/>
                <w:szCs w:val="24"/>
                <w:lang w:val="en-US"/>
              </w:rPr>
              <w:t>Neutropeni (G3-4: 12 %);</w:t>
            </w:r>
          </w:p>
          <w:p w14:paraId="58D4BC30" w14:textId="77777777" w:rsidR="000E6038" w:rsidRPr="00DB67D0" w:rsidRDefault="000E6038" w:rsidP="000E6038">
            <w:pPr>
              <w:keepNext/>
              <w:ind w:left="142"/>
              <w:rPr>
                <w:sz w:val="24"/>
                <w:szCs w:val="24"/>
                <w:lang w:val="en-US"/>
              </w:rPr>
            </w:pPr>
            <w:r w:rsidRPr="00DB67D0">
              <w:rPr>
                <w:sz w:val="24"/>
                <w:szCs w:val="24"/>
                <w:lang w:val="en-US"/>
              </w:rPr>
              <w:t xml:space="preserve">Anæmi; </w:t>
            </w:r>
          </w:p>
          <w:p w14:paraId="7444583F" w14:textId="77777777" w:rsidR="000E6038" w:rsidRPr="00DB67D0" w:rsidRDefault="000E6038" w:rsidP="000E6038">
            <w:pPr>
              <w:keepNext/>
              <w:ind w:left="142"/>
              <w:rPr>
                <w:sz w:val="24"/>
                <w:szCs w:val="24"/>
                <w:lang w:val="en-US"/>
              </w:rPr>
            </w:pPr>
            <w:r w:rsidRPr="00DB67D0">
              <w:rPr>
                <w:sz w:val="24"/>
                <w:szCs w:val="24"/>
                <w:lang w:val="en-US"/>
              </w:rPr>
              <w:t>Febril neutropeni (G3-4: 15 %)</w:t>
            </w:r>
          </w:p>
        </w:tc>
        <w:tc>
          <w:tcPr>
            <w:tcW w:w="1630" w:type="pct"/>
            <w:tcBorders>
              <w:top w:val="single" w:sz="4" w:space="0" w:color="auto"/>
              <w:left w:val="single" w:sz="4" w:space="0" w:color="000000"/>
              <w:bottom w:val="single" w:sz="4" w:space="0" w:color="000000"/>
              <w:right w:val="single" w:sz="4" w:space="0" w:color="000000"/>
            </w:tcBorders>
          </w:tcPr>
          <w:p w14:paraId="7CFA6EC8" w14:textId="77777777" w:rsidR="000E6038" w:rsidRPr="00DB67D0" w:rsidRDefault="000E6038" w:rsidP="000E6038">
            <w:pPr>
              <w:keepNext/>
              <w:ind w:left="142"/>
              <w:rPr>
                <w:sz w:val="24"/>
                <w:szCs w:val="24"/>
                <w:lang w:val="en-US"/>
              </w:rPr>
            </w:pPr>
          </w:p>
        </w:tc>
      </w:tr>
      <w:tr w:rsidR="000E6038" w:rsidRPr="003D4A39" w14:paraId="434CE780" w14:textId="77777777" w:rsidTr="000E6038">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6E1A5A91" w14:textId="77777777" w:rsidR="000E6038" w:rsidRPr="003D4A39" w:rsidRDefault="000E6038" w:rsidP="000E6038">
            <w:pPr>
              <w:keepNext/>
              <w:ind w:left="142"/>
              <w:rPr>
                <w:sz w:val="24"/>
                <w:szCs w:val="24"/>
              </w:rPr>
            </w:pPr>
            <w:r w:rsidRPr="003D4A39">
              <w:rPr>
                <w:sz w:val="24"/>
                <w:szCs w:val="24"/>
              </w:rPr>
              <w:t>Immunsystemet</w:t>
            </w:r>
          </w:p>
        </w:tc>
        <w:tc>
          <w:tcPr>
            <w:tcW w:w="1685" w:type="pct"/>
            <w:tcBorders>
              <w:top w:val="single" w:sz="4" w:space="0" w:color="000000"/>
              <w:left w:val="single" w:sz="4" w:space="0" w:color="000000"/>
              <w:bottom w:val="single" w:sz="4" w:space="0" w:color="000000"/>
              <w:right w:val="single" w:sz="4" w:space="0" w:color="000000"/>
            </w:tcBorders>
          </w:tcPr>
          <w:p w14:paraId="04115A3A" w14:textId="77777777" w:rsidR="000E6038" w:rsidRPr="003D4A39" w:rsidRDefault="000E6038" w:rsidP="000E6038">
            <w:pPr>
              <w:keepNext/>
              <w:ind w:left="142"/>
              <w:rPr>
                <w:sz w:val="24"/>
                <w:szCs w:val="24"/>
              </w:rPr>
            </w:pPr>
          </w:p>
        </w:tc>
        <w:tc>
          <w:tcPr>
            <w:tcW w:w="1630" w:type="pct"/>
            <w:tcBorders>
              <w:top w:val="single" w:sz="4" w:space="0" w:color="000000"/>
              <w:left w:val="single" w:sz="4" w:space="0" w:color="000000"/>
              <w:bottom w:val="single" w:sz="4" w:space="0" w:color="000000"/>
              <w:right w:val="single" w:sz="4" w:space="0" w:color="000000"/>
            </w:tcBorders>
            <w:hideMark/>
          </w:tcPr>
          <w:p w14:paraId="28BF05C4" w14:textId="77777777" w:rsidR="000E6038" w:rsidRPr="003D4A39" w:rsidRDefault="000E6038" w:rsidP="000E6038">
            <w:pPr>
              <w:keepNext/>
              <w:ind w:left="142"/>
              <w:rPr>
                <w:sz w:val="24"/>
                <w:szCs w:val="24"/>
              </w:rPr>
            </w:pPr>
            <w:r w:rsidRPr="003D4A39">
              <w:rPr>
                <w:sz w:val="24"/>
                <w:szCs w:val="24"/>
              </w:rPr>
              <w:t>Overfølsomhed (G3-4: 1</w:t>
            </w:r>
            <w:r>
              <w:rPr>
                <w:sz w:val="24"/>
                <w:szCs w:val="24"/>
              </w:rPr>
              <w:t xml:space="preserve"> </w:t>
            </w:r>
            <w:r w:rsidRPr="003D4A39">
              <w:rPr>
                <w:sz w:val="24"/>
                <w:szCs w:val="24"/>
              </w:rPr>
              <w:t>%)</w:t>
            </w:r>
          </w:p>
        </w:tc>
      </w:tr>
      <w:tr w:rsidR="000E6038" w:rsidRPr="003D4A39" w14:paraId="70801992" w14:textId="77777777" w:rsidTr="000E6038">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7859F549" w14:textId="77777777" w:rsidR="000E6038" w:rsidRPr="003D4A39" w:rsidRDefault="000E6038" w:rsidP="000E6038">
            <w:pPr>
              <w:keepNext/>
              <w:ind w:left="142"/>
              <w:rPr>
                <w:sz w:val="24"/>
                <w:szCs w:val="24"/>
              </w:rPr>
            </w:pPr>
            <w:r w:rsidRPr="003D4A39">
              <w:rPr>
                <w:sz w:val="24"/>
                <w:szCs w:val="24"/>
              </w:rPr>
              <w:t>Det endokrine system</w:t>
            </w:r>
          </w:p>
        </w:tc>
        <w:tc>
          <w:tcPr>
            <w:tcW w:w="1685" w:type="pct"/>
            <w:tcBorders>
              <w:top w:val="single" w:sz="4" w:space="0" w:color="000000"/>
              <w:left w:val="single" w:sz="4" w:space="0" w:color="000000"/>
              <w:bottom w:val="single" w:sz="4" w:space="0" w:color="000000"/>
              <w:right w:val="single" w:sz="4" w:space="0" w:color="000000"/>
            </w:tcBorders>
            <w:hideMark/>
          </w:tcPr>
          <w:p w14:paraId="2E23DEEB" w14:textId="77777777" w:rsidR="000E6038" w:rsidRPr="003D4A39" w:rsidRDefault="000E6038" w:rsidP="000E6038">
            <w:pPr>
              <w:keepNext/>
              <w:ind w:left="142"/>
              <w:rPr>
                <w:sz w:val="24"/>
                <w:szCs w:val="24"/>
              </w:rPr>
            </w:pPr>
          </w:p>
        </w:tc>
        <w:tc>
          <w:tcPr>
            <w:tcW w:w="1630" w:type="pct"/>
            <w:tcBorders>
              <w:top w:val="single" w:sz="4" w:space="0" w:color="000000"/>
              <w:left w:val="single" w:sz="4" w:space="0" w:color="000000"/>
              <w:bottom w:val="single" w:sz="4" w:space="0" w:color="000000"/>
              <w:right w:val="single" w:sz="4" w:space="0" w:color="000000"/>
            </w:tcBorders>
          </w:tcPr>
          <w:p w14:paraId="312B9857" w14:textId="77777777" w:rsidR="000E6038" w:rsidRPr="003D4A39" w:rsidRDefault="000E6038" w:rsidP="000E6038">
            <w:pPr>
              <w:keepNext/>
              <w:ind w:left="142"/>
              <w:rPr>
                <w:sz w:val="24"/>
                <w:szCs w:val="24"/>
              </w:rPr>
            </w:pPr>
            <w:r w:rsidRPr="003D4A39">
              <w:rPr>
                <w:sz w:val="24"/>
                <w:szCs w:val="24"/>
              </w:rPr>
              <w:t>Diabetes (G3-4: 1</w:t>
            </w:r>
            <w:r>
              <w:rPr>
                <w:sz w:val="24"/>
                <w:szCs w:val="24"/>
              </w:rPr>
              <w:t xml:space="preserve"> </w:t>
            </w:r>
            <w:r w:rsidRPr="003D4A39">
              <w:rPr>
                <w:sz w:val="24"/>
                <w:szCs w:val="24"/>
              </w:rPr>
              <w:t>%)</w:t>
            </w:r>
          </w:p>
        </w:tc>
      </w:tr>
      <w:tr w:rsidR="000E6038" w:rsidRPr="003D4A39" w14:paraId="23C9D64E" w14:textId="77777777" w:rsidTr="000E6038">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7D61D951" w14:textId="77777777" w:rsidR="000E6038" w:rsidRPr="003D4A39" w:rsidRDefault="000E6038" w:rsidP="000E6038">
            <w:pPr>
              <w:keepNext/>
              <w:ind w:left="142"/>
              <w:rPr>
                <w:sz w:val="24"/>
                <w:szCs w:val="24"/>
              </w:rPr>
            </w:pPr>
            <w:r w:rsidRPr="003D4A39">
              <w:rPr>
                <w:sz w:val="24"/>
                <w:szCs w:val="24"/>
              </w:rPr>
              <w:t>Metabolisme og ernæring</w:t>
            </w:r>
          </w:p>
        </w:tc>
        <w:tc>
          <w:tcPr>
            <w:tcW w:w="1685" w:type="pct"/>
            <w:tcBorders>
              <w:top w:val="single" w:sz="4" w:space="0" w:color="000000"/>
              <w:left w:val="single" w:sz="4" w:space="0" w:color="000000"/>
              <w:bottom w:val="single" w:sz="4" w:space="0" w:color="000000"/>
              <w:right w:val="single" w:sz="4" w:space="0" w:color="000000"/>
            </w:tcBorders>
            <w:hideMark/>
          </w:tcPr>
          <w:p w14:paraId="2DDAEC31" w14:textId="77777777" w:rsidR="000E6038" w:rsidRPr="003D4A39" w:rsidRDefault="000E6038" w:rsidP="000E6038">
            <w:pPr>
              <w:keepNext/>
              <w:ind w:left="142"/>
              <w:rPr>
                <w:sz w:val="24"/>
                <w:szCs w:val="24"/>
              </w:rPr>
            </w:pPr>
          </w:p>
        </w:tc>
        <w:tc>
          <w:tcPr>
            <w:tcW w:w="1630" w:type="pct"/>
            <w:tcBorders>
              <w:top w:val="single" w:sz="4" w:space="0" w:color="000000"/>
              <w:left w:val="single" w:sz="4" w:space="0" w:color="000000"/>
              <w:bottom w:val="single" w:sz="4" w:space="0" w:color="000000"/>
              <w:right w:val="single" w:sz="4" w:space="0" w:color="000000"/>
            </w:tcBorders>
            <w:hideMark/>
          </w:tcPr>
          <w:p w14:paraId="42A3DFB4" w14:textId="77777777" w:rsidR="000E6038" w:rsidRPr="003D4A39" w:rsidRDefault="000E6038" w:rsidP="000E6038">
            <w:pPr>
              <w:keepNext/>
              <w:ind w:left="142"/>
              <w:rPr>
                <w:sz w:val="24"/>
                <w:szCs w:val="24"/>
              </w:rPr>
            </w:pPr>
            <w:r w:rsidRPr="003D4A39">
              <w:rPr>
                <w:sz w:val="24"/>
                <w:szCs w:val="24"/>
              </w:rPr>
              <w:t>Anoreksi</w:t>
            </w:r>
          </w:p>
        </w:tc>
      </w:tr>
      <w:tr w:rsidR="000E6038" w:rsidRPr="003D4A39" w14:paraId="00CEC93D" w14:textId="77777777" w:rsidTr="000E6038">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112F46FB" w14:textId="77777777" w:rsidR="000E6038" w:rsidRPr="003D4A39" w:rsidRDefault="000E6038" w:rsidP="000E6038">
            <w:pPr>
              <w:keepNext/>
              <w:ind w:left="142"/>
              <w:rPr>
                <w:sz w:val="24"/>
                <w:szCs w:val="24"/>
              </w:rPr>
            </w:pPr>
            <w:r w:rsidRPr="003D4A39">
              <w:rPr>
                <w:sz w:val="24"/>
                <w:szCs w:val="24"/>
              </w:rPr>
              <w:t>Psykiske forstyrrelser</w:t>
            </w:r>
          </w:p>
        </w:tc>
        <w:tc>
          <w:tcPr>
            <w:tcW w:w="1685" w:type="pct"/>
            <w:tcBorders>
              <w:top w:val="single" w:sz="4" w:space="0" w:color="000000"/>
              <w:left w:val="single" w:sz="4" w:space="0" w:color="000000"/>
              <w:bottom w:val="single" w:sz="4" w:space="0" w:color="000000"/>
              <w:right w:val="single" w:sz="4" w:space="0" w:color="000000"/>
            </w:tcBorders>
          </w:tcPr>
          <w:p w14:paraId="5DC2BA16" w14:textId="77777777" w:rsidR="000E6038" w:rsidRPr="003D4A39" w:rsidRDefault="000E6038" w:rsidP="000E6038">
            <w:pPr>
              <w:keepNext/>
              <w:ind w:left="142"/>
              <w:rPr>
                <w:sz w:val="24"/>
                <w:szCs w:val="24"/>
              </w:rPr>
            </w:pPr>
            <w:r w:rsidRPr="003D4A39">
              <w:rPr>
                <w:sz w:val="24"/>
                <w:szCs w:val="24"/>
              </w:rPr>
              <w:t>Insomni (G3: 1</w:t>
            </w:r>
            <w:r>
              <w:rPr>
                <w:sz w:val="24"/>
                <w:szCs w:val="24"/>
              </w:rPr>
              <w:t xml:space="preserve"> </w:t>
            </w:r>
            <w:r w:rsidRPr="003D4A39">
              <w:rPr>
                <w:sz w:val="24"/>
                <w:szCs w:val="24"/>
              </w:rPr>
              <w:t>%)</w:t>
            </w:r>
          </w:p>
        </w:tc>
        <w:tc>
          <w:tcPr>
            <w:tcW w:w="1630" w:type="pct"/>
            <w:tcBorders>
              <w:top w:val="single" w:sz="4" w:space="0" w:color="000000"/>
              <w:left w:val="single" w:sz="4" w:space="0" w:color="000000"/>
              <w:bottom w:val="single" w:sz="4" w:space="0" w:color="000000"/>
              <w:right w:val="single" w:sz="4" w:space="0" w:color="000000"/>
            </w:tcBorders>
            <w:hideMark/>
          </w:tcPr>
          <w:p w14:paraId="1269D2F5" w14:textId="77777777" w:rsidR="000E6038" w:rsidRPr="003D4A39" w:rsidRDefault="000E6038" w:rsidP="000E6038">
            <w:pPr>
              <w:keepNext/>
              <w:ind w:left="142"/>
              <w:rPr>
                <w:sz w:val="24"/>
                <w:szCs w:val="24"/>
              </w:rPr>
            </w:pPr>
          </w:p>
        </w:tc>
      </w:tr>
      <w:tr w:rsidR="000E6038" w:rsidRPr="003D4A39" w14:paraId="45C0920F" w14:textId="77777777" w:rsidTr="000E6038">
        <w:trPr>
          <w:trHeight w:val="20"/>
        </w:trPr>
        <w:tc>
          <w:tcPr>
            <w:tcW w:w="1685" w:type="pct"/>
            <w:tcBorders>
              <w:top w:val="single" w:sz="4" w:space="0" w:color="000000"/>
              <w:left w:val="single" w:sz="4" w:space="0" w:color="000000"/>
              <w:bottom w:val="single" w:sz="4" w:space="0" w:color="000000"/>
              <w:right w:val="single" w:sz="4" w:space="0" w:color="000000"/>
            </w:tcBorders>
          </w:tcPr>
          <w:p w14:paraId="180AE089" w14:textId="77777777" w:rsidR="000E6038" w:rsidRPr="003D4A39" w:rsidRDefault="000E6038" w:rsidP="000E6038">
            <w:pPr>
              <w:keepNext/>
              <w:ind w:left="142"/>
              <w:rPr>
                <w:sz w:val="24"/>
                <w:szCs w:val="24"/>
              </w:rPr>
            </w:pPr>
            <w:r w:rsidRPr="003D4A39">
              <w:rPr>
                <w:sz w:val="24"/>
                <w:szCs w:val="24"/>
              </w:rPr>
              <w:t>Nervesystemet</w:t>
            </w:r>
          </w:p>
        </w:tc>
        <w:tc>
          <w:tcPr>
            <w:tcW w:w="1685" w:type="pct"/>
            <w:tcBorders>
              <w:top w:val="single" w:sz="4" w:space="0" w:color="000000"/>
              <w:left w:val="single" w:sz="4" w:space="0" w:color="000000"/>
              <w:bottom w:val="single" w:sz="4" w:space="0" w:color="000000"/>
              <w:right w:val="single" w:sz="4" w:space="0" w:color="000000"/>
            </w:tcBorders>
          </w:tcPr>
          <w:p w14:paraId="7454A429" w14:textId="581F2D8F" w:rsidR="000E6038" w:rsidRPr="003D4A39" w:rsidRDefault="000E6038" w:rsidP="000E6038">
            <w:pPr>
              <w:keepNext/>
              <w:ind w:left="142"/>
              <w:rPr>
                <w:sz w:val="24"/>
                <w:szCs w:val="24"/>
              </w:rPr>
            </w:pPr>
            <w:r w:rsidRPr="003D4A39">
              <w:rPr>
                <w:sz w:val="24"/>
                <w:szCs w:val="24"/>
              </w:rPr>
              <w:t>Perifer sensorisk neuropati (≥G3: 2</w:t>
            </w:r>
            <w:r>
              <w:rPr>
                <w:sz w:val="24"/>
                <w:szCs w:val="24"/>
              </w:rPr>
              <w:t xml:space="preserve"> </w:t>
            </w:r>
            <w:proofErr w:type="gramStart"/>
            <w:r w:rsidRPr="003D4A39">
              <w:rPr>
                <w:sz w:val="24"/>
                <w:szCs w:val="24"/>
              </w:rPr>
              <w:t>%)</w:t>
            </w:r>
            <w:r w:rsidRPr="005D4D80">
              <w:rPr>
                <w:sz w:val="24"/>
                <w:szCs w:val="24"/>
                <w:vertAlign w:val="superscript"/>
              </w:rPr>
              <w:t>a</w:t>
            </w:r>
            <w:proofErr w:type="gramEnd"/>
            <w:r w:rsidRPr="003D4A39">
              <w:rPr>
                <w:sz w:val="24"/>
                <w:szCs w:val="24"/>
              </w:rPr>
              <w:t>;</w:t>
            </w:r>
          </w:p>
          <w:p w14:paraId="6E2AADAB" w14:textId="77777777" w:rsidR="000E6038" w:rsidRPr="003D4A39" w:rsidRDefault="000E6038" w:rsidP="000E6038">
            <w:pPr>
              <w:keepNext/>
              <w:ind w:left="142"/>
              <w:rPr>
                <w:sz w:val="24"/>
                <w:szCs w:val="24"/>
              </w:rPr>
            </w:pPr>
            <w:r w:rsidRPr="003D4A39">
              <w:rPr>
                <w:sz w:val="24"/>
                <w:szCs w:val="24"/>
              </w:rPr>
              <w:t>Hovedpine</w:t>
            </w:r>
          </w:p>
        </w:tc>
        <w:tc>
          <w:tcPr>
            <w:tcW w:w="1630" w:type="pct"/>
            <w:tcBorders>
              <w:top w:val="single" w:sz="4" w:space="0" w:color="000000"/>
              <w:left w:val="single" w:sz="4" w:space="0" w:color="000000"/>
              <w:bottom w:val="single" w:sz="4" w:space="0" w:color="000000"/>
              <w:right w:val="single" w:sz="4" w:space="0" w:color="000000"/>
            </w:tcBorders>
          </w:tcPr>
          <w:p w14:paraId="76556996" w14:textId="77777777" w:rsidR="000E6038" w:rsidRPr="003D4A39" w:rsidRDefault="000E6038" w:rsidP="000E6038">
            <w:pPr>
              <w:keepNext/>
              <w:ind w:left="142"/>
              <w:rPr>
                <w:sz w:val="24"/>
                <w:szCs w:val="24"/>
              </w:rPr>
            </w:pPr>
            <w:r w:rsidRPr="003D4A39">
              <w:rPr>
                <w:sz w:val="24"/>
                <w:szCs w:val="24"/>
              </w:rPr>
              <w:t>Svimmelhed</w:t>
            </w:r>
          </w:p>
        </w:tc>
      </w:tr>
      <w:tr w:rsidR="000E6038" w:rsidRPr="003D4A39" w14:paraId="5F0A8010" w14:textId="77777777" w:rsidTr="000E6038">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07B018F4" w14:textId="77777777" w:rsidR="000E6038" w:rsidRPr="003D4A39" w:rsidRDefault="000E6038" w:rsidP="000E6038">
            <w:pPr>
              <w:ind w:left="142"/>
              <w:rPr>
                <w:sz w:val="24"/>
                <w:szCs w:val="24"/>
              </w:rPr>
            </w:pPr>
            <w:r w:rsidRPr="003D4A39">
              <w:rPr>
                <w:sz w:val="24"/>
                <w:szCs w:val="24"/>
              </w:rPr>
              <w:t>Øjne</w:t>
            </w:r>
          </w:p>
        </w:tc>
        <w:tc>
          <w:tcPr>
            <w:tcW w:w="1685" w:type="pct"/>
            <w:tcBorders>
              <w:top w:val="single" w:sz="4" w:space="0" w:color="000000"/>
              <w:left w:val="single" w:sz="4" w:space="0" w:color="000000"/>
              <w:bottom w:val="single" w:sz="4" w:space="0" w:color="000000"/>
              <w:right w:val="single" w:sz="4" w:space="0" w:color="000000"/>
            </w:tcBorders>
          </w:tcPr>
          <w:p w14:paraId="09B9F168" w14:textId="77777777" w:rsidR="000E6038" w:rsidRPr="003D4A39" w:rsidRDefault="000E6038" w:rsidP="000E6038">
            <w:pPr>
              <w:ind w:left="142"/>
              <w:rPr>
                <w:sz w:val="24"/>
                <w:szCs w:val="24"/>
              </w:rPr>
            </w:pPr>
          </w:p>
        </w:tc>
        <w:tc>
          <w:tcPr>
            <w:tcW w:w="1630" w:type="pct"/>
            <w:tcBorders>
              <w:top w:val="single" w:sz="4" w:space="0" w:color="000000"/>
              <w:left w:val="single" w:sz="4" w:space="0" w:color="000000"/>
              <w:bottom w:val="single" w:sz="4" w:space="0" w:color="000000"/>
              <w:right w:val="single" w:sz="4" w:space="0" w:color="000000"/>
            </w:tcBorders>
            <w:hideMark/>
          </w:tcPr>
          <w:p w14:paraId="3D6ECF10" w14:textId="77777777" w:rsidR="000E6038" w:rsidRPr="003D4A39" w:rsidRDefault="000E6038" w:rsidP="000E6038">
            <w:pPr>
              <w:ind w:left="142"/>
              <w:rPr>
                <w:sz w:val="24"/>
                <w:szCs w:val="24"/>
              </w:rPr>
            </w:pPr>
            <w:r w:rsidRPr="003D4A39">
              <w:rPr>
                <w:sz w:val="24"/>
                <w:szCs w:val="24"/>
              </w:rPr>
              <w:t>Sløret syn</w:t>
            </w:r>
          </w:p>
        </w:tc>
      </w:tr>
      <w:tr w:rsidR="000E6038" w:rsidRPr="003D4A39" w14:paraId="5ED3B116" w14:textId="77777777" w:rsidTr="000E6038">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30DFCB31" w14:textId="77777777" w:rsidR="000E6038" w:rsidRPr="003D4A39" w:rsidRDefault="000E6038" w:rsidP="000E6038">
            <w:pPr>
              <w:ind w:left="142"/>
              <w:rPr>
                <w:sz w:val="24"/>
                <w:szCs w:val="24"/>
              </w:rPr>
            </w:pPr>
            <w:r w:rsidRPr="003D4A39">
              <w:rPr>
                <w:sz w:val="24"/>
                <w:szCs w:val="24"/>
              </w:rPr>
              <w:t>Hjerte</w:t>
            </w:r>
          </w:p>
        </w:tc>
        <w:tc>
          <w:tcPr>
            <w:tcW w:w="1685" w:type="pct"/>
            <w:tcBorders>
              <w:top w:val="single" w:sz="4" w:space="0" w:color="000000"/>
              <w:left w:val="single" w:sz="4" w:space="0" w:color="000000"/>
              <w:bottom w:val="single" w:sz="4" w:space="0" w:color="000000"/>
              <w:right w:val="single" w:sz="4" w:space="0" w:color="000000"/>
            </w:tcBorders>
          </w:tcPr>
          <w:p w14:paraId="1482E76D" w14:textId="77777777" w:rsidR="000E6038" w:rsidRPr="003D4A39" w:rsidRDefault="000E6038" w:rsidP="000E6038">
            <w:pPr>
              <w:ind w:left="142"/>
              <w:rPr>
                <w:sz w:val="24"/>
                <w:szCs w:val="24"/>
              </w:rPr>
            </w:pPr>
          </w:p>
        </w:tc>
        <w:tc>
          <w:tcPr>
            <w:tcW w:w="1630" w:type="pct"/>
            <w:tcBorders>
              <w:top w:val="single" w:sz="4" w:space="0" w:color="000000"/>
              <w:left w:val="single" w:sz="4" w:space="0" w:color="000000"/>
              <w:bottom w:val="single" w:sz="4" w:space="0" w:color="000000"/>
              <w:right w:val="single" w:sz="4" w:space="0" w:color="000000"/>
            </w:tcBorders>
            <w:hideMark/>
          </w:tcPr>
          <w:p w14:paraId="7CF50527" w14:textId="77777777" w:rsidR="000E6038" w:rsidRPr="003D4A39" w:rsidRDefault="000E6038" w:rsidP="000E6038">
            <w:pPr>
              <w:ind w:left="142"/>
              <w:rPr>
                <w:sz w:val="24"/>
                <w:szCs w:val="24"/>
              </w:rPr>
            </w:pPr>
            <w:r w:rsidRPr="003D4A39">
              <w:rPr>
                <w:sz w:val="24"/>
                <w:szCs w:val="24"/>
              </w:rPr>
              <w:t>Hypotension (G3: 0%)</w:t>
            </w:r>
          </w:p>
        </w:tc>
      </w:tr>
      <w:tr w:rsidR="000E6038" w:rsidRPr="003D4A39" w14:paraId="373538A7" w14:textId="77777777" w:rsidTr="000E6038">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7A3D8602" w14:textId="77777777" w:rsidR="000E6038" w:rsidRPr="003D4A39" w:rsidRDefault="000E6038" w:rsidP="000E6038">
            <w:pPr>
              <w:ind w:left="142"/>
              <w:rPr>
                <w:sz w:val="24"/>
                <w:szCs w:val="24"/>
              </w:rPr>
            </w:pPr>
            <w:r w:rsidRPr="003D4A39">
              <w:rPr>
                <w:sz w:val="24"/>
                <w:szCs w:val="24"/>
              </w:rPr>
              <w:t>Luftveje, thorax og mediastinum</w:t>
            </w:r>
          </w:p>
        </w:tc>
        <w:tc>
          <w:tcPr>
            <w:tcW w:w="1685" w:type="pct"/>
            <w:tcBorders>
              <w:top w:val="single" w:sz="4" w:space="0" w:color="000000"/>
              <w:left w:val="single" w:sz="4" w:space="0" w:color="000000"/>
              <w:bottom w:val="single" w:sz="4" w:space="0" w:color="000000"/>
              <w:right w:val="single" w:sz="4" w:space="0" w:color="000000"/>
            </w:tcBorders>
            <w:hideMark/>
          </w:tcPr>
          <w:p w14:paraId="254B05F2" w14:textId="77777777" w:rsidR="000E6038" w:rsidRPr="003D4A39" w:rsidRDefault="000E6038" w:rsidP="000E6038">
            <w:pPr>
              <w:ind w:left="142"/>
              <w:rPr>
                <w:sz w:val="24"/>
                <w:szCs w:val="24"/>
              </w:rPr>
            </w:pPr>
            <w:r w:rsidRPr="003D4A39">
              <w:rPr>
                <w:sz w:val="24"/>
                <w:szCs w:val="24"/>
              </w:rPr>
              <w:t>Dyspnø (G3: 1</w:t>
            </w:r>
            <w:r>
              <w:rPr>
                <w:sz w:val="24"/>
                <w:szCs w:val="24"/>
              </w:rPr>
              <w:t xml:space="preserve"> </w:t>
            </w:r>
            <w:r w:rsidRPr="003D4A39">
              <w:rPr>
                <w:sz w:val="24"/>
                <w:szCs w:val="24"/>
              </w:rPr>
              <w:t xml:space="preserve">%); </w:t>
            </w:r>
          </w:p>
          <w:p w14:paraId="4A2FDB45" w14:textId="77777777" w:rsidR="000E6038" w:rsidRPr="003D4A39" w:rsidRDefault="000E6038" w:rsidP="000E6038">
            <w:pPr>
              <w:ind w:left="142"/>
              <w:rPr>
                <w:sz w:val="24"/>
                <w:szCs w:val="24"/>
              </w:rPr>
            </w:pPr>
            <w:r w:rsidRPr="003D4A39">
              <w:rPr>
                <w:sz w:val="24"/>
                <w:szCs w:val="24"/>
              </w:rPr>
              <w:t>Hoste (G3: 0</w:t>
            </w:r>
            <w:r>
              <w:rPr>
                <w:sz w:val="24"/>
                <w:szCs w:val="24"/>
              </w:rPr>
              <w:t xml:space="preserve"> </w:t>
            </w:r>
            <w:r w:rsidRPr="003D4A39">
              <w:rPr>
                <w:sz w:val="24"/>
                <w:szCs w:val="24"/>
              </w:rPr>
              <w:t>%);</w:t>
            </w:r>
          </w:p>
          <w:p w14:paraId="28FBD569" w14:textId="77777777" w:rsidR="000E6038" w:rsidRPr="003D4A39" w:rsidRDefault="000E6038" w:rsidP="000E6038">
            <w:pPr>
              <w:ind w:left="142"/>
              <w:rPr>
                <w:sz w:val="24"/>
                <w:szCs w:val="24"/>
              </w:rPr>
            </w:pPr>
            <w:r w:rsidRPr="003D4A39">
              <w:rPr>
                <w:sz w:val="24"/>
                <w:szCs w:val="24"/>
              </w:rPr>
              <w:t>Infektioner i de øvre luftveje (G3: 1%)</w:t>
            </w:r>
          </w:p>
        </w:tc>
        <w:tc>
          <w:tcPr>
            <w:tcW w:w="1630" w:type="pct"/>
            <w:tcBorders>
              <w:top w:val="single" w:sz="4" w:space="0" w:color="000000"/>
              <w:left w:val="single" w:sz="4" w:space="0" w:color="000000"/>
              <w:bottom w:val="single" w:sz="4" w:space="0" w:color="000000"/>
              <w:right w:val="single" w:sz="4" w:space="0" w:color="000000"/>
            </w:tcBorders>
          </w:tcPr>
          <w:p w14:paraId="6036F3D6" w14:textId="3F23B41F" w:rsidR="000E6038" w:rsidRPr="003D4A39" w:rsidRDefault="000E6038" w:rsidP="000E6038">
            <w:pPr>
              <w:ind w:left="142"/>
              <w:rPr>
                <w:sz w:val="24"/>
                <w:szCs w:val="24"/>
              </w:rPr>
            </w:pPr>
            <w:r>
              <w:rPr>
                <w:sz w:val="24"/>
                <w:szCs w:val="24"/>
              </w:rPr>
              <w:t>F</w:t>
            </w:r>
            <w:r w:rsidRPr="003D4A39">
              <w:rPr>
                <w:sz w:val="24"/>
                <w:szCs w:val="24"/>
              </w:rPr>
              <w:t>aryngitis (G3: 0</w:t>
            </w:r>
            <w:r>
              <w:rPr>
                <w:sz w:val="24"/>
                <w:szCs w:val="24"/>
              </w:rPr>
              <w:t> </w:t>
            </w:r>
            <w:r w:rsidRPr="003D4A39">
              <w:rPr>
                <w:sz w:val="24"/>
                <w:szCs w:val="24"/>
              </w:rPr>
              <w:t>%)</w:t>
            </w:r>
          </w:p>
        </w:tc>
      </w:tr>
      <w:tr w:rsidR="000E6038" w:rsidRPr="003D4A39" w14:paraId="233974D9" w14:textId="77777777" w:rsidTr="000E6038">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0FCB2554" w14:textId="77777777" w:rsidR="000E6038" w:rsidRPr="003D4A39" w:rsidRDefault="000E6038" w:rsidP="002F3AAC">
            <w:pPr>
              <w:keepNext/>
              <w:ind w:left="142"/>
              <w:rPr>
                <w:sz w:val="24"/>
                <w:szCs w:val="24"/>
              </w:rPr>
            </w:pPr>
            <w:r w:rsidRPr="003D4A39">
              <w:rPr>
                <w:sz w:val="24"/>
                <w:szCs w:val="24"/>
              </w:rPr>
              <w:t>Mave-tarm-kanalen</w:t>
            </w:r>
          </w:p>
        </w:tc>
        <w:tc>
          <w:tcPr>
            <w:tcW w:w="1685" w:type="pct"/>
            <w:tcBorders>
              <w:top w:val="single" w:sz="4" w:space="0" w:color="000000"/>
              <w:left w:val="single" w:sz="4" w:space="0" w:color="000000"/>
              <w:bottom w:val="single" w:sz="4" w:space="0" w:color="000000"/>
              <w:right w:val="single" w:sz="4" w:space="0" w:color="000000"/>
            </w:tcBorders>
            <w:hideMark/>
          </w:tcPr>
          <w:p w14:paraId="7F63C601" w14:textId="77777777" w:rsidR="000E6038" w:rsidRPr="003D4A39" w:rsidRDefault="000E6038" w:rsidP="002F3AAC">
            <w:pPr>
              <w:keepNext/>
              <w:ind w:left="142"/>
              <w:rPr>
                <w:sz w:val="24"/>
                <w:szCs w:val="24"/>
              </w:rPr>
            </w:pPr>
            <w:r w:rsidRPr="003D4A39">
              <w:rPr>
                <w:sz w:val="24"/>
                <w:szCs w:val="24"/>
              </w:rPr>
              <w:t>Diarré (G3: 3</w:t>
            </w:r>
            <w:r>
              <w:rPr>
                <w:sz w:val="24"/>
                <w:szCs w:val="24"/>
              </w:rPr>
              <w:t xml:space="preserve"> </w:t>
            </w:r>
            <w:r w:rsidRPr="003D4A39">
              <w:rPr>
                <w:sz w:val="24"/>
                <w:szCs w:val="24"/>
              </w:rPr>
              <w:t xml:space="preserve">%); </w:t>
            </w:r>
          </w:p>
          <w:p w14:paraId="31B000F0" w14:textId="77777777" w:rsidR="000E6038" w:rsidRPr="003D4A39" w:rsidRDefault="000E6038" w:rsidP="002F3AAC">
            <w:pPr>
              <w:keepNext/>
              <w:ind w:left="142"/>
              <w:rPr>
                <w:sz w:val="24"/>
                <w:szCs w:val="24"/>
              </w:rPr>
            </w:pPr>
            <w:r w:rsidRPr="003D4A39">
              <w:rPr>
                <w:sz w:val="24"/>
                <w:szCs w:val="24"/>
              </w:rPr>
              <w:t>Stomatitis (G3: 0</w:t>
            </w:r>
            <w:r>
              <w:rPr>
                <w:sz w:val="24"/>
                <w:szCs w:val="24"/>
              </w:rPr>
              <w:t xml:space="preserve"> </w:t>
            </w:r>
            <w:r w:rsidRPr="003D4A39">
              <w:rPr>
                <w:sz w:val="24"/>
                <w:szCs w:val="24"/>
              </w:rPr>
              <w:t>%); Forstoppelse (G3: 0</w:t>
            </w:r>
            <w:r>
              <w:rPr>
                <w:sz w:val="24"/>
                <w:szCs w:val="24"/>
              </w:rPr>
              <w:t xml:space="preserve"> </w:t>
            </w:r>
            <w:r w:rsidRPr="003D4A39">
              <w:rPr>
                <w:sz w:val="24"/>
                <w:szCs w:val="24"/>
              </w:rPr>
              <w:t>%);</w:t>
            </w:r>
          </w:p>
          <w:p w14:paraId="4820B24E" w14:textId="77777777" w:rsidR="000E6038" w:rsidRPr="003D4A39" w:rsidRDefault="000E6038" w:rsidP="002F3AAC">
            <w:pPr>
              <w:keepNext/>
              <w:ind w:left="142"/>
              <w:rPr>
                <w:sz w:val="24"/>
                <w:szCs w:val="24"/>
              </w:rPr>
            </w:pPr>
            <w:r w:rsidRPr="003D4A39">
              <w:rPr>
                <w:sz w:val="24"/>
                <w:szCs w:val="24"/>
              </w:rPr>
              <w:t>Kvalme (G3: 1</w:t>
            </w:r>
            <w:r>
              <w:rPr>
                <w:sz w:val="24"/>
                <w:szCs w:val="24"/>
              </w:rPr>
              <w:t xml:space="preserve"> </w:t>
            </w:r>
            <w:r w:rsidRPr="003D4A39">
              <w:rPr>
                <w:sz w:val="24"/>
                <w:szCs w:val="24"/>
              </w:rPr>
              <w:t>%);</w:t>
            </w:r>
          </w:p>
          <w:p w14:paraId="2965403D" w14:textId="77777777" w:rsidR="000E6038" w:rsidRPr="003D4A39" w:rsidRDefault="000E6038" w:rsidP="002F3AAC">
            <w:pPr>
              <w:keepNext/>
              <w:ind w:left="142"/>
              <w:rPr>
                <w:sz w:val="24"/>
                <w:szCs w:val="24"/>
              </w:rPr>
            </w:pPr>
            <w:r w:rsidRPr="003D4A39">
              <w:rPr>
                <w:sz w:val="24"/>
                <w:szCs w:val="24"/>
              </w:rPr>
              <w:t xml:space="preserve">Dyspepsi; </w:t>
            </w:r>
          </w:p>
          <w:p w14:paraId="2C5E3F33" w14:textId="77777777" w:rsidR="000E6038" w:rsidRPr="003D4A39" w:rsidRDefault="000E6038" w:rsidP="002F3AAC">
            <w:pPr>
              <w:keepNext/>
              <w:ind w:left="142"/>
              <w:rPr>
                <w:sz w:val="24"/>
                <w:szCs w:val="24"/>
              </w:rPr>
            </w:pPr>
            <w:r w:rsidRPr="003D4A39">
              <w:rPr>
                <w:sz w:val="24"/>
                <w:szCs w:val="24"/>
              </w:rPr>
              <w:t>Abdominalsmerter (G3: 0</w:t>
            </w:r>
            <w:r>
              <w:rPr>
                <w:sz w:val="24"/>
                <w:szCs w:val="24"/>
              </w:rPr>
              <w:t xml:space="preserve"> </w:t>
            </w:r>
            <w:r w:rsidRPr="003D4A39">
              <w:rPr>
                <w:sz w:val="24"/>
                <w:szCs w:val="24"/>
              </w:rPr>
              <w:t>%);</w:t>
            </w:r>
          </w:p>
          <w:p w14:paraId="36AB559B" w14:textId="77777777" w:rsidR="000E6038" w:rsidRPr="003D4A39" w:rsidRDefault="000E6038" w:rsidP="002F3AAC">
            <w:pPr>
              <w:keepNext/>
              <w:ind w:left="142"/>
              <w:rPr>
                <w:sz w:val="24"/>
                <w:szCs w:val="24"/>
              </w:rPr>
            </w:pPr>
            <w:r w:rsidRPr="003D4A39">
              <w:rPr>
                <w:sz w:val="24"/>
                <w:szCs w:val="24"/>
              </w:rPr>
              <w:t>Flatulens</w:t>
            </w:r>
          </w:p>
        </w:tc>
        <w:tc>
          <w:tcPr>
            <w:tcW w:w="1630" w:type="pct"/>
            <w:tcBorders>
              <w:top w:val="single" w:sz="4" w:space="0" w:color="000000"/>
              <w:left w:val="single" w:sz="4" w:space="0" w:color="000000"/>
              <w:bottom w:val="single" w:sz="4" w:space="0" w:color="000000"/>
              <w:right w:val="single" w:sz="4" w:space="0" w:color="000000"/>
            </w:tcBorders>
            <w:hideMark/>
          </w:tcPr>
          <w:p w14:paraId="65FFD91F" w14:textId="77777777" w:rsidR="000E6038" w:rsidRPr="003D4A39" w:rsidRDefault="000E6038" w:rsidP="002F3AAC">
            <w:pPr>
              <w:keepNext/>
              <w:ind w:left="142"/>
              <w:rPr>
                <w:sz w:val="24"/>
                <w:szCs w:val="24"/>
              </w:rPr>
            </w:pPr>
            <w:r w:rsidRPr="003D4A39">
              <w:rPr>
                <w:sz w:val="24"/>
                <w:szCs w:val="24"/>
              </w:rPr>
              <w:t>Opkast (G3: 1</w:t>
            </w:r>
            <w:r>
              <w:rPr>
                <w:sz w:val="24"/>
                <w:szCs w:val="24"/>
              </w:rPr>
              <w:t xml:space="preserve"> </w:t>
            </w:r>
            <w:r w:rsidRPr="003D4A39">
              <w:rPr>
                <w:sz w:val="24"/>
                <w:szCs w:val="24"/>
              </w:rPr>
              <w:t>%)</w:t>
            </w:r>
          </w:p>
        </w:tc>
      </w:tr>
      <w:tr w:rsidR="000E6038" w:rsidRPr="003D4A39" w14:paraId="49FAF31F" w14:textId="77777777" w:rsidTr="000E6038">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6E446299" w14:textId="77777777" w:rsidR="000E6038" w:rsidRPr="003D4A39" w:rsidRDefault="000E6038" w:rsidP="000E6038">
            <w:pPr>
              <w:ind w:left="142"/>
              <w:rPr>
                <w:sz w:val="24"/>
                <w:szCs w:val="24"/>
              </w:rPr>
            </w:pPr>
            <w:r w:rsidRPr="003D4A39">
              <w:rPr>
                <w:sz w:val="24"/>
                <w:szCs w:val="24"/>
              </w:rPr>
              <w:t>Hud og subkutane væv</w:t>
            </w:r>
          </w:p>
        </w:tc>
        <w:tc>
          <w:tcPr>
            <w:tcW w:w="1685" w:type="pct"/>
            <w:tcBorders>
              <w:top w:val="single" w:sz="4" w:space="0" w:color="000000"/>
              <w:left w:val="single" w:sz="4" w:space="0" w:color="000000"/>
              <w:bottom w:val="single" w:sz="4" w:space="0" w:color="000000"/>
              <w:right w:val="single" w:sz="4" w:space="0" w:color="000000"/>
            </w:tcBorders>
          </w:tcPr>
          <w:p w14:paraId="50878982" w14:textId="77777777" w:rsidR="000E6038" w:rsidRPr="003D4A39" w:rsidRDefault="000E6038" w:rsidP="000E6038">
            <w:pPr>
              <w:ind w:left="142"/>
              <w:rPr>
                <w:sz w:val="24"/>
                <w:szCs w:val="24"/>
              </w:rPr>
            </w:pPr>
            <w:r w:rsidRPr="003D4A39">
              <w:rPr>
                <w:sz w:val="24"/>
                <w:szCs w:val="24"/>
              </w:rPr>
              <w:t>Alopeci (G3: 3</w:t>
            </w:r>
            <w:r>
              <w:rPr>
                <w:sz w:val="24"/>
                <w:szCs w:val="24"/>
              </w:rPr>
              <w:t xml:space="preserve"> </w:t>
            </w:r>
            <w:r w:rsidRPr="003D4A39">
              <w:rPr>
                <w:sz w:val="24"/>
                <w:szCs w:val="24"/>
              </w:rPr>
              <w:t>%);</w:t>
            </w:r>
          </w:p>
          <w:p w14:paraId="7AB318DD" w14:textId="77777777" w:rsidR="000E6038" w:rsidRPr="003D4A39" w:rsidRDefault="000E6038" w:rsidP="000E6038">
            <w:pPr>
              <w:ind w:left="142"/>
              <w:rPr>
                <w:sz w:val="24"/>
                <w:szCs w:val="24"/>
              </w:rPr>
            </w:pPr>
            <w:r w:rsidRPr="003D4A39">
              <w:rPr>
                <w:sz w:val="24"/>
                <w:szCs w:val="24"/>
              </w:rPr>
              <w:t>Negleforandringer (G3: 1</w:t>
            </w:r>
            <w:r>
              <w:rPr>
                <w:sz w:val="24"/>
                <w:szCs w:val="24"/>
              </w:rPr>
              <w:t xml:space="preserve"> </w:t>
            </w:r>
            <w:r w:rsidRPr="003D4A39">
              <w:rPr>
                <w:sz w:val="24"/>
                <w:szCs w:val="24"/>
              </w:rPr>
              <w:t>%)</w:t>
            </w:r>
          </w:p>
        </w:tc>
        <w:tc>
          <w:tcPr>
            <w:tcW w:w="1630" w:type="pct"/>
            <w:tcBorders>
              <w:top w:val="single" w:sz="4" w:space="0" w:color="000000"/>
              <w:left w:val="single" w:sz="4" w:space="0" w:color="000000"/>
              <w:bottom w:val="single" w:sz="4" w:space="0" w:color="000000"/>
              <w:right w:val="single" w:sz="4" w:space="0" w:color="000000"/>
            </w:tcBorders>
            <w:hideMark/>
          </w:tcPr>
          <w:p w14:paraId="43CDD1EB" w14:textId="77777777" w:rsidR="000E6038" w:rsidRPr="003D4A39" w:rsidRDefault="000E6038" w:rsidP="000E6038">
            <w:pPr>
              <w:ind w:left="142"/>
              <w:rPr>
                <w:sz w:val="24"/>
                <w:szCs w:val="24"/>
              </w:rPr>
            </w:pPr>
            <w:r w:rsidRPr="003D4A39">
              <w:rPr>
                <w:sz w:val="24"/>
                <w:szCs w:val="24"/>
              </w:rPr>
              <w:t>Udslæt</w:t>
            </w:r>
          </w:p>
        </w:tc>
      </w:tr>
      <w:tr w:rsidR="000E6038" w:rsidRPr="003D4A39" w14:paraId="1F49102D" w14:textId="77777777" w:rsidTr="000E6038">
        <w:trPr>
          <w:trHeight w:val="20"/>
        </w:trPr>
        <w:tc>
          <w:tcPr>
            <w:tcW w:w="1685" w:type="pct"/>
            <w:tcBorders>
              <w:top w:val="single" w:sz="4" w:space="0" w:color="000000"/>
              <w:left w:val="single" w:sz="4" w:space="0" w:color="000000"/>
              <w:bottom w:val="single" w:sz="4" w:space="0" w:color="000000"/>
              <w:right w:val="single" w:sz="4" w:space="0" w:color="000000"/>
            </w:tcBorders>
            <w:hideMark/>
          </w:tcPr>
          <w:p w14:paraId="3B4DC26E" w14:textId="77777777" w:rsidR="000E6038" w:rsidRPr="003D4A39" w:rsidRDefault="000E6038" w:rsidP="000E6038">
            <w:pPr>
              <w:ind w:left="142"/>
              <w:rPr>
                <w:sz w:val="24"/>
                <w:szCs w:val="24"/>
              </w:rPr>
            </w:pPr>
            <w:r w:rsidRPr="003D4A39">
              <w:rPr>
                <w:sz w:val="24"/>
                <w:szCs w:val="24"/>
              </w:rPr>
              <w:t>Knogler, led, muskler og bindevæv</w:t>
            </w:r>
          </w:p>
        </w:tc>
        <w:tc>
          <w:tcPr>
            <w:tcW w:w="1685" w:type="pct"/>
            <w:tcBorders>
              <w:top w:val="single" w:sz="4" w:space="0" w:color="000000"/>
              <w:left w:val="single" w:sz="4" w:space="0" w:color="000000"/>
              <w:bottom w:val="single" w:sz="4" w:space="0" w:color="000000"/>
              <w:right w:val="single" w:sz="4" w:space="0" w:color="000000"/>
            </w:tcBorders>
            <w:hideMark/>
          </w:tcPr>
          <w:p w14:paraId="3128CB75" w14:textId="77777777" w:rsidR="000E6038" w:rsidRPr="003D4A39" w:rsidRDefault="000E6038" w:rsidP="000E6038">
            <w:pPr>
              <w:ind w:left="142"/>
              <w:rPr>
                <w:sz w:val="24"/>
                <w:szCs w:val="24"/>
              </w:rPr>
            </w:pPr>
            <w:r w:rsidRPr="003D4A39">
              <w:rPr>
                <w:sz w:val="24"/>
                <w:szCs w:val="24"/>
              </w:rPr>
              <w:t>Myalgi</w:t>
            </w:r>
          </w:p>
        </w:tc>
        <w:tc>
          <w:tcPr>
            <w:tcW w:w="1630" w:type="pct"/>
            <w:tcBorders>
              <w:top w:val="single" w:sz="4" w:space="0" w:color="000000"/>
              <w:left w:val="single" w:sz="4" w:space="0" w:color="000000"/>
              <w:bottom w:val="single" w:sz="4" w:space="0" w:color="000000"/>
              <w:right w:val="single" w:sz="4" w:space="0" w:color="000000"/>
            </w:tcBorders>
          </w:tcPr>
          <w:p w14:paraId="051204A6" w14:textId="77777777" w:rsidR="000E6038" w:rsidRPr="003D4A39" w:rsidRDefault="000E6038" w:rsidP="000E6038">
            <w:pPr>
              <w:ind w:left="142"/>
              <w:rPr>
                <w:sz w:val="24"/>
                <w:szCs w:val="24"/>
              </w:rPr>
            </w:pPr>
          </w:p>
        </w:tc>
      </w:tr>
      <w:tr w:rsidR="000E6038" w:rsidRPr="003D4A39" w14:paraId="4EB5F290" w14:textId="77777777" w:rsidTr="000E6038">
        <w:trPr>
          <w:trHeight w:val="20"/>
        </w:trPr>
        <w:tc>
          <w:tcPr>
            <w:tcW w:w="1685" w:type="pct"/>
            <w:tcBorders>
              <w:top w:val="single" w:sz="4" w:space="0" w:color="000000"/>
              <w:left w:val="single" w:sz="4" w:space="0" w:color="000000"/>
              <w:bottom w:val="single" w:sz="4" w:space="0" w:color="000000"/>
              <w:right w:val="single" w:sz="4" w:space="0" w:color="000000"/>
            </w:tcBorders>
          </w:tcPr>
          <w:p w14:paraId="50FE46D8" w14:textId="77777777" w:rsidR="000E6038" w:rsidRPr="003D4A39" w:rsidRDefault="000E6038" w:rsidP="000E6038">
            <w:pPr>
              <w:ind w:left="142"/>
              <w:rPr>
                <w:sz w:val="24"/>
                <w:szCs w:val="24"/>
              </w:rPr>
            </w:pPr>
            <w:r w:rsidRPr="003D4A39">
              <w:rPr>
                <w:sz w:val="24"/>
                <w:szCs w:val="24"/>
              </w:rPr>
              <w:t>Almene symptomer og reaktioner på administrationsstedet</w:t>
            </w:r>
          </w:p>
        </w:tc>
        <w:tc>
          <w:tcPr>
            <w:tcW w:w="1685" w:type="pct"/>
            <w:tcBorders>
              <w:top w:val="single" w:sz="4" w:space="0" w:color="000000"/>
              <w:left w:val="single" w:sz="4" w:space="0" w:color="000000"/>
              <w:bottom w:val="single" w:sz="4" w:space="0" w:color="000000"/>
              <w:right w:val="single" w:sz="4" w:space="0" w:color="000000"/>
            </w:tcBorders>
          </w:tcPr>
          <w:p w14:paraId="45F0A4A9" w14:textId="77777777" w:rsidR="000E6038" w:rsidRPr="00DB67D0" w:rsidRDefault="000E6038" w:rsidP="000E6038">
            <w:pPr>
              <w:ind w:left="142"/>
              <w:rPr>
                <w:sz w:val="24"/>
                <w:szCs w:val="24"/>
                <w:lang w:val="en-US"/>
              </w:rPr>
            </w:pPr>
            <w:r w:rsidRPr="00DB67D0">
              <w:rPr>
                <w:sz w:val="24"/>
                <w:szCs w:val="24"/>
                <w:lang w:val="en-US"/>
              </w:rPr>
              <w:t xml:space="preserve">Letargi (G3-4: 2 %); Influenzalignende symptomer (G3: 0 %); </w:t>
            </w:r>
          </w:p>
          <w:p w14:paraId="3BE9B938" w14:textId="77777777" w:rsidR="000E6038" w:rsidRPr="00DB67D0" w:rsidRDefault="000E6038" w:rsidP="000E6038">
            <w:pPr>
              <w:ind w:left="142"/>
              <w:rPr>
                <w:sz w:val="24"/>
                <w:szCs w:val="24"/>
                <w:lang w:val="en-US"/>
              </w:rPr>
            </w:pPr>
            <w:r w:rsidRPr="00DB67D0">
              <w:rPr>
                <w:sz w:val="24"/>
                <w:szCs w:val="24"/>
                <w:lang w:val="en-US"/>
              </w:rPr>
              <w:t>Asteni (G3: 0 %);</w:t>
            </w:r>
          </w:p>
          <w:p w14:paraId="10735A4F" w14:textId="77777777" w:rsidR="000E6038" w:rsidRPr="003D4A39" w:rsidRDefault="000E6038" w:rsidP="000E6038">
            <w:pPr>
              <w:ind w:left="142"/>
              <w:rPr>
                <w:sz w:val="24"/>
                <w:szCs w:val="24"/>
              </w:rPr>
            </w:pPr>
            <w:r w:rsidRPr="003D4A39">
              <w:rPr>
                <w:sz w:val="24"/>
                <w:szCs w:val="24"/>
              </w:rPr>
              <w:t xml:space="preserve">Væskeretention  </w:t>
            </w:r>
          </w:p>
        </w:tc>
        <w:tc>
          <w:tcPr>
            <w:tcW w:w="1630" w:type="pct"/>
            <w:tcBorders>
              <w:top w:val="single" w:sz="4" w:space="0" w:color="000000"/>
              <w:left w:val="single" w:sz="4" w:space="0" w:color="000000"/>
              <w:bottom w:val="single" w:sz="4" w:space="0" w:color="000000"/>
              <w:right w:val="single" w:sz="4" w:space="0" w:color="000000"/>
            </w:tcBorders>
          </w:tcPr>
          <w:p w14:paraId="345C4EAF" w14:textId="77777777" w:rsidR="000E6038" w:rsidRPr="00DB67D0" w:rsidRDefault="000E6038" w:rsidP="000E6038">
            <w:pPr>
              <w:ind w:left="142"/>
              <w:rPr>
                <w:sz w:val="24"/>
                <w:szCs w:val="24"/>
                <w:lang w:val="en-US"/>
              </w:rPr>
            </w:pPr>
            <w:r w:rsidRPr="00DB67D0">
              <w:rPr>
                <w:sz w:val="24"/>
                <w:szCs w:val="24"/>
                <w:lang w:val="en-US"/>
              </w:rPr>
              <w:t xml:space="preserve">Feber (G3: 1 %); </w:t>
            </w:r>
          </w:p>
          <w:p w14:paraId="54435C13" w14:textId="77777777" w:rsidR="000E6038" w:rsidRPr="00DB67D0" w:rsidRDefault="000E6038" w:rsidP="000E6038">
            <w:pPr>
              <w:ind w:left="142"/>
              <w:rPr>
                <w:sz w:val="24"/>
                <w:szCs w:val="24"/>
                <w:lang w:val="en-US"/>
              </w:rPr>
            </w:pPr>
            <w:r w:rsidRPr="00DB67D0">
              <w:rPr>
                <w:sz w:val="24"/>
                <w:szCs w:val="24"/>
                <w:lang w:val="en-US"/>
              </w:rPr>
              <w:t>Oral candidiasis; Hypokalcæmi (G3: 0 %);</w:t>
            </w:r>
          </w:p>
          <w:p w14:paraId="37303033" w14:textId="77777777" w:rsidR="000E6038" w:rsidRPr="003D4A39" w:rsidRDefault="000E6038" w:rsidP="000E6038">
            <w:pPr>
              <w:ind w:left="142"/>
              <w:rPr>
                <w:sz w:val="24"/>
                <w:szCs w:val="24"/>
              </w:rPr>
            </w:pPr>
            <w:r w:rsidRPr="003D4A39">
              <w:rPr>
                <w:sz w:val="24"/>
                <w:szCs w:val="24"/>
              </w:rPr>
              <w:t>Hypofosfatæmi (G3-4: 1</w:t>
            </w:r>
            <w:r>
              <w:rPr>
                <w:sz w:val="24"/>
                <w:szCs w:val="24"/>
              </w:rPr>
              <w:t xml:space="preserve"> </w:t>
            </w:r>
            <w:r w:rsidRPr="003D4A39">
              <w:rPr>
                <w:sz w:val="24"/>
                <w:szCs w:val="24"/>
              </w:rPr>
              <w:t>%); Hypokaliæmi (G3: 0</w:t>
            </w:r>
            <w:r>
              <w:rPr>
                <w:sz w:val="24"/>
                <w:szCs w:val="24"/>
              </w:rPr>
              <w:t xml:space="preserve"> </w:t>
            </w:r>
            <w:r w:rsidRPr="003D4A39">
              <w:rPr>
                <w:sz w:val="24"/>
                <w:szCs w:val="24"/>
              </w:rPr>
              <w:t>%)</w:t>
            </w:r>
          </w:p>
        </w:tc>
      </w:tr>
    </w:tbl>
    <w:p w14:paraId="04954239" w14:textId="77777777" w:rsidR="000E6038" w:rsidRPr="005D4D80" w:rsidRDefault="000E6038" w:rsidP="000E6038">
      <w:pPr>
        <w:ind w:left="142"/>
        <w:rPr>
          <w:sz w:val="24"/>
          <w:szCs w:val="24"/>
        </w:rPr>
      </w:pPr>
      <w:r w:rsidRPr="005D4D80">
        <w:rPr>
          <w:sz w:val="24"/>
          <w:szCs w:val="24"/>
          <w:vertAlign w:val="superscript"/>
        </w:rPr>
        <w:t>a</w:t>
      </w:r>
      <w:r w:rsidRPr="005D4D80">
        <w:rPr>
          <w:sz w:val="24"/>
          <w:szCs w:val="24"/>
        </w:rPr>
        <w:t xml:space="preserve"> fra GETUG AFU15 studiet</w:t>
      </w:r>
    </w:p>
    <w:p w14:paraId="4EB75C65" w14:textId="0F194CCB" w:rsidR="000E6038" w:rsidRDefault="000E6038" w:rsidP="000E6038">
      <w:pPr>
        <w:rPr>
          <w:sz w:val="24"/>
          <w:szCs w:val="24"/>
        </w:rPr>
      </w:pPr>
    </w:p>
    <w:p w14:paraId="2390C1BD" w14:textId="77777777" w:rsidR="000E6038" w:rsidRPr="003D4A39" w:rsidRDefault="000E6038" w:rsidP="000E6038">
      <w:pPr>
        <w:keepNext/>
        <w:ind w:left="142"/>
        <w:rPr>
          <w:sz w:val="24"/>
          <w:szCs w:val="24"/>
          <w:u w:val="single"/>
        </w:rPr>
      </w:pPr>
      <w:r w:rsidRPr="003D4A39">
        <w:rPr>
          <w:sz w:val="24"/>
          <w:szCs w:val="24"/>
          <w:u w:val="single"/>
        </w:rPr>
        <w:t>Tabel over bivirkninger ved adjuverende behandling af brystkræft med docetaxel 75 mg/m² i kombination med doxorubicin og cyclophosphamid hos patienter med lymfeknude-positiv (TAX 316) og lymfeknude- negativ (GEICAM 9805) brystkræft – pooled data</w:t>
      </w:r>
    </w:p>
    <w:p w14:paraId="58A3B813" w14:textId="03652AC8" w:rsidR="000E6038" w:rsidRDefault="000E6038" w:rsidP="000E6038">
      <w:pPr>
        <w:rPr>
          <w:sz w:val="24"/>
          <w:szCs w:val="24"/>
        </w:rPr>
      </w:pPr>
    </w:p>
    <w:tbl>
      <w:tblPr>
        <w:tblW w:w="5000" w:type="pct"/>
        <w:tblCellMar>
          <w:left w:w="0" w:type="dxa"/>
          <w:right w:w="0" w:type="dxa"/>
        </w:tblCellMar>
        <w:tblLook w:val="04A0" w:firstRow="1" w:lastRow="0" w:firstColumn="1" w:lastColumn="0" w:noHBand="0" w:noVBand="1"/>
      </w:tblPr>
      <w:tblGrid>
        <w:gridCol w:w="2434"/>
        <w:gridCol w:w="2434"/>
        <w:gridCol w:w="2430"/>
        <w:gridCol w:w="2330"/>
      </w:tblGrid>
      <w:tr w:rsidR="000E6038" w:rsidRPr="003D4A39" w14:paraId="299FD3C9" w14:textId="77777777" w:rsidTr="000E6038">
        <w:trPr>
          <w:trHeight w:val="20"/>
          <w:tblHeader/>
        </w:trPr>
        <w:tc>
          <w:tcPr>
            <w:tcW w:w="1264" w:type="pct"/>
            <w:tcBorders>
              <w:top w:val="single" w:sz="4" w:space="0" w:color="auto"/>
              <w:left w:val="single" w:sz="4" w:space="0" w:color="auto"/>
              <w:bottom w:val="single" w:sz="4" w:space="0" w:color="auto"/>
              <w:right w:val="single" w:sz="4" w:space="0" w:color="auto"/>
            </w:tcBorders>
            <w:hideMark/>
          </w:tcPr>
          <w:p w14:paraId="5ECFFC93" w14:textId="77777777" w:rsidR="000E6038" w:rsidRPr="003D4A39" w:rsidRDefault="000E6038" w:rsidP="000E6038">
            <w:pPr>
              <w:keepNext/>
              <w:ind w:left="142"/>
              <w:rPr>
                <w:b/>
                <w:bCs/>
                <w:sz w:val="24"/>
                <w:szCs w:val="24"/>
              </w:rPr>
            </w:pPr>
            <w:r w:rsidRPr="003D4A39">
              <w:rPr>
                <w:b/>
                <w:bCs/>
                <w:sz w:val="24"/>
                <w:szCs w:val="24"/>
              </w:rPr>
              <w:t>Systemorganklasser i henhold til MedDRA-databasen</w:t>
            </w:r>
          </w:p>
        </w:tc>
        <w:tc>
          <w:tcPr>
            <w:tcW w:w="1264" w:type="pct"/>
            <w:tcBorders>
              <w:top w:val="single" w:sz="4" w:space="0" w:color="auto"/>
              <w:left w:val="single" w:sz="4" w:space="0" w:color="auto"/>
              <w:bottom w:val="single" w:sz="4" w:space="0" w:color="auto"/>
              <w:right w:val="single" w:sz="4" w:space="0" w:color="auto"/>
            </w:tcBorders>
            <w:hideMark/>
          </w:tcPr>
          <w:p w14:paraId="6C197568" w14:textId="77777777" w:rsidR="000E6038" w:rsidRPr="003D4A39" w:rsidRDefault="000E6038" w:rsidP="000E6038">
            <w:pPr>
              <w:keepNext/>
              <w:ind w:left="142"/>
              <w:rPr>
                <w:b/>
                <w:bCs/>
                <w:sz w:val="24"/>
                <w:szCs w:val="24"/>
              </w:rPr>
            </w:pPr>
            <w:r w:rsidRPr="003D4A39">
              <w:rPr>
                <w:b/>
                <w:bCs/>
                <w:sz w:val="24"/>
                <w:szCs w:val="24"/>
              </w:rPr>
              <w:t>Meget almindelige bivirkninger</w:t>
            </w:r>
          </w:p>
        </w:tc>
        <w:tc>
          <w:tcPr>
            <w:tcW w:w="1262" w:type="pct"/>
            <w:tcBorders>
              <w:top w:val="single" w:sz="4" w:space="0" w:color="auto"/>
              <w:left w:val="single" w:sz="4" w:space="0" w:color="auto"/>
              <w:bottom w:val="single" w:sz="4" w:space="0" w:color="auto"/>
              <w:right w:val="single" w:sz="4" w:space="0" w:color="auto"/>
            </w:tcBorders>
            <w:hideMark/>
          </w:tcPr>
          <w:p w14:paraId="27BA071A" w14:textId="77777777" w:rsidR="000E6038" w:rsidRPr="003D4A39" w:rsidRDefault="000E6038" w:rsidP="000E6038">
            <w:pPr>
              <w:keepNext/>
              <w:ind w:left="142"/>
              <w:rPr>
                <w:b/>
                <w:bCs/>
                <w:sz w:val="24"/>
                <w:szCs w:val="24"/>
              </w:rPr>
            </w:pPr>
            <w:r w:rsidRPr="003D4A39">
              <w:rPr>
                <w:b/>
                <w:bCs/>
                <w:sz w:val="24"/>
                <w:szCs w:val="24"/>
              </w:rPr>
              <w:t>Almindelige bivirkninger</w:t>
            </w:r>
          </w:p>
        </w:tc>
        <w:tc>
          <w:tcPr>
            <w:tcW w:w="1210" w:type="pct"/>
            <w:tcBorders>
              <w:top w:val="single" w:sz="4" w:space="0" w:color="auto"/>
              <w:left w:val="single" w:sz="4" w:space="0" w:color="auto"/>
              <w:bottom w:val="single" w:sz="4" w:space="0" w:color="auto"/>
              <w:right w:val="single" w:sz="4" w:space="0" w:color="auto"/>
            </w:tcBorders>
            <w:hideMark/>
          </w:tcPr>
          <w:p w14:paraId="26AF2EB6" w14:textId="77777777" w:rsidR="000E6038" w:rsidRPr="003D4A39" w:rsidRDefault="000E6038" w:rsidP="000E6038">
            <w:pPr>
              <w:keepNext/>
              <w:ind w:left="142"/>
              <w:rPr>
                <w:b/>
                <w:bCs/>
                <w:sz w:val="24"/>
                <w:szCs w:val="24"/>
              </w:rPr>
            </w:pPr>
            <w:r w:rsidRPr="003D4A39">
              <w:rPr>
                <w:b/>
                <w:bCs/>
                <w:sz w:val="24"/>
                <w:szCs w:val="24"/>
              </w:rPr>
              <w:t>Ikke almindelige bivirkninger</w:t>
            </w:r>
          </w:p>
        </w:tc>
      </w:tr>
      <w:tr w:rsidR="000E6038" w:rsidRPr="002535BC" w14:paraId="7B7E8273" w14:textId="77777777" w:rsidTr="000E6038">
        <w:trPr>
          <w:trHeight w:val="20"/>
        </w:trPr>
        <w:tc>
          <w:tcPr>
            <w:tcW w:w="1264" w:type="pct"/>
            <w:tcBorders>
              <w:top w:val="single" w:sz="4" w:space="0" w:color="auto"/>
              <w:left w:val="single" w:sz="4" w:space="0" w:color="000000"/>
              <w:bottom w:val="nil"/>
              <w:right w:val="single" w:sz="4" w:space="0" w:color="000000"/>
            </w:tcBorders>
            <w:hideMark/>
          </w:tcPr>
          <w:p w14:paraId="738C8D6C" w14:textId="77777777" w:rsidR="000E6038" w:rsidRPr="003D4A39" w:rsidRDefault="000E6038" w:rsidP="000E6038">
            <w:pPr>
              <w:keepNext/>
              <w:ind w:left="142"/>
              <w:rPr>
                <w:sz w:val="24"/>
                <w:szCs w:val="24"/>
              </w:rPr>
            </w:pPr>
            <w:r w:rsidRPr="003D4A39">
              <w:rPr>
                <w:sz w:val="24"/>
                <w:szCs w:val="24"/>
              </w:rPr>
              <w:t>Infektioner og parasitære sygdomme</w:t>
            </w:r>
          </w:p>
        </w:tc>
        <w:tc>
          <w:tcPr>
            <w:tcW w:w="1264" w:type="pct"/>
            <w:tcBorders>
              <w:top w:val="single" w:sz="4" w:space="0" w:color="auto"/>
              <w:left w:val="single" w:sz="4" w:space="0" w:color="000000"/>
              <w:bottom w:val="nil"/>
              <w:right w:val="single" w:sz="4" w:space="0" w:color="000000"/>
            </w:tcBorders>
            <w:hideMark/>
          </w:tcPr>
          <w:p w14:paraId="721A6C68" w14:textId="77777777" w:rsidR="000E6038" w:rsidRPr="002535BC" w:rsidRDefault="000E6038" w:rsidP="000E6038">
            <w:pPr>
              <w:keepNext/>
              <w:ind w:left="142"/>
              <w:rPr>
                <w:sz w:val="24"/>
                <w:szCs w:val="24"/>
                <w:lang w:val="sv-SE"/>
              </w:rPr>
            </w:pPr>
            <w:r w:rsidRPr="002535BC">
              <w:rPr>
                <w:sz w:val="24"/>
                <w:szCs w:val="24"/>
                <w:lang w:val="sv-SE"/>
              </w:rPr>
              <w:t>Infektioner (G3/4: 2,4 %);</w:t>
            </w:r>
          </w:p>
          <w:p w14:paraId="7ABDBB80" w14:textId="77777777" w:rsidR="000E6038" w:rsidRPr="002535BC" w:rsidRDefault="000E6038" w:rsidP="000E6038">
            <w:pPr>
              <w:keepNext/>
              <w:ind w:left="142"/>
              <w:rPr>
                <w:sz w:val="24"/>
                <w:szCs w:val="24"/>
                <w:lang w:val="sv-SE"/>
              </w:rPr>
            </w:pPr>
            <w:r w:rsidRPr="002535BC">
              <w:rPr>
                <w:sz w:val="24"/>
                <w:szCs w:val="24"/>
                <w:lang w:val="sv-SE"/>
              </w:rPr>
              <w:t>Neutropenisk infektion (G3/4: 2,6 %)</w:t>
            </w:r>
          </w:p>
        </w:tc>
        <w:tc>
          <w:tcPr>
            <w:tcW w:w="1262" w:type="pct"/>
            <w:tcBorders>
              <w:top w:val="single" w:sz="4" w:space="0" w:color="auto"/>
              <w:left w:val="single" w:sz="4" w:space="0" w:color="000000"/>
              <w:bottom w:val="single" w:sz="4" w:space="0" w:color="000000"/>
              <w:right w:val="single" w:sz="4" w:space="0" w:color="000000"/>
            </w:tcBorders>
          </w:tcPr>
          <w:p w14:paraId="5BCF2917" w14:textId="77777777" w:rsidR="000E6038" w:rsidRPr="002535BC" w:rsidRDefault="000E6038" w:rsidP="000E6038">
            <w:pPr>
              <w:keepNext/>
              <w:ind w:left="142"/>
              <w:rPr>
                <w:sz w:val="24"/>
                <w:szCs w:val="24"/>
                <w:lang w:val="sv-SE"/>
              </w:rPr>
            </w:pPr>
          </w:p>
        </w:tc>
        <w:tc>
          <w:tcPr>
            <w:tcW w:w="1210" w:type="pct"/>
            <w:tcBorders>
              <w:top w:val="single" w:sz="4" w:space="0" w:color="auto"/>
              <w:left w:val="single" w:sz="4" w:space="0" w:color="000000"/>
              <w:bottom w:val="single" w:sz="4" w:space="0" w:color="000000"/>
              <w:right w:val="single" w:sz="4" w:space="0" w:color="000000"/>
            </w:tcBorders>
          </w:tcPr>
          <w:p w14:paraId="3568407B" w14:textId="77777777" w:rsidR="000E6038" w:rsidRPr="002535BC" w:rsidRDefault="000E6038" w:rsidP="000E6038">
            <w:pPr>
              <w:keepNext/>
              <w:ind w:left="142"/>
              <w:rPr>
                <w:sz w:val="24"/>
                <w:szCs w:val="24"/>
                <w:lang w:val="sv-SE"/>
              </w:rPr>
            </w:pPr>
          </w:p>
        </w:tc>
      </w:tr>
      <w:tr w:rsidR="000E6038" w:rsidRPr="003D4A39" w14:paraId="5215BB3A" w14:textId="77777777" w:rsidTr="000E6038">
        <w:trPr>
          <w:trHeight w:val="20"/>
        </w:trPr>
        <w:tc>
          <w:tcPr>
            <w:tcW w:w="1264" w:type="pct"/>
            <w:tcBorders>
              <w:top w:val="single" w:sz="4" w:space="0" w:color="000000"/>
              <w:left w:val="single" w:sz="4" w:space="0" w:color="000000"/>
              <w:bottom w:val="single" w:sz="4" w:space="0" w:color="000000"/>
              <w:right w:val="single" w:sz="4" w:space="0" w:color="000000"/>
            </w:tcBorders>
            <w:hideMark/>
          </w:tcPr>
          <w:p w14:paraId="3F5F78D4" w14:textId="77777777" w:rsidR="000E6038" w:rsidRPr="003D4A39" w:rsidRDefault="000E6038" w:rsidP="000E6038">
            <w:pPr>
              <w:ind w:left="142"/>
              <w:rPr>
                <w:sz w:val="24"/>
                <w:szCs w:val="24"/>
              </w:rPr>
            </w:pPr>
            <w:r w:rsidRPr="003D4A39">
              <w:rPr>
                <w:sz w:val="24"/>
                <w:szCs w:val="24"/>
              </w:rPr>
              <w:t>Blod og lymfesystem</w:t>
            </w:r>
          </w:p>
        </w:tc>
        <w:tc>
          <w:tcPr>
            <w:tcW w:w="1264" w:type="pct"/>
            <w:tcBorders>
              <w:top w:val="single" w:sz="4" w:space="0" w:color="000000"/>
              <w:left w:val="single" w:sz="4" w:space="0" w:color="000000"/>
              <w:bottom w:val="single" w:sz="4" w:space="0" w:color="000000"/>
              <w:right w:val="single" w:sz="4" w:space="0" w:color="000000"/>
            </w:tcBorders>
            <w:hideMark/>
          </w:tcPr>
          <w:p w14:paraId="66E714EF" w14:textId="77777777" w:rsidR="009B0C24" w:rsidRPr="00EF58FE" w:rsidRDefault="009B0C24" w:rsidP="009B0C24">
            <w:pPr>
              <w:ind w:left="142"/>
              <w:rPr>
                <w:sz w:val="24"/>
                <w:szCs w:val="24"/>
                <w:lang w:val="en-US"/>
              </w:rPr>
            </w:pPr>
            <w:r w:rsidRPr="00EF58FE">
              <w:rPr>
                <w:sz w:val="24"/>
                <w:szCs w:val="24"/>
                <w:lang w:val="en-US"/>
              </w:rPr>
              <w:t xml:space="preserve">Anæmi (G3/4: 3 %); </w:t>
            </w:r>
          </w:p>
          <w:p w14:paraId="4A1B14CD" w14:textId="77777777" w:rsidR="009B0C24" w:rsidRPr="009B0C24" w:rsidRDefault="009B0C24" w:rsidP="009B0C24">
            <w:pPr>
              <w:ind w:left="142"/>
              <w:rPr>
                <w:sz w:val="24"/>
                <w:szCs w:val="24"/>
                <w:lang w:val="en-US"/>
              </w:rPr>
            </w:pPr>
            <w:r w:rsidRPr="009B0C24">
              <w:rPr>
                <w:sz w:val="24"/>
                <w:szCs w:val="24"/>
                <w:lang w:val="en-US"/>
              </w:rPr>
              <w:t>Neutropeni (G3/4: 59,2 %);</w:t>
            </w:r>
          </w:p>
          <w:p w14:paraId="0BF9DF9B" w14:textId="77777777" w:rsidR="009B0C24" w:rsidRPr="009B0C24" w:rsidRDefault="009B0C24" w:rsidP="009B0C24">
            <w:pPr>
              <w:ind w:left="142"/>
              <w:rPr>
                <w:sz w:val="24"/>
                <w:szCs w:val="24"/>
                <w:lang w:val="en-US"/>
              </w:rPr>
            </w:pPr>
            <w:r w:rsidRPr="009B0C24">
              <w:rPr>
                <w:sz w:val="24"/>
                <w:szCs w:val="24"/>
                <w:lang w:val="en-US"/>
              </w:rPr>
              <w:t>Trombocytopeni (G3/4: 1,6 %);</w:t>
            </w:r>
          </w:p>
          <w:p w14:paraId="09C7E5D8" w14:textId="0C03FCB4" w:rsidR="000E6038" w:rsidRPr="003D4A39" w:rsidRDefault="009B0C24" w:rsidP="009B0C24">
            <w:pPr>
              <w:ind w:left="142"/>
              <w:rPr>
                <w:sz w:val="24"/>
                <w:szCs w:val="24"/>
              </w:rPr>
            </w:pPr>
            <w:r w:rsidRPr="003D4A39">
              <w:rPr>
                <w:sz w:val="24"/>
                <w:szCs w:val="24"/>
              </w:rPr>
              <w:t>Febril neutropeni (G3/4: NA)</w:t>
            </w:r>
          </w:p>
        </w:tc>
        <w:tc>
          <w:tcPr>
            <w:tcW w:w="1262" w:type="pct"/>
            <w:tcBorders>
              <w:top w:val="single" w:sz="4" w:space="0" w:color="000000"/>
              <w:left w:val="single" w:sz="4" w:space="0" w:color="000000"/>
              <w:bottom w:val="single" w:sz="4" w:space="0" w:color="000000"/>
              <w:right w:val="single" w:sz="4" w:space="0" w:color="000000"/>
            </w:tcBorders>
          </w:tcPr>
          <w:p w14:paraId="54C94830" w14:textId="77777777" w:rsidR="000E6038" w:rsidRPr="003D4A39" w:rsidRDefault="000E6038" w:rsidP="000E6038">
            <w:pPr>
              <w:ind w:left="142"/>
              <w:rPr>
                <w:sz w:val="24"/>
                <w:szCs w:val="24"/>
              </w:rPr>
            </w:pPr>
          </w:p>
        </w:tc>
        <w:tc>
          <w:tcPr>
            <w:tcW w:w="1210" w:type="pct"/>
            <w:tcBorders>
              <w:top w:val="single" w:sz="4" w:space="0" w:color="000000"/>
              <w:left w:val="single" w:sz="4" w:space="0" w:color="000000"/>
              <w:bottom w:val="single" w:sz="4" w:space="0" w:color="000000"/>
              <w:right w:val="single" w:sz="4" w:space="0" w:color="000000"/>
            </w:tcBorders>
          </w:tcPr>
          <w:p w14:paraId="48E34688" w14:textId="77777777" w:rsidR="000E6038" w:rsidRPr="003D4A39" w:rsidRDefault="000E6038" w:rsidP="000E6038">
            <w:pPr>
              <w:ind w:left="142"/>
              <w:rPr>
                <w:sz w:val="24"/>
                <w:szCs w:val="24"/>
              </w:rPr>
            </w:pPr>
          </w:p>
        </w:tc>
      </w:tr>
      <w:tr w:rsidR="000E6038" w:rsidRPr="003D4A39" w14:paraId="2B64A1E0" w14:textId="77777777" w:rsidTr="000E6038">
        <w:trPr>
          <w:trHeight w:val="20"/>
        </w:trPr>
        <w:tc>
          <w:tcPr>
            <w:tcW w:w="1264" w:type="pct"/>
            <w:tcBorders>
              <w:top w:val="single" w:sz="4" w:space="0" w:color="000000"/>
              <w:left w:val="single" w:sz="4" w:space="0" w:color="000000"/>
              <w:bottom w:val="single" w:sz="4" w:space="0" w:color="000000"/>
              <w:right w:val="single" w:sz="4" w:space="0" w:color="000000"/>
            </w:tcBorders>
            <w:hideMark/>
          </w:tcPr>
          <w:p w14:paraId="26BC8886" w14:textId="77777777" w:rsidR="000E6038" w:rsidRPr="003D4A39" w:rsidRDefault="000E6038" w:rsidP="000E6038">
            <w:pPr>
              <w:ind w:left="142"/>
              <w:rPr>
                <w:sz w:val="24"/>
                <w:szCs w:val="24"/>
              </w:rPr>
            </w:pPr>
            <w:r w:rsidRPr="003D4A39">
              <w:rPr>
                <w:sz w:val="24"/>
                <w:szCs w:val="24"/>
              </w:rPr>
              <w:t>Immunsystemet</w:t>
            </w:r>
          </w:p>
        </w:tc>
        <w:tc>
          <w:tcPr>
            <w:tcW w:w="1264" w:type="pct"/>
            <w:tcBorders>
              <w:top w:val="single" w:sz="4" w:space="0" w:color="000000"/>
              <w:left w:val="single" w:sz="4" w:space="0" w:color="000000"/>
              <w:bottom w:val="single" w:sz="4" w:space="0" w:color="000000"/>
              <w:right w:val="single" w:sz="4" w:space="0" w:color="000000"/>
            </w:tcBorders>
          </w:tcPr>
          <w:p w14:paraId="29CE3819" w14:textId="77777777" w:rsidR="000E6038" w:rsidRPr="003D4A39" w:rsidRDefault="000E6038" w:rsidP="000E6038">
            <w:pPr>
              <w:ind w:left="142"/>
              <w:rPr>
                <w:sz w:val="24"/>
                <w:szCs w:val="24"/>
              </w:rPr>
            </w:pPr>
          </w:p>
        </w:tc>
        <w:tc>
          <w:tcPr>
            <w:tcW w:w="1262" w:type="pct"/>
            <w:tcBorders>
              <w:top w:val="single" w:sz="4" w:space="0" w:color="000000"/>
              <w:left w:val="single" w:sz="4" w:space="0" w:color="000000"/>
              <w:bottom w:val="single" w:sz="4" w:space="0" w:color="000000"/>
              <w:right w:val="single" w:sz="4" w:space="0" w:color="000000"/>
            </w:tcBorders>
            <w:hideMark/>
          </w:tcPr>
          <w:p w14:paraId="674AF27E" w14:textId="77777777" w:rsidR="000E6038" w:rsidRPr="003D4A39" w:rsidRDefault="000E6038" w:rsidP="000E6038">
            <w:pPr>
              <w:ind w:left="142"/>
              <w:rPr>
                <w:sz w:val="24"/>
                <w:szCs w:val="24"/>
              </w:rPr>
            </w:pPr>
            <w:r w:rsidRPr="003D4A39">
              <w:rPr>
                <w:sz w:val="24"/>
                <w:szCs w:val="24"/>
              </w:rPr>
              <w:t>Overfølsomhed (G3/4: 0,6 %)</w:t>
            </w:r>
          </w:p>
        </w:tc>
        <w:tc>
          <w:tcPr>
            <w:tcW w:w="1210" w:type="pct"/>
            <w:tcBorders>
              <w:top w:val="single" w:sz="4" w:space="0" w:color="000000"/>
              <w:left w:val="single" w:sz="4" w:space="0" w:color="000000"/>
              <w:bottom w:val="single" w:sz="4" w:space="0" w:color="000000"/>
              <w:right w:val="single" w:sz="4" w:space="0" w:color="000000"/>
            </w:tcBorders>
          </w:tcPr>
          <w:p w14:paraId="4145BCB1" w14:textId="77777777" w:rsidR="000E6038" w:rsidRPr="003D4A39" w:rsidRDefault="000E6038" w:rsidP="000E6038">
            <w:pPr>
              <w:ind w:left="142"/>
              <w:rPr>
                <w:sz w:val="24"/>
                <w:szCs w:val="24"/>
              </w:rPr>
            </w:pPr>
          </w:p>
        </w:tc>
      </w:tr>
      <w:tr w:rsidR="000E6038" w:rsidRPr="003D4A39" w14:paraId="5DB7F426" w14:textId="77777777" w:rsidTr="000E6038">
        <w:trPr>
          <w:trHeight w:val="20"/>
        </w:trPr>
        <w:tc>
          <w:tcPr>
            <w:tcW w:w="1264" w:type="pct"/>
            <w:tcBorders>
              <w:top w:val="single" w:sz="4" w:space="0" w:color="000000"/>
              <w:left w:val="single" w:sz="4" w:space="0" w:color="000000"/>
              <w:bottom w:val="single" w:sz="4" w:space="0" w:color="000000"/>
              <w:right w:val="single" w:sz="4" w:space="0" w:color="000000"/>
            </w:tcBorders>
            <w:hideMark/>
          </w:tcPr>
          <w:p w14:paraId="4EA2E478" w14:textId="77777777" w:rsidR="000E6038" w:rsidRPr="003D4A39" w:rsidRDefault="000E6038" w:rsidP="000E6038">
            <w:pPr>
              <w:ind w:left="142"/>
              <w:rPr>
                <w:sz w:val="24"/>
                <w:szCs w:val="24"/>
              </w:rPr>
            </w:pPr>
            <w:r w:rsidRPr="003D4A39">
              <w:rPr>
                <w:sz w:val="24"/>
                <w:szCs w:val="24"/>
              </w:rPr>
              <w:t>Metabolisme og ernæring</w:t>
            </w:r>
          </w:p>
        </w:tc>
        <w:tc>
          <w:tcPr>
            <w:tcW w:w="1264" w:type="pct"/>
            <w:tcBorders>
              <w:top w:val="single" w:sz="4" w:space="0" w:color="000000"/>
              <w:left w:val="single" w:sz="4" w:space="0" w:color="000000"/>
              <w:bottom w:val="single" w:sz="4" w:space="0" w:color="000000"/>
              <w:right w:val="single" w:sz="4" w:space="0" w:color="000000"/>
            </w:tcBorders>
            <w:hideMark/>
          </w:tcPr>
          <w:p w14:paraId="5A239E1E" w14:textId="77777777" w:rsidR="000E6038" w:rsidRPr="003D4A39" w:rsidRDefault="000E6038" w:rsidP="000E6038">
            <w:pPr>
              <w:ind w:left="142"/>
              <w:rPr>
                <w:sz w:val="24"/>
                <w:szCs w:val="24"/>
              </w:rPr>
            </w:pPr>
            <w:r w:rsidRPr="003D4A39">
              <w:rPr>
                <w:sz w:val="24"/>
                <w:szCs w:val="24"/>
              </w:rPr>
              <w:t>Anoreksi (G3/4: 1,5 %)</w:t>
            </w:r>
          </w:p>
        </w:tc>
        <w:tc>
          <w:tcPr>
            <w:tcW w:w="1262" w:type="pct"/>
            <w:tcBorders>
              <w:top w:val="single" w:sz="4" w:space="0" w:color="000000"/>
              <w:left w:val="single" w:sz="4" w:space="0" w:color="000000"/>
              <w:bottom w:val="single" w:sz="4" w:space="0" w:color="000000"/>
              <w:right w:val="single" w:sz="4" w:space="0" w:color="000000"/>
            </w:tcBorders>
          </w:tcPr>
          <w:p w14:paraId="2375CC87" w14:textId="77777777" w:rsidR="000E6038" w:rsidRPr="003D4A39" w:rsidRDefault="000E6038" w:rsidP="000E6038">
            <w:pPr>
              <w:ind w:left="142"/>
              <w:rPr>
                <w:sz w:val="24"/>
                <w:szCs w:val="24"/>
              </w:rPr>
            </w:pPr>
          </w:p>
        </w:tc>
        <w:tc>
          <w:tcPr>
            <w:tcW w:w="1210" w:type="pct"/>
            <w:tcBorders>
              <w:top w:val="single" w:sz="4" w:space="0" w:color="000000"/>
              <w:left w:val="single" w:sz="4" w:space="0" w:color="000000"/>
              <w:bottom w:val="single" w:sz="4" w:space="0" w:color="000000"/>
              <w:right w:val="single" w:sz="4" w:space="0" w:color="000000"/>
            </w:tcBorders>
          </w:tcPr>
          <w:p w14:paraId="79341288" w14:textId="77777777" w:rsidR="000E6038" w:rsidRPr="003D4A39" w:rsidRDefault="000E6038" w:rsidP="000E6038">
            <w:pPr>
              <w:ind w:left="142"/>
              <w:rPr>
                <w:sz w:val="24"/>
                <w:szCs w:val="24"/>
              </w:rPr>
            </w:pPr>
          </w:p>
        </w:tc>
      </w:tr>
      <w:tr w:rsidR="000E6038" w:rsidRPr="003D4A39" w14:paraId="6D71FD4C" w14:textId="77777777" w:rsidTr="000E6038">
        <w:trPr>
          <w:trHeight w:val="20"/>
        </w:trPr>
        <w:tc>
          <w:tcPr>
            <w:tcW w:w="1264" w:type="pct"/>
            <w:tcBorders>
              <w:top w:val="single" w:sz="4" w:space="0" w:color="000000"/>
              <w:left w:val="single" w:sz="4" w:space="0" w:color="000000"/>
              <w:bottom w:val="single" w:sz="4" w:space="0" w:color="000000"/>
              <w:right w:val="single" w:sz="4" w:space="0" w:color="000000"/>
            </w:tcBorders>
            <w:hideMark/>
          </w:tcPr>
          <w:p w14:paraId="751E42AC" w14:textId="77777777" w:rsidR="000E6038" w:rsidRPr="003D4A39" w:rsidRDefault="000E6038" w:rsidP="000E6038">
            <w:pPr>
              <w:ind w:left="142"/>
              <w:rPr>
                <w:sz w:val="24"/>
                <w:szCs w:val="24"/>
              </w:rPr>
            </w:pPr>
            <w:r w:rsidRPr="003D4A39">
              <w:rPr>
                <w:sz w:val="24"/>
                <w:szCs w:val="24"/>
              </w:rPr>
              <w:t>Nervesystemet</w:t>
            </w:r>
          </w:p>
        </w:tc>
        <w:tc>
          <w:tcPr>
            <w:tcW w:w="1264" w:type="pct"/>
            <w:tcBorders>
              <w:top w:val="single" w:sz="4" w:space="0" w:color="000000"/>
              <w:left w:val="single" w:sz="4" w:space="0" w:color="000000"/>
              <w:bottom w:val="single" w:sz="4" w:space="0" w:color="000000"/>
              <w:right w:val="single" w:sz="4" w:space="0" w:color="000000"/>
            </w:tcBorders>
            <w:hideMark/>
          </w:tcPr>
          <w:p w14:paraId="24F0BDC4" w14:textId="77777777" w:rsidR="000E6038" w:rsidRPr="003D4A39" w:rsidRDefault="000E6038" w:rsidP="000E6038">
            <w:pPr>
              <w:ind w:left="142"/>
              <w:rPr>
                <w:sz w:val="24"/>
                <w:szCs w:val="24"/>
              </w:rPr>
            </w:pPr>
            <w:r w:rsidRPr="003D4A39">
              <w:rPr>
                <w:sz w:val="24"/>
                <w:szCs w:val="24"/>
              </w:rPr>
              <w:t xml:space="preserve">Dysgeusi (G3/4: 0,6 %); </w:t>
            </w:r>
          </w:p>
          <w:p w14:paraId="42ACD6A7" w14:textId="77777777" w:rsidR="000E6038" w:rsidRPr="003D4A39" w:rsidRDefault="000E6038" w:rsidP="000E6038">
            <w:pPr>
              <w:ind w:left="142"/>
              <w:rPr>
                <w:sz w:val="24"/>
                <w:szCs w:val="24"/>
              </w:rPr>
            </w:pPr>
            <w:r w:rsidRPr="003D4A39">
              <w:rPr>
                <w:sz w:val="24"/>
                <w:szCs w:val="24"/>
              </w:rPr>
              <w:t>Perifer sensorisk neuropati (G3/4: &lt; 0,1 %)</w:t>
            </w:r>
          </w:p>
        </w:tc>
        <w:tc>
          <w:tcPr>
            <w:tcW w:w="1262" w:type="pct"/>
            <w:tcBorders>
              <w:top w:val="single" w:sz="4" w:space="0" w:color="000000"/>
              <w:left w:val="single" w:sz="4" w:space="0" w:color="000000"/>
              <w:bottom w:val="single" w:sz="4" w:space="0" w:color="000000"/>
              <w:right w:val="single" w:sz="4" w:space="0" w:color="000000"/>
            </w:tcBorders>
            <w:hideMark/>
          </w:tcPr>
          <w:p w14:paraId="7BB3A552" w14:textId="77777777" w:rsidR="000E6038" w:rsidRPr="003D4A39" w:rsidRDefault="000E6038" w:rsidP="000E6038">
            <w:pPr>
              <w:ind w:left="142"/>
              <w:rPr>
                <w:sz w:val="24"/>
                <w:szCs w:val="24"/>
              </w:rPr>
            </w:pPr>
            <w:r w:rsidRPr="003D4A39">
              <w:rPr>
                <w:sz w:val="24"/>
                <w:szCs w:val="24"/>
              </w:rPr>
              <w:t>Perifer motorisk neuropati (G3/4: 0 %);</w:t>
            </w:r>
          </w:p>
        </w:tc>
        <w:tc>
          <w:tcPr>
            <w:tcW w:w="1210" w:type="pct"/>
            <w:tcBorders>
              <w:top w:val="single" w:sz="4" w:space="0" w:color="000000"/>
              <w:left w:val="single" w:sz="4" w:space="0" w:color="000000"/>
              <w:bottom w:val="single" w:sz="4" w:space="0" w:color="000000"/>
              <w:right w:val="single" w:sz="4" w:space="0" w:color="000000"/>
            </w:tcBorders>
            <w:hideMark/>
          </w:tcPr>
          <w:p w14:paraId="35DA4721" w14:textId="77777777" w:rsidR="000E6038" w:rsidRPr="003D4A39" w:rsidRDefault="000E6038" w:rsidP="000E6038">
            <w:pPr>
              <w:ind w:left="142"/>
              <w:rPr>
                <w:sz w:val="24"/>
                <w:szCs w:val="24"/>
              </w:rPr>
            </w:pPr>
            <w:r w:rsidRPr="003D4A39">
              <w:rPr>
                <w:sz w:val="24"/>
                <w:szCs w:val="24"/>
              </w:rPr>
              <w:t xml:space="preserve">Synkope (G3/4: 0 %); </w:t>
            </w:r>
          </w:p>
          <w:p w14:paraId="11E79F13" w14:textId="77777777" w:rsidR="000E6038" w:rsidRPr="003D4A39" w:rsidRDefault="000E6038" w:rsidP="000E6038">
            <w:pPr>
              <w:ind w:left="142"/>
              <w:rPr>
                <w:sz w:val="24"/>
                <w:szCs w:val="24"/>
              </w:rPr>
            </w:pPr>
            <w:r w:rsidRPr="003D4A39">
              <w:rPr>
                <w:sz w:val="24"/>
                <w:szCs w:val="24"/>
              </w:rPr>
              <w:t>Neurotoksicitet (G3/4: 0 %);</w:t>
            </w:r>
          </w:p>
          <w:p w14:paraId="7DCE4675" w14:textId="77777777" w:rsidR="000E6038" w:rsidRPr="003D4A39" w:rsidRDefault="000E6038" w:rsidP="000E6038">
            <w:pPr>
              <w:ind w:left="142"/>
              <w:rPr>
                <w:sz w:val="24"/>
                <w:szCs w:val="24"/>
              </w:rPr>
            </w:pPr>
            <w:r w:rsidRPr="003D4A39">
              <w:rPr>
                <w:sz w:val="24"/>
                <w:szCs w:val="24"/>
              </w:rPr>
              <w:t>Døsighed (G3/4: 0 %)</w:t>
            </w:r>
          </w:p>
        </w:tc>
      </w:tr>
      <w:tr w:rsidR="000E6038" w:rsidRPr="003D4A39" w14:paraId="72246DE8" w14:textId="77777777" w:rsidTr="000E6038">
        <w:trPr>
          <w:trHeight w:val="20"/>
        </w:trPr>
        <w:tc>
          <w:tcPr>
            <w:tcW w:w="1264" w:type="pct"/>
            <w:tcBorders>
              <w:top w:val="single" w:sz="4" w:space="0" w:color="000000"/>
              <w:left w:val="single" w:sz="4" w:space="0" w:color="000000"/>
              <w:bottom w:val="single" w:sz="4" w:space="0" w:color="000000"/>
              <w:right w:val="single" w:sz="4" w:space="0" w:color="000000"/>
            </w:tcBorders>
            <w:hideMark/>
          </w:tcPr>
          <w:p w14:paraId="490F441F" w14:textId="77777777" w:rsidR="000E6038" w:rsidRPr="003D4A39" w:rsidRDefault="000E6038" w:rsidP="000E6038">
            <w:pPr>
              <w:ind w:left="142"/>
              <w:rPr>
                <w:sz w:val="24"/>
                <w:szCs w:val="24"/>
              </w:rPr>
            </w:pPr>
            <w:r w:rsidRPr="003D4A39">
              <w:rPr>
                <w:sz w:val="24"/>
                <w:szCs w:val="24"/>
              </w:rPr>
              <w:t>Øjne</w:t>
            </w:r>
          </w:p>
        </w:tc>
        <w:tc>
          <w:tcPr>
            <w:tcW w:w="1264" w:type="pct"/>
            <w:tcBorders>
              <w:top w:val="single" w:sz="4" w:space="0" w:color="000000"/>
              <w:left w:val="single" w:sz="4" w:space="0" w:color="000000"/>
              <w:bottom w:val="single" w:sz="4" w:space="0" w:color="000000"/>
              <w:right w:val="single" w:sz="4" w:space="0" w:color="000000"/>
            </w:tcBorders>
            <w:hideMark/>
          </w:tcPr>
          <w:p w14:paraId="69B5284F" w14:textId="77777777" w:rsidR="000E6038" w:rsidRPr="003D4A39" w:rsidRDefault="000E6038" w:rsidP="000E6038">
            <w:pPr>
              <w:ind w:left="142"/>
              <w:rPr>
                <w:sz w:val="24"/>
                <w:szCs w:val="24"/>
              </w:rPr>
            </w:pPr>
            <w:r w:rsidRPr="003D4A39">
              <w:rPr>
                <w:sz w:val="24"/>
                <w:szCs w:val="24"/>
              </w:rPr>
              <w:t>Konjunktivitis (G3/4: &lt; 0,1 %)</w:t>
            </w:r>
          </w:p>
        </w:tc>
        <w:tc>
          <w:tcPr>
            <w:tcW w:w="1262" w:type="pct"/>
            <w:tcBorders>
              <w:top w:val="single" w:sz="4" w:space="0" w:color="000000"/>
              <w:left w:val="single" w:sz="4" w:space="0" w:color="000000"/>
              <w:bottom w:val="single" w:sz="4" w:space="0" w:color="000000"/>
              <w:right w:val="single" w:sz="4" w:space="0" w:color="000000"/>
            </w:tcBorders>
            <w:hideMark/>
          </w:tcPr>
          <w:p w14:paraId="65D850BD" w14:textId="77777777" w:rsidR="000E6038" w:rsidRPr="003D4A39" w:rsidRDefault="000E6038" w:rsidP="000E6038">
            <w:pPr>
              <w:ind w:left="142"/>
              <w:rPr>
                <w:sz w:val="24"/>
                <w:szCs w:val="24"/>
              </w:rPr>
            </w:pPr>
            <w:r w:rsidRPr="003D4A39">
              <w:rPr>
                <w:sz w:val="24"/>
                <w:szCs w:val="24"/>
              </w:rPr>
              <w:t>Øget tåresekretion (G3/4: &lt; 0,1 %);</w:t>
            </w:r>
          </w:p>
        </w:tc>
        <w:tc>
          <w:tcPr>
            <w:tcW w:w="1210" w:type="pct"/>
            <w:tcBorders>
              <w:top w:val="single" w:sz="4" w:space="0" w:color="000000"/>
              <w:left w:val="single" w:sz="4" w:space="0" w:color="000000"/>
              <w:bottom w:val="single" w:sz="4" w:space="0" w:color="000000"/>
              <w:right w:val="single" w:sz="4" w:space="0" w:color="000000"/>
            </w:tcBorders>
          </w:tcPr>
          <w:p w14:paraId="369E4E09" w14:textId="77777777" w:rsidR="000E6038" w:rsidRPr="003D4A39" w:rsidRDefault="000E6038" w:rsidP="000E6038">
            <w:pPr>
              <w:ind w:left="142"/>
              <w:rPr>
                <w:sz w:val="24"/>
                <w:szCs w:val="24"/>
              </w:rPr>
            </w:pPr>
          </w:p>
        </w:tc>
      </w:tr>
      <w:tr w:rsidR="000E6038" w:rsidRPr="003D4A39" w14:paraId="73794EFB" w14:textId="77777777" w:rsidTr="000E6038">
        <w:trPr>
          <w:trHeight w:val="20"/>
        </w:trPr>
        <w:tc>
          <w:tcPr>
            <w:tcW w:w="1264" w:type="pct"/>
            <w:tcBorders>
              <w:top w:val="single" w:sz="4" w:space="0" w:color="000000"/>
              <w:left w:val="single" w:sz="4" w:space="0" w:color="000000"/>
              <w:bottom w:val="single" w:sz="4" w:space="0" w:color="000000"/>
              <w:right w:val="single" w:sz="4" w:space="0" w:color="000000"/>
            </w:tcBorders>
            <w:hideMark/>
          </w:tcPr>
          <w:p w14:paraId="7A9957C9" w14:textId="77777777" w:rsidR="000E6038" w:rsidRPr="003D4A39" w:rsidRDefault="000E6038" w:rsidP="000E6038">
            <w:pPr>
              <w:ind w:left="142"/>
              <w:rPr>
                <w:sz w:val="24"/>
                <w:szCs w:val="24"/>
              </w:rPr>
            </w:pPr>
            <w:r w:rsidRPr="003D4A39">
              <w:rPr>
                <w:sz w:val="24"/>
                <w:szCs w:val="24"/>
              </w:rPr>
              <w:t>Hjerte</w:t>
            </w:r>
          </w:p>
        </w:tc>
        <w:tc>
          <w:tcPr>
            <w:tcW w:w="1264" w:type="pct"/>
            <w:tcBorders>
              <w:top w:val="single" w:sz="4" w:space="0" w:color="000000"/>
              <w:left w:val="single" w:sz="4" w:space="0" w:color="000000"/>
              <w:bottom w:val="single" w:sz="4" w:space="0" w:color="000000"/>
              <w:right w:val="single" w:sz="4" w:space="0" w:color="000000"/>
            </w:tcBorders>
          </w:tcPr>
          <w:p w14:paraId="67C9B99F" w14:textId="77777777" w:rsidR="000E6038" w:rsidRPr="003D4A39" w:rsidRDefault="000E6038" w:rsidP="000E6038">
            <w:pPr>
              <w:ind w:left="142"/>
              <w:rPr>
                <w:sz w:val="24"/>
                <w:szCs w:val="24"/>
              </w:rPr>
            </w:pPr>
          </w:p>
        </w:tc>
        <w:tc>
          <w:tcPr>
            <w:tcW w:w="1262" w:type="pct"/>
            <w:tcBorders>
              <w:top w:val="single" w:sz="4" w:space="0" w:color="000000"/>
              <w:left w:val="single" w:sz="4" w:space="0" w:color="000000"/>
              <w:bottom w:val="single" w:sz="4" w:space="0" w:color="000000"/>
              <w:right w:val="single" w:sz="4" w:space="0" w:color="000000"/>
            </w:tcBorders>
            <w:hideMark/>
          </w:tcPr>
          <w:p w14:paraId="40E2EF7D" w14:textId="77777777" w:rsidR="000E6038" w:rsidRPr="003D4A39" w:rsidRDefault="000E6038" w:rsidP="000E6038">
            <w:pPr>
              <w:ind w:left="142"/>
              <w:rPr>
                <w:sz w:val="24"/>
                <w:szCs w:val="24"/>
              </w:rPr>
            </w:pPr>
            <w:r w:rsidRPr="003D4A39">
              <w:rPr>
                <w:sz w:val="24"/>
                <w:szCs w:val="24"/>
              </w:rPr>
              <w:t>Arytmi (G3/4: 0,2 %);</w:t>
            </w:r>
          </w:p>
        </w:tc>
        <w:tc>
          <w:tcPr>
            <w:tcW w:w="1210" w:type="pct"/>
            <w:tcBorders>
              <w:top w:val="single" w:sz="4" w:space="0" w:color="000000"/>
              <w:left w:val="single" w:sz="4" w:space="0" w:color="000000"/>
              <w:bottom w:val="single" w:sz="4" w:space="0" w:color="000000"/>
              <w:right w:val="single" w:sz="4" w:space="0" w:color="000000"/>
            </w:tcBorders>
          </w:tcPr>
          <w:p w14:paraId="5D0A695F" w14:textId="77777777" w:rsidR="000E6038" w:rsidRPr="003D4A39" w:rsidRDefault="000E6038" w:rsidP="000E6038">
            <w:pPr>
              <w:ind w:left="142"/>
              <w:rPr>
                <w:sz w:val="24"/>
                <w:szCs w:val="24"/>
              </w:rPr>
            </w:pPr>
          </w:p>
        </w:tc>
      </w:tr>
      <w:tr w:rsidR="000E6038" w:rsidRPr="003D4A39" w14:paraId="77E19C80" w14:textId="77777777" w:rsidTr="000E6038">
        <w:trPr>
          <w:trHeight w:val="20"/>
        </w:trPr>
        <w:tc>
          <w:tcPr>
            <w:tcW w:w="1264" w:type="pct"/>
            <w:tcBorders>
              <w:top w:val="single" w:sz="4" w:space="0" w:color="000000"/>
              <w:left w:val="single" w:sz="4" w:space="0" w:color="000000"/>
              <w:bottom w:val="single" w:sz="4" w:space="0" w:color="000000"/>
              <w:right w:val="single" w:sz="4" w:space="0" w:color="000000"/>
            </w:tcBorders>
            <w:hideMark/>
          </w:tcPr>
          <w:p w14:paraId="0FD7DB7D" w14:textId="77777777" w:rsidR="000E6038" w:rsidRPr="003D4A39" w:rsidRDefault="000E6038" w:rsidP="000E6038">
            <w:pPr>
              <w:ind w:left="142"/>
              <w:rPr>
                <w:sz w:val="24"/>
                <w:szCs w:val="24"/>
              </w:rPr>
            </w:pPr>
            <w:r w:rsidRPr="003D4A39">
              <w:rPr>
                <w:sz w:val="24"/>
                <w:szCs w:val="24"/>
              </w:rPr>
              <w:t>Vaskulære sygdomme</w:t>
            </w:r>
          </w:p>
        </w:tc>
        <w:tc>
          <w:tcPr>
            <w:tcW w:w="1264" w:type="pct"/>
            <w:tcBorders>
              <w:top w:val="single" w:sz="4" w:space="0" w:color="000000"/>
              <w:left w:val="single" w:sz="4" w:space="0" w:color="000000"/>
              <w:bottom w:val="single" w:sz="4" w:space="0" w:color="000000"/>
              <w:right w:val="single" w:sz="4" w:space="0" w:color="000000"/>
            </w:tcBorders>
            <w:hideMark/>
          </w:tcPr>
          <w:p w14:paraId="670BF7E4" w14:textId="77777777" w:rsidR="000E6038" w:rsidRPr="003D4A39" w:rsidRDefault="000E6038" w:rsidP="000E6038">
            <w:pPr>
              <w:ind w:left="142"/>
              <w:rPr>
                <w:sz w:val="24"/>
                <w:szCs w:val="24"/>
              </w:rPr>
            </w:pPr>
            <w:r w:rsidRPr="003D4A39">
              <w:rPr>
                <w:sz w:val="24"/>
                <w:szCs w:val="24"/>
              </w:rPr>
              <w:t>Hedeture (G3/4: 0,5 %)</w:t>
            </w:r>
          </w:p>
        </w:tc>
        <w:tc>
          <w:tcPr>
            <w:tcW w:w="1262" w:type="pct"/>
            <w:tcBorders>
              <w:top w:val="single" w:sz="4" w:space="0" w:color="000000"/>
              <w:left w:val="single" w:sz="4" w:space="0" w:color="000000"/>
              <w:bottom w:val="single" w:sz="4" w:space="0" w:color="000000"/>
              <w:right w:val="single" w:sz="4" w:space="0" w:color="000000"/>
            </w:tcBorders>
            <w:hideMark/>
          </w:tcPr>
          <w:p w14:paraId="5131C97B" w14:textId="77777777" w:rsidR="000E6038" w:rsidRPr="003D4A39" w:rsidRDefault="000E6038" w:rsidP="000E6038">
            <w:pPr>
              <w:ind w:left="142"/>
              <w:rPr>
                <w:sz w:val="24"/>
                <w:szCs w:val="24"/>
              </w:rPr>
            </w:pPr>
            <w:r w:rsidRPr="003D4A39">
              <w:rPr>
                <w:sz w:val="24"/>
                <w:szCs w:val="24"/>
              </w:rPr>
              <w:t>Hypotension (G3/4: 0 %);</w:t>
            </w:r>
          </w:p>
          <w:p w14:paraId="7E0B63D9" w14:textId="77777777" w:rsidR="000E6038" w:rsidRPr="003D4A39" w:rsidRDefault="000E6038" w:rsidP="000E6038">
            <w:pPr>
              <w:ind w:left="142"/>
              <w:rPr>
                <w:sz w:val="24"/>
                <w:szCs w:val="24"/>
              </w:rPr>
            </w:pPr>
            <w:r w:rsidRPr="003D4A39">
              <w:rPr>
                <w:sz w:val="24"/>
                <w:szCs w:val="24"/>
              </w:rPr>
              <w:t>Flebitis (G3/4: 0 %)</w:t>
            </w:r>
          </w:p>
        </w:tc>
        <w:tc>
          <w:tcPr>
            <w:tcW w:w="1210" w:type="pct"/>
            <w:tcBorders>
              <w:top w:val="single" w:sz="4" w:space="0" w:color="000000"/>
              <w:left w:val="single" w:sz="4" w:space="0" w:color="000000"/>
              <w:bottom w:val="single" w:sz="4" w:space="0" w:color="000000"/>
              <w:right w:val="single" w:sz="4" w:space="0" w:color="000000"/>
            </w:tcBorders>
            <w:hideMark/>
          </w:tcPr>
          <w:p w14:paraId="160278D1" w14:textId="77777777" w:rsidR="000E6038" w:rsidRPr="003D4A39" w:rsidRDefault="000E6038" w:rsidP="000E6038">
            <w:pPr>
              <w:ind w:left="142"/>
              <w:rPr>
                <w:sz w:val="24"/>
                <w:szCs w:val="24"/>
              </w:rPr>
            </w:pPr>
            <w:r w:rsidRPr="003D4A39">
              <w:rPr>
                <w:sz w:val="24"/>
                <w:szCs w:val="24"/>
              </w:rPr>
              <w:t>Lymfødem (G3/4: 0 %)</w:t>
            </w:r>
          </w:p>
        </w:tc>
      </w:tr>
      <w:tr w:rsidR="000E6038" w:rsidRPr="003D4A39" w14:paraId="4DA1CEE3" w14:textId="77777777" w:rsidTr="000E6038">
        <w:trPr>
          <w:trHeight w:val="20"/>
        </w:trPr>
        <w:tc>
          <w:tcPr>
            <w:tcW w:w="1264" w:type="pct"/>
            <w:tcBorders>
              <w:top w:val="single" w:sz="4" w:space="0" w:color="000000"/>
              <w:left w:val="single" w:sz="4" w:space="0" w:color="000000"/>
              <w:bottom w:val="single" w:sz="4" w:space="0" w:color="auto"/>
              <w:right w:val="single" w:sz="4" w:space="0" w:color="000000"/>
            </w:tcBorders>
            <w:hideMark/>
          </w:tcPr>
          <w:p w14:paraId="253DCBA5" w14:textId="77777777" w:rsidR="000E6038" w:rsidRPr="003D4A39" w:rsidRDefault="000E6038" w:rsidP="000E6038">
            <w:pPr>
              <w:ind w:left="142"/>
              <w:rPr>
                <w:sz w:val="24"/>
                <w:szCs w:val="24"/>
              </w:rPr>
            </w:pPr>
            <w:r w:rsidRPr="003D4A39">
              <w:rPr>
                <w:sz w:val="24"/>
                <w:szCs w:val="24"/>
              </w:rPr>
              <w:t>Luftveje, thorax og mediastinum</w:t>
            </w:r>
          </w:p>
        </w:tc>
        <w:tc>
          <w:tcPr>
            <w:tcW w:w="1264" w:type="pct"/>
            <w:tcBorders>
              <w:top w:val="single" w:sz="4" w:space="0" w:color="000000"/>
              <w:left w:val="single" w:sz="4" w:space="0" w:color="000000"/>
              <w:bottom w:val="single" w:sz="4" w:space="0" w:color="auto"/>
              <w:right w:val="single" w:sz="4" w:space="0" w:color="000000"/>
            </w:tcBorders>
          </w:tcPr>
          <w:p w14:paraId="4EBA3735" w14:textId="77777777" w:rsidR="000E6038" w:rsidRPr="003D4A39" w:rsidRDefault="000E6038" w:rsidP="000E6038">
            <w:pPr>
              <w:ind w:left="142"/>
              <w:rPr>
                <w:sz w:val="24"/>
                <w:szCs w:val="24"/>
              </w:rPr>
            </w:pPr>
          </w:p>
        </w:tc>
        <w:tc>
          <w:tcPr>
            <w:tcW w:w="1262" w:type="pct"/>
            <w:tcBorders>
              <w:top w:val="single" w:sz="4" w:space="0" w:color="000000"/>
              <w:left w:val="single" w:sz="4" w:space="0" w:color="000000"/>
              <w:bottom w:val="single" w:sz="4" w:space="0" w:color="auto"/>
              <w:right w:val="single" w:sz="4" w:space="0" w:color="000000"/>
            </w:tcBorders>
            <w:hideMark/>
          </w:tcPr>
          <w:p w14:paraId="58E4C3EB" w14:textId="77777777" w:rsidR="000E6038" w:rsidRPr="003D4A39" w:rsidRDefault="000E6038" w:rsidP="000E6038">
            <w:pPr>
              <w:ind w:left="142"/>
              <w:rPr>
                <w:sz w:val="24"/>
                <w:szCs w:val="24"/>
              </w:rPr>
            </w:pPr>
            <w:r w:rsidRPr="003D4A39">
              <w:rPr>
                <w:sz w:val="24"/>
                <w:szCs w:val="24"/>
              </w:rPr>
              <w:t>Hoste (G3/4: 0 %)</w:t>
            </w:r>
          </w:p>
        </w:tc>
        <w:tc>
          <w:tcPr>
            <w:tcW w:w="1210" w:type="pct"/>
            <w:tcBorders>
              <w:top w:val="single" w:sz="4" w:space="0" w:color="000000"/>
              <w:left w:val="single" w:sz="4" w:space="0" w:color="000000"/>
              <w:bottom w:val="single" w:sz="4" w:space="0" w:color="000000"/>
              <w:right w:val="single" w:sz="4" w:space="0" w:color="000000"/>
            </w:tcBorders>
          </w:tcPr>
          <w:p w14:paraId="5B3CFC24" w14:textId="77777777" w:rsidR="000E6038" w:rsidRPr="003D4A39" w:rsidRDefault="000E6038" w:rsidP="000E6038">
            <w:pPr>
              <w:ind w:left="142"/>
              <w:rPr>
                <w:sz w:val="24"/>
                <w:szCs w:val="24"/>
              </w:rPr>
            </w:pPr>
          </w:p>
        </w:tc>
      </w:tr>
      <w:tr w:rsidR="000E6038" w:rsidRPr="003D4A39" w14:paraId="4FF03D80" w14:textId="77777777" w:rsidTr="000E6038">
        <w:trPr>
          <w:trHeight w:val="1695"/>
        </w:trPr>
        <w:tc>
          <w:tcPr>
            <w:tcW w:w="1264" w:type="pct"/>
            <w:tcBorders>
              <w:top w:val="single" w:sz="4" w:space="0" w:color="auto"/>
              <w:left w:val="single" w:sz="4" w:space="0" w:color="000000"/>
              <w:bottom w:val="single" w:sz="4" w:space="0" w:color="auto"/>
              <w:right w:val="single" w:sz="4" w:space="0" w:color="000000"/>
            </w:tcBorders>
            <w:hideMark/>
          </w:tcPr>
          <w:p w14:paraId="538AC430" w14:textId="77777777" w:rsidR="000E6038" w:rsidRPr="003D4A39" w:rsidRDefault="000E6038" w:rsidP="000E6038">
            <w:pPr>
              <w:ind w:left="142"/>
              <w:rPr>
                <w:sz w:val="24"/>
                <w:szCs w:val="24"/>
              </w:rPr>
            </w:pPr>
            <w:r w:rsidRPr="003D4A39">
              <w:rPr>
                <w:sz w:val="24"/>
                <w:szCs w:val="24"/>
              </w:rPr>
              <w:t>Mave-tarm-kanalen</w:t>
            </w:r>
          </w:p>
        </w:tc>
        <w:tc>
          <w:tcPr>
            <w:tcW w:w="1264" w:type="pct"/>
            <w:tcBorders>
              <w:top w:val="single" w:sz="4" w:space="0" w:color="auto"/>
              <w:left w:val="single" w:sz="4" w:space="0" w:color="000000"/>
              <w:bottom w:val="single" w:sz="4" w:space="0" w:color="auto"/>
              <w:right w:val="single" w:sz="4" w:space="0" w:color="000000"/>
            </w:tcBorders>
            <w:hideMark/>
          </w:tcPr>
          <w:p w14:paraId="0D954A98" w14:textId="77777777" w:rsidR="000E6038" w:rsidRPr="003D4A39" w:rsidRDefault="000E6038" w:rsidP="000E6038">
            <w:pPr>
              <w:ind w:left="142"/>
              <w:rPr>
                <w:sz w:val="24"/>
                <w:szCs w:val="24"/>
              </w:rPr>
            </w:pPr>
            <w:r w:rsidRPr="003D4A39">
              <w:rPr>
                <w:sz w:val="24"/>
                <w:szCs w:val="24"/>
              </w:rPr>
              <w:t>Kvalme (G3/4: 5,0 %);</w:t>
            </w:r>
          </w:p>
          <w:p w14:paraId="335B64F0" w14:textId="77777777" w:rsidR="000E6038" w:rsidRPr="003D4A39" w:rsidRDefault="000E6038" w:rsidP="000E6038">
            <w:pPr>
              <w:ind w:left="142"/>
              <w:rPr>
                <w:sz w:val="24"/>
                <w:szCs w:val="24"/>
              </w:rPr>
            </w:pPr>
            <w:r w:rsidRPr="003D4A39">
              <w:rPr>
                <w:sz w:val="24"/>
                <w:szCs w:val="24"/>
              </w:rPr>
              <w:t>Stomatitis (G3/4: 6,0 %);</w:t>
            </w:r>
          </w:p>
          <w:p w14:paraId="543C1C1C" w14:textId="77777777" w:rsidR="000E6038" w:rsidRPr="003D4A39" w:rsidRDefault="000E6038" w:rsidP="000E6038">
            <w:pPr>
              <w:ind w:left="142"/>
              <w:rPr>
                <w:sz w:val="24"/>
                <w:szCs w:val="24"/>
              </w:rPr>
            </w:pPr>
            <w:r w:rsidRPr="003D4A39">
              <w:rPr>
                <w:sz w:val="24"/>
                <w:szCs w:val="24"/>
              </w:rPr>
              <w:t>Opkastning (G3/4: 4,2 %);</w:t>
            </w:r>
          </w:p>
          <w:p w14:paraId="210F3E9B" w14:textId="77777777" w:rsidR="000E6038" w:rsidRPr="003D4A39" w:rsidRDefault="000E6038" w:rsidP="000E6038">
            <w:pPr>
              <w:ind w:left="142"/>
              <w:rPr>
                <w:sz w:val="24"/>
                <w:szCs w:val="24"/>
              </w:rPr>
            </w:pPr>
            <w:r w:rsidRPr="003D4A39">
              <w:rPr>
                <w:sz w:val="24"/>
                <w:szCs w:val="24"/>
              </w:rPr>
              <w:t>Diarré (G3/4: 3,4 %);</w:t>
            </w:r>
          </w:p>
        </w:tc>
        <w:tc>
          <w:tcPr>
            <w:tcW w:w="1262" w:type="pct"/>
            <w:tcBorders>
              <w:top w:val="single" w:sz="4" w:space="0" w:color="auto"/>
              <w:left w:val="single" w:sz="4" w:space="0" w:color="000000"/>
              <w:bottom w:val="single" w:sz="4" w:space="0" w:color="auto"/>
              <w:right w:val="single" w:sz="4" w:space="0" w:color="000000"/>
            </w:tcBorders>
            <w:hideMark/>
          </w:tcPr>
          <w:p w14:paraId="60E19161" w14:textId="77777777" w:rsidR="000E6038" w:rsidRPr="003D4A39" w:rsidRDefault="000E6038" w:rsidP="000E6038">
            <w:pPr>
              <w:ind w:left="142"/>
              <w:rPr>
                <w:sz w:val="24"/>
                <w:szCs w:val="24"/>
              </w:rPr>
            </w:pPr>
            <w:r w:rsidRPr="003D4A39">
              <w:rPr>
                <w:sz w:val="24"/>
                <w:szCs w:val="24"/>
              </w:rPr>
              <w:t>Mavesmerter (G3/4: 0,4 %)</w:t>
            </w:r>
          </w:p>
        </w:tc>
        <w:tc>
          <w:tcPr>
            <w:tcW w:w="1210" w:type="pct"/>
            <w:tcBorders>
              <w:top w:val="single" w:sz="4" w:space="0" w:color="000000"/>
              <w:left w:val="single" w:sz="4" w:space="0" w:color="000000"/>
              <w:bottom w:val="single" w:sz="4" w:space="0" w:color="auto"/>
              <w:right w:val="single" w:sz="4" w:space="0" w:color="000000"/>
            </w:tcBorders>
          </w:tcPr>
          <w:p w14:paraId="4893249C" w14:textId="77777777" w:rsidR="000E6038" w:rsidRPr="003D4A39" w:rsidRDefault="000E6038" w:rsidP="000E6038">
            <w:pPr>
              <w:ind w:left="142"/>
              <w:rPr>
                <w:sz w:val="24"/>
                <w:szCs w:val="24"/>
              </w:rPr>
            </w:pPr>
          </w:p>
        </w:tc>
      </w:tr>
      <w:tr w:rsidR="000E6038" w:rsidRPr="003D4A39" w14:paraId="45D98485" w14:textId="77777777" w:rsidTr="000E6038">
        <w:trPr>
          <w:trHeight w:val="543"/>
        </w:trPr>
        <w:tc>
          <w:tcPr>
            <w:tcW w:w="1264" w:type="pct"/>
            <w:tcBorders>
              <w:top w:val="single" w:sz="4" w:space="0" w:color="auto"/>
              <w:left w:val="single" w:sz="4" w:space="0" w:color="000000"/>
              <w:bottom w:val="single" w:sz="4" w:space="0" w:color="000000"/>
              <w:right w:val="single" w:sz="4" w:space="0" w:color="000000"/>
            </w:tcBorders>
          </w:tcPr>
          <w:p w14:paraId="4E74469E" w14:textId="77777777" w:rsidR="000E6038" w:rsidRPr="003D4A39" w:rsidRDefault="000E6038" w:rsidP="000E6038">
            <w:pPr>
              <w:ind w:left="142"/>
              <w:rPr>
                <w:sz w:val="24"/>
                <w:szCs w:val="24"/>
              </w:rPr>
            </w:pPr>
          </w:p>
        </w:tc>
        <w:tc>
          <w:tcPr>
            <w:tcW w:w="1264" w:type="pct"/>
            <w:tcBorders>
              <w:top w:val="single" w:sz="4" w:space="0" w:color="auto"/>
              <w:left w:val="single" w:sz="4" w:space="0" w:color="000000"/>
              <w:bottom w:val="single" w:sz="4" w:space="0" w:color="000000"/>
              <w:right w:val="single" w:sz="4" w:space="0" w:color="000000"/>
            </w:tcBorders>
          </w:tcPr>
          <w:p w14:paraId="5DC6038C" w14:textId="77777777" w:rsidR="000E6038" w:rsidRPr="003D4A39" w:rsidRDefault="000E6038" w:rsidP="000E6038">
            <w:pPr>
              <w:ind w:left="142"/>
              <w:rPr>
                <w:sz w:val="24"/>
                <w:szCs w:val="24"/>
              </w:rPr>
            </w:pPr>
            <w:r w:rsidRPr="003D4A39">
              <w:rPr>
                <w:sz w:val="24"/>
                <w:szCs w:val="24"/>
              </w:rPr>
              <w:t>Obstipation (G3/4: 0,5 %)</w:t>
            </w:r>
          </w:p>
        </w:tc>
        <w:tc>
          <w:tcPr>
            <w:tcW w:w="1262" w:type="pct"/>
            <w:tcBorders>
              <w:top w:val="single" w:sz="4" w:space="0" w:color="auto"/>
              <w:left w:val="single" w:sz="4" w:space="0" w:color="000000"/>
              <w:bottom w:val="nil"/>
              <w:right w:val="single" w:sz="4" w:space="0" w:color="000000"/>
            </w:tcBorders>
          </w:tcPr>
          <w:p w14:paraId="1082FE22" w14:textId="77777777" w:rsidR="000E6038" w:rsidRPr="003D4A39" w:rsidRDefault="000E6038" w:rsidP="000E6038">
            <w:pPr>
              <w:ind w:left="142"/>
              <w:rPr>
                <w:sz w:val="24"/>
                <w:szCs w:val="24"/>
              </w:rPr>
            </w:pPr>
          </w:p>
        </w:tc>
        <w:tc>
          <w:tcPr>
            <w:tcW w:w="1210" w:type="pct"/>
            <w:tcBorders>
              <w:top w:val="single" w:sz="4" w:space="0" w:color="auto"/>
              <w:left w:val="single" w:sz="4" w:space="0" w:color="000000"/>
              <w:bottom w:val="single" w:sz="4" w:space="0" w:color="000000"/>
              <w:right w:val="single" w:sz="4" w:space="0" w:color="000000"/>
            </w:tcBorders>
          </w:tcPr>
          <w:p w14:paraId="0C5C23E3" w14:textId="77777777" w:rsidR="000E6038" w:rsidRPr="003D4A39" w:rsidRDefault="000E6038" w:rsidP="000E6038">
            <w:pPr>
              <w:ind w:left="142"/>
              <w:rPr>
                <w:sz w:val="24"/>
                <w:szCs w:val="24"/>
              </w:rPr>
            </w:pPr>
          </w:p>
        </w:tc>
      </w:tr>
      <w:tr w:rsidR="000E6038" w:rsidRPr="003D4A39" w14:paraId="31253008" w14:textId="77777777" w:rsidTr="000E6038">
        <w:trPr>
          <w:trHeight w:val="20"/>
        </w:trPr>
        <w:tc>
          <w:tcPr>
            <w:tcW w:w="1264" w:type="pct"/>
            <w:tcBorders>
              <w:top w:val="single" w:sz="4" w:space="0" w:color="000000"/>
              <w:left w:val="single" w:sz="4" w:space="0" w:color="000000"/>
              <w:bottom w:val="single" w:sz="4" w:space="0" w:color="auto"/>
              <w:right w:val="single" w:sz="4" w:space="0" w:color="000000"/>
            </w:tcBorders>
            <w:hideMark/>
          </w:tcPr>
          <w:p w14:paraId="44BDBFFA" w14:textId="77777777" w:rsidR="000E6038" w:rsidRPr="003D4A39" w:rsidRDefault="000E6038" w:rsidP="000E6038">
            <w:pPr>
              <w:ind w:left="142"/>
              <w:rPr>
                <w:sz w:val="24"/>
                <w:szCs w:val="24"/>
              </w:rPr>
            </w:pPr>
            <w:r w:rsidRPr="003D4A39">
              <w:rPr>
                <w:sz w:val="24"/>
                <w:szCs w:val="24"/>
              </w:rPr>
              <w:t>Hud og subkutane væv</w:t>
            </w:r>
          </w:p>
        </w:tc>
        <w:tc>
          <w:tcPr>
            <w:tcW w:w="1264" w:type="pct"/>
            <w:tcBorders>
              <w:top w:val="single" w:sz="4" w:space="0" w:color="000000"/>
              <w:left w:val="single" w:sz="4" w:space="0" w:color="000000"/>
              <w:bottom w:val="single" w:sz="4" w:space="0" w:color="auto"/>
              <w:right w:val="single" w:sz="4" w:space="0" w:color="000000"/>
            </w:tcBorders>
            <w:hideMark/>
          </w:tcPr>
          <w:p w14:paraId="3E7AB59C" w14:textId="77777777" w:rsidR="000E6038" w:rsidRPr="003D4A39" w:rsidRDefault="000E6038" w:rsidP="000E6038">
            <w:pPr>
              <w:ind w:left="142"/>
              <w:rPr>
                <w:sz w:val="24"/>
                <w:szCs w:val="24"/>
              </w:rPr>
            </w:pPr>
            <w:r w:rsidRPr="003D4A39">
              <w:rPr>
                <w:sz w:val="24"/>
                <w:szCs w:val="24"/>
              </w:rPr>
              <w:t xml:space="preserve">Alopeci (persisterende: &lt; 3 %); </w:t>
            </w:r>
          </w:p>
          <w:p w14:paraId="0495E8B5" w14:textId="77777777" w:rsidR="000E6038" w:rsidRPr="003D4A39" w:rsidRDefault="000E6038" w:rsidP="000E6038">
            <w:pPr>
              <w:ind w:left="142"/>
              <w:rPr>
                <w:sz w:val="24"/>
                <w:szCs w:val="24"/>
              </w:rPr>
            </w:pPr>
            <w:r w:rsidRPr="003D4A39">
              <w:rPr>
                <w:sz w:val="24"/>
                <w:szCs w:val="24"/>
              </w:rPr>
              <w:t>Hudsygdomme (G3/4: 0,6 %);</w:t>
            </w:r>
          </w:p>
          <w:p w14:paraId="060D22BA" w14:textId="77777777" w:rsidR="000E6038" w:rsidRPr="003D4A39" w:rsidRDefault="000E6038" w:rsidP="000E6038">
            <w:pPr>
              <w:ind w:left="142"/>
              <w:rPr>
                <w:sz w:val="24"/>
                <w:szCs w:val="24"/>
              </w:rPr>
            </w:pPr>
            <w:r w:rsidRPr="003D4A39">
              <w:rPr>
                <w:sz w:val="24"/>
                <w:szCs w:val="24"/>
              </w:rPr>
              <w:t>Neglesygdomme (G3/4: 0,4 %)</w:t>
            </w:r>
          </w:p>
        </w:tc>
        <w:tc>
          <w:tcPr>
            <w:tcW w:w="1262" w:type="pct"/>
            <w:tcBorders>
              <w:top w:val="single" w:sz="4" w:space="0" w:color="000000"/>
              <w:left w:val="single" w:sz="4" w:space="0" w:color="000000"/>
              <w:bottom w:val="single" w:sz="4" w:space="0" w:color="auto"/>
              <w:right w:val="single" w:sz="4" w:space="0" w:color="000000"/>
            </w:tcBorders>
          </w:tcPr>
          <w:p w14:paraId="40F9EB2C" w14:textId="77777777" w:rsidR="000E6038" w:rsidRPr="003D4A39" w:rsidRDefault="000E6038" w:rsidP="000E6038">
            <w:pPr>
              <w:ind w:left="142"/>
              <w:rPr>
                <w:sz w:val="24"/>
                <w:szCs w:val="24"/>
              </w:rPr>
            </w:pPr>
          </w:p>
        </w:tc>
        <w:tc>
          <w:tcPr>
            <w:tcW w:w="1210" w:type="pct"/>
            <w:tcBorders>
              <w:top w:val="single" w:sz="4" w:space="0" w:color="000000"/>
              <w:left w:val="single" w:sz="4" w:space="0" w:color="000000"/>
              <w:bottom w:val="single" w:sz="4" w:space="0" w:color="auto"/>
              <w:right w:val="single" w:sz="4" w:space="0" w:color="000000"/>
            </w:tcBorders>
          </w:tcPr>
          <w:p w14:paraId="4EBFDA44" w14:textId="77777777" w:rsidR="000E6038" w:rsidRPr="003D4A39" w:rsidRDefault="000E6038" w:rsidP="000E6038">
            <w:pPr>
              <w:ind w:left="142"/>
              <w:rPr>
                <w:sz w:val="24"/>
                <w:szCs w:val="24"/>
              </w:rPr>
            </w:pPr>
          </w:p>
        </w:tc>
      </w:tr>
      <w:tr w:rsidR="000E6038" w:rsidRPr="003D4A39" w14:paraId="2DED286F" w14:textId="77777777" w:rsidTr="000E6038">
        <w:trPr>
          <w:trHeight w:val="20"/>
        </w:trPr>
        <w:tc>
          <w:tcPr>
            <w:tcW w:w="1264" w:type="pct"/>
            <w:tcBorders>
              <w:top w:val="single" w:sz="4" w:space="0" w:color="auto"/>
              <w:left w:val="single" w:sz="4" w:space="0" w:color="000000"/>
              <w:bottom w:val="single" w:sz="4" w:space="0" w:color="000000"/>
              <w:right w:val="single" w:sz="4" w:space="0" w:color="000000"/>
            </w:tcBorders>
            <w:hideMark/>
          </w:tcPr>
          <w:p w14:paraId="7AB067C3" w14:textId="77777777" w:rsidR="000E6038" w:rsidRPr="003D4A39" w:rsidRDefault="000E6038" w:rsidP="000E6038">
            <w:pPr>
              <w:keepNext/>
              <w:ind w:left="142"/>
              <w:rPr>
                <w:sz w:val="24"/>
                <w:szCs w:val="24"/>
              </w:rPr>
            </w:pPr>
            <w:r w:rsidRPr="003D4A39">
              <w:rPr>
                <w:sz w:val="24"/>
                <w:szCs w:val="24"/>
              </w:rPr>
              <w:t>Knogler, led, muskler og bindevæv</w:t>
            </w:r>
          </w:p>
        </w:tc>
        <w:tc>
          <w:tcPr>
            <w:tcW w:w="1264" w:type="pct"/>
            <w:tcBorders>
              <w:top w:val="single" w:sz="4" w:space="0" w:color="auto"/>
              <w:left w:val="single" w:sz="4" w:space="0" w:color="000000"/>
              <w:bottom w:val="single" w:sz="4" w:space="0" w:color="000000"/>
              <w:right w:val="single" w:sz="4" w:space="0" w:color="000000"/>
            </w:tcBorders>
            <w:hideMark/>
          </w:tcPr>
          <w:p w14:paraId="5C89A145" w14:textId="77777777" w:rsidR="000E6038" w:rsidRPr="003D4A39" w:rsidRDefault="000E6038" w:rsidP="000E6038">
            <w:pPr>
              <w:keepNext/>
              <w:tabs>
                <w:tab w:val="left" w:pos="975"/>
              </w:tabs>
              <w:ind w:left="142"/>
              <w:rPr>
                <w:sz w:val="24"/>
                <w:szCs w:val="24"/>
              </w:rPr>
            </w:pPr>
            <w:r w:rsidRPr="003D4A39">
              <w:rPr>
                <w:sz w:val="24"/>
                <w:szCs w:val="24"/>
              </w:rPr>
              <w:t xml:space="preserve">Myalgi (G3/4: 0,7 %); </w:t>
            </w:r>
          </w:p>
          <w:p w14:paraId="26FCB09B" w14:textId="77777777" w:rsidR="000E6038" w:rsidRPr="003D4A39" w:rsidRDefault="000E6038" w:rsidP="000E6038">
            <w:pPr>
              <w:keepNext/>
              <w:ind w:left="142"/>
              <w:rPr>
                <w:sz w:val="24"/>
                <w:szCs w:val="24"/>
              </w:rPr>
            </w:pPr>
            <w:r w:rsidRPr="003D4A39">
              <w:rPr>
                <w:sz w:val="24"/>
                <w:szCs w:val="24"/>
              </w:rPr>
              <w:t>Artralgi (G3/4: 0,2 %)</w:t>
            </w:r>
          </w:p>
        </w:tc>
        <w:tc>
          <w:tcPr>
            <w:tcW w:w="1262" w:type="pct"/>
            <w:tcBorders>
              <w:top w:val="single" w:sz="4" w:space="0" w:color="auto"/>
              <w:left w:val="single" w:sz="4" w:space="0" w:color="000000"/>
              <w:bottom w:val="single" w:sz="4" w:space="0" w:color="000000"/>
              <w:right w:val="single" w:sz="4" w:space="0" w:color="000000"/>
            </w:tcBorders>
          </w:tcPr>
          <w:p w14:paraId="470FEA4C" w14:textId="77777777" w:rsidR="000E6038" w:rsidRPr="003D4A39" w:rsidRDefault="000E6038" w:rsidP="000E6038">
            <w:pPr>
              <w:keepNext/>
              <w:ind w:left="142"/>
              <w:rPr>
                <w:sz w:val="24"/>
                <w:szCs w:val="24"/>
              </w:rPr>
            </w:pPr>
          </w:p>
        </w:tc>
        <w:tc>
          <w:tcPr>
            <w:tcW w:w="1210" w:type="pct"/>
            <w:tcBorders>
              <w:top w:val="single" w:sz="4" w:space="0" w:color="auto"/>
              <w:left w:val="single" w:sz="4" w:space="0" w:color="000000"/>
              <w:bottom w:val="single" w:sz="4" w:space="0" w:color="000000"/>
              <w:right w:val="single" w:sz="4" w:space="0" w:color="000000"/>
            </w:tcBorders>
          </w:tcPr>
          <w:p w14:paraId="489C4418" w14:textId="77777777" w:rsidR="000E6038" w:rsidRPr="003D4A39" w:rsidRDefault="000E6038" w:rsidP="000E6038">
            <w:pPr>
              <w:keepNext/>
              <w:ind w:left="142"/>
              <w:rPr>
                <w:sz w:val="24"/>
                <w:szCs w:val="24"/>
              </w:rPr>
            </w:pPr>
          </w:p>
        </w:tc>
      </w:tr>
      <w:tr w:rsidR="000E6038" w:rsidRPr="003D4A39" w14:paraId="7CF507D5" w14:textId="77777777" w:rsidTr="000E6038">
        <w:trPr>
          <w:trHeight w:val="20"/>
        </w:trPr>
        <w:tc>
          <w:tcPr>
            <w:tcW w:w="1264" w:type="pct"/>
            <w:tcBorders>
              <w:top w:val="single" w:sz="4" w:space="0" w:color="000000"/>
              <w:left w:val="single" w:sz="4" w:space="0" w:color="000000"/>
              <w:bottom w:val="single" w:sz="4" w:space="0" w:color="000000"/>
              <w:right w:val="single" w:sz="4" w:space="0" w:color="000000"/>
            </w:tcBorders>
            <w:hideMark/>
          </w:tcPr>
          <w:p w14:paraId="7E34EA62" w14:textId="77777777" w:rsidR="000E6038" w:rsidRPr="003D4A39" w:rsidRDefault="000E6038" w:rsidP="000E6038">
            <w:pPr>
              <w:ind w:left="142"/>
              <w:rPr>
                <w:sz w:val="24"/>
                <w:szCs w:val="24"/>
              </w:rPr>
            </w:pPr>
            <w:r w:rsidRPr="003D4A39">
              <w:rPr>
                <w:sz w:val="24"/>
                <w:szCs w:val="24"/>
              </w:rPr>
              <w:t>Det reproduktive system og mammae</w:t>
            </w:r>
          </w:p>
        </w:tc>
        <w:tc>
          <w:tcPr>
            <w:tcW w:w="1264" w:type="pct"/>
            <w:tcBorders>
              <w:top w:val="single" w:sz="4" w:space="0" w:color="000000"/>
              <w:left w:val="single" w:sz="4" w:space="0" w:color="000000"/>
              <w:bottom w:val="single" w:sz="4" w:space="0" w:color="000000"/>
              <w:right w:val="single" w:sz="4" w:space="0" w:color="000000"/>
            </w:tcBorders>
            <w:hideMark/>
          </w:tcPr>
          <w:p w14:paraId="4F10BD6B" w14:textId="57C1D5B0" w:rsidR="000E6038" w:rsidRPr="003D4A39" w:rsidRDefault="000E6038" w:rsidP="000E6038">
            <w:pPr>
              <w:ind w:left="142"/>
              <w:rPr>
                <w:sz w:val="24"/>
                <w:szCs w:val="24"/>
              </w:rPr>
            </w:pPr>
            <w:r w:rsidRPr="003D4A39">
              <w:rPr>
                <w:sz w:val="24"/>
                <w:szCs w:val="24"/>
              </w:rPr>
              <w:t>Amenoré (G3/4: NA)</w:t>
            </w:r>
          </w:p>
        </w:tc>
        <w:tc>
          <w:tcPr>
            <w:tcW w:w="1262" w:type="pct"/>
            <w:tcBorders>
              <w:top w:val="single" w:sz="4" w:space="0" w:color="000000"/>
              <w:left w:val="single" w:sz="4" w:space="0" w:color="000000"/>
              <w:bottom w:val="single" w:sz="4" w:space="0" w:color="000000"/>
              <w:right w:val="single" w:sz="4" w:space="0" w:color="000000"/>
            </w:tcBorders>
          </w:tcPr>
          <w:p w14:paraId="503F899D" w14:textId="77777777" w:rsidR="000E6038" w:rsidRPr="003D4A39" w:rsidRDefault="000E6038" w:rsidP="000E6038">
            <w:pPr>
              <w:ind w:left="142"/>
              <w:rPr>
                <w:sz w:val="24"/>
                <w:szCs w:val="24"/>
              </w:rPr>
            </w:pPr>
          </w:p>
        </w:tc>
        <w:tc>
          <w:tcPr>
            <w:tcW w:w="1210" w:type="pct"/>
            <w:tcBorders>
              <w:top w:val="single" w:sz="4" w:space="0" w:color="000000"/>
              <w:left w:val="single" w:sz="4" w:space="0" w:color="000000"/>
              <w:bottom w:val="single" w:sz="4" w:space="0" w:color="000000"/>
              <w:right w:val="single" w:sz="4" w:space="0" w:color="000000"/>
            </w:tcBorders>
          </w:tcPr>
          <w:p w14:paraId="308F1A69" w14:textId="77777777" w:rsidR="000E6038" w:rsidRPr="003D4A39" w:rsidRDefault="000E6038" w:rsidP="000E6038">
            <w:pPr>
              <w:ind w:left="142"/>
              <w:rPr>
                <w:sz w:val="24"/>
                <w:szCs w:val="24"/>
              </w:rPr>
            </w:pPr>
          </w:p>
        </w:tc>
      </w:tr>
      <w:tr w:rsidR="000E6038" w:rsidRPr="003D4A39" w14:paraId="7B613F3A" w14:textId="77777777" w:rsidTr="000E6038">
        <w:trPr>
          <w:trHeight w:val="20"/>
        </w:trPr>
        <w:tc>
          <w:tcPr>
            <w:tcW w:w="1264" w:type="pct"/>
            <w:tcBorders>
              <w:top w:val="single" w:sz="4" w:space="0" w:color="000000"/>
              <w:left w:val="single" w:sz="4" w:space="0" w:color="000000"/>
              <w:bottom w:val="nil"/>
              <w:right w:val="single" w:sz="4" w:space="0" w:color="000000"/>
            </w:tcBorders>
            <w:hideMark/>
          </w:tcPr>
          <w:p w14:paraId="5F3A607A" w14:textId="77777777" w:rsidR="000E6038" w:rsidRPr="003D4A39" w:rsidRDefault="000E6038" w:rsidP="000E6038">
            <w:pPr>
              <w:ind w:left="142"/>
              <w:rPr>
                <w:sz w:val="24"/>
                <w:szCs w:val="24"/>
              </w:rPr>
            </w:pPr>
            <w:r w:rsidRPr="003D4A39">
              <w:rPr>
                <w:sz w:val="24"/>
                <w:szCs w:val="24"/>
              </w:rPr>
              <w:t>Almene symptomer og reaktioner på administrationsstedet</w:t>
            </w:r>
          </w:p>
        </w:tc>
        <w:tc>
          <w:tcPr>
            <w:tcW w:w="1264" w:type="pct"/>
            <w:tcBorders>
              <w:top w:val="single" w:sz="4" w:space="0" w:color="000000"/>
              <w:left w:val="single" w:sz="4" w:space="0" w:color="000000"/>
              <w:bottom w:val="nil"/>
              <w:right w:val="single" w:sz="4" w:space="0" w:color="000000"/>
            </w:tcBorders>
            <w:hideMark/>
          </w:tcPr>
          <w:p w14:paraId="5D9409F3" w14:textId="77777777" w:rsidR="000E6038" w:rsidRPr="003D4A39" w:rsidRDefault="000E6038" w:rsidP="000E6038">
            <w:pPr>
              <w:ind w:left="142"/>
              <w:rPr>
                <w:sz w:val="24"/>
                <w:szCs w:val="24"/>
              </w:rPr>
            </w:pPr>
            <w:r w:rsidRPr="003D4A39">
              <w:rPr>
                <w:sz w:val="24"/>
                <w:szCs w:val="24"/>
              </w:rPr>
              <w:t xml:space="preserve">Asteni (G3/4: 10,0 %); </w:t>
            </w:r>
          </w:p>
          <w:p w14:paraId="134EA31F" w14:textId="77777777" w:rsidR="000E6038" w:rsidRPr="003D4A39" w:rsidRDefault="000E6038" w:rsidP="000E6038">
            <w:pPr>
              <w:ind w:left="142"/>
              <w:rPr>
                <w:sz w:val="24"/>
                <w:szCs w:val="24"/>
              </w:rPr>
            </w:pPr>
            <w:r w:rsidRPr="003D4A39">
              <w:rPr>
                <w:sz w:val="24"/>
                <w:szCs w:val="24"/>
              </w:rPr>
              <w:t>Feber (G3/4: NA);</w:t>
            </w:r>
          </w:p>
          <w:p w14:paraId="4AD488B2" w14:textId="77777777" w:rsidR="000E6038" w:rsidRPr="003D4A39" w:rsidRDefault="000E6038" w:rsidP="000E6038">
            <w:pPr>
              <w:ind w:left="142"/>
              <w:rPr>
                <w:sz w:val="24"/>
                <w:szCs w:val="24"/>
              </w:rPr>
            </w:pPr>
            <w:r w:rsidRPr="003D4A39">
              <w:rPr>
                <w:sz w:val="24"/>
                <w:szCs w:val="24"/>
              </w:rPr>
              <w:t>Perifert ødem (G3/4: 0,2 %)</w:t>
            </w:r>
          </w:p>
        </w:tc>
        <w:tc>
          <w:tcPr>
            <w:tcW w:w="1262" w:type="pct"/>
            <w:tcBorders>
              <w:top w:val="single" w:sz="4" w:space="0" w:color="000000"/>
              <w:left w:val="single" w:sz="4" w:space="0" w:color="000000"/>
              <w:bottom w:val="nil"/>
              <w:right w:val="single" w:sz="4" w:space="0" w:color="000000"/>
            </w:tcBorders>
          </w:tcPr>
          <w:p w14:paraId="568CE37D" w14:textId="77777777" w:rsidR="000E6038" w:rsidRPr="003D4A39" w:rsidRDefault="000E6038" w:rsidP="000E6038">
            <w:pPr>
              <w:ind w:left="142"/>
              <w:rPr>
                <w:sz w:val="24"/>
                <w:szCs w:val="24"/>
              </w:rPr>
            </w:pPr>
          </w:p>
        </w:tc>
        <w:tc>
          <w:tcPr>
            <w:tcW w:w="1210" w:type="pct"/>
            <w:tcBorders>
              <w:top w:val="single" w:sz="4" w:space="0" w:color="000000"/>
              <w:left w:val="single" w:sz="4" w:space="0" w:color="000000"/>
              <w:bottom w:val="nil"/>
              <w:right w:val="single" w:sz="4" w:space="0" w:color="000000"/>
            </w:tcBorders>
          </w:tcPr>
          <w:p w14:paraId="76000F8B" w14:textId="77777777" w:rsidR="000E6038" w:rsidRPr="003D4A39" w:rsidRDefault="000E6038" w:rsidP="000E6038">
            <w:pPr>
              <w:ind w:left="142"/>
              <w:rPr>
                <w:sz w:val="24"/>
                <w:szCs w:val="24"/>
              </w:rPr>
            </w:pPr>
          </w:p>
        </w:tc>
      </w:tr>
      <w:tr w:rsidR="000E6038" w:rsidRPr="003D4A39" w14:paraId="69D80474" w14:textId="77777777" w:rsidTr="000E6038">
        <w:trPr>
          <w:trHeight w:val="20"/>
        </w:trPr>
        <w:tc>
          <w:tcPr>
            <w:tcW w:w="1264" w:type="pct"/>
            <w:tcBorders>
              <w:top w:val="single" w:sz="4" w:space="0" w:color="000000"/>
              <w:left w:val="single" w:sz="4" w:space="0" w:color="000000"/>
              <w:bottom w:val="single" w:sz="4" w:space="0" w:color="000000"/>
              <w:right w:val="single" w:sz="4" w:space="0" w:color="000000"/>
            </w:tcBorders>
            <w:hideMark/>
          </w:tcPr>
          <w:p w14:paraId="5CC39E76" w14:textId="77777777" w:rsidR="000E6038" w:rsidRPr="003D4A39" w:rsidRDefault="000E6038" w:rsidP="000E6038">
            <w:pPr>
              <w:ind w:left="142"/>
              <w:rPr>
                <w:sz w:val="24"/>
                <w:szCs w:val="24"/>
              </w:rPr>
            </w:pPr>
            <w:r w:rsidRPr="003D4A39">
              <w:rPr>
                <w:sz w:val="24"/>
                <w:szCs w:val="24"/>
              </w:rPr>
              <w:t>Undersøgelser</w:t>
            </w:r>
          </w:p>
        </w:tc>
        <w:tc>
          <w:tcPr>
            <w:tcW w:w="1264" w:type="pct"/>
            <w:tcBorders>
              <w:top w:val="single" w:sz="4" w:space="0" w:color="000000"/>
              <w:left w:val="single" w:sz="4" w:space="0" w:color="000000"/>
              <w:bottom w:val="single" w:sz="4" w:space="0" w:color="000000"/>
              <w:right w:val="single" w:sz="4" w:space="0" w:color="000000"/>
            </w:tcBorders>
          </w:tcPr>
          <w:p w14:paraId="57A30196" w14:textId="77777777" w:rsidR="000E6038" w:rsidRPr="003D4A39" w:rsidRDefault="000E6038" w:rsidP="000E6038">
            <w:pPr>
              <w:ind w:left="142"/>
              <w:rPr>
                <w:sz w:val="24"/>
                <w:szCs w:val="24"/>
              </w:rPr>
            </w:pPr>
          </w:p>
        </w:tc>
        <w:tc>
          <w:tcPr>
            <w:tcW w:w="1262" w:type="pct"/>
            <w:tcBorders>
              <w:top w:val="single" w:sz="4" w:space="0" w:color="000000"/>
              <w:left w:val="single" w:sz="4" w:space="0" w:color="000000"/>
              <w:bottom w:val="single" w:sz="4" w:space="0" w:color="000000"/>
              <w:right w:val="single" w:sz="4" w:space="0" w:color="000000"/>
            </w:tcBorders>
            <w:hideMark/>
          </w:tcPr>
          <w:p w14:paraId="2380C6D6" w14:textId="77777777" w:rsidR="000E6038" w:rsidRPr="003D4A39" w:rsidRDefault="000E6038" w:rsidP="000E6038">
            <w:pPr>
              <w:ind w:left="142"/>
              <w:rPr>
                <w:sz w:val="24"/>
                <w:szCs w:val="24"/>
              </w:rPr>
            </w:pPr>
            <w:r w:rsidRPr="003D4A39">
              <w:rPr>
                <w:sz w:val="24"/>
                <w:szCs w:val="24"/>
              </w:rPr>
              <w:t>Vægtforøgelse (G3/4: 0 %);</w:t>
            </w:r>
          </w:p>
          <w:p w14:paraId="1E58D670" w14:textId="77777777" w:rsidR="000E6038" w:rsidRPr="003D4A39" w:rsidRDefault="000E6038" w:rsidP="000E6038">
            <w:pPr>
              <w:ind w:left="142"/>
              <w:rPr>
                <w:sz w:val="24"/>
                <w:szCs w:val="24"/>
              </w:rPr>
            </w:pPr>
            <w:r w:rsidRPr="003D4A39">
              <w:rPr>
                <w:sz w:val="24"/>
                <w:szCs w:val="24"/>
              </w:rPr>
              <w:t>Vægttab (G3/4: 0,2 %)</w:t>
            </w:r>
          </w:p>
        </w:tc>
        <w:tc>
          <w:tcPr>
            <w:tcW w:w="1210" w:type="pct"/>
            <w:tcBorders>
              <w:top w:val="single" w:sz="4" w:space="0" w:color="000000"/>
              <w:left w:val="single" w:sz="4" w:space="0" w:color="000000"/>
              <w:bottom w:val="single" w:sz="4" w:space="0" w:color="000000"/>
              <w:right w:val="single" w:sz="4" w:space="0" w:color="000000"/>
            </w:tcBorders>
          </w:tcPr>
          <w:p w14:paraId="5127403B" w14:textId="77777777" w:rsidR="000E6038" w:rsidRPr="003D4A39" w:rsidRDefault="000E6038" w:rsidP="000E6038">
            <w:pPr>
              <w:ind w:left="142"/>
              <w:rPr>
                <w:sz w:val="24"/>
                <w:szCs w:val="24"/>
              </w:rPr>
            </w:pPr>
          </w:p>
        </w:tc>
      </w:tr>
    </w:tbl>
    <w:p w14:paraId="13506DFA" w14:textId="77777777" w:rsidR="006B34A1" w:rsidRPr="008D45EF" w:rsidRDefault="006B34A1" w:rsidP="000E6038">
      <w:pPr>
        <w:rPr>
          <w:sz w:val="24"/>
          <w:szCs w:val="24"/>
        </w:rPr>
      </w:pPr>
    </w:p>
    <w:p w14:paraId="0F97CAA4" w14:textId="77777777" w:rsidR="006B34A1" w:rsidRPr="008D45EF" w:rsidRDefault="006B34A1" w:rsidP="0081699D">
      <w:pPr>
        <w:ind w:left="851"/>
        <w:rPr>
          <w:sz w:val="24"/>
          <w:szCs w:val="24"/>
          <w:u w:val="single"/>
        </w:rPr>
      </w:pPr>
      <w:r w:rsidRPr="008D45EF">
        <w:rPr>
          <w:sz w:val="24"/>
          <w:szCs w:val="24"/>
          <w:u w:val="single"/>
        </w:rPr>
        <w:t>Beskrivelse af udvalgte bivirkninger ved adjuverende behandling af brystkræft med docetaxel 75 mg/m² i kombination med doxorubicin og cyclophosphamid hos patienter med lymfeknude-positiv (TAX 316) og lymfeknude-negativ (GEICAM 9805) brystkræft</w:t>
      </w:r>
    </w:p>
    <w:p w14:paraId="2C109FA0" w14:textId="77777777" w:rsidR="000E6038" w:rsidRPr="003D4A39" w:rsidRDefault="000E6038" w:rsidP="000E6038">
      <w:pPr>
        <w:keepNext/>
        <w:ind w:left="851"/>
        <w:rPr>
          <w:sz w:val="24"/>
          <w:szCs w:val="24"/>
        </w:rPr>
      </w:pPr>
    </w:p>
    <w:p w14:paraId="14C87E77" w14:textId="77777777" w:rsidR="000E6038" w:rsidRPr="003D4A39" w:rsidRDefault="000E6038" w:rsidP="000E6038">
      <w:pPr>
        <w:ind w:left="851"/>
        <w:rPr>
          <w:sz w:val="24"/>
          <w:szCs w:val="24"/>
        </w:rPr>
      </w:pPr>
      <w:r w:rsidRPr="003D4A39">
        <w:rPr>
          <w:i/>
          <w:iCs/>
          <w:sz w:val="24"/>
          <w:szCs w:val="24"/>
        </w:rPr>
        <w:t>Nervesystemet</w:t>
      </w:r>
    </w:p>
    <w:p w14:paraId="6AA85DB1" w14:textId="05C795E1" w:rsidR="000E6038" w:rsidRPr="003D4A39" w:rsidRDefault="000E6038" w:rsidP="000E6038">
      <w:pPr>
        <w:ind w:left="851"/>
        <w:rPr>
          <w:sz w:val="24"/>
          <w:szCs w:val="24"/>
        </w:rPr>
      </w:pPr>
      <w:r w:rsidRPr="003D4A39">
        <w:rPr>
          <w:sz w:val="24"/>
          <w:szCs w:val="24"/>
        </w:rPr>
        <w:t>I studiet TAX 316 forekom perifer sensorisk neuropati i løbet af behandlingsperioden og fortsatte ind i opfølgningsperioden hos 84 patienter (11,3 %) i TAC-armen og hos 15 patienter (2 %) i FAC-armen. Ved afslutningen af opfølgningsperioden (median opfølgningstid på 8 år), blev det observeret, at perifer sensorisk neuropati fortsatte hos 10 patienter (1,3 %) i TAC-armen og hos 2 patienter (0,3 %) i FAC-armen. I studiet GEICAM 9805 forekom perifer sensorisk neuropati under behandlingen og fortsatte ind i opfølgningsperioden hos 10 patienter (1,9 %) i TAC-armen og hos 4 patienter (0,8 %) i FAC-armen. Ved afslutningen af opfølgningsperioden (median opfølgningstid på 10 år og 5 måneder) blev det observeret, at perifer sensorisk neuropati fortsatte hos 3 patienter (0,6 %) i TAC-armen og hos 1 patient (0,2 %) i FAC-armen.</w:t>
      </w:r>
    </w:p>
    <w:p w14:paraId="23E0C5E9" w14:textId="77777777" w:rsidR="006B34A1" w:rsidRPr="008D45EF" w:rsidRDefault="006B34A1" w:rsidP="0081699D">
      <w:pPr>
        <w:ind w:left="851"/>
        <w:rPr>
          <w:sz w:val="24"/>
          <w:szCs w:val="24"/>
        </w:rPr>
      </w:pPr>
    </w:p>
    <w:p w14:paraId="01152F46" w14:textId="77777777" w:rsidR="006B34A1" w:rsidRPr="008D45EF" w:rsidRDefault="006B34A1" w:rsidP="000E6038">
      <w:pPr>
        <w:keepNext/>
        <w:ind w:left="851"/>
        <w:rPr>
          <w:sz w:val="24"/>
          <w:szCs w:val="24"/>
        </w:rPr>
      </w:pPr>
      <w:r w:rsidRPr="008D45EF">
        <w:rPr>
          <w:i/>
          <w:iCs/>
          <w:sz w:val="24"/>
          <w:szCs w:val="24"/>
        </w:rPr>
        <w:t>Hjerte</w:t>
      </w:r>
    </w:p>
    <w:p w14:paraId="24C349AD" w14:textId="77777777" w:rsidR="006B34A1" w:rsidRPr="008D45EF" w:rsidRDefault="006B34A1" w:rsidP="0081699D">
      <w:pPr>
        <w:ind w:left="851"/>
        <w:rPr>
          <w:sz w:val="24"/>
          <w:szCs w:val="24"/>
        </w:rPr>
      </w:pPr>
      <w:r w:rsidRPr="008D45EF">
        <w:rPr>
          <w:sz w:val="24"/>
          <w:szCs w:val="24"/>
        </w:rPr>
        <w:t>I studiet TAX 316 oplevede 26 patienter (3,5 %) i TAC-armen og 17 patienter (2,3 %) i FAC-armen kongestivt hjertesvigt. Alle patienter undtagen en patient i hver arm blev diagnosticeret med CHF mere end 30 dage efter behandlingsperioden. To patienter i TAC-armen og 4 patienter i FAC-armen døde af hjertesvigt.</w:t>
      </w:r>
    </w:p>
    <w:p w14:paraId="72EE42FE" w14:textId="77777777" w:rsidR="006B34A1" w:rsidRPr="008D45EF" w:rsidRDefault="006B34A1" w:rsidP="0081699D">
      <w:pPr>
        <w:ind w:left="851"/>
        <w:rPr>
          <w:sz w:val="24"/>
          <w:szCs w:val="24"/>
        </w:rPr>
      </w:pPr>
    </w:p>
    <w:p w14:paraId="089AF4D2" w14:textId="77777777" w:rsidR="000E6038" w:rsidRPr="003D4A39" w:rsidRDefault="000E6038" w:rsidP="000E6038">
      <w:pPr>
        <w:ind w:left="851"/>
        <w:rPr>
          <w:sz w:val="24"/>
          <w:szCs w:val="24"/>
        </w:rPr>
      </w:pPr>
      <w:r w:rsidRPr="003D4A39">
        <w:rPr>
          <w:sz w:val="24"/>
          <w:szCs w:val="24"/>
        </w:rPr>
        <w:t>I studiet GEICAM 9805 udviklede 3 patienter (0,6</w:t>
      </w:r>
      <w:r>
        <w:rPr>
          <w:sz w:val="24"/>
          <w:szCs w:val="24"/>
        </w:rPr>
        <w:t xml:space="preserve"> </w:t>
      </w:r>
      <w:r w:rsidRPr="003D4A39">
        <w:rPr>
          <w:sz w:val="24"/>
          <w:szCs w:val="24"/>
        </w:rPr>
        <w:t>%) i TAC-armen og 3 patienter (0,6</w:t>
      </w:r>
      <w:r>
        <w:rPr>
          <w:sz w:val="24"/>
          <w:szCs w:val="24"/>
        </w:rPr>
        <w:t xml:space="preserve"> </w:t>
      </w:r>
      <w:r w:rsidRPr="003D4A39">
        <w:rPr>
          <w:sz w:val="24"/>
          <w:szCs w:val="24"/>
        </w:rPr>
        <w:t>%) i FAC-armen kongestivt hjertesvigt i opfølgningsperioden. Ved afslutningen af opfølgningsperioden (faktisk median opfølgningstid på 10 år og 5 måneder) havde ingen patienter CHF i TAC-armen og 1 patient i TAC-armen døde af dilateret kardiomyopati, og det blev observeret at CHF fortsatte hos 1 patient (0,2 %) i FAC-armen.</w:t>
      </w:r>
    </w:p>
    <w:p w14:paraId="3BAECF64" w14:textId="77777777" w:rsidR="000E6038" w:rsidRPr="003D4A39" w:rsidRDefault="000E6038" w:rsidP="000E6038">
      <w:pPr>
        <w:ind w:left="851"/>
        <w:rPr>
          <w:sz w:val="24"/>
          <w:szCs w:val="24"/>
        </w:rPr>
      </w:pPr>
    </w:p>
    <w:p w14:paraId="3C570486" w14:textId="77777777" w:rsidR="000E6038" w:rsidRPr="003D4A39" w:rsidRDefault="000E6038" w:rsidP="000E6038">
      <w:pPr>
        <w:ind w:left="851"/>
        <w:rPr>
          <w:sz w:val="24"/>
          <w:szCs w:val="24"/>
        </w:rPr>
      </w:pPr>
      <w:r w:rsidRPr="003D4A39">
        <w:rPr>
          <w:i/>
          <w:iCs/>
          <w:sz w:val="24"/>
          <w:szCs w:val="24"/>
        </w:rPr>
        <w:t>Hud og subkutane væv</w:t>
      </w:r>
    </w:p>
    <w:p w14:paraId="7155504F" w14:textId="397B7CAB" w:rsidR="000E6038" w:rsidRDefault="000E6038" w:rsidP="000E6038">
      <w:pPr>
        <w:ind w:left="851"/>
        <w:rPr>
          <w:sz w:val="24"/>
          <w:szCs w:val="24"/>
        </w:rPr>
      </w:pPr>
      <w:r w:rsidRPr="003D4A39">
        <w:rPr>
          <w:sz w:val="24"/>
          <w:szCs w:val="24"/>
        </w:rPr>
        <w:t>I studiet TAX 316 blev alopeci, der fortsatte ind i opfølgningsperioden efter endt kemoterapi, rapporteret hos 687 ud af 744 TAC</w:t>
      </w:r>
      <w:r w:rsidRPr="003D4A39">
        <w:rPr>
          <w:sz w:val="24"/>
          <w:szCs w:val="24"/>
        </w:rPr>
        <w:noBreakHyphen/>
        <w:t>patienter (92,3 %) og hos 645 ud af 736 FAC</w:t>
      </w:r>
      <w:r w:rsidRPr="003D4A39">
        <w:rPr>
          <w:sz w:val="24"/>
          <w:szCs w:val="24"/>
        </w:rPr>
        <w:noBreakHyphen/>
        <w:t>patienter (87,6</w:t>
      </w:r>
      <w:r>
        <w:rPr>
          <w:sz w:val="24"/>
          <w:szCs w:val="24"/>
        </w:rPr>
        <w:t xml:space="preserve"> </w:t>
      </w:r>
      <w:r w:rsidRPr="003D4A39">
        <w:rPr>
          <w:sz w:val="24"/>
          <w:szCs w:val="24"/>
        </w:rPr>
        <w:t>%).</w:t>
      </w:r>
    </w:p>
    <w:p w14:paraId="70F6D969" w14:textId="77777777" w:rsidR="000E6038" w:rsidRPr="003D4A39" w:rsidRDefault="000E6038" w:rsidP="000E6038">
      <w:pPr>
        <w:ind w:left="851"/>
        <w:rPr>
          <w:sz w:val="24"/>
          <w:szCs w:val="24"/>
        </w:rPr>
      </w:pPr>
    </w:p>
    <w:p w14:paraId="48FF94F1" w14:textId="7EC0809C" w:rsidR="000E6038" w:rsidRDefault="000E6038" w:rsidP="000E6038">
      <w:pPr>
        <w:ind w:left="851"/>
        <w:rPr>
          <w:sz w:val="24"/>
          <w:szCs w:val="24"/>
        </w:rPr>
      </w:pPr>
      <w:r w:rsidRPr="003D4A39">
        <w:rPr>
          <w:sz w:val="24"/>
          <w:szCs w:val="24"/>
        </w:rPr>
        <w:t>Ved slutningen af opfølgningsperioden (faktisk median opfølgningstid var 8 år) blev alopeci fortsat observeret hos 29 TAC</w:t>
      </w:r>
      <w:r w:rsidRPr="003D4A39">
        <w:rPr>
          <w:sz w:val="24"/>
          <w:szCs w:val="24"/>
        </w:rPr>
        <w:noBreakHyphen/>
        <w:t>patienter (3,9 %) og hos 16 FAC</w:t>
      </w:r>
      <w:r w:rsidRPr="003D4A39">
        <w:rPr>
          <w:sz w:val="24"/>
          <w:szCs w:val="24"/>
        </w:rPr>
        <w:noBreakHyphen/>
        <w:t>patienter (2,2 %).</w:t>
      </w:r>
    </w:p>
    <w:p w14:paraId="1001CEE0" w14:textId="77777777" w:rsidR="000E6038" w:rsidRPr="003D4A39" w:rsidRDefault="000E6038" w:rsidP="000E6038">
      <w:pPr>
        <w:ind w:left="851"/>
        <w:rPr>
          <w:sz w:val="24"/>
          <w:szCs w:val="24"/>
        </w:rPr>
      </w:pPr>
    </w:p>
    <w:p w14:paraId="7D897945" w14:textId="036D4323" w:rsidR="000E6038" w:rsidRPr="003D4A39" w:rsidRDefault="000E6038" w:rsidP="000E6038">
      <w:pPr>
        <w:ind w:left="851"/>
        <w:rPr>
          <w:sz w:val="24"/>
          <w:szCs w:val="24"/>
        </w:rPr>
      </w:pPr>
      <w:r w:rsidRPr="003D4A39">
        <w:rPr>
          <w:sz w:val="24"/>
          <w:szCs w:val="24"/>
        </w:rPr>
        <w:t>I studiet GEICAM 9805 fortsatte alopeci, som forekom i løbet af behandlingsperioden, ind i opfølgningsperioden og blev fortsat observeret hos 49 patienter (9,2</w:t>
      </w:r>
      <w:r>
        <w:rPr>
          <w:sz w:val="24"/>
          <w:szCs w:val="24"/>
        </w:rPr>
        <w:t xml:space="preserve"> </w:t>
      </w:r>
      <w:r w:rsidRPr="003D4A39">
        <w:rPr>
          <w:sz w:val="24"/>
          <w:szCs w:val="24"/>
        </w:rPr>
        <w:t>%) i TAC-armen og hos 35 patienter (6,7</w:t>
      </w:r>
      <w:r>
        <w:rPr>
          <w:sz w:val="24"/>
          <w:szCs w:val="24"/>
        </w:rPr>
        <w:t xml:space="preserve"> </w:t>
      </w:r>
      <w:r w:rsidRPr="003D4A39">
        <w:rPr>
          <w:sz w:val="24"/>
          <w:szCs w:val="24"/>
        </w:rPr>
        <w:t>%) i FAC-armen. Alopeci relateret til forsøgsmedicinen forekom eller forværredes i løbet af opfølgningsperioden hos 42 patienter (7,9</w:t>
      </w:r>
      <w:r>
        <w:rPr>
          <w:sz w:val="24"/>
          <w:szCs w:val="24"/>
        </w:rPr>
        <w:t xml:space="preserve"> </w:t>
      </w:r>
      <w:r w:rsidRPr="003D4A39">
        <w:rPr>
          <w:sz w:val="24"/>
          <w:szCs w:val="24"/>
        </w:rPr>
        <w:t>%) i TAC-armen og hos 30 patienter (5,8</w:t>
      </w:r>
      <w:r>
        <w:rPr>
          <w:sz w:val="24"/>
          <w:szCs w:val="24"/>
        </w:rPr>
        <w:t xml:space="preserve"> </w:t>
      </w:r>
      <w:r w:rsidRPr="003D4A39">
        <w:rPr>
          <w:sz w:val="24"/>
          <w:szCs w:val="24"/>
        </w:rPr>
        <w:t>%) i FAC-armen. Ved afslutningen af opfølgningsperioden (median opfølgningstid på 10 år og 5 måneder) blev det observeret, at alopeci fortsatte hos 3 patienter (0,6 %) i TAC-armen og hos 1 patient (0,2 %) i FAC-armen.</w:t>
      </w:r>
    </w:p>
    <w:p w14:paraId="1DFE4348" w14:textId="77777777" w:rsidR="000E6038" w:rsidRPr="003D4A39" w:rsidRDefault="000E6038" w:rsidP="000E6038">
      <w:pPr>
        <w:ind w:left="851"/>
        <w:rPr>
          <w:sz w:val="24"/>
          <w:szCs w:val="24"/>
        </w:rPr>
      </w:pPr>
    </w:p>
    <w:p w14:paraId="3E67D455" w14:textId="77777777" w:rsidR="000E6038" w:rsidRPr="003D4A39" w:rsidRDefault="000E6038" w:rsidP="000E6038">
      <w:pPr>
        <w:ind w:left="851"/>
        <w:rPr>
          <w:sz w:val="24"/>
          <w:szCs w:val="24"/>
        </w:rPr>
      </w:pPr>
      <w:r w:rsidRPr="003D4A39">
        <w:rPr>
          <w:i/>
          <w:iCs/>
          <w:sz w:val="24"/>
          <w:szCs w:val="24"/>
        </w:rPr>
        <w:t>Det reproduktive system og mammae</w:t>
      </w:r>
    </w:p>
    <w:p w14:paraId="30499D0B" w14:textId="3C2528BC" w:rsidR="000E6038" w:rsidRPr="003D4A39" w:rsidRDefault="000E6038" w:rsidP="000E6038">
      <w:pPr>
        <w:ind w:left="851"/>
        <w:rPr>
          <w:sz w:val="24"/>
          <w:szCs w:val="24"/>
        </w:rPr>
      </w:pPr>
      <w:r w:rsidRPr="003D4A39">
        <w:rPr>
          <w:sz w:val="24"/>
          <w:szCs w:val="24"/>
        </w:rPr>
        <w:t xml:space="preserve">I studiet TAX 316 forekom amenoré i løbet af behandlingsperioden og fortsatte ind i opfølgningsperioden efter afsluttet kemoterapi og blev rapporteret hos 202 af 744 TAC-patienter (27,2 %) og hos 125 af 736 FAC-patienter (17,0 %). Det blev observeret, at amenoré fortsatte ved afslutningen af opfølgningsperioden (median opfølgningstid på 8 år) hos 121 af 744 TAC-patienter (16,3 %) og hos 86 FAC-patienter (11,7 %). I studiet GEICAM 9805 blev det observeret, at amenoré, som forekom i løbet af behandlingsperioden og fortsatte ind i opfølgningsperioden fortsat blev observeret hos 18 patienter (3,4 %) i TAC-armen og hos 5 patienter (1,0 %) i FAC-armen. Ved afslutningen af opfølgningsperioden (median opfølgningstid på 10 år og 5 måneder) blev det observeret, at amenoré fortsatte hos 7 patienter (1,3 %) i TAC-armen og hos 4 patienter (0,8 %) i FAC-armen. </w:t>
      </w:r>
    </w:p>
    <w:p w14:paraId="78A7B1F3" w14:textId="77777777" w:rsidR="000E6038" w:rsidRPr="003D4A39" w:rsidRDefault="000E6038" w:rsidP="000E6038">
      <w:pPr>
        <w:ind w:left="851"/>
        <w:rPr>
          <w:sz w:val="24"/>
          <w:szCs w:val="24"/>
        </w:rPr>
      </w:pPr>
    </w:p>
    <w:p w14:paraId="5462B77B" w14:textId="77777777" w:rsidR="000E6038" w:rsidRPr="003D4A39" w:rsidRDefault="000E6038" w:rsidP="000E6038">
      <w:pPr>
        <w:ind w:left="851"/>
        <w:rPr>
          <w:sz w:val="24"/>
          <w:szCs w:val="24"/>
        </w:rPr>
      </w:pPr>
      <w:r w:rsidRPr="003D4A39">
        <w:rPr>
          <w:i/>
          <w:iCs/>
          <w:sz w:val="24"/>
          <w:szCs w:val="24"/>
        </w:rPr>
        <w:t>Almene symptomer og reaktioner på administrationsstedet</w:t>
      </w:r>
    </w:p>
    <w:p w14:paraId="6A25BB6E" w14:textId="3FFD982B" w:rsidR="000E6038" w:rsidRDefault="000E6038" w:rsidP="000E6038">
      <w:pPr>
        <w:ind w:left="851"/>
        <w:rPr>
          <w:sz w:val="24"/>
          <w:szCs w:val="24"/>
        </w:rPr>
      </w:pPr>
      <w:r w:rsidRPr="003D4A39">
        <w:rPr>
          <w:sz w:val="24"/>
          <w:szCs w:val="24"/>
        </w:rPr>
        <w:t xml:space="preserve">I studiet TAX 316 forekom perifert ødem under behandlingsperioden og fortsatte ind i opfølgningsperioden efter afslutningen af kemoterapi. Det blev observeret hos 119 af 744 TAC-patienter (16,0 %) og hos 23 af 736 FAC-patienter (3,1 %). Ved afslutningen af opfølgningsperioden (faktisk median opfølgningstid på 8 år) fortsatte perifert ødem hos 19 TAC-patienter (2,6 %) og hos 4 FAC-patienter (0,5 %). </w:t>
      </w:r>
    </w:p>
    <w:p w14:paraId="44944B52" w14:textId="77777777" w:rsidR="000E6038" w:rsidRPr="003D4A39" w:rsidRDefault="000E6038" w:rsidP="000E6038">
      <w:pPr>
        <w:ind w:left="851"/>
        <w:rPr>
          <w:sz w:val="24"/>
          <w:szCs w:val="24"/>
        </w:rPr>
      </w:pPr>
    </w:p>
    <w:p w14:paraId="081A52E6" w14:textId="77777777" w:rsidR="000E6038" w:rsidRDefault="000E6038" w:rsidP="000E6038">
      <w:pPr>
        <w:ind w:left="851"/>
        <w:rPr>
          <w:sz w:val="24"/>
          <w:szCs w:val="24"/>
        </w:rPr>
      </w:pPr>
      <w:r w:rsidRPr="003D4A39">
        <w:rPr>
          <w:sz w:val="24"/>
          <w:szCs w:val="24"/>
        </w:rPr>
        <w:t xml:space="preserve">I studiet TAX 316 forekom lymfødem i løbet af behandlingsperioden og fortsatte ind i opfølgningsperioden efter afsluttet kemoterapi og blev rapporteret hos 11 af 744 TAC-patienter (1,5 %) og hos 1 af 736 FAC-patienter (0,1 %). Ved afslutningen af opfølgningsperioden blev det observeret (median opfølgningstid på 8 år), at lymfødem fortsatte hos 6 TAC-patienter (0,8 %) og hos 1 FAC-patient (0,1 %). </w:t>
      </w:r>
    </w:p>
    <w:p w14:paraId="74EAE751" w14:textId="77777777" w:rsidR="000E6038" w:rsidRPr="003D4A39" w:rsidRDefault="000E6038" w:rsidP="000E6038">
      <w:pPr>
        <w:ind w:left="851"/>
        <w:rPr>
          <w:sz w:val="24"/>
          <w:szCs w:val="24"/>
        </w:rPr>
      </w:pPr>
    </w:p>
    <w:p w14:paraId="72B8FD3E" w14:textId="77777777" w:rsidR="000E6038" w:rsidRPr="003D4A39" w:rsidRDefault="000E6038" w:rsidP="000E6038">
      <w:pPr>
        <w:ind w:left="851"/>
        <w:rPr>
          <w:sz w:val="24"/>
          <w:szCs w:val="24"/>
        </w:rPr>
      </w:pPr>
      <w:r w:rsidRPr="003D4A39">
        <w:rPr>
          <w:sz w:val="24"/>
          <w:szCs w:val="24"/>
        </w:rPr>
        <w:t>I studiet TAX 316 forekom asteni i løbet af behandlingsperioden og fortsatte ind i opfølgningsperioden efter afsluttet kemoterapi og blev rapporteret hos 236 af 744 TAC-patienter (31,7 %) og hos 180 af 736 FAC-patienter (24,5 %). Ved afslutningen af opfølgningsperioden blev det observeret (median opfølgningstid på 8 år), at asteni fortsatte hos 29 TAC-patienter (3,9 %) og hos 16 FAC-patienter (2,2 %).</w:t>
      </w:r>
    </w:p>
    <w:p w14:paraId="3DD8263D" w14:textId="77777777" w:rsidR="000E6038" w:rsidRPr="003D4A39" w:rsidRDefault="000E6038" w:rsidP="000E6038">
      <w:pPr>
        <w:ind w:left="851"/>
        <w:rPr>
          <w:sz w:val="24"/>
          <w:szCs w:val="24"/>
        </w:rPr>
      </w:pPr>
    </w:p>
    <w:p w14:paraId="283FCF99" w14:textId="77777777" w:rsidR="000E6038" w:rsidRPr="003D4A39" w:rsidRDefault="000E6038" w:rsidP="000E6038">
      <w:pPr>
        <w:ind w:left="851"/>
        <w:rPr>
          <w:sz w:val="24"/>
          <w:szCs w:val="24"/>
        </w:rPr>
      </w:pPr>
      <w:r w:rsidRPr="003D4A39">
        <w:rPr>
          <w:sz w:val="24"/>
          <w:szCs w:val="24"/>
        </w:rPr>
        <w:t xml:space="preserve">I studiet GEICAM 9805 blev det observeret, at perifert ødem, som forekom i løbet af behandlingsperioden, fortsatte ind i opfølgningsperioden hos 4 patienter (0,8 %) i TAC-armen og hos 2 patienter (0,4 %) i FAC-armen. Ved afslutningen af opfølgningsperioden (median opfølgningstid på 10 år og 5 måneder) havde ingen patienter (0 %) i TAC-armen perifert ødem og det blev observeret, at det fortsatte hos 1 patient (0,2 %) i FAC-armen. </w:t>
      </w:r>
    </w:p>
    <w:p w14:paraId="330BE777" w14:textId="7EC37F09" w:rsidR="000E6038" w:rsidRDefault="000E6038" w:rsidP="000E6038">
      <w:pPr>
        <w:ind w:left="851"/>
        <w:rPr>
          <w:sz w:val="24"/>
          <w:szCs w:val="24"/>
        </w:rPr>
      </w:pPr>
      <w:r w:rsidRPr="003D4A39">
        <w:rPr>
          <w:sz w:val="24"/>
          <w:szCs w:val="24"/>
        </w:rPr>
        <w:t xml:space="preserve">Lymfødem, der forekom i behandlingsperioden, fortsatte i opfølgningsperioden hos 5 patienter (0,9 %) i TAC-armen og 2 patienter (0,4 %) i FAC-armen. I slutningen af opfølgningsperioden blev lymfødem observeret at være vedvarende hos 4 patienter (0,8 %) i TAC-armen og hos 1 patient (0,2 %) i FAC-armen. </w:t>
      </w:r>
    </w:p>
    <w:p w14:paraId="6ABB93A0" w14:textId="77777777" w:rsidR="000E6038" w:rsidRPr="003D4A39" w:rsidRDefault="000E6038" w:rsidP="000E6038">
      <w:pPr>
        <w:ind w:left="851"/>
        <w:rPr>
          <w:sz w:val="24"/>
          <w:szCs w:val="24"/>
        </w:rPr>
      </w:pPr>
    </w:p>
    <w:p w14:paraId="65A63C68" w14:textId="2E6160D0" w:rsidR="000E6038" w:rsidRPr="003D4A39" w:rsidRDefault="000E6038" w:rsidP="000E6038">
      <w:pPr>
        <w:ind w:left="851"/>
        <w:rPr>
          <w:sz w:val="24"/>
          <w:szCs w:val="24"/>
        </w:rPr>
      </w:pPr>
      <w:r w:rsidRPr="003D4A39">
        <w:rPr>
          <w:sz w:val="24"/>
          <w:szCs w:val="24"/>
        </w:rPr>
        <w:t>Asteni, som forekom i løbet af behandlingsperioden, fortsatte ind i opfølgningsperioden og blev fortsat observeret hos 12 patienter (2,3 %) i TAC-armen og hos 4 patienter (0,8 %) i FAC-armen. Ved afslutningen af opfølgningsperioden blev asteni observeret at være vedvarende hos 2 patienter (0,4 %) i TAC-armen og hos 2 patienter (0,4 %) i FAC-armen.</w:t>
      </w:r>
    </w:p>
    <w:p w14:paraId="6A1055B6" w14:textId="77777777" w:rsidR="000E6038" w:rsidRPr="003D4A39" w:rsidRDefault="000E6038" w:rsidP="000E6038">
      <w:pPr>
        <w:ind w:left="851"/>
        <w:rPr>
          <w:sz w:val="24"/>
          <w:szCs w:val="24"/>
        </w:rPr>
      </w:pPr>
    </w:p>
    <w:p w14:paraId="0FB526B9" w14:textId="77777777" w:rsidR="000E6038" w:rsidRPr="003D4A39" w:rsidRDefault="000E6038" w:rsidP="000E6038">
      <w:pPr>
        <w:ind w:left="851"/>
        <w:rPr>
          <w:sz w:val="24"/>
          <w:szCs w:val="24"/>
        </w:rPr>
      </w:pPr>
      <w:r w:rsidRPr="003D4A39">
        <w:rPr>
          <w:i/>
          <w:iCs/>
          <w:sz w:val="24"/>
          <w:szCs w:val="24"/>
        </w:rPr>
        <w:t>Akut leukæmi / myelodysplastisk syndrom</w:t>
      </w:r>
    </w:p>
    <w:p w14:paraId="6712A721" w14:textId="756DB110" w:rsidR="000E6038" w:rsidRPr="003D4A39" w:rsidRDefault="000E6038" w:rsidP="000E6038">
      <w:pPr>
        <w:ind w:left="851"/>
        <w:rPr>
          <w:sz w:val="24"/>
          <w:szCs w:val="24"/>
        </w:rPr>
      </w:pPr>
      <w:r w:rsidRPr="003D4A39">
        <w:rPr>
          <w:sz w:val="24"/>
          <w:szCs w:val="24"/>
        </w:rPr>
        <w:t>Efter 10 års opfølgning i TAX 316 studiet blev akut leukæmi rapporteret hos 3 ud af 744 TAC-patienter (0,4</w:t>
      </w:r>
      <w:r>
        <w:rPr>
          <w:sz w:val="24"/>
          <w:szCs w:val="24"/>
        </w:rPr>
        <w:t xml:space="preserve"> </w:t>
      </w:r>
      <w:r w:rsidRPr="003D4A39">
        <w:rPr>
          <w:sz w:val="24"/>
          <w:szCs w:val="24"/>
        </w:rPr>
        <w:t>%) og hos 1 ud af 736 FAC-patienter (0,1</w:t>
      </w:r>
      <w:r>
        <w:rPr>
          <w:sz w:val="24"/>
          <w:szCs w:val="24"/>
        </w:rPr>
        <w:t xml:space="preserve"> </w:t>
      </w:r>
      <w:r w:rsidRPr="003D4A39">
        <w:rPr>
          <w:sz w:val="24"/>
          <w:szCs w:val="24"/>
        </w:rPr>
        <w:t>%). 1 TAC-patient (0,1</w:t>
      </w:r>
      <w:r>
        <w:rPr>
          <w:sz w:val="24"/>
          <w:szCs w:val="24"/>
        </w:rPr>
        <w:t> </w:t>
      </w:r>
      <w:r w:rsidRPr="003D4A39">
        <w:rPr>
          <w:sz w:val="24"/>
          <w:szCs w:val="24"/>
        </w:rPr>
        <w:t>%) og 1 FAC-patient (0,1 %) døde på grund af AML i løbet af opfølgningsperioden (median opfølgningstid på 8 år). Myelodysplastisk syndrom blev rapporteret hos 2 ud af 744 TAC-patienter (0,3</w:t>
      </w:r>
      <w:r>
        <w:rPr>
          <w:sz w:val="24"/>
          <w:szCs w:val="24"/>
        </w:rPr>
        <w:t xml:space="preserve"> </w:t>
      </w:r>
      <w:r w:rsidRPr="003D4A39">
        <w:rPr>
          <w:sz w:val="24"/>
          <w:szCs w:val="24"/>
        </w:rPr>
        <w:t>%) og hos 1 ud af 736 FAC-patienter (0,1</w:t>
      </w:r>
      <w:r>
        <w:rPr>
          <w:sz w:val="24"/>
          <w:szCs w:val="24"/>
        </w:rPr>
        <w:t xml:space="preserve"> </w:t>
      </w:r>
      <w:r w:rsidRPr="003D4A39">
        <w:rPr>
          <w:sz w:val="24"/>
          <w:szCs w:val="24"/>
        </w:rPr>
        <w:t>%).</w:t>
      </w:r>
    </w:p>
    <w:p w14:paraId="51A28E94" w14:textId="0C2E9A11" w:rsidR="000E6038" w:rsidRPr="003D4A39" w:rsidRDefault="000E6038" w:rsidP="000E6038">
      <w:pPr>
        <w:ind w:left="851"/>
        <w:rPr>
          <w:sz w:val="24"/>
          <w:szCs w:val="24"/>
        </w:rPr>
      </w:pPr>
      <w:r w:rsidRPr="003D4A39">
        <w:rPr>
          <w:sz w:val="24"/>
          <w:szCs w:val="24"/>
        </w:rPr>
        <w:t>Efter 10 års opfølgning i GEICAM 9805-studiet forekom akut leukæmi hos 1 ud af 532 (0,2</w:t>
      </w:r>
      <w:r>
        <w:rPr>
          <w:sz w:val="24"/>
          <w:szCs w:val="24"/>
        </w:rPr>
        <w:t xml:space="preserve"> </w:t>
      </w:r>
      <w:r w:rsidRPr="003D4A39">
        <w:rPr>
          <w:sz w:val="24"/>
          <w:szCs w:val="24"/>
        </w:rPr>
        <w:t>%) patienter i TAC-armen. Der blev ikke set nogen tilfælde hos patienter i FAC-armen. Myelodysplastisk syndrom blev ikke diagnosticeret i nogen af behandlingsgrupperne.</w:t>
      </w:r>
    </w:p>
    <w:p w14:paraId="3B4E246F" w14:textId="77777777" w:rsidR="006B34A1" w:rsidRPr="008D45EF" w:rsidRDefault="006B34A1" w:rsidP="0081699D">
      <w:pPr>
        <w:ind w:left="851"/>
        <w:rPr>
          <w:sz w:val="24"/>
          <w:szCs w:val="24"/>
        </w:rPr>
      </w:pPr>
    </w:p>
    <w:p w14:paraId="3FD89077" w14:textId="77777777" w:rsidR="006B34A1" w:rsidRPr="008D45EF" w:rsidRDefault="006B34A1" w:rsidP="0081699D">
      <w:pPr>
        <w:ind w:left="851"/>
        <w:rPr>
          <w:sz w:val="24"/>
          <w:szCs w:val="24"/>
        </w:rPr>
      </w:pPr>
      <w:r w:rsidRPr="008D45EF">
        <w:rPr>
          <w:i/>
          <w:iCs/>
          <w:sz w:val="24"/>
          <w:szCs w:val="24"/>
        </w:rPr>
        <w:t>Neutropeniske komplikationer</w:t>
      </w:r>
    </w:p>
    <w:p w14:paraId="722AEC69" w14:textId="77777777" w:rsidR="006B34A1" w:rsidRPr="008D45EF" w:rsidRDefault="006B34A1" w:rsidP="0081699D">
      <w:pPr>
        <w:ind w:left="851"/>
        <w:rPr>
          <w:sz w:val="24"/>
          <w:szCs w:val="24"/>
        </w:rPr>
      </w:pPr>
      <w:r w:rsidRPr="008D45EF">
        <w:rPr>
          <w:sz w:val="24"/>
          <w:szCs w:val="24"/>
        </w:rPr>
        <w:t>Tabellen nedenfor viser, at hyppigheden af grad 4 neutropeni, febril neutropeni og neutropenisk infektion var lavere hos patienter, der fik G</w:t>
      </w:r>
      <w:r w:rsidRPr="008D45EF">
        <w:rPr>
          <w:sz w:val="24"/>
          <w:szCs w:val="24"/>
        </w:rPr>
        <w:noBreakHyphen/>
        <w:t>CSF profylaktisk, efter det blev gjort obligatorisk i TAC- armen i GEICAM-studiet.</w:t>
      </w:r>
    </w:p>
    <w:p w14:paraId="73BC6769" w14:textId="77777777" w:rsidR="006B34A1" w:rsidRPr="008D45EF" w:rsidRDefault="006B34A1" w:rsidP="0081699D">
      <w:pPr>
        <w:ind w:left="851"/>
        <w:rPr>
          <w:sz w:val="24"/>
          <w:szCs w:val="24"/>
        </w:rPr>
      </w:pPr>
    </w:p>
    <w:p w14:paraId="1DD81D4F" w14:textId="77777777" w:rsidR="006B34A1" w:rsidRPr="008D45EF" w:rsidRDefault="006B34A1" w:rsidP="0081699D">
      <w:pPr>
        <w:ind w:left="142"/>
        <w:rPr>
          <w:sz w:val="24"/>
          <w:szCs w:val="24"/>
          <w:u w:val="single"/>
        </w:rPr>
      </w:pPr>
      <w:r w:rsidRPr="008D45EF">
        <w:rPr>
          <w:sz w:val="24"/>
          <w:szCs w:val="24"/>
          <w:u w:val="single"/>
        </w:rPr>
        <w:t>Neutropeniske komplikationer hos patienter, der får TAC med eller uden G</w:t>
      </w:r>
      <w:r w:rsidRPr="008D45EF">
        <w:rPr>
          <w:sz w:val="24"/>
          <w:szCs w:val="24"/>
          <w:u w:val="single"/>
        </w:rPr>
        <w:noBreakHyphen/>
        <w:t>CSF-profylakse (GEICAM 9805)</w:t>
      </w:r>
    </w:p>
    <w:p w14:paraId="06E9246A" w14:textId="77777777" w:rsidR="006B34A1" w:rsidRPr="008D45EF" w:rsidRDefault="006B34A1" w:rsidP="0081699D">
      <w:pPr>
        <w:ind w:left="851"/>
        <w:rPr>
          <w:sz w:val="24"/>
          <w:szCs w:val="24"/>
        </w:rPr>
      </w:pPr>
    </w:p>
    <w:tbl>
      <w:tblPr>
        <w:tblW w:w="5000" w:type="pct"/>
        <w:tblCellMar>
          <w:left w:w="0" w:type="dxa"/>
          <w:right w:w="0" w:type="dxa"/>
        </w:tblCellMar>
        <w:tblLook w:val="04A0" w:firstRow="1" w:lastRow="0" w:firstColumn="1" w:lastColumn="0" w:noHBand="0" w:noVBand="1"/>
      </w:tblPr>
      <w:tblGrid>
        <w:gridCol w:w="3412"/>
        <w:gridCol w:w="3077"/>
        <w:gridCol w:w="3139"/>
      </w:tblGrid>
      <w:tr w:rsidR="006B34A1" w:rsidRPr="008D45EF" w14:paraId="1F32FB0A" w14:textId="77777777" w:rsidTr="002A7D83">
        <w:trPr>
          <w:trHeight w:val="20"/>
        </w:trPr>
        <w:tc>
          <w:tcPr>
            <w:tcW w:w="1772" w:type="pct"/>
            <w:tcBorders>
              <w:top w:val="single" w:sz="4" w:space="0" w:color="000000"/>
              <w:left w:val="single" w:sz="4" w:space="0" w:color="000000"/>
              <w:bottom w:val="single" w:sz="4" w:space="0" w:color="000000"/>
              <w:right w:val="single" w:sz="4" w:space="0" w:color="000000"/>
            </w:tcBorders>
          </w:tcPr>
          <w:p w14:paraId="39269946" w14:textId="77777777" w:rsidR="006B34A1" w:rsidRPr="008D45EF" w:rsidRDefault="006B34A1" w:rsidP="0081699D">
            <w:pPr>
              <w:ind w:left="142"/>
              <w:rPr>
                <w:sz w:val="24"/>
                <w:szCs w:val="24"/>
              </w:rPr>
            </w:pPr>
          </w:p>
        </w:tc>
        <w:tc>
          <w:tcPr>
            <w:tcW w:w="1598" w:type="pct"/>
            <w:tcBorders>
              <w:top w:val="single" w:sz="4" w:space="0" w:color="000000"/>
              <w:left w:val="single" w:sz="4" w:space="0" w:color="000000"/>
              <w:bottom w:val="single" w:sz="4" w:space="0" w:color="000000"/>
              <w:right w:val="single" w:sz="4" w:space="0" w:color="000000"/>
            </w:tcBorders>
            <w:hideMark/>
          </w:tcPr>
          <w:p w14:paraId="18D2F710" w14:textId="77777777" w:rsidR="006B34A1" w:rsidRPr="008D45EF" w:rsidRDefault="006B34A1" w:rsidP="0081699D">
            <w:pPr>
              <w:ind w:left="142"/>
              <w:rPr>
                <w:b/>
                <w:bCs/>
                <w:sz w:val="24"/>
                <w:szCs w:val="24"/>
              </w:rPr>
            </w:pPr>
            <w:r w:rsidRPr="008D45EF">
              <w:rPr>
                <w:b/>
                <w:bCs/>
                <w:sz w:val="24"/>
                <w:szCs w:val="24"/>
              </w:rPr>
              <w:t>Uden primær G</w:t>
            </w:r>
            <w:r w:rsidRPr="008D45EF">
              <w:rPr>
                <w:b/>
                <w:bCs/>
                <w:sz w:val="24"/>
                <w:szCs w:val="24"/>
              </w:rPr>
              <w:noBreakHyphen/>
              <w:t>CSF- profylakse</w:t>
            </w:r>
          </w:p>
          <w:p w14:paraId="705CD21D" w14:textId="77777777" w:rsidR="006B34A1" w:rsidRPr="008D45EF" w:rsidRDefault="006B34A1" w:rsidP="0081699D">
            <w:pPr>
              <w:ind w:left="142"/>
              <w:rPr>
                <w:b/>
                <w:bCs/>
                <w:sz w:val="24"/>
                <w:szCs w:val="24"/>
              </w:rPr>
            </w:pPr>
            <w:r w:rsidRPr="008D45EF">
              <w:rPr>
                <w:b/>
                <w:bCs/>
                <w:sz w:val="24"/>
                <w:szCs w:val="24"/>
              </w:rPr>
              <w:t>(n = 111) n (%)</w:t>
            </w:r>
          </w:p>
        </w:tc>
        <w:tc>
          <w:tcPr>
            <w:tcW w:w="1630" w:type="pct"/>
            <w:tcBorders>
              <w:top w:val="single" w:sz="4" w:space="0" w:color="000000"/>
              <w:left w:val="single" w:sz="4" w:space="0" w:color="000000"/>
              <w:bottom w:val="single" w:sz="4" w:space="0" w:color="000000"/>
              <w:right w:val="single" w:sz="4" w:space="0" w:color="000000"/>
            </w:tcBorders>
            <w:hideMark/>
          </w:tcPr>
          <w:p w14:paraId="33F5904E" w14:textId="77777777" w:rsidR="006B34A1" w:rsidRPr="008D45EF" w:rsidRDefault="006B34A1" w:rsidP="0081699D">
            <w:pPr>
              <w:ind w:left="142"/>
              <w:rPr>
                <w:b/>
                <w:bCs/>
                <w:sz w:val="24"/>
                <w:szCs w:val="24"/>
              </w:rPr>
            </w:pPr>
            <w:r w:rsidRPr="008D45EF">
              <w:rPr>
                <w:b/>
                <w:bCs/>
                <w:sz w:val="24"/>
                <w:szCs w:val="24"/>
              </w:rPr>
              <w:t>Med primær G</w:t>
            </w:r>
            <w:r w:rsidRPr="008D45EF">
              <w:rPr>
                <w:b/>
                <w:bCs/>
                <w:sz w:val="24"/>
                <w:szCs w:val="24"/>
              </w:rPr>
              <w:noBreakHyphen/>
              <w:t>CSF- profylakse</w:t>
            </w:r>
          </w:p>
          <w:p w14:paraId="6EADDE38" w14:textId="77777777" w:rsidR="006B34A1" w:rsidRPr="008D45EF" w:rsidRDefault="006B34A1" w:rsidP="0081699D">
            <w:pPr>
              <w:ind w:left="142"/>
              <w:rPr>
                <w:b/>
                <w:bCs/>
                <w:sz w:val="24"/>
                <w:szCs w:val="24"/>
              </w:rPr>
            </w:pPr>
            <w:r w:rsidRPr="008D45EF">
              <w:rPr>
                <w:b/>
                <w:bCs/>
                <w:sz w:val="24"/>
                <w:szCs w:val="24"/>
              </w:rPr>
              <w:t>(n = 421) n (%)</w:t>
            </w:r>
          </w:p>
        </w:tc>
      </w:tr>
      <w:tr w:rsidR="006B34A1" w:rsidRPr="008D45EF" w14:paraId="7DB0309D" w14:textId="77777777" w:rsidTr="002A7D83">
        <w:trPr>
          <w:trHeight w:val="20"/>
        </w:trPr>
        <w:tc>
          <w:tcPr>
            <w:tcW w:w="1772" w:type="pct"/>
            <w:tcBorders>
              <w:top w:val="single" w:sz="4" w:space="0" w:color="000000"/>
              <w:left w:val="single" w:sz="4" w:space="0" w:color="000000"/>
              <w:bottom w:val="single" w:sz="4" w:space="0" w:color="000000"/>
              <w:right w:val="single" w:sz="4" w:space="0" w:color="000000"/>
            </w:tcBorders>
            <w:hideMark/>
          </w:tcPr>
          <w:p w14:paraId="01D5694E" w14:textId="77777777" w:rsidR="006B34A1" w:rsidRPr="008D45EF" w:rsidRDefault="006B34A1" w:rsidP="0081699D">
            <w:pPr>
              <w:ind w:left="142"/>
              <w:rPr>
                <w:sz w:val="24"/>
                <w:szCs w:val="24"/>
              </w:rPr>
            </w:pPr>
            <w:r w:rsidRPr="008D45EF">
              <w:rPr>
                <w:sz w:val="24"/>
                <w:szCs w:val="24"/>
              </w:rPr>
              <w:t>Neutropeni (grad 4)</w:t>
            </w:r>
          </w:p>
        </w:tc>
        <w:tc>
          <w:tcPr>
            <w:tcW w:w="1598" w:type="pct"/>
            <w:tcBorders>
              <w:top w:val="single" w:sz="4" w:space="0" w:color="000000"/>
              <w:left w:val="single" w:sz="4" w:space="0" w:color="000000"/>
              <w:bottom w:val="single" w:sz="4" w:space="0" w:color="000000"/>
              <w:right w:val="single" w:sz="4" w:space="0" w:color="000000"/>
            </w:tcBorders>
            <w:hideMark/>
          </w:tcPr>
          <w:p w14:paraId="7335916D" w14:textId="77777777" w:rsidR="006B34A1" w:rsidRPr="008D45EF" w:rsidRDefault="006B34A1" w:rsidP="0081699D">
            <w:pPr>
              <w:ind w:left="142"/>
              <w:rPr>
                <w:sz w:val="24"/>
                <w:szCs w:val="24"/>
              </w:rPr>
            </w:pPr>
            <w:r w:rsidRPr="008D45EF">
              <w:rPr>
                <w:sz w:val="24"/>
                <w:szCs w:val="24"/>
              </w:rPr>
              <w:t>104 (93,7)</w:t>
            </w:r>
          </w:p>
        </w:tc>
        <w:tc>
          <w:tcPr>
            <w:tcW w:w="1630" w:type="pct"/>
            <w:tcBorders>
              <w:top w:val="single" w:sz="4" w:space="0" w:color="000000"/>
              <w:left w:val="single" w:sz="4" w:space="0" w:color="000000"/>
              <w:bottom w:val="single" w:sz="4" w:space="0" w:color="000000"/>
              <w:right w:val="single" w:sz="4" w:space="0" w:color="000000"/>
            </w:tcBorders>
            <w:hideMark/>
          </w:tcPr>
          <w:p w14:paraId="6918F65D" w14:textId="77777777" w:rsidR="006B34A1" w:rsidRPr="008D45EF" w:rsidRDefault="006B34A1" w:rsidP="0081699D">
            <w:pPr>
              <w:ind w:left="142"/>
              <w:rPr>
                <w:sz w:val="24"/>
                <w:szCs w:val="24"/>
              </w:rPr>
            </w:pPr>
            <w:r w:rsidRPr="008D45EF">
              <w:rPr>
                <w:sz w:val="24"/>
                <w:szCs w:val="24"/>
              </w:rPr>
              <w:t>135 (32,1)</w:t>
            </w:r>
          </w:p>
        </w:tc>
      </w:tr>
      <w:tr w:rsidR="006B34A1" w:rsidRPr="008D45EF" w14:paraId="590AB054" w14:textId="77777777" w:rsidTr="002A7D83">
        <w:trPr>
          <w:trHeight w:val="20"/>
        </w:trPr>
        <w:tc>
          <w:tcPr>
            <w:tcW w:w="1772" w:type="pct"/>
            <w:tcBorders>
              <w:top w:val="single" w:sz="4" w:space="0" w:color="000000"/>
              <w:left w:val="single" w:sz="4" w:space="0" w:color="000000"/>
              <w:bottom w:val="single" w:sz="4" w:space="0" w:color="000000"/>
              <w:right w:val="single" w:sz="4" w:space="0" w:color="000000"/>
            </w:tcBorders>
            <w:hideMark/>
          </w:tcPr>
          <w:p w14:paraId="6B45E747" w14:textId="77777777" w:rsidR="006B34A1" w:rsidRPr="008D45EF" w:rsidRDefault="006B34A1" w:rsidP="0081699D">
            <w:pPr>
              <w:ind w:left="142"/>
              <w:rPr>
                <w:sz w:val="24"/>
                <w:szCs w:val="24"/>
              </w:rPr>
            </w:pPr>
            <w:r w:rsidRPr="008D45EF">
              <w:rPr>
                <w:sz w:val="24"/>
                <w:szCs w:val="24"/>
              </w:rPr>
              <w:t>Febril neutropeni</w:t>
            </w:r>
          </w:p>
        </w:tc>
        <w:tc>
          <w:tcPr>
            <w:tcW w:w="1598" w:type="pct"/>
            <w:tcBorders>
              <w:top w:val="single" w:sz="4" w:space="0" w:color="000000"/>
              <w:left w:val="single" w:sz="4" w:space="0" w:color="000000"/>
              <w:bottom w:val="single" w:sz="4" w:space="0" w:color="000000"/>
              <w:right w:val="single" w:sz="4" w:space="0" w:color="000000"/>
            </w:tcBorders>
            <w:hideMark/>
          </w:tcPr>
          <w:p w14:paraId="73C66C87" w14:textId="77777777" w:rsidR="006B34A1" w:rsidRPr="008D45EF" w:rsidRDefault="006B34A1" w:rsidP="0081699D">
            <w:pPr>
              <w:ind w:left="142"/>
              <w:rPr>
                <w:sz w:val="24"/>
                <w:szCs w:val="24"/>
              </w:rPr>
            </w:pPr>
            <w:r w:rsidRPr="008D45EF">
              <w:rPr>
                <w:sz w:val="24"/>
                <w:szCs w:val="24"/>
              </w:rPr>
              <w:t>28 (25,2)</w:t>
            </w:r>
          </w:p>
        </w:tc>
        <w:tc>
          <w:tcPr>
            <w:tcW w:w="1630" w:type="pct"/>
            <w:tcBorders>
              <w:top w:val="single" w:sz="4" w:space="0" w:color="000000"/>
              <w:left w:val="single" w:sz="4" w:space="0" w:color="000000"/>
              <w:bottom w:val="single" w:sz="4" w:space="0" w:color="000000"/>
              <w:right w:val="single" w:sz="4" w:space="0" w:color="000000"/>
            </w:tcBorders>
            <w:hideMark/>
          </w:tcPr>
          <w:p w14:paraId="1E3E59E0" w14:textId="77777777" w:rsidR="006B34A1" w:rsidRPr="008D45EF" w:rsidRDefault="006B34A1" w:rsidP="0081699D">
            <w:pPr>
              <w:ind w:left="142"/>
              <w:rPr>
                <w:sz w:val="24"/>
                <w:szCs w:val="24"/>
              </w:rPr>
            </w:pPr>
            <w:r w:rsidRPr="008D45EF">
              <w:rPr>
                <w:sz w:val="24"/>
                <w:szCs w:val="24"/>
              </w:rPr>
              <w:t>23 (5,5)</w:t>
            </w:r>
          </w:p>
        </w:tc>
      </w:tr>
      <w:tr w:rsidR="006B34A1" w:rsidRPr="008D45EF" w14:paraId="729F025F" w14:textId="77777777" w:rsidTr="002A7D83">
        <w:trPr>
          <w:trHeight w:val="20"/>
        </w:trPr>
        <w:tc>
          <w:tcPr>
            <w:tcW w:w="1772" w:type="pct"/>
            <w:tcBorders>
              <w:top w:val="single" w:sz="4" w:space="0" w:color="000000"/>
              <w:left w:val="single" w:sz="4" w:space="0" w:color="000000"/>
              <w:bottom w:val="single" w:sz="4" w:space="0" w:color="000000"/>
              <w:right w:val="single" w:sz="4" w:space="0" w:color="000000"/>
            </w:tcBorders>
            <w:hideMark/>
          </w:tcPr>
          <w:p w14:paraId="0A1B6B13" w14:textId="77777777" w:rsidR="006B34A1" w:rsidRPr="008D45EF" w:rsidRDefault="006B34A1" w:rsidP="0081699D">
            <w:pPr>
              <w:ind w:left="142"/>
              <w:rPr>
                <w:sz w:val="24"/>
                <w:szCs w:val="24"/>
              </w:rPr>
            </w:pPr>
            <w:r w:rsidRPr="008D45EF">
              <w:rPr>
                <w:sz w:val="24"/>
                <w:szCs w:val="24"/>
              </w:rPr>
              <w:t>Neutropenisk infektion</w:t>
            </w:r>
          </w:p>
        </w:tc>
        <w:tc>
          <w:tcPr>
            <w:tcW w:w="1598" w:type="pct"/>
            <w:tcBorders>
              <w:top w:val="single" w:sz="4" w:space="0" w:color="000000"/>
              <w:left w:val="single" w:sz="4" w:space="0" w:color="000000"/>
              <w:bottom w:val="single" w:sz="4" w:space="0" w:color="000000"/>
              <w:right w:val="single" w:sz="4" w:space="0" w:color="000000"/>
            </w:tcBorders>
            <w:hideMark/>
          </w:tcPr>
          <w:p w14:paraId="58E7623C" w14:textId="77777777" w:rsidR="006B34A1" w:rsidRPr="008D45EF" w:rsidRDefault="006B34A1" w:rsidP="0081699D">
            <w:pPr>
              <w:ind w:left="142"/>
              <w:rPr>
                <w:sz w:val="24"/>
                <w:szCs w:val="24"/>
              </w:rPr>
            </w:pPr>
            <w:r w:rsidRPr="008D45EF">
              <w:rPr>
                <w:sz w:val="24"/>
                <w:szCs w:val="24"/>
              </w:rPr>
              <w:t>14 (12,6)</w:t>
            </w:r>
          </w:p>
        </w:tc>
        <w:tc>
          <w:tcPr>
            <w:tcW w:w="1630" w:type="pct"/>
            <w:tcBorders>
              <w:top w:val="single" w:sz="4" w:space="0" w:color="000000"/>
              <w:left w:val="single" w:sz="4" w:space="0" w:color="000000"/>
              <w:bottom w:val="single" w:sz="4" w:space="0" w:color="000000"/>
              <w:right w:val="single" w:sz="4" w:space="0" w:color="000000"/>
            </w:tcBorders>
            <w:hideMark/>
          </w:tcPr>
          <w:p w14:paraId="3FB089B0" w14:textId="77777777" w:rsidR="006B34A1" w:rsidRPr="008D45EF" w:rsidRDefault="006B34A1" w:rsidP="0081699D">
            <w:pPr>
              <w:ind w:left="142"/>
              <w:rPr>
                <w:sz w:val="24"/>
                <w:szCs w:val="24"/>
              </w:rPr>
            </w:pPr>
            <w:r w:rsidRPr="008D45EF">
              <w:rPr>
                <w:sz w:val="24"/>
                <w:szCs w:val="24"/>
              </w:rPr>
              <w:t>21 (5,0)</w:t>
            </w:r>
          </w:p>
        </w:tc>
      </w:tr>
      <w:tr w:rsidR="006B34A1" w:rsidRPr="008D45EF" w14:paraId="2BB995A8" w14:textId="77777777" w:rsidTr="002A7D83">
        <w:trPr>
          <w:trHeight w:val="20"/>
        </w:trPr>
        <w:tc>
          <w:tcPr>
            <w:tcW w:w="1772" w:type="pct"/>
            <w:tcBorders>
              <w:top w:val="single" w:sz="4" w:space="0" w:color="000000"/>
              <w:left w:val="single" w:sz="4" w:space="0" w:color="000000"/>
              <w:bottom w:val="single" w:sz="4" w:space="0" w:color="000000"/>
              <w:right w:val="single" w:sz="4" w:space="0" w:color="000000"/>
            </w:tcBorders>
            <w:hideMark/>
          </w:tcPr>
          <w:p w14:paraId="592AE3C2" w14:textId="77777777" w:rsidR="006B34A1" w:rsidRPr="008D45EF" w:rsidRDefault="006B34A1" w:rsidP="0081699D">
            <w:pPr>
              <w:ind w:left="142"/>
              <w:rPr>
                <w:sz w:val="24"/>
                <w:szCs w:val="24"/>
              </w:rPr>
            </w:pPr>
            <w:r w:rsidRPr="008D45EF">
              <w:rPr>
                <w:sz w:val="24"/>
                <w:szCs w:val="24"/>
              </w:rPr>
              <w:t>Neutropenisk infektion (grad 3</w:t>
            </w:r>
            <w:r w:rsidRPr="008D45EF">
              <w:rPr>
                <w:sz w:val="24"/>
                <w:szCs w:val="24"/>
              </w:rPr>
              <w:noBreakHyphen/>
              <w:t>4)</w:t>
            </w:r>
          </w:p>
        </w:tc>
        <w:tc>
          <w:tcPr>
            <w:tcW w:w="1598" w:type="pct"/>
            <w:tcBorders>
              <w:top w:val="single" w:sz="4" w:space="0" w:color="000000"/>
              <w:left w:val="single" w:sz="4" w:space="0" w:color="000000"/>
              <w:bottom w:val="single" w:sz="4" w:space="0" w:color="000000"/>
              <w:right w:val="single" w:sz="4" w:space="0" w:color="000000"/>
            </w:tcBorders>
            <w:hideMark/>
          </w:tcPr>
          <w:p w14:paraId="5D705D05" w14:textId="77777777" w:rsidR="006B34A1" w:rsidRPr="008D45EF" w:rsidRDefault="006B34A1" w:rsidP="0081699D">
            <w:pPr>
              <w:ind w:left="142"/>
              <w:rPr>
                <w:sz w:val="24"/>
                <w:szCs w:val="24"/>
              </w:rPr>
            </w:pPr>
            <w:r w:rsidRPr="008D45EF">
              <w:rPr>
                <w:sz w:val="24"/>
                <w:szCs w:val="24"/>
              </w:rPr>
              <w:t>2 (1,8)</w:t>
            </w:r>
          </w:p>
        </w:tc>
        <w:tc>
          <w:tcPr>
            <w:tcW w:w="1630" w:type="pct"/>
            <w:tcBorders>
              <w:top w:val="single" w:sz="4" w:space="0" w:color="000000"/>
              <w:left w:val="single" w:sz="4" w:space="0" w:color="000000"/>
              <w:bottom w:val="single" w:sz="4" w:space="0" w:color="000000"/>
              <w:right w:val="single" w:sz="4" w:space="0" w:color="000000"/>
            </w:tcBorders>
            <w:hideMark/>
          </w:tcPr>
          <w:p w14:paraId="3AAD76F6" w14:textId="77777777" w:rsidR="006B34A1" w:rsidRPr="008D45EF" w:rsidRDefault="006B34A1" w:rsidP="0081699D">
            <w:pPr>
              <w:ind w:left="142"/>
              <w:rPr>
                <w:sz w:val="24"/>
                <w:szCs w:val="24"/>
              </w:rPr>
            </w:pPr>
            <w:r w:rsidRPr="008D45EF">
              <w:rPr>
                <w:sz w:val="24"/>
                <w:szCs w:val="24"/>
              </w:rPr>
              <w:t>5 (1,2)</w:t>
            </w:r>
          </w:p>
        </w:tc>
      </w:tr>
    </w:tbl>
    <w:p w14:paraId="09AF2327" w14:textId="77777777" w:rsidR="006B34A1" w:rsidRPr="008D45EF" w:rsidRDefault="006B34A1" w:rsidP="0081699D">
      <w:pPr>
        <w:ind w:left="851"/>
        <w:rPr>
          <w:sz w:val="24"/>
          <w:szCs w:val="24"/>
        </w:rPr>
      </w:pPr>
    </w:p>
    <w:p w14:paraId="1EE44FD5" w14:textId="77777777" w:rsidR="006B34A1" w:rsidRPr="008D45EF" w:rsidRDefault="006B34A1" w:rsidP="0081699D">
      <w:pPr>
        <w:ind w:left="142"/>
        <w:rPr>
          <w:sz w:val="24"/>
          <w:szCs w:val="24"/>
          <w:u w:val="single"/>
        </w:rPr>
      </w:pPr>
      <w:r w:rsidRPr="008D45EF">
        <w:rPr>
          <w:sz w:val="24"/>
          <w:szCs w:val="24"/>
          <w:u w:val="single"/>
        </w:rPr>
        <w:t>Tabel over bivirkninger ved behandling af gastrisk adenokarcinom med docetaxel 75 mg/m² i kombination med cisplatin og 5</w:t>
      </w:r>
      <w:r w:rsidRPr="008D45EF">
        <w:rPr>
          <w:sz w:val="24"/>
          <w:szCs w:val="24"/>
          <w:u w:val="single"/>
        </w:rPr>
        <w:noBreakHyphen/>
        <w:t>fluoruracil</w:t>
      </w:r>
    </w:p>
    <w:p w14:paraId="37D76EDA" w14:textId="77777777" w:rsidR="006B34A1" w:rsidRPr="008D45EF" w:rsidRDefault="006B34A1" w:rsidP="0081699D">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60"/>
        <w:gridCol w:w="3258"/>
        <w:gridCol w:w="3110"/>
      </w:tblGrid>
      <w:tr w:rsidR="000E6038" w:rsidRPr="003D4A39" w14:paraId="127C4D6D" w14:textId="77777777" w:rsidTr="000E6038">
        <w:trPr>
          <w:trHeight w:val="20"/>
          <w:tblHeader/>
        </w:trPr>
        <w:tc>
          <w:tcPr>
            <w:tcW w:w="1693" w:type="pct"/>
            <w:tcBorders>
              <w:top w:val="single" w:sz="4" w:space="0" w:color="auto"/>
              <w:left w:val="single" w:sz="4" w:space="0" w:color="auto"/>
              <w:bottom w:val="single" w:sz="4" w:space="0" w:color="auto"/>
              <w:right w:val="single" w:sz="4" w:space="0" w:color="auto"/>
            </w:tcBorders>
            <w:hideMark/>
          </w:tcPr>
          <w:p w14:paraId="7ED902B1" w14:textId="77777777" w:rsidR="000E6038" w:rsidRPr="003D4A39" w:rsidRDefault="000E6038" w:rsidP="000E6038">
            <w:pPr>
              <w:keepNext/>
              <w:ind w:left="142"/>
              <w:rPr>
                <w:b/>
                <w:bCs/>
                <w:sz w:val="24"/>
                <w:szCs w:val="24"/>
              </w:rPr>
            </w:pPr>
            <w:r w:rsidRPr="003D4A39">
              <w:rPr>
                <w:b/>
                <w:bCs/>
                <w:sz w:val="24"/>
                <w:szCs w:val="24"/>
              </w:rPr>
              <w:t>Systemorganklasser i henhold til MedDRA-databasen</w:t>
            </w:r>
          </w:p>
        </w:tc>
        <w:tc>
          <w:tcPr>
            <w:tcW w:w="1692" w:type="pct"/>
            <w:tcBorders>
              <w:top w:val="single" w:sz="4" w:space="0" w:color="auto"/>
              <w:left w:val="single" w:sz="4" w:space="0" w:color="auto"/>
              <w:bottom w:val="single" w:sz="4" w:space="0" w:color="auto"/>
              <w:right w:val="single" w:sz="4" w:space="0" w:color="auto"/>
            </w:tcBorders>
            <w:hideMark/>
          </w:tcPr>
          <w:p w14:paraId="66493D94" w14:textId="77777777" w:rsidR="000E6038" w:rsidRPr="003D4A39" w:rsidRDefault="000E6038" w:rsidP="000E6038">
            <w:pPr>
              <w:keepNext/>
              <w:ind w:left="142"/>
              <w:rPr>
                <w:b/>
                <w:bCs/>
                <w:sz w:val="24"/>
                <w:szCs w:val="24"/>
              </w:rPr>
            </w:pPr>
            <w:r w:rsidRPr="003D4A39">
              <w:rPr>
                <w:b/>
                <w:bCs/>
                <w:sz w:val="24"/>
                <w:szCs w:val="24"/>
              </w:rPr>
              <w:t>Meget almindelige bivirkninger</w:t>
            </w:r>
          </w:p>
        </w:tc>
        <w:tc>
          <w:tcPr>
            <w:tcW w:w="1615" w:type="pct"/>
            <w:tcBorders>
              <w:top w:val="single" w:sz="4" w:space="0" w:color="auto"/>
              <w:left w:val="single" w:sz="4" w:space="0" w:color="auto"/>
              <w:bottom w:val="single" w:sz="4" w:space="0" w:color="auto"/>
              <w:right w:val="single" w:sz="4" w:space="0" w:color="auto"/>
            </w:tcBorders>
            <w:hideMark/>
          </w:tcPr>
          <w:p w14:paraId="22CC4B95" w14:textId="77777777" w:rsidR="000E6038" w:rsidRPr="003D4A39" w:rsidRDefault="000E6038" w:rsidP="000E6038">
            <w:pPr>
              <w:keepNext/>
              <w:ind w:left="142"/>
              <w:rPr>
                <w:b/>
                <w:bCs/>
                <w:sz w:val="24"/>
                <w:szCs w:val="24"/>
              </w:rPr>
            </w:pPr>
            <w:r w:rsidRPr="003D4A39">
              <w:rPr>
                <w:b/>
                <w:bCs/>
                <w:sz w:val="24"/>
                <w:szCs w:val="24"/>
              </w:rPr>
              <w:t>Almindelige bivirkninger</w:t>
            </w:r>
          </w:p>
        </w:tc>
      </w:tr>
      <w:tr w:rsidR="000E6038" w:rsidRPr="003D4A39" w14:paraId="52F6FA86" w14:textId="77777777" w:rsidTr="000E6038">
        <w:trPr>
          <w:trHeight w:val="20"/>
        </w:trPr>
        <w:tc>
          <w:tcPr>
            <w:tcW w:w="1693" w:type="pct"/>
            <w:tcBorders>
              <w:top w:val="single" w:sz="4" w:space="0" w:color="auto"/>
              <w:left w:val="single" w:sz="4" w:space="0" w:color="000000"/>
              <w:bottom w:val="single" w:sz="4" w:space="0" w:color="000000"/>
              <w:right w:val="single" w:sz="4" w:space="0" w:color="000000"/>
            </w:tcBorders>
            <w:hideMark/>
          </w:tcPr>
          <w:p w14:paraId="45B30E36" w14:textId="77777777" w:rsidR="000E6038" w:rsidRPr="003D4A39" w:rsidRDefault="000E6038" w:rsidP="000E6038">
            <w:pPr>
              <w:keepNext/>
              <w:ind w:left="142"/>
              <w:rPr>
                <w:sz w:val="24"/>
                <w:szCs w:val="24"/>
              </w:rPr>
            </w:pPr>
            <w:r w:rsidRPr="003D4A39">
              <w:rPr>
                <w:sz w:val="24"/>
                <w:szCs w:val="24"/>
              </w:rPr>
              <w:t>Infektioner og parasitære sygdomme</w:t>
            </w:r>
          </w:p>
        </w:tc>
        <w:tc>
          <w:tcPr>
            <w:tcW w:w="1692" w:type="pct"/>
            <w:tcBorders>
              <w:top w:val="single" w:sz="4" w:space="0" w:color="auto"/>
              <w:left w:val="single" w:sz="4" w:space="0" w:color="000000"/>
              <w:bottom w:val="single" w:sz="4" w:space="0" w:color="000000"/>
              <w:right w:val="single" w:sz="4" w:space="0" w:color="000000"/>
            </w:tcBorders>
            <w:hideMark/>
          </w:tcPr>
          <w:p w14:paraId="01350FA1" w14:textId="77777777" w:rsidR="000E6038" w:rsidRPr="003D4A39" w:rsidRDefault="000E6038" w:rsidP="000E6038">
            <w:pPr>
              <w:keepNext/>
              <w:ind w:left="142"/>
              <w:rPr>
                <w:sz w:val="24"/>
                <w:szCs w:val="24"/>
              </w:rPr>
            </w:pPr>
            <w:r w:rsidRPr="003D4A39">
              <w:rPr>
                <w:sz w:val="24"/>
                <w:szCs w:val="24"/>
              </w:rPr>
              <w:t xml:space="preserve">Neutropenisk infektion; </w:t>
            </w:r>
          </w:p>
          <w:p w14:paraId="6BA53714" w14:textId="77777777" w:rsidR="000E6038" w:rsidRPr="003D4A39" w:rsidRDefault="000E6038" w:rsidP="000E6038">
            <w:pPr>
              <w:keepNext/>
              <w:ind w:left="142"/>
              <w:rPr>
                <w:sz w:val="24"/>
                <w:szCs w:val="24"/>
              </w:rPr>
            </w:pPr>
            <w:r w:rsidRPr="003D4A39">
              <w:rPr>
                <w:sz w:val="24"/>
                <w:szCs w:val="24"/>
              </w:rPr>
              <w:t>Infektion (G3/4: 11,7 %)</w:t>
            </w:r>
          </w:p>
        </w:tc>
        <w:tc>
          <w:tcPr>
            <w:tcW w:w="1615" w:type="pct"/>
            <w:tcBorders>
              <w:top w:val="single" w:sz="4" w:space="0" w:color="auto"/>
              <w:left w:val="single" w:sz="4" w:space="0" w:color="000000"/>
              <w:bottom w:val="single" w:sz="4" w:space="0" w:color="000000"/>
              <w:right w:val="single" w:sz="4" w:space="0" w:color="000000"/>
            </w:tcBorders>
          </w:tcPr>
          <w:p w14:paraId="3C3EDED2" w14:textId="77777777" w:rsidR="000E6038" w:rsidRPr="003D4A39" w:rsidRDefault="000E6038" w:rsidP="000E6038">
            <w:pPr>
              <w:keepNext/>
              <w:ind w:left="142"/>
              <w:rPr>
                <w:sz w:val="24"/>
                <w:szCs w:val="24"/>
              </w:rPr>
            </w:pPr>
          </w:p>
        </w:tc>
      </w:tr>
      <w:tr w:rsidR="000E6038" w:rsidRPr="003D4A39" w14:paraId="1A3A54A8" w14:textId="77777777" w:rsidTr="000E6038">
        <w:trPr>
          <w:trHeight w:val="20"/>
        </w:trPr>
        <w:tc>
          <w:tcPr>
            <w:tcW w:w="1693" w:type="pct"/>
            <w:tcBorders>
              <w:top w:val="single" w:sz="4" w:space="0" w:color="000000"/>
              <w:left w:val="single" w:sz="4" w:space="0" w:color="000000"/>
              <w:bottom w:val="single" w:sz="4" w:space="0" w:color="000000"/>
              <w:right w:val="single" w:sz="4" w:space="0" w:color="000000"/>
            </w:tcBorders>
            <w:hideMark/>
          </w:tcPr>
          <w:p w14:paraId="67F5D785" w14:textId="77777777" w:rsidR="000E6038" w:rsidRPr="003D4A39" w:rsidRDefault="000E6038" w:rsidP="000E6038">
            <w:pPr>
              <w:ind w:left="142"/>
              <w:rPr>
                <w:sz w:val="24"/>
                <w:szCs w:val="24"/>
              </w:rPr>
            </w:pPr>
            <w:r w:rsidRPr="003D4A39">
              <w:rPr>
                <w:sz w:val="24"/>
                <w:szCs w:val="24"/>
              </w:rPr>
              <w:t>Blod og lymfesystem</w:t>
            </w:r>
          </w:p>
        </w:tc>
        <w:tc>
          <w:tcPr>
            <w:tcW w:w="1692" w:type="pct"/>
            <w:tcBorders>
              <w:top w:val="single" w:sz="4" w:space="0" w:color="000000"/>
              <w:left w:val="single" w:sz="4" w:space="0" w:color="000000"/>
              <w:bottom w:val="single" w:sz="4" w:space="0" w:color="000000"/>
              <w:right w:val="single" w:sz="4" w:space="0" w:color="000000"/>
            </w:tcBorders>
            <w:hideMark/>
          </w:tcPr>
          <w:p w14:paraId="41D03B8A" w14:textId="77777777" w:rsidR="009B0C24" w:rsidRPr="00EF58FE" w:rsidRDefault="009B0C24" w:rsidP="009B0C24">
            <w:pPr>
              <w:ind w:left="142"/>
              <w:rPr>
                <w:sz w:val="24"/>
                <w:szCs w:val="24"/>
                <w:lang w:val="en-US"/>
              </w:rPr>
            </w:pPr>
            <w:r w:rsidRPr="00EF58FE">
              <w:rPr>
                <w:sz w:val="24"/>
                <w:szCs w:val="24"/>
                <w:lang w:val="en-US"/>
              </w:rPr>
              <w:t>Anæmi (G3/4: 20,9 %);</w:t>
            </w:r>
          </w:p>
          <w:p w14:paraId="6C88EE94" w14:textId="77777777" w:rsidR="009B0C24" w:rsidRPr="009B0C24" w:rsidRDefault="009B0C24" w:rsidP="009B0C24">
            <w:pPr>
              <w:ind w:left="142"/>
              <w:rPr>
                <w:sz w:val="24"/>
                <w:szCs w:val="24"/>
                <w:lang w:val="en-US"/>
              </w:rPr>
            </w:pPr>
            <w:r w:rsidRPr="009B0C24">
              <w:rPr>
                <w:sz w:val="24"/>
                <w:szCs w:val="24"/>
                <w:lang w:val="en-US"/>
              </w:rPr>
              <w:t xml:space="preserve">Neutropeni (G3/4: 83,2 %); </w:t>
            </w:r>
          </w:p>
          <w:p w14:paraId="5C358E9D" w14:textId="77777777" w:rsidR="009B0C24" w:rsidRPr="009B0C24" w:rsidRDefault="009B0C24" w:rsidP="009B0C24">
            <w:pPr>
              <w:ind w:left="142"/>
              <w:rPr>
                <w:sz w:val="24"/>
                <w:szCs w:val="24"/>
                <w:lang w:val="en-US"/>
              </w:rPr>
            </w:pPr>
            <w:r w:rsidRPr="009B0C24">
              <w:rPr>
                <w:sz w:val="24"/>
                <w:szCs w:val="24"/>
                <w:lang w:val="en-US"/>
              </w:rPr>
              <w:t xml:space="preserve">Trombocytopeni (G3/4: 8,8 %); </w:t>
            </w:r>
          </w:p>
          <w:p w14:paraId="1E6E4490" w14:textId="0DACF7C7" w:rsidR="000E6038" w:rsidRPr="003D4A39" w:rsidRDefault="009B0C24" w:rsidP="009B0C24">
            <w:pPr>
              <w:ind w:left="142"/>
              <w:rPr>
                <w:sz w:val="24"/>
                <w:szCs w:val="24"/>
              </w:rPr>
            </w:pPr>
            <w:r w:rsidRPr="003D4A39">
              <w:rPr>
                <w:sz w:val="24"/>
                <w:szCs w:val="24"/>
              </w:rPr>
              <w:t>Febril neutropeni</w:t>
            </w:r>
          </w:p>
        </w:tc>
        <w:tc>
          <w:tcPr>
            <w:tcW w:w="1615" w:type="pct"/>
            <w:tcBorders>
              <w:top w:val="single" w:sz="4" w:space="0" w:color="000000"/>
              <w:left w:val="single" w:sz="4" w:space="0" w:color="000000"/>
              <w:bottom w:val="single" w:sz="4" w:space="0" w:color="000000"/>
              <w:right w:val="single" w:sz="4" w:space="0" w:color="000000"/>
            </w:tcBorders>
          </w:tcPr>
          <w:p w14:paraId="0749186A" w14:textId="77777777" w:rsidR="000E6038" w:rsidRPr="003D4A39" w:rsidRDefault="000E6038" w:rsidP="000E6038">
            <w:pPr>
              <w:ind w:left="142"/>
              <w:rPr>
                <w:sz w:val="24"/>
                <w:szCs w:val="24"/>
              </w:rPr>
            </w:pPr>
          </w:p>
        </w:tc>
      </w:tr>
      <w:tr w:rsidR="000E6038" w:rsidRPr="003D4A39" w14:paraId="2AB93D46" w14:textId="77777777" w:rsidTr="000E6038">
        <w:trPr>
          <w:trHeight w:val="20"/>
        </w:trPr>
        <w:tc>
          <w:tcPr>
            <w:tcW w:w="1693" w:type="pct"/>
            <w:tcBorders>
              <w:top w:val="single" w:sz="4" w:space="0" w:color="000000"/>
              <w:left w:val="single" w:sz="4" w:space="0" w:color="000000"/>
              <w:bottom w:val="single" w:sz="4" w:space="0" w:color="000000"/>
              <w:right w:val="single" w:sz="4" w:space="0" w:color="000000"/>
            </w:tcBorders>
            <w:hideMark/>
          </w:tcPr>
          <w:p w14:paraId="4ACE62B5" w14:textId="77777777" w:rsidR="000E6038" w:rsidRPr="003D4A39" w:rsidRDefault="000E6038" w:rsidP="000E6038">
            <w:pPr>
              <w:ind w:left="142"/>
              <w:rPr>
                <w:sz w:val="24"/>
                <w:szCs w:val="24"/>
              </w:rPr>
            </w:pPr>
            <w:r w:rsidRPr="003D4A39">
              <w:rPr>
                <w:sz w:val="24"/>
                <w:szCs w:val="24"/>
              </w:rPr>
              <w:t>Immunsystemet</w:t>
            </w:r>
          </w:p>
        </w:tc>
        <w:tc>
          <w:tcPr>
            <w:tcW w:w="1692" w:type="pct"/>
            <w:tcBorders>
              <w:top w:val="single" w:sz="4" w:space="0" w:color="000000"/>
              <w:left w:val="single" w:sz="4" w:space="0" w:color="000000"/>
              <w:bottom w:val="single" w:sz="4" w:space="0" w:color="000000"/>
              <w:right w:val="single" w:sz="4" w:space="0" w:color="000000"/>
            </w:tcBorders>
            <w:hideMark/>
          </w:tcPr>
          <w:p w14:paraId="6AADA400" w14:textId="77777777" w:rsidR="000E6038" w:rsidRPr="003D4A39" w:rsidRDefault="000E6038" w:rsidP="000E6038">
            <w:pPr>
              <w:ind w:left="142"/>
              <w:rPr>
                <w:sz w:val="24"/>
                <w:szCs w:val="24"/>
              </w:rPr>
            </w:pPr>
            <w:r w:rsidRPr="003D4A39">
              <w:rPr>
                <w:sz w:val="24"/>
                <w:szCs w:val="24"/>
              </w:rPr>
              <w:t>Overfølsomhed (G3/4: 1,7 %)</w:t>
            </w:r>
          </w:p>
        </w:tc>
        <w:tc>
          <w:tcPr>
            <w:tcW w:w="1615" w:type="pct"/>
            <w:tcBorders>
              <w:top w:val="single" w:sz="4" w:space="0" w:color="000000"/>
              <w:left w:val="single" w:sz="4" w:space="0" w:color="000000"/>
              <w:bottom w:val="single" w:sz="4" w:space="0" w:color="000000"/>
              <w:right w:val="single" w:sz="4" w:space="0" w:color="000000"/>
            </w:tcBorders>
          </w:tcPr>
          <w:p w14:paraId="22798392" w14:textId="77777777" w:rsidR="000E6038" w:rsidRPr="003D4A39" w:rsidRDefault="000E6038" w:rsidP="000E6038">
            <w:pPr>
              <w:ind w:left="142"/>
              <w:rPr>
                <w:sz w:val="24"/>
                <w:szCs w:val="24"/>
              </w:rPr>
            </w:pPr>
          </w:p>
        </w:tc>
      </w:tr>
      <w:tr w:rsidR="000E6038" w:rsidRPr="003D4A39" w14:paraId="376A53EB" w14:textId="77777777" w:rsidTr="000E6038">
        <w:trPr>
          <w:trHeight w:val="20"/>
        </w:trPr>
        <w:tc>
          <w:tcPr>
            <w:tcW w:w="1693" w:type="pct"/>
            <w:tcBorders>
              <w:top w:val="single" w:sz="4" w:space="0" w:color="000000"/>
              <w:left w:val="single" w:sz="4" w:space="0" w:color="000000"/>
              <w:bottom w:val="single" w:sz="4" w:space="0" w:color="000000"/>
              <w:right w:val="single" w:sz="4" w:space="0" w:color="000000"/>
            </w:tcBorders>
            <w:hideMark/>
          </w:tcPr>
          <w:p w14:paraId="1F7079FA" w14:textId="77777777" w:rsidR="000E6038" w:rsidRPr="003D4A39" w:rsidRDefault="000E6038" w:rsidP="000E6038">
            <w:pPr>
              <w:ind w:left="142"/>
              <w:rPr>
                <w:sz w:val="24"/>
                <w:szCs w:val="24"/>
              </w:rPr>
            </w:pPr>
            <w:r w:rsidRPr="003D4A39">
              <w:rPr>
                <w:sz w:val="24"/>
                <w:szCs w:val="24"/>
              </w:rPr>
              <w:t>Metabolisme og ernæring</w:t>
            </w:r>
          </w:p>
        </w:tc>
        <w:tc>
          <w:tcPr>
            <w:tcW w:w="1692" w:type="pct"/>
            <w:tcBorders>
              <w:top w:val="single" w:sz="4" w:space="0" w:color="000000"/>
              <w:left w:val="single" w:sz="4" w:space="0" w:color="000000"/>
              <w:bottom w:val="single" w:sz="4" w:space="0" w:color="000000"/>
              <w:right w:val="single" w:sz="4" w:space="0" w:color="000000"/>
            </w:tcBorders>
            <w:hideMark/>
          </w:tcPr>
          <w:p w14:paraId="3904339A" w14:textId="77777777" w:rsidR="000E6038" w:rsidRPr="003D4A39" w:rsidRDefault="000E6038" w:rsidP="000E6038">
            <w:pPr>
              <w:ind w:left="142"/>
              <w:rPr>
                <w:sz w:val="24"/>
                <w:szCs w:val="24"/>
              </w:rPr>
            </w:pPr>
            <w:r w:rsidRPr="003D4A39">
              <w:rPr>
                <w:sz w:val="24"/>
                <w:szCs w:val="24"/>
              </w:rPr>
              <w:t>Anoreksi (G3/4: 11,7 %)</w:t>
            </w:r>
          </w:p>
        </w:tc>
        <w:tc>
          <w:tcPr>
            <w:tcW w:w="1615" w:type="pct"/>
            <w:tcBorders>
              <w:top w:val="single" w:sz="4" w:space="0" w:color="000000"/>
              <w:left w:val="single" w:sz="4" w:space="0" w:color="000000"/>
              <w:bottom w:val="single" w:sz="4" w:space="0" w:color="000000"/>
              <w:right w:val="single" w:sz="4" w:space="0" w:color="000000"/>
            </w:tcBorders>
          </w:tcPr>
          <w:p w14:paraId="713C753B" w14:textId="77777777" w:rsidR="000E6038" w:rsidRPr="003D4A39" w:rsidRDefault="000E6038" w:rsidP="000E6038">
            <w:pPr>
              <w:ind w:left="142"/>
              <w:rPr>
                <w:sz w:val="24"/>
                <w:szCs w:val="24"/>
              </w:rPr>
            </w:pPr>
          </w:p>
        </w:tc>
      </w:tr>
      <w:tr w:rsidR="000E6038" w:rsidRPr="002535BC" w14:paraId="148740CE" w14:textId="77777777" w:rsidTr="000E6038">
        <w:trPr>
          <w:trHeight w:val="20"/>
        </w:trPr>
        <w:tc>
          <w:tcPr>
            <w:tcW w:w="1693" w:type="pct"/>
            <w:tcBorders>
              <w:top w:val="single" w:sz="4" w:space="0" w:color="000000"/>
              <w:left w:val="single" w:sz="4" w:space="0" w:color="000000"/>
              <w:bottom w:val="single" w:sz="4" w:space="0" w:color="000000"/>
              <w:right w:val="single" w:sz="4" w:space="0" w:color="000000"/>
            </w:tcBorders>
            <w:hideMark/>
          </w:tcPr>
          <w:p w14:paraId="05221F0A" w14:textId="77777777" w:rsidR="000E6038" w:rsidRPr="003D4A39" w:rsidRDefault="000E6038" w:rsidP="000E6038">
            <w:pPr>
              <w:ind w:left="142"/>
              <w:rPr>
                <w:sz w:val="24"/>
                <w:szCs w:val="24"/>
              </w:rPr>
            </w:pPr>
            <w:r w:rsidRPr="003D4A39">
              <w:rPr>
                <w:sz w:val="24"/>
                <w:szCs w:val="24"/>
              </w:rPr>
              <w:t>Nervesystemet</w:t>
            </w:r>
          </w:p>
        </w:tc>
        <w:tc>
          <w:tcPr>
            <w:tcW w:w="1692" w:type="pct"/>
            <w:tcBorders>
              <w:top w:val="single" w:sz="4" w:space="0" w:color="000000"/>
              <w:left w:val="single" w:sz="4" w:space="0" w:color="000000"/>
              <w:bottom w:val="single" w:sz="4" w:space="0" w:color="000000"/>
              <w:right w:val="single" w:sz="4" w:space="0" w:color="000000"/>
            </w:tcBorders>
            <w:hideMark/>
          </w:tcPr>
          <w:p w14:paraId="090D6CBF" w14:textId="77777777" w:rsidR="000E6038" w:rsidRPr="003D4A39" w:rsidRDefault="000E6038" w:rsidP="000E6038">
            <w:pPr>
              <w:ind w:left="142"/>
              <w:rPr>
                <w:sz w:val="24"/>
                <w:szCs w:val="24"/>
              </w:rPr>
            </w:pPr>
            <w:r w:rsidRPr="003D4A39">
              <w:rPr>
                <w:sz w:val="24"/>
                <w:szCs w:val="24"/>
              </w:rPr>
              <w:t>Perifer sensorisk neuropati (G3/4: 8,7 %)</w:t>
            </w:r>
          </w:p>
        </w:tc>
        <w:tc>
          <w:tcPr>
            <w:tcW w:w="1615" w:type="pct"/>
            <w:tcBorders>
              <w:top w:val="single" w:sz="4" w:space="0" w:color="000000"/>
              <w:left w:val="single" w:sz="4" w:space="0" w:color="000000"/>
              <w:bottom w:val="single" w:sz="4" w:space="0" w:color="000000"/>
              <w:right w:val="single" w:sz="4" w:space="0" w:color="000000"/>
            </w:tcBorders>
            <w:hideMark/>
          </w:tcPr>
          <w:p w14:paraId="63119202" w14:textId="77777777" w:rsidR="000E6038" w:rsidRPr="002535BC" w:rsidRDefault="000E6038" w:rsidP="000E6038">
            <w:pPr>
              <w:ind w:left="142"/>
              <w:rPr>
                <w:sz w:val="24"/>
                <w:szCs w:val="24"/>
                <w:lang w:val="sv-SE"/>
              </w:rPr>
            </w:pPr>
            <w:r w:rsidRPr="002535BC">
              <w:rPr>
                <w:sz w:val="24"/>
                <w:szCs w:val="24"/>
                <w:lang w:val="sv-SE"/>
              </w:rPr>
              <w:t xml:space="preserve">Svimmelhed (G3/4: 2,3 %); </w:t>
            </w:r>
          </w:p>
          <w:p w14:paraId="341B4087" w14:textId="77777777" w:rsidR="000E6038" w:rsidRPr="002535BC" w:rsidRDefault="000E6038" w:rsidP="000E6038">
            <w:pPr>
              <w:ind w:left="142"/>
              <w:rPr>
                <w:sz w:val="24"/>
                <w:szCs w:val="24"/>
                <w:lang w:val="sv-SE"/>
              </w:rPr>
            </w:pPr>
            <w:r w:rsidRPr="002535BC">
              <w:rPr>
                <w:sz w:val="24"/>
                <w:szCs w:val="24"/>
                <w:lang w:val="sv-SE"/>
              </w:rPr>
              <w:t>Perifer motorisk neuropati (G3/4: 1,3 %)</w:t>
            </w:r>
          </w:p>
        </w:tc>
      </w:tr>
      <w:tr w:rsidR="000E6038" w:rsidRPr="003D4A39" w14:paraId="22D61251" w14:textId="77777777" w:rsidTr="000E6038">
        <w:trPr>
          <w:trHeight w:val="20"/>
        </w:trPr>
        <w:tc>
          <w:tcPr>
            <w:tcW w:w="1693" w:type="pct"/>
            <w:tcBorders>
              <w:top w:val="single" w:sz="4" w:space="0" w:color="000000"/>
              <w:left w:val="single" w:sz="4" w:space="0" w:color="000000"/>
              <w:bottom w:val="single" w:sz="4" w:space="0" w:color="000000"/>
              <w:right w:val="single" w:sz="4" w:space="0" w:color="000000"/>
            </w:tcBorders>
            <w:hideMark/>
          </w:tcPr>
          <w:p w14:paraId="23CDD66F" w14:textId="77777777" w:rsidR="000E6038" w:rsidRPr="003D4A39" w:rsidRDefault="000E6038" w:rsidP="000E6038">
            <w:pPr>
              <w:ind w:left="142"/>
              <w:rPr>
                <w:sz w:val="24"/>
                <w:szCs w:val="24"/>
              </w:rPr>
            </w:pPr>
            <w:r w:rsidRPr="003D4A39">
              <w:rPr>
                <w:sz w:val="24"/>
                <w:szCs w:val="24"/>
              </w:rPr>
              <w:t>Øjne</w:t>
            </w:r>
          </w:p>
        </w:tc>
        <w:tc>
          <w:tcPr>
            <w:tcW w:w="1692" w:type="pct"/>
            <w:tcBorders>
              <w:top w:val="single" w:sz="4" w:space="0" w:color="000000"/>
              <w:left w:val="single" w:sz="4" w:space="0" w:color="000000"/>
              <w:bottom w:val="single" w:sz="4" w:space="0" w:color="000000"/>
              <w:right w:val="single" w:sz="4" w:space="0" w:color="000000"/>
            </w:tcBorders>
          </w:tcPr>
          <w:p w14:paraId="2AA8319F" w14:textId="77777777" w:rsidR="000E6038" w:rsidRPr="003D4A39" w:rsidRDefault="000E6038" w:rsidP="000E6038">
            <w:pPr>
              <w:ind w:left="142"/>
              <w:rPr>
                <w:sz w:val="24"/>
                <w:szCs w:val="24"/>
              </w:rPr>
            </w:pPr>
          </w:p>
        </w:tc>
        <w:tc>
          <w:tcPr>
            <w:tcW w:w="1615" w:type="pct"/>
            <w:tcBorders>
              <w:top w:val="single" w:sz="4" w:space="0" w:color="000000"/>
              <w:left w:val="single" w:sz="4" w:space="0" w:color="000000"/>
              <w:bottom w:val="single" w:sz="4" w:space="0" w:color="000000"/>
              <w:right w:val="single" w:sz="4" w:space="0" w:color="000000"/>
            </w:tcBorders>
            <w:hideMark/>
          </w:tcPr>
          <w:p w14:paraId="11847DAD" w14:textId="77777777" w:rsidR="000E6038" w:rsidRPr="003D4A39" w:rsidRDefault="000E6038" w:rsidP="000E6038">
            <w:pPr>
              <w:ind w:left="142"/>
              <w:rPr>
                <w:sz w:val="24"/>
                <w:szCs w:val="24"/>
              </w:rPr>
            </w:pPr>
            <w:r w:rsidRPr="003D4A39">
              <w:rPr>
                <w:sz w:val="24"/>
                <w:szCs w:val="24"/>
              </w:rPr>
              <w:t>Forhøjet lakrimation (G3/4: 0 %)</w:t>
            </w:r>
          </w:p>
        </w:tc>
      </w:tr>
      <w:tr w:rsidR="000E6038" w:rsidRPr="003D4A39" w14:paraId="661744BD" w14:textId="77777777" w:rsidTr="000E6038">
        <w:trPr>
          <w:trHeight w:val="20"/>
        </w:trPr>
        <w:tc>
          <w:tcPr>
            <w:tcW w:w="1693" w:type="pct"/>
            <w:tcBorders>
              <w:top w:val="single" w:sz="4" w:space="0" w:color="000000"/>
              <w:left w:val="single" w:sz="4" w:space="0" w:color="000000"/>
              <w:bottom w:val="single" w:sz="4" w:space="0" w:color="000000"/>
              <w:right w:val="single" w:sz="4" w:space="0" w:color="000000"/>
            </w:tcBorders>
            <w:hideMark/>
          </w:tcPr>
          <w:p w14:paraId="0989774F" w14:textId="77777777" w:rsidR="000E6038" w:rsidRPr="003D4A39" w:rsidRDefault="000E6038" w:rsidP="000E6038">
            <w:pPr>
              <w:ind w:left="142"/>
              <w:rPr>
                <w:sz w:val="24"/>
                <w:szCs w:val="24"/>
              </w:rPr>
            </w:pPr>
            <w:r w:rsidRPr="003D4A39">
              <w:rPr>
                <w:sz w:val="24"/>
                <w:szCs w:val="24"/>
              </w:rPr>
              <w:t>Øre og labyrint</w:t>
            </w:r>
          </w:p>
        </w:tc>
        <w:tc>
          <w:tcPr>
            <w:tcW w:w="1692" w:type="pct"/>
            <w:tcBorders>
              <w:top w:val="single" w:sz="4" w:space="0" w:color="000000"/>
              <w:left w:val="single" w:sz="4" w:space="0" w:color="000000"/>
              <w:bottom w:val="single" w:sz="4" w:space="0" w:color="000000"/>
              <w:right w:val="single" w:sz="4" w:space="0" w:color="000000"/>
            </w:tcBorders>
          </w:tcPr>
          <w:p w14:paraId="79B2C8EB" w14:textId="77777777" w:rsidR="000E6038" w:rsidRPr="003D4A39" w:rsidRDefault="000E6038" w:rsidP="000E6038">
            <w:pPr>
              <w:ind w:left="142"/>
              <w:rPr>
                <w:sz w:val="24"/>
                <w:szCs w:val="24"/>
              </w:rPr>
            </w:pPr>
          </w:p>
        </w:tc>
        <w:tc>
          <w:tcPr>
            <w:tcW w:w="1615" w:type="pct"/>
            <w:tcBorders>
              <w:top w:val="single" w:sz="4" w:space="0" w:color="000000"/>
              <w:left w:val="single" w:sz="4" w:space="0" w:color="000000"/>
              <w:bottom w:val="single" w:sz="4" w:space="0" w:color="000000"/>
              <w:right w:val="single" w:sz="4" w:space="0" w:color="000000"/>
            </w:tcBorders>
            <w:hideMark/>
          </w:tcPr>
          <w:p w14:paraId="5AD2DA8D" w14:textId="77777777" w:rsidR="000E6038" w:rsidRPr="003D4A39" w:rsidRDefault="000E6038" w:rsidP="000E6038">
            <w:pPr>
              <w:ind w:left="142"/>
              <w:rPr>
                <w:sz w:val="24"/>
                <w:szCs w:val="24"/>
              </w:rPr>
            </w:pPr>
            <w:r w:rsidRPr="003D4A39">
              <w:rPr>
                <w:sz w:val="24"/>
                <w:szCs w:val="24"/>
              </w:rPr>
              <w:t>Nedsat hørelse (G3/4: 0 %)</w:t>
            </w:r>
          </w:p>
        </w:tc>
      </w:tr>
      <w:tr w:rsidR="000E6038" w:rsidRPr="003D4A39" w14:paraId="24EB615D" w14:textId="77777777" w:rsidTr="000E6038">
        <w:trPr>
          <w:trHeight w:val="20"/>
        </w:trPr>
        <w:tc>
          <w:tcPr>
            <w:tcW w:w="1693" w:type="pct"/>
            <w:tcBorders>
              <w:top w:val="single" w:sz="4" w:space="0" w:color="000000"/>
              <w:left w:val="single" w:sz="4" w:space="0" w:color="000000"/>
              <w:bottom w:val="single" w:sz="4" w:space="0" w:color="000000"/>
              <w:right w:val="single" w:sz="4" w:space="0" w:color="000000"/>
            </w:tcBorders>
            <w:hideMark/>
          </w:tcPr>
          <w:p w14:paraId="25B4E79F" w14:textId="77777777" w:rsidR="000E6038" w:rsidRPr="003D4A39" w:rsidRDefault="000E6038" w:rsidP="000E6038">
            <w:pPr>
              <w:ind w:left="142"/>
              <w:rPr>
                <w:sz w:val="24"/>
                <w:szCs w:val="24"/>
              </w:rPr>
            </w:pPr>
            <w:r w:rsidRPr="003D4A39">
              <w:rPr>
                <w:sz w:val="24"/>
                <w:szCs w:val="24"/>
              </w:rPr>
              <w:t>Hjerte</w:t>
            </w:r>
          </w:p>
        </w:tc>
        <w:tc>
          <w:tcPr>
            <w:tcW w:w="1692" w:type="pct"/>
            <w:tcBorders>
              <w:top w:val="single" w:sz="4" w:space="0" w:color="000000"/>
              <w:left w:val="single" w:sz="4" w:space="0" w:color="000000"/>
              <w:bottom w:val="single" w:sz="4" w:space="0" w:color="000000"/>
              <w:right w:val="single" w:sz="4" w:space="0" w:color="000000"/>
            </w:tcBorders>
          </w:tcPr>
          <w:p w14:paraId="282673E3" w14:textId="77777777" w:rsidR="000E6038" w:rsidRPr="003D4A39" w:rsidRDefault="000E6038" w:rsidP="000E6038">
            <w:pPr>
              <w:ind w:left="142"/>
              <w:rPr>
                <w:sz w:val="24"/>
                <w:szCs w:val="24"/>
              </w:rPr>
            </w:pPr>
          </w:p>
        </w:tc>
        <w:tc>
          <w:tcPr>
            <w:tcW w:w="1615" w:type="pct"/>
            <w:tcBorders>
              <w:top w:val="single" w:sz="4" w:space="0" w:color="000000"/>
              <w:left w:val="single" w:sz="4" w:space="0" w:color="000000"/>
              <w:bottom w:val="single" w:sz="4" w:space="0" w:color="000000"/>
              <w:right w:val="single" w:sz="4" w:space="0" w:color="000000"/>
            </w:tcBorders>
            <w:hideMark/>
          </w:tcPr>
          <w:p w14:paraId="66389CFC" w14:textId="77777777" w:rsidR="000E6038" w:rsidRPr="003D4A39" w:rsidRDefault="000E6038" w:rsidP="000E6038">
            <w:pPr>
              <w:ind w:left="142"/>
              <w:rPr>
                <w:sz w:val="24"/>
                <w:szCs w:val="24"/>
              </w:rPr>
            </w:pPr>
            <w:r w:rsidRPr="003D4A39">
              <w:rPr>
                <w:sz w:val="24"/>
                <w:szCs w:val="24"/>
              </w:rPr>
              <w:t>Arytmi (G3/4: 1,0 %)</w:t>
            </w:r>
          </w:p>
        </w:tc>
      </w:tr>
      <w:tr w:rsidR="000E6038" w:rsidRPr="003D4A39" w14:paraId="72E94A4C" w14:textId="77777777" w:rsidTr="000E6038">
        <w:trPr>
          <w:trHeight w:val="1305"/>
        </w:trPr>
        <w:tc>
          <w:tcPr>
            <w:tcW w:w="1693" w:type="pct"/>
            <w:tcBorders>
              <w:top w:val="single" w:sz="4" w:space="0" w:color="000000"/>
              <w:left w:val="single" w:sz="4" w:space="0" w:color="000000"/>
              <w:bottom w:val="single" w:sz="4" w:space="0" w:color="000000"/>
              <w:right w:val="single" w:sz="4" w:space="0" w:color="000000"/>
            </w:tcBorders>
            <w:hideMark/>
          </w:tcPr>
          <w:p w14:paraId="75030340" w14:textId="00B135DE" w:rsidR="000E6038" w:rsidRPr="003D4A39" w:rsidRDefault="000E6038" w:rsidP="000E6038">
            <w:pPr>
              <w:ind w:left="142"/>
              <w:rPr>
                <w:sz w:val="24"/>
                <w:szCs w:val="24"/>
              </w:rPr>
            </w:pPr>
            <w:r w:rsidRPr="003D4A39">
              <w:rPr>
                <w:sz w:val="24"/>
                <w:szCs w:val="24"/>
              </w:rPr>
              <w:t>Mave-tarm</w:t>
            </w:r>
            <w:r>
              <w:rPr>
                <w:sz w:val="24"/>
                <w:szCs w:val="24"/>
              </w:rPr>
              <w:t>-</w:t>
            </w:r>
            <w:r w:rsidRPr="003D4A39">
              <w:rPr>
                <w:sz w:val="24"/>
                <w:szCs w:val="24"/>
              </w:rPr>
              <w:t>kanalen</w:t>
            </w:r>
          </w:p>
        </w:tc>
        <w:tc>
          <w:tcPr>
            <w:tcW w:w="1692" w:type="pct"/>
            <w:tcBorders>
              <w:top w:val="single" w:sz="4" w:space="0" w:color="000000"/>
              <w:left w:val="single" w:sz="4" w:space="0" w:color="000000"/>
              <w:bottom w:val="single" w:sz="4" w:space="0" w:color="000000"/>
              <w:right w:val="single" w:sz="4" w:space="0" w:color="000000"/>
            </w:tcBorders>
            <w:hideMark/>
          </w:tcPr>
          <w:p w14:paraId="0FA09F9F" w14:textId="77777777" w:rsidR="000E6038" w:rsidRPr="003D4A39" w:rsidRDefault="000E6038" w:rsidP="000E6038">
            <w:pPr>
              <w:ind w:left="142"/>
              <w:rPr>
                <w:sz w:val="24"/>
                <w:szCs w:val="24"/>
              </w:rPr>
            </w:pPr>
            <w:r w:rsidRPr="003D4A39">
              <w:rPr>
                <w:sz w:val="24"/>
                <w:szCs w:val="24"/>
              </w:rPr>
              <w:t>Diarré (G3/4: 19,7 %);</w:t>
            </w:r>
          </w:p>
          <w:p w14:paraId="2018437F" w14:textId="77777777" w:rsidR="000E6038" w:rsidRPr="003D4A39" w:rsidRDefault="000E6038" w:rsidP="000E6038">
            <w:pPr>
              <w:ind w:left="142"/>
              <w:rPr>
                <w:sz w:val="24"/>
                <w:szCs w:val="24"/>
              </w:rPr>
            </w:pPr>
            <w:r w:rsidRPr="003D4A39">
              <w:rPr>
                <w:sz w:val="24"/>
                <w:szCs w:val="24"/>
              </w:rPr>
              <w:t>Kvalme (G3/4: 16 %);</w:t>
            </w:r>
          </w:p>
          <w:p w14:paraId="5DE22378" w14:textId="77777777" w:rsidR="000E6038" w:rsidRPr="003D4A39" w:rsidRDefault="000E6038" w:rsidP="000E6038">
            <w:pPr>
              <w:ind w:left="142"/>
              <w:rPr>
                <w:sz w:val="24"/>
                <w:szCs w:val="24"/>
              </w:rPr>
            </w:pPr>
            <w:r w:rsidRPr="003D4A39">
              <w:rPr>
                <w:sz w:val="24"/>
                <w:szCs w:val="24"/>
              </w:rPr>
              <w:t>Stomatitis (G3/4: 23,7 %);</w:t>
            </w:r>
          </w:p>
          <w:p w14:paraId="4777A59C" w14:textId="77777777" w:rsidR="000E6038" w:rsidRPr="003D4A39" w:rsidRDefault="000E6038" w:rsidP="000E6038">
            <w:pPr>
              <w:ind w:left="142"/>
              <w:rPr>
                <w:sz w:val="24"/>
                <w:szCs w:val="24"/>
              </w:rPr>
            </w:pPr>
            <w:r w:rsidRPr="003D4A39">
              <w:rPr>
                <w:sz w:val="24"/>
                <w:szCs w:val="24"/>
              </w:rPr>
              <w:t>Opkastning (G3/4: 14,3 %)</w:t>
            </w:r>
          </w:p>
        </w:tc>
        <w:tc>
          <w:tcPr>
            <w:tcW w:w="1615" w:type="pct"/>
            <w:tcBorders>
              <w:top w:val="single" w:sz="4" w:space="0" w:color="000000"/>
              <w:left w:val="single" w:sz="4" w:space="0" w:color="000000"/>
              <w:bottom w:val="single" w:sz="4" w:space="0" w:color="000000"/>
              <w:right w:val="single" w:sz="4" w:space="0" w:color="000000"/>
            </w:tcBorders>
            <w:hideMark/>
          </w:tcPr>
          <w:p w14:paraId="5419248B" w14:textId="77777777" w:rsidR="000E6038" w:rsidRPr="003D4A39" w:rsidRDefault="000E6038" w:rsidP="000E6038">
            <w:pPr>
              <w:ind w:left="142"/>
              <w:rPr>
                <w:sz w:val="24"/>
                <w:szCs w:val="24"/>
              </w:rPr>
            </w:pPr>
            <w:r w:rsidRPr="003D4A39">
              <w:rPr>
                <w:sz w:val="24"/>
                <w:szCs w:val="24"/>
              </w:rPr>
              <w:t>Konstipation (G3/4: 1,0 %);</w:t>
            </w:r>
          </w:p>
          <w:p w14:paraId="639BBE4A" w14:textId="77777777" w:rsidR="000E6038" w:rsidRPr="003D4A39" w:rsidRDefault="000E6038" w:rsidP="000E6038">
            <w:pPr>
              <w:ind w:left="142"/>
              <w:rPr>
                <w:sz w:val="24"/>
                <w:szCs w:val="24"/>
              </w:rPr>
            </w:pPr>
            <w:r w:rsidRPr="003D4A39">
              <w:rPr>
                <w:sz w:val="24"/>
                <w:szCs w:val="24"/>
              </w:rPr>
              <w:t>Gastrointestinale smerter (G3/4: 1,0 %);</w:t>
            </w:r>
          </w:p>
          <w:p w14:paraId="68DFF5E5" w14:textId="296C3C0C" w:rsidR="000E6038" w:rsidRPr="003D4A39" w:rsidRDefault="000E6038" w:rsidP="000E6038">
            <w:pPr>
              <w:ind w:left="142"/>
              <w:rPr>
                <w:sz w:val="24"/>
                <w:szCs w:val="24"/>
              </w:rPr>
            </w:pPr>
            <w:r>
              <w:rPr>
                <w:sz w:val="24"/>
                <w:szCs w:val="24"/>
              </w:rPr>
              <w:t>Ø</w:t>
            </w:r>
            <w:r w:rsidRPr="003D4A39">
              <w:rPr>
                <w:sz w:val="24"/>
                <w:szCs w:val="24"/>
              </w:rPr>
              <w:t>so</w:t>
            </w:r>
            <w:r>
              <w:rPr>
                <w:sz w:val="24"/>
                <w:szCs w:val="24"/>
              </w:rPr>
              <w:t>f</w:t>
            </w:r>
            <w:r w:rsidRPr="003D4A39">
              <w:rPr>
                <w:sz w:val="24"/>
                <w:szCs w:val="24"/>
              </w:rPr>
              <w:t>agitis /dysfagi/odynofagi (G3/4: 0,7 %)</w:t>
            </w:r>
          </w:p>
        </w:tc>
      </w:tr>
      <w:tr w:rsidR="000E6038" w:rsidRPr="003D4A39" w14:paraId="65D4125E" w14:textId="77777777" w:rsidTr="000E6038">
        <w:trPr>
          <w:trHeight w:val="20"/>
        </w:trPr>
        <w:tc>
          <w:tcPr>
            <w:tcW w:w="1693" w:type="pct"/>
            <w:tcBorders>
              <w:top w:val="single" w:sz="4" w:space="0" w:color="000000"/>
              <w:left w:val="single" w:sz="4" w:space="0" w:color="000000"/>
              <w:bottom w:val="single" w:sz="4" w:space="0" w:color="000000"/>
              <w:right w:val="single" w:sz="4" w:space="0" w:color="000000"/>
            </w:tcBorders>
            <w:hideMark/>
          </w:tcPr>
          <w:p w14:paraId="7AD44C54" w14:textId="77777777" w:rsidR="000E6038" w:rsidRPr="003D4A39" w:rsidRDefault="000E6038" w:rsidP="000E6038">
            <w:pPr>
              <w:ind w:left="142"/>
              <w:rPr>
                <w:sz w:val="24"/>
                <w:szCs w:val="24"/>
              </w:rPr>
            </w:pPr>
            <w:r w:rsidRPr="003D4A39">
              <w:rPr>
                <w:sz w:val="24"/>
                <w:szCs w:val="24"/>
              </w:rPr>
              <w:t>Hud og subkutane væv</w:t>
            </w:r>
          </w:p>
        </w:tc>
        <w:tc>
          <w:tcPr>
            <w:tcW w:w="1692" w:type="pct"/>
            <w:tcBorders>
              <w:top w:val="single" w:sz="4" w:space="0" w:color="000000"/>
              <w:left w:val="single" w:sz="4" w:space="0" w:color="000000"/>
              <w:bottom w:val="single" w:sz="4" w:space="0" w:color="000000"/>
              <w:right w:val="single" w:sz="4" w:space="0" w:color="000000"/>
            </w:tcBorders>
            <w:hideMark/>
          </w:tcPr>
          <w:p w14:paraId="3D812322" w14:textId="77777777" w:rsidR="000E6038" w:rsidRPr="003D4A39" w:rsidRDefault="000E6038" w:rsidP="000E6038">
            <w:pPr>
              <w:ind w:left="142"/>
              <w:rPr>
                <w:sz w:val="24"/>
                <w:szCs w:val="24"/>
              </w:rPr>
            </w:pPr>
            <w:r w:rsidRPr="003D4A39">
              <w:rPr>
                <w:sz w:val="24"/>
                <w:szCs w:val="24"/>
              </w:rPr>
              <w:t>Alopeci (G3/4: 4,0 %)</w:t>
            </w:r>
          </w:p>
        </w:tc>
        <w:tc>
          <w:tcPr>
            <w:tcW w:w="1615" w:type="pct"/>
            <w:tcBorders>
              <w:top w:val="single" w:sz="4" w:space="0" w:color="000000"/>
              <w:left w:val="single" w:sz="4" w:space="0" w:color="000000"/>
              <w:bottom w:val="single" w:sz="4" w:space="0" w:color="000000"/>
              <w:right w:val="single" w:sz="4" w:space="0" w:color="000000"/>
            </w:tcBorders>
            <w:hideMark/>
          </w:tcPr>
          <w:p w14:paraId="1E2DA97E" w14:textId="77777777" w:rsidR="000E6038" w:rsidRPr="003D4A39" w:rsidRDefault="000E6038" w:rsidP="000E6038">
            <w:pPr>
              <w:ind w:left="142"/>
              <w:rPr>
                <w:sz w:val="24"/>
                <w:szCs w:val="24"/>
              </w:rPr>
            </w:pPr>
            <w:r w:rsidRPr="003D4A39">
              <w:rPr>
                <w:sz w:val="24"/>
                <w:szCs w:val="24"/>
              </w:rPr>
              <w:t xml:space="preserve">Kløende udslæt (G3/4: 0,7 %); </w:t>
            </w:r>
          </w:p>
          <w:p w14:paraId="58CC0DF4" w14:textId="77777777" w:rsidR="000E6038" w:rsidRPr="003D4A39" w:rsidRDefault="000E6038" w:rsidP="000E6038">
            <w:pPr>
              <w:ind w:left="142"/>
              <w:rPr>
                <w:sz w:val="24"/>
                <w:szCs w:val="24"/>
              </w:rPr>
            </w:pPr>
            <w:r w:rsidRPr="003D4A39">
              <w:rPr>
                <w:sz w:val="24"/>
                <w:szCs w:val="24"/>
              </w:rPr>
              <w:t>Neglesygdomme (G3/4: 0,7 %);</w:t>
            </w:r>
          </w:p>
          <w:p w14:paraId="274038E9" w14:textId="77777777" w:rsidR="000E6038" w:rsidRPr="003D4A39" w:rsidRDefault="000E6038" w:rsidP="000E6038">
            <w:pPr>
              <w:ind w:left="142"/>
              <w:rPr>
                <w:sz w:val="24"/>
                <w:szCs w:val="24"/>
              </w:rPr>
            </w:pPr>
            <w:r w:rsidRPr="003D4A39">
              <w:rPr>
                <w:sz w:val="24"/>
                <w:szCs w:val="24"/>
              </w:rPr>
              <w:t>Hudafskalning (G3/4: 0 %)</w:t>
            </w:r>
          </w:p>
        </w:tc>
      </w:tr>
      <w:tr w:rsidR="000E6038" w:rsidRPr="003D4A39" w14:paraId="29293B81" w14:textId="77777777" w:rsidTr="000E6038">
        <w:trPr>
          <w:trHeight w:val="20"/>
        </w:trPr>
        <w:tc>
          <w:tcPr>
            <w:tcW w:w="1693" w:type="pct"/>
            <w:tcBorders>
              <w:top w:val="single" w:sz="4" w:space="0" w:color="000000"/>
              <w:left w:val="single" w:sz="4" w:space="0" w:color="000000"/>
              <w:bottom w:val="single" w:sz="4" w:space="0" w:color="000000"/>
              <w:right w:val="single" w:sz="4" w:space="0" w:color="000000"/>
            </w:tcBorders>
            <w:hideMark/>
          </w:tcPr>
          <w:p w14:paraId="13D1842E" w14:textId="77777777" w:rsidR="000E6038" w:rsidRPr="003D4A39" w:rsidRDefault="000E6038" w:rsidP="000E6038">
            <w:pPr>
              <w:ind w:left="142"/>
              <w:rPr>
                <w:sz w:val="24"/>
                <w:szCs w:val="24"/>
              </w:rPr>
            </w:pPr>
            <w:r w:rsidRPr="003D4A39">
              <w:rPr>
                <w:sz w:val="24"/>
                <w:szCs w:val="24"/>
              </w:rPr>
              <w:t>Almene symptomer og reaktioner på administrationsstedet</w:t>
            </w:r>
          </w:p>
        </w:tc>
        <w:tc>
          <w:tcPr>
            <w:tcW w:w="1692" w:type="pct"/>
            <w:tcBorders>
              <w:top w:val="single" w:sz="4" w:space="0" w:color="000000"/>
              <w:left w:val="single" w:sz="4" w:space="0" w:color="000000"/>
              <w:bottom w:val="single" w:sz="4" w:space="0" w:color="000000"/>
              <w:right w:val="single" w:sz="4" w:space="0" w:color="000000"/>
            </w:tcBorders>
            <w:hideMark/>
          </w:tcPr>
          <w:p w14:paraId="67C89EFE" w14:textId="77777777" w:rsidR="000E6038" w:rsidRPr="003D4A39" w:rsidRDefault="000E6038" w:rsidP="000E6038">
            <w:pPr>
              <w:ind w:left="142"/>
              <w:rPr>
                <w:sz w:val="24"/>
                <w:szCs w:val="24"/>
              </w:rPr>
            </w:pPr>
            <w:r w:rsidRPr="003D4A39">
              <w:rPr>
                <w:sz w:val="24"/>
                <w:szCs w:val="24"/>
              </w:rPr>
              <w:t xml:space="preserve">Letargi (G3/4: 19,0 %); </w:t>
            </w:r>
          </w:p>
          <w:p w14:paraId="16885EA7" w14:textId="77777777" w:rsidR="000E6038" w:rsidRPr="003D4A39" w:rsidRDefault="000E6038" w:rsidP="000E6038">
            <w:pPr>
              <w:ind w:left="142"/>
              <w:rPr>
                <w:sz w:val="24"/>
                <w:szCs w:val="24"/>
              </w:rPr>
            </w:pPr>
            <w:r w:rsidRPr="003D4A39">
              <w:rPr>
                <w:sz w:val="24"/>
                <w:szCs w:val="24"/>
              </w:rPr>
              <w:t>Feber (G3/4: 2,3 %);</w:t>
            </w:r>
          </w:p>
          <w:p w14:paraId="08A3E11F" w14:textId="77777777" w:rsidR="000E6038" w:rsidRPr="003D4A39" w:rsidRDefault="000E6038" w:rsidP="000E6038">
            <w:pPr>
              <w:ind w:left="142"/>
              <w:rPr>
                <w:sz w:val="24"/>
                <w:szCs w:val="24"/>
              </w:rPr>
            </w:pPr>
            <w:r w:rsidRPr="003D4A39">
              <w:rPr>
                <w:sz w:val="24"/>
                <w:szCs w:val="24"/>
              </w:rPr>
              <w:t>Væskeretention (alvorlig/livstruende: 1 %)</w:t>
            </w:r>
          </w:p>
        </w:tc>
        <w:tc>
          <w:tcPr>
            <w:tcW w:w="1615" w:type="pct"/>
            <w:tcBorders>
              <w:top w:val="single" w:sz="4" w:space="0" w:color="000000"/>
              <w:left w:val="single" w:sz="4" w:space="0" w:color="000000"/>
              <w:bottom w:val="single" w:sz="4" w:space="0" w:color="000000"/>
              <w:right w:val="single" w:sz="4" w:space="0" w:color="000000"/>
            </w:tcBorders>
          </w:tcPr>
          <w:p w14:paraId="12001B6F" w14:textId="77777777" w:rsidR="000E6038" w:rsidRPr="003D4A39" w:rsidRDefault="000E6038" w:rsidP="000E6038">
            <w:pPr>
              <w:ind w:left="142"/>
              <w:rPr>
                <w:sz w:val="24"/>
                <w:szCs w:val="24"/>
              </w:rPr>
            </w:pPr>
          </w:p>
        </w:tc>
      </w:tr>
    </w:tbl>
    <w:p w14:paraId="7450F18F" w14:textId="77777777" w:rsidR="006B34A1" w:rsidRPr="008D45EF" w:rsidRDefault="006B34A1" w:rsidP="0081699D">
      <w:pPr>
        <w:ind w:left="851"/>
        <w:rPr>
          <w:sz w:val="24"/>
          <w:szCs w:val="24"/>
        </w:rPr>
      </w:pPr>
    </w:p>
    <w:p w14:paraId="604FE379" w14:textId="77777777" w:rsidR="006B34A1" w:rsidRPr="008D45EF" w:rsidRDefault="006B34A1" w:rsidP="0081699D">
      <w:pPr>
        <w:ind w:left="851"/>
        <w:rPr>
          <w:sz w:val="24"/>
          <w:szCs w:val="24"/>
          <w:u w:val="single"/>
        </w:rPr>
      </w:pPr>
      <w:r w:rsidRPr="008D45EF">
        <w:rPr>
          <w:sz w:val="24"/>
          <w:szCs w:val="24"/>
          <w:u w:val="single"/>
        </w:rPr>
        <w:t>Beskrivelse af udvalgte bivirkninger ved behandling af gastrisk adenokarcinom med docetaxel 75 mg/m² i kombination med cisplatin og 5</w:t>
      </w:r>
      <w:r w:rsidRPr="008D45EF">
        <w:rPr>
          <w:sz w:val="24"/>
          <w:szCs w:val="24"/>
          <w:u w:val="single"/>
        </w:rPr>
        <w:noBreakHyphen/>
        <w:t>fluoruracil</w:t>
      </w:r>
    </w:p>
    <w:p w14:paraId="73D681C7" w14:textId="77777777" w:rsidR="006B34A1" w:rsidRPr="008D45EF" w:rsidRDefault="006B34A1" w:rsidP="0081699D">
      <w:pPr>
        <w:ind w:left="851"/>
        <w:rPr>
          <w:sz w:val="24"/>
          <w:szCs w:val="24"/>
        </w:rPr>
      </w:pPr>
    </w:p>
    <w:p w14:paraId="073DB3EB" w14:textId="77777777" w:rsidR="006B34A1" w:rsidRPr="008D45EF" w:rsidRDefault="006B34A1" w:rsidP="0081699D">
      <w:pPr>
        <w:ind w:left="851"/>
        <w:rPr>
          <w:sz w:val="24"/>
          <w:szCs w:val="24"/>
        </w:rPr>
      </w:pPr>
      <w:r w:rsidRPr="008D45EF">
        <w:rPr>
          <w:i/>
          <w:iCs/>
          <w:sz w:val="24"/>
          <w:szCs w:val="24"/>
        </w:rPr>
        <w:t>Blod og lymfesystem</w:t>
      </w:r>
    </w:p>
    <w:p w14:paraId="652C0554" w14:textId="77777777" w:rsidR="006B34A1" w:rsidRPr="008D45EF" w:rsidRDefault="006B34A1" w:rsidP="0081699D">
      <w:pPr>
        <w:ind w:left="851"/>
        <w:rPr>
          <w:sz w:val="24"/>
          <w:szCs w:val="24"/>
        </w:rPr>
      </w:pPr>
      <w:r w:rsidRPr="008D45EF">
        <w:rPr>
          <w:sz w:val="24"/>
          <w:szCs w:val="24"/>
        </w:rPr>
        <w:t>Febril neutropeni og neutropenisk infektion forekom hos respektivt 17,2 % og 13,5 % af patienterne, uanset anvendelse af G</w:t>
      </w:r>
      <w:r w:rsidRPr="008D45EF">
        <w:rPr>
          <w:sz w:val="24"/>
          <w:szCs w:val="24"/>
        </w:rPr>
        <w:noBreakHyphen/>
        <w:t>CSF. G</w:t>
      </w:r>
      <w:r w:rsidRPr="008D45EF">
        <w:rPr>
          <w:sz w:val="24"/>
          <w:szCs w:val="24"/>
        </w:rPr>
        <w:noBreakHyphen/>
        <w:t>CSF blev anvendt som sekundær profylakse hos 19,3 % af patienterne (10,7 % af cyklus). Febril neutropeni og neutropenisk infektion forekom respektivt hos 12,1 % og 3,4 % af patienterne, når patienterne modtog profylaktisk G</w:t>
      </w:r>
      <w:r w:rsidRPr="008D45EF">
        <w:rPr>
          <w:sz w:val="24"/>
          <w:szCs w:val="24"/>
        </w:rPr>
        <w:noBreakHyphen/>
        <w:t>CSF, hos 15,6 % og 12,9 % af patienterne uden profylaktisk G</w:t>
      </w:r>
      <w:r w:rsidRPr="008D45EF">
        <w:rPr>
          <w:sz w:val="24"/>
          <w:szCs w:val="24"/>
        </w:rPr>
        <w:noBreakHyphen/>
        <w:t>CSF (se punkt 4.2).</w:t>
      </w:r>
    </w:p>
    <w:p w14:paraId="64D541E1" w14:textId="77777777" w:rsidR="006B34A1" w:rsidRPr="008D45EF" w:rsidRDefault="006B34A1" w:rsidP="0081699D">
      <w:pPr>
        <w:ind w:left="851"/>
        <w:rPr>
          <w:sz w:val="24"/>
          <w:szCs w:val="24"/>
        </w:rPr>
      </w:pPr>
    </w:p>
    <w:p w14:paraId="644D30D3" w14:textId="77777777" w:rsidR="006B34A1" w:rsidRPr="008D45EF" w:rsidRDefault="006B34A1" w:rsidP="002F3AAC">
      <w:pPr>
        <w:keepNext/>
        <w:ind w:left="851"/>
        <w:rPr>
          <w:sz w:val="24"/>
          <w:szCs w:val="24"/>
          <w:u w:val="single"/>
        </w:rPr>
      </w:pPr>
      <w:r w:rsidRPr="008D45EF">
        <w:rPr>
          <w:sz w:val="24"/>
          <w:szCs w:val="24"/>
          <w:u w:val="single"/>
        </w:rPr>
        <w:t>Tabel over bivirkninger ved behandling af hoved- og halskræft med docetaxel 75 mg/m² i kombination med cisplatin og 5</w:t>
      </w:r>
      <w:r w:rsidRPr="008D45EF">
        <w:rPr>
          <w:sz w:val="24"/>
          <w:szCs w:val="24"/>
          <w:u w:val="single"/>
        </w:rPr>
        <w:noBreakHyphen/>
        <w:t>fluoruracil</w:t>
      </w:r>
    </w:p>
    <w:p w14:paraId="0056F190" w14:textId="77777777" w:rsidR="006B34A1" w:rsidRPr="008D45EF" w:rsidRDefault="006B34A1" w:rsidP="002F3AAC">
      <w:pPr>
        <w:keepNext/>
        <w:ind w:left="851"/>
        <w:rPr>
          <w:sz w:val="24"/>
          <w:szCs w:val="24"/>
          <w:u w:val="single"/>
        </w:rPr>
      </w:pPr>
    </w:p>
    <w:p w14:paraId="227DCBCD" w14:textId="77777777" w:rsidR="006B34A1" w:rsidRPr="008D45EF" w:rsidRDefault="006B34A1" w:rsidP="002F3AAC">
      <w:pPr>
        <w:keepNext/>
        <w:numPr>
          <w:ilvl w:val="0"/>
          <w:numId w:val="17"/>
        </w:numPr>
        <w:ind w:left="1134" w:hanging="283"/>
        <w:rPr>
          <w:sz w:val="24"/>
          <w:szCs w:val="24"/>
        </w:rPr>
      </w:pPr>
      <w:r w:rsidRPr="008D45EF">
        <w:rPr>
          <w:sz w:val="24"/>
          <w:szCs w:val="24"/>
        </w:rPr>
        <w:t>Induktionskemoterapi efterfulgt af strålebehandling (TAX 323)</w:t>
      </w:r>
    </w:p>
    <w:p w14:paraId="4F002A93" w14:textId="77777777" w:rsidR="006B34A1" w:rsidRPr="008D45EF" w:rsidRDefault="006B34A1" w:rsidP="002F3AAC">
      <w:pPr>
        <w:keepNext/>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70"/>
        <w:gridCol w:w="2467"/>
        <w:gridCol w:w="2469"/>
        <w:gridCol w:w="2222"/>
      </w:tblGrid>
      <w:tr w:rsidR="000E6038" w:rsidRPr="003D4A39" w14:paraId="519006E4" w14:textId="77777777" w:rsidTr="000E6038">
        <w:trPr>
          <w:trHeight w:val="20"/>
          <w:tblHeader/>
        </w:trPr>
        <w:tc>
          <w:tcPr>
            <w:tcW w:w="1282" w:type="pct"/>
            <w:tcBorders>
              <w:top w:val="single" w:sz="4" w:space="0" w:color="auto"/>
              <w:left w:val="single" w:sz="4" w:space="0" w:color="auto"/>
              <w:bottom w:val="single" w:sz="4" w:space="0" w:color="auto"/>
              <w:right w:val="single" w:sz="4" w:space="0" w:color="auto"/>
            </w:tcBorders>
            <w:hideMark/>
          </w:tcPr>
          <w:p w14:paraId="67651F42" w14:textId="77777777" w:rsidR="000E6038" w:rsidRPr="003D4A39" w:rsidRDefault="000E6038" w:rsidP="000E6038">
            <w:pPr>
              <w:ind w:left="127"/>
              <w:rPr>
                <w:b/>
                <w:bCs/>
                <w:sz w:val="24"/>
                <w:szCs w:val="24"/>
              </w:rPr>
            </w:pPr>
            <w:r w:rsidRPr="003D4A39">
              <w:rPr>
                <w:b/>
                <w:bCs/>
                <w:sz w:val="24"/>
                <w:szCs w:val="24"/>
              </w:rPr>
              <w:t>Systemorganklasser i henhold til MedDRA-databasen</w:t>
            </w:r>
          </w:p>
        </w:tc>
        <w:tc>
          <w:tcPr>
            <w:tcW w:w="1281" w:type="pct"/>
            <w:tcBorders>
              <w:top w:val="single" w:sz="4" w:space="0" w:color="auto"/>
              <w:left w:val="single" w:sz="4" w:space="0" w:color="auto"/>
              <w:bottom w:val="single" w:sz="4" w:space="0" w:color="auto"/>
              <w:right w:val="single" w:sz="4" w:space="0" w:color="auto"/>
            </w:tcBorders>
            <w:hideMark/>
          </w:tcPr>
          <w:p w14:paraId="2D6D0670" w14:textId="77777777" w:rsidR="000E6038" w:rsidRPr="003D4A39" w:rsidRDefault="000E6038" w:rsidP="000E6038">
            <w:pPr>
              <w:ind w:left="127"/>
              <w:rPr>
                <w:b/>
                <w:bCs/>
                <w:sz w:val="24"/>
                <w:szCs w:val="24"/>
              </w:rPr>
            </w:pPr>
            <w:r w:rsidRPr="003D4A39">
              <w:rPr>
                <w:b/>
                <w:bCs/>
                <w:sz w:val="24"/>
                <w:szCs w:val="24"/>
              </w:rPr>
              <w:t>Meget almindelige bivirkninger</w:t>
            </w:r>
          </w:p>
        </w:tc>
        <w:tc>
          <w:tcPr>
            <w:tcW w:w="1282" w:type="pct"/>
            <w:tcBorders>
              <w:top w:val="single" w:sz="4" w:space="0" w:color="auto"/>
              <w:left w:val="single" w:sz="4" w:space="0" w:color="auto"/>
              <w:bottom w:val="single" w:sz="4" w:space="0" w:color="auto"/>
              <w:right w:val="single" w:sz="4" w:space="0" w:color="auto"/>
            </w:tcBorders>
            <w:hideMark/>
          </w:tcPr>
          <w:p w14:paraId="4A9CB9E6" w14:textId="77777777" w:rsidR="000E6038" w:rsidRPr="003D4A39" w:rsidRDefault="000E6038" w:rsidP="000E6038">
            <w:pPr>
              <w:ind w:left="127"/>
              <w:rPr>
                <w:b/>
                <w:bCs/>
                <w:sz w:val="24"/>
                <w:szCs w:val="24"/>
              </w:rPr>
            </w:pPr>
            <w:r w:rsidRPr="003D4A39">
              <w:rPr>
                <w:b/>
                <w:bCs/>
                <w:sz w:val="24"/>
                <w:szCs w:val="24"/>
              </w:rPr>
              <w:t>Almindelige bivirkninger</w:t>
            </w:r>
          </w:p>
        </w:tc>
        <w:tc>
          <w:tcPr>
            <w:tcW w:w="1154" w:type="pct"/>
            <w:tcBorders>
              <w:top w:val="single" w:sz="4" w:space="0" w:color="auto"/>
              <w:left w:val="single" w:sz="4" w:space="0" w:color="auto"/>
              <w:bottom w:val="single" w:sz="4" w:space="0" w:color="auto"/>
              <w:right w:val="single" w:sz="4" w:space="0" w:color="auto"/>
            </w:tcBorders>
            <w:hideMark/>
          </w:tcPr>
          <w:p w14:paraId="799483C5" w14:textId="77777777" w:rsidR="000E6038" w:rsidRPr="003D4A39" w:rsidRDefault="000E6038" w:rsidP="000E6038">
            <w:pPr>
              <w:ind w:left="127"/>
              <w:rPr>
                <w:b/>
                <w:bCs/>
                <w:sz w:val="24"/>
                <w:szCs w:val="24"/>
              </w:rPr>
            </w:pPr>
            <w:r w:rsidRPr="003D4A39">
              <w:rPr>
                <w:b/>
                <w:bCs/>
                <w:sz w:val="24"/>
                <w:szCs w:val="24"/>
              </w:rPr>
              <w:t>Ikke almindelige bivirkninger</w:t>
            </w:r>
          </w:p>
        </w:tc>
      </w:tr>
      <w:tr w:rsidR="000E6038" w:rsidRPr="003D4A39" w14:paraId="0D59FD4B" w14:textId="77777777" w:rsidTr="000E6038">
        <w:trPr>
          <w:trHeight w:val="20"/>
        </w:trPr>
        <w:tc>
          <w:tcPr>
            <w:tcW w:w="1282" w:type="pct"/>
            <w:tcBorders>
              <w:top w:val="single" w:sz="4" w:space="0" w:color="auto"/>
              <w:left w:val="single" w:sz="4" w:space="0" w:color="000000"/>
              <w:bottom w:val="single" w:sz="4" w:space="0" w:color="000000"/>
              <w:right w:val="single" w:sz="4" w:space="0" w:color="000000"/>
            </w:tcBorders>
            <w:hideMark/>
          </w:tcPr>
          <w:p w14:paraId="1D652914" w14:textId="77777777" w:rsidR="000E6038" w:rsidRPr="003D4A39" w:rsidRDefault="000E6038" w:rsidP="000E6038">
            <w:pPr>
              <w:ind w:left="127"/>
              <w:rPr>
                <w:sz w:val="24"/>
                <w:szCs w:val="24"/>
              </w:rPr>
            </w:pPr>
            <w:r w:rsidRPr="003D4A39">
              <w:rPr>
                <w:sz w:val="24"/>
                <w:szCs w:val="24"/>
              </w:rPr>
              <w:t>Infektioner og parasitære sygdomme</w:t>
            </w:r>
          </w:p>
        </w:tc>
        <w:tc>
          <w:tcPr>
            <w:tcW w:w="1281" w:type="pct"/>
            <w:tcBorders>
              <w:top w:val="single" w:sz="4" w:space="0" w:color="auto"/>
              <w:left w:val="single" w:sz="4" w:space="0" w:color="000000"/>
              <w:bottom w:val="single" w:sz="4" w:space="0" w:color="000000"/>
              <w:right w:val="single" w:sz="4" w:space="0" w:color="000000"/>
            </w:tcBorders>
            <w:hideMark/>
          </w:tcPr>
          <w:p w14:paraId="4CE5AC59" w14:textId="77777777" w:rsidR="000E6038" w:rsidRPr="003D4A39" w:rsidRDefault="000E6038" w:rsidP="000E6038">
            <w:pPr>
              <w:ind w:left="127"/>
              <w:rPr>
                <w:sz w:val="24"/>
                <w:szCs w:val="24"/>
              </w:rPr>
            </w:pPr>
            <w:r w:rsidRPr="003D4A39">
              <w:rPr>
                <w:sz w:val="24"/>
                <w:szCs w:val="24"/>
              </w:rPr>
              <w:t xml:space="preserve">Infektion (G3/4: 6,3 %); </w:t>
            </w:r>
          </w:p>
          <w:p w14:paraId="2211A222" w14:textId="77777777" w:rsidR="000E6038" w:rsidRPr="003D4A39" w:rsidRDefault="000E6038" w:rsidP="000E6038">
            <w:pPr>
              <w:ind w:left="127"/>
              <w:rPr>
                <w:sz w:val="24"/>
                <w:szCs w:val="24"/>
              </w:rPr>
            </w:pPr>
            <w:r w:rsidRPr="003D4A39">
              <w:rPr>
                <w:sz w:val="24"/>
                <w:szCs w:val="24"/>
              </w:rPr>
              <w:t>Neutropenisk infektion</w:t>
            </w:r>
          </w:p>
        </w:tc>
        <w:tc>
          <w:tcPr>
            <w:tcW w:w="1282" w:type="pct"/>
            <w:tcBorders>
              <w:top w:val="single" w:sz="4" w:space="0" w:color="auto"/>
              <w:left w:val="single" w:sz="4" w:space="0" w:color="000000"/>
              <w:bottom w:val="single" w:sz="4" w:space="0" w:color="000000"/>
              <w:right w:val="single" w:sz="4" w:space="0" w:color="000000"/>
            </w:tcBorders>
          </w:tcPr>
          <w:p w14:paraId="1985B6FD" w14:textId="77777777" w:rsidR="000E6038" w:rsidRPr="003D4A39" w:rsidRDefault="000E6038" w:rsidP="000E6038">
            <w:pPr>
              <w:ind w:left="127"/>
              <w:rPr>
                <w:sz w:val="24"/>
                <w:szCs w:val="24"/>
              </w:rPr>
            </w:pPr>
          </w:p>
        </w:tc>
        <w:tc>
          <w:tcPr>
            <w:tcW w:w="1154" w:type="pct"/>
            <w:tcBorders>
              <w:top w:val="single" w:sz="4" w:space="0" w:color="auto"/>
              <w:left w:val="single" w:sz="4" w:space="0" w:color="000000"/>
              <w:bottom w:val="single" w:sz="4" w:space="0" w:color="000000"/>
              <w:right w:val="single" w:sz="4" w:space="0" w:color="000000"/>
            </w:tcBorders>
          </w:tcPr>
          <w:p w14:paraId="39C9CA13" w14:textId="77777777" w:rsidR="000E6038" w:rsidRPr="003D4A39" w:rsidRDefault="000E6038" w:rsidP="000E6038">
            <w:pPr>
              <w:ind w:left="127"/>
              <w:rPr>
                <w:sz w:val="24"/>
                <w:szCs w:val="24"/>
              </w:rPr>
            </w:pPr>
          </w:p>
        </w:tc>
      </w:tr>
      <w:tr w:rsidR="000E6038" w:rsidRPr="003D4A39" w14:paraId="3318E357" w14:textId="77777777" w:rsidTr="000E6038">
        <w:trPr>
          <w:trHeight w:val="20"/>
        </w:trPr>
        <w:tc>
          <w:tcPr>
            <w:tcW w:w="1282" w:type="pct"/>
            <w:tcBorders>
              <w:top w:val="single" w:sz="4" w:space="0" w:color="000000"/>
              <w:left w:val="single" w:sz="4" w:space="0" w:color="000000"/>
              <w:bottom w:val="single" w:sz="4" w:space="0" w:color="000000"/>
              <w:right w:val="single" w:sz="4" w:space="0" w:color="000000"/>
            </w:tcBorders>
            <w:hideMark/>
          </w:tcPr>
          <w:p w14:paraId="5056D72C" w14:textId="77777777" w:rsidR="000E6038" w:rsidRPr="003D4A39" w:rsidRDefault="000E6038" w:rsidP="000E6038">
            <w:pPr>
              <w:ind w:left="127"/>
              <w:rPr>
                <w:sz w:val="24"/>
                <w:szCs w:val="24"/>
              </w:rPr>
            </w:pPr>
            <w:r w:rsidRPr="003D4A39">
              <w:rPr>
                <w:sz w:val="24"/>
                <w:szCs w:val="24"/>
              </w:rPr>
              <w:t>Benigne, maligne og uspecificerede tumorer (inkl. cyster og polypper)</w:t>
            </w:r>
          </w:p>
        </w:tc>
        <w:tc>
          <w:tcPr>
            <w:tcW w:w="1281" w:type="pct"/>
            <w:tcBorders>
              <w:top w:val="single" w:sz="4" w:space="0" w:color="000000"/>
              <w:left w:val="single" w:sz="4" w:space="0" w:color="000000"/>
              <w:bottom w:val="single" w:sz="4" w:space="0" w:color="000000"/>
              <w:right w:val="single" w:sz="4" w:space="0" w:color="000000"/>
            </w:tcBorders>
          </w:tcPr>
          <w:p w14:paraId="2E89A447" w14:textId="77777777" w:rsidR="000E6038" w:rsidRPr="003D4A39" w:rsidRDefault="000E6038" w:rsidP="000E6038">
            <w:pPr>
              <w:ind w:left="127"/>
              <w:rPr>
                <w:sz w:val="24"/>
                <w:szCs w:val="24"/>
              </w:rPr>
            </w:pPr>
          </w:p>
        </w:tc>
        <w:tc>
          <w:tcPr>
            <w:tcW w:w="1282" w:type="pct"/>
            <w:tcBorders>
              <w:top w:val="single" w:sz="4" w:space="0" w:color="000000"/>
              <w:left w:val="single" w:sz="4" w:space="0" w:color="000000"/>
              <w:bottom w:val="single" w:sz="4" w:space="0" w:color="000000"/>
              <w:right w:val="single" w:sz="4" w:space="0" w:color="000000"/>
            </w:tcBorders>
            <w:hideMark/>
          </w:tcPr>
          <w:p w14:paraId="717003D8" w14:textId="77777777" w:rsidR="000E6038" w:rsidRPr="003D4A39" w:rsidRDefault="000E6038" w:rsidP="000E6038">
            <w:pPr>
              <w:ind w:left="127"/>
              <w:rPr>
                <w:sz w:val="24"/>
                <w:szCs w:val="24"/>
              </w:rPr>
            </w:pPr>
            <w:r w:rsidRPr="003D4A39">
              <w:rPr>
                <w:sz w:val="24"/>
                <w:szCs w:val="24"/>
              </w:rPr>
              <w:t>Kræftsmerter (G3/4: 0,6 %)</w:t>
            </w:r>
          </w:p>
        </w:tc>
        <w:tc>
          <w:tcPr>
            <w:tcW w:w="1154" w:type="pct"/>
            <w:tcBorders>
              <w:top w:val="single" w:sz="4" w:space="0" w:color="000000"/>
              <w:left w:val="single" w:sz="4" w:space="0" w:color="000000"/>
              <w:bottom w:val="single" w:sz="4" w:space="0" w:color="000000"/>
              <w:right w:val="single" w:sz="4" w:space="0" w:color="000000"/>
            </w:tcBorders>
          </w:tcPr>
          <w:p w14:paraId="71505D51" w14:textId="77777777" w:rsidR="000E6038" w:rsidRPr="003D4A39" w:rsidRDefault="000E6038" w:rsidP="000E6038">
            <w:pPr>
              <w:ind w:left="127"/>
              <w:rPr>
                <w:sz w:val="24"/>
                <w:szCs w:val="24"/>
              </w:rPr>
            </w:pPr>
          </w:p>
        </w:tc>
      </w:tr>
      <w:tr w:rsidR="000E6038" w:rsidRPr="003D4A39" w14:paraId="74FE434D" w14:textId="77777777" w:rsidTr="000E6038">
        <w:trPr>
          <w:trHeight w:val="20"/>
        </w:trPr>
        <w:tc>
          <w:tcPr>
            <w:tcW w:w="1282" w:type="pct"/>
            <w:tcBorders>
              <w:top w:val="single" w:sz="4" w:space="0" w:color="000000"/>
              <w:left w:val="single" w:sz="4" w:space="0" w:color="000000"/>
              <w:bottom w:val="single" w:sz="4" w:space="0" w:color="000000"/>
              <w:right w:val="single" w:sz="4" w:space="0" w:color="000000"/>
            </w:tcBorders>
            <w:hideMark/>
          </w:tcPr>
          <w:p w14:paraId="5CD63E45" w14:textId="77777777" w:rsidR="000E6038" w:rsidRPr="003D4A39" w:rsidRDefault="000E6038" w:rsidP="000E6038">
            <w:pPr>
              <w:ind w:left="127"/>
              <w:rPr>
                <w:sz w:val="24"/>
                <w:szCs w:val="24"/>
              </w:rPr>
            </w:pPr>
            <w:r w:rsidRPr="003D4A39">
              <w:rPr>
                <w:sz w:val="24"/>
                <w:szCs w:val="24"/>
              </w:rPr>
              <w:t>Blod og lymfesystem</w:t>
            </w:r>
          </w:p>
        </w:tc>
        <w:tc>
          <w:tcPr>
            <w:tcW w:w="1281" w:type="pct"/>
            <w:tcBorders>
              <w:top w:val="single" w:sz="4" w:space="0" w:color="000000"/>
              <w:left w:val="single" w:sz="4" w:space="0" w:color="000000"/>
              <w:bottom w:val="single" w:sz="4" w:space="0" w:color="000000"/>
              <w:right w:val="single" w:sz="4" w:space="0" w:color="000000"/>
            </w:tcBorders>
            <w:hideMark/>
          </w:tcPr>
          <w:p w14:paraId="135DF244" w14:textId="77777777" w:rsidR="009B0C24" w:rsidRPr="009B0C24" w:rsidRDefault="009B0C24" w:rsidP="009B0C24">
            <w:pPr>
              <w:ind w:left="127"/>
              <w:rPr>
                <w:sz w:val="24"/>
                <w:szCs w:val="24"/>
                <w:lang w:val="en-US"/>
              </w:rPr>
            </w:pPr>
            <w:r w:rsidRPr="00EF58FE">
              <w:rPr>
                <w:sz w:val="24"/>
                <w:szCs w:val="24"/>
                <w:lang w:val="en-US"/>
              </w:rPr>
              <w:t>Neutropeni (G3/4: 76,3 %);</w:t>
            </w:r>
          </w:p>
          <w:p w14:paraId="1623D201" w14:textId="77777777" w:rsidR="009B0C24" w:rsidRPr="009B0C24" w:rsidRDefault="009B0C24" w:rsidP="009B0C24">
            <w:pPr>
              <w:ind w:left="127"/>
              <w:rPr>
                <w:sz w:val="24"/>
                <w:szCs w:val="24"/>
                <w:lang w:val="en-US"/>
              </w:rPr>
            </w:pPr>
            <w:r w:rsidRPr="009B0C24">
              <w:rPr>
                <w:sz w:val="24"/>
                <w:szCs w:val="24"/>
                <w:lang w:val="en-US"/>
              </w:rPr>
              <w:t>Anæmi (G3/4: 9,2 %);</w:t>
            </w:r>
          </w:p>
          <w:p w14:paraId="28E64397" w14:textId="773C25C9" w:rsidR="000E6038" w:rsidRPr="00DB67D0" w:rsidRDefault="009B0C24" w:rsidP="009B0C24">
            <w:pPr>
              <w:ind w:left="127"/>
              <w:rPr>
                <w:sz w:val="24"/>
                <w:szCs w:val="24"/>
                <w:lang w:val="en-US"/>
              </w:rPr>
            </w:pPr>
            <w:r w:rsidRPr="009B0C24">
              <w:rPr>
                <w:sz w:val="24"/>
                <w:szCs w:val="24"/>
                <w:lang w:val="en-US"/>
              </w:rPr>
              <w:t>Trombocytopeni (G3/4: 5,2 %)</w:t>
            </w:r>
          </w:p>
        </w:tc>
        <w:tc>
          <w:tcPr>
            <w:tcW w:w="1282" w:type="pct"/>
            <w:tcBorders>
              <w:top w:val="single" w:sz="4" w:space="0" w:color="000000"/>
              <w:left w:val="single" w:sz="4" w:space="0" w:color="000000"/>
              <w:bottom w:val="single" w:sz="4" w:space="0" w:color="000000"/>
              <w:right w:val="single" w:sz="4" w:space="0" w:color="000000"/>
            </w:tcBorders>
            <w:hideMark/>
          </w:tcPr>
          <w:p w14:paraId="24BBB107" w14:textId="77777777" w:rsidR="000E6038" w:rsidRPr="003D4A39" w:rsidRDefault="000E6038" w:rsidP="000E6038">
            <w:pPr>
              <w:ind w:left="127"/>
              <w:rPr>
                <w:sz w:val="24"/>
                <w:szCs w:val="24"/>
              </w:rPr>
            </w:pPr>
            <w:r w:rsidRPr="003D4A39">
              <w:rPr>
                <w:sz w:val="24"/>
                <w:szCs w:val="24"/>
              </w:rPr>
              <w:t>Febril neutropeni</w:t>
            </w:r>
          </w:p>
        </w:tc>
        <w:tc>
          <w:tcPr>
            <w:tcW w:w="1154" w:type="pct"/>
            <w:tcBorders>
              <w:top w:val="single" w:sz="4" w:space="0" w:color="000000"/>
              <w:left w:val="single" w:sz="4" w:space="0" w:color="000000"/>
              <w:bottom w:val="single" w:sz="4" w:space="0" w:color="000000"/>
              <w:right w:val="single" w:sz="4" w:space="0" w:color="000000"/>
            </w:tcBorders>
          </w:tcPr>
          <w:p w14:paraId="4F8323B9" w14:textId="77777777" w:rsidR="000E6038" w:rsidRPr="003D4A39" w:rsidRDefault="000E6038" w:rsidP="000E6038">
            <w:pPr>
              <w:ind w:left="127"/>
              <w:rPr>
                <w:sz w:val="24"/>
                <w:szCs w:val="24"/>
              </w:rPr>
            </w:pPr>
          </w:p>
        </w:tc>
      </w:tr>
      <w:tr w:rsidR="000E6038" w:rsidRPr="003D4A39" w14:paraId="575BCC89" w14:textId="77777777" w:rsidTr="000E6038">
        <w:trPr>
          <w:trHeight w:val="20"/>
        </w:trPr>
        <w:tc>
          <w:tcPr>
            <w:tcW w:w="1282" w:type="pct"/>
            <w:tcBorders>
              <w:top w:val="single" w:sz="4" w:space="0" w:color="000000"/>
              <w:left w:val="single" w:sz="4" w:space="0" w:color="000000"/>
              <w:bottom w:val="single" w:sz="4" w:space="0" w:color="000000"/>
              <w:right w:val="single" w:sz="4" w:space="0" w:color="000000"/>
            </w:tcBorders>
            <w:hideMark/>
          </w:tcPr>
          <w:p w14:paraId="5968CBAB" w14:textId="77777777" w:rsidR="000E6038" w:rsidRPr="003D4A39" w:rsidRDefault="000E6038" w:rsidP="000E6038">
            <w:pPr>
              <w:ind w:left="127"/>
              <w:rPr>
                <w:sz w:val="24"/>
                <w:szCs w:val="24"/>
              </w:rPr>
            </w:pPr>
            <w:r w:rsidRPr="003D4A39">
              <w:rPr>
                <w:sz w:val="24"/>
                <w:szCs w:val="24"/>
              </w:rPr>
              <w:t>Immunsystemet</w:t>
            </w:r>
          </w:p>
        </w:tc>
        <w:tc>
          <w:tcPr>
            <w:tcW w:w="1281" w:type="pct"/>
            <w:tcBorders>
              <w:top w:val="single" w:sz="4" w:space="0" w:color="000000"/>
              <w:left w:val="single" w:sz="4" w:space="0" w:color="000000"/>
              <w:bottom w:val="single" w:sz="4" w:space="0" w:color="000000"/>
              <w:right w:val="single" w:sz="4" w:space="0" w:color="000000"/>
            </w:tcBorders>
          </w:tcPr>
          <w:p w14:paraId="245A5223" w14:textId="77777777" w:rsidR="000E6038" w:rsidRPr="003D4A39" w:rsidRDefault="000E6038" w:rsidP="000E6038">
            <w:pPr>
              <w:ind w:left="127"/>
              <w:rPr>
                <w:sz w:val="24"/>
                <w:szCs w:val="24"/>
              </w:rPr>
            </w:pPr>
          </w:p>
        </w:tc>
        <w:tc>
          <w:tcPr>
            <w:tcW w:w="1282" w:type="pct"/>
            <w:tcBorders>
              <w:top w:val="single" w:sz="4" w:space="0" w:color="000000"/>
              <w:left w:val="single" w:sz="4" w:space="0" w:color="000000"/>
              <w:bottom w:val="single" w:sz="4" w:space="0" w:color="000000"/>
              <w:right w:val="single" w:sz="4" w:space="0" w:color="000000"/>
            </w:tcBorders>
            <w:hideMark/>
          </w:tcPr>
          <w:p w14:paraId="380DDB96" w14:textId="77777777" w:rsidR="000E6038" w:rsidRPr="003D4A39" w:rsidRDefault="000E6038" w:rsidP="000E6038">
            <w:pPr>
              <w:ind w:left="127"/>
              <w:rPr>
                <w:sz w:val="24"/>
                <w:szCs w:val="24"/>
              </w:rPr>
            </w:pPr>
            <w:r w:rsidRPr="003D4A39">
              <w:rPr>
                <w:sz w:val="24"/>
                <w:szCs w:val="24"/>
              </w:rPr>
              <w:t>Overfølsomhed (ikke alvorlig)</w:t>
            </w:r>
          </w:p>
        </w:tc>
        <w:tc>
          <w:tcPr>
            <w:tcW w:w="1154" w:type="pct"/>
            <w:tcBorders>
              <w:top w:val="single" w:sz="4" w:space="0" w:color="000000"/>
              <w:left w:val="single" w:sz="4" w:space="0" w:color="000000"/>
              <w:bottom w:val="single" w:sz="4" w:space="0" w:color="000000"/>
              <w:right w:val="single" w:sz="4" w:space="0" w:color="000000"/>
            </w:tcBorders>
          </w:tcPr>
          <w:p w14:paraId="06ADDF4A" w14:textId="77777777" w:rsidR="000E6038" w:rsidRPr="003D4A39" w:rsidRDefault="000E6038" w:rsidP="000E6038">
            <w:pPr>
              <w:ind w:left="127"/>
              <w:rPr>
                <w:sz w:val="24"/>
                <w:szCs w:val="24"/>
              </w:rPr>
            </w:pPr>
          </w:p>
        </w:tc>
      </w:tr>
      <w:tr w:rsidR="000E6038" w:rsidRPr="003D4A39" w14:paraId="58DB76DB" w14:textId="77777777" w:rsidTr="000E6038">
        <w:trPr>
          <w:trHeight w:val="20"/>
        </w:trPr>
        <w:tc>
          <w:tcPr>
            <w:tcW w:w="1282" w:type="pct"/>
            <w:tcBorders>
              <w:top w:val="single" w:sz="4" w:space="0" w:color="000000"/>
              <w:left w:val="single" w:sz="4" w:space="0" w:color="000000"/>
              <w:bottom w:val="single" w:sz="4" w:space="0" w:color="000000"/>
              <w:right w:val="single" w:sz="4" w:space="0" w:color="000000"/>
            </w:tcBorders>
            <w:hideMark/>
          </w:tcPr>
          <w:p w14:paraId="77C27583" w14:textId="77777777" w:rsidR="000E6038" w:rsidRPr="003D4A39" w:rsidRDefault="000E6038" w:rsidP="000E6038">
            <w:pPr>
              <w:ind w:left="127"/>
              <w:rPr>
                <w:sz w:val="24"/>
                <w:szCs w:val="24"/>
              </w:rPr>
            </w:pPr>
            <w:r w:rsidRPr="003D4A39">
              <w:rPr>
                <w:sz w:val="24"/>
                <w:szCs w:val="24"/>
              </w:rPr>
              <w:t>Metabolisme og ernæring</w:t>
            </w:r>
          </w:p>
        </w:tc>
        <w:tc>
          <w:tcPr>
            <w:tcW w:w="1281" w:type="pct"/>
            <w:tcBorders>
              <w:top w:val="single" w:sz="4" w:space="0" w:color="000000"/>
              <w:left w:val="single" w:sz="4" w:space="0" w:color="000000"/>
              <w:bottom w:val="single" w:sz="4" w:space="0" w:color="000000"/>
              <w:right w:val="single" w:sz="4" w:space="0" w:color="000000"/>
            </w:tcBorders>
            <w:hideMark/>
          </w:tcPr>
          <w:p w14:paraId="7A23294F" w14:textId="77777777" w:rsidR="000E6038" w:rsidRPr="003D4A39" w:rsidRDefault="000E6038" w:rsidP="000E6038">
            <w:pPr>
              <w:ind w:left="127"/>
              <w:rPr>
                <w:sz w:val="24"/>
                <w:szCs w:val="24"/>
              </w:rPr>
            </w:pPr>
            <w:r w:rsidRPr="003D4A39">
              <w:rPr>
                <w:sz w:val="24"/>
                <w:szCs w:val="24"/>
              </w:rPr>
              <w:t>Anoreksi (G3/4: 0,6 %)</w:t>
            </w:r>
          </w:p>
        </w:tc>
        <w:tc>
          <w:tcPr>
            <w:tcW w:w="1282" w:type="pct"/>
            <w:tcBorders>
              <w:top w:val="single" w:sz="4" w:space="0" w:color="000000"/>
              <w:left w:val="single" w:sz="4" w:space="0" w:color="000000"/>
              <w:bottom w:val="single" w:sz="4" w:space="0" w:color="000000"/>
              <w:right w:val="single" w:sz="4" w:space="0" w:color="000000"/>
            </w:tcBorders>
          </w:tcPr>
          <w:p w14:paraId="31F4AC51" w14:textId="77777777" w:rsidR="000E6038" w:rsidRPr="003D4A39" w:rsidRDefault="000E6038" w:rsidP="000E6038">
            <w:pPr>
              <w:ind w:left="127"/>
              <w:rPr>
                <w:sz w:val="24"/>
                <w:szCs w:val="24"/>
              </w:rPr>
            </w:pPr>
          </w:p>
        </w:tc>
        <w:tc>
          <w:tcPr>
            <w:tcW w:w="1154" w:type="pct"/>
            <w:tcBorders>
              <w:top w:val="single" w:sz="4" w:space="0" w:color="000000"/>
              <w:left w:val="single" w:sz="4" w:space="0" w:color="000000"/>
              <w:bottom w:val="single" w:sz="4" w:space="0" w:color="000000"/>
              <w:right w:val="single" w:sz="4" w:space="0" w:color="000000"/>
            </w:tcBorders>
          </w:tcPr>
          <w:p w14:paraId="12837991" w14:textId="77777777" w:rsidR="000E6038" w:rsidRPr="003D4A39" w:rsidRDefault="000E6038" w:rsidP="000E6038">
            <w:pPr>
              <w:ind w:left="127"/>
              <w:rPr>
                <w:sz w:val="24"/>
                <w:szCs w:val="24"/>
              </w:rPr>
            </w:pPr>
          </w:p>
        </w:tc>
      </w:tr>
      <w:tr w:rsidR="000E6038" w:rsidRPr="003D4A39" w14:paraId="2363CFAE" w14:textId="77777777" w:rsidTr="000E6038">
        <w:trPr>
          <w:trHeight w:val="20"/>
        </w:trPr>
        <w:tc>
          <w:tcPr>
            <w:tcW w:w="1282" w:type="pct"/>
            <w:tcBorders>
              <w:top w:val="single" w:sz="4" w:space="0" w:color="000000"/>
              <w:left w:val="single" w:sz="4" w:space="0" w:color="000000"/>
              <w:bottom w:val="single" w:sz="4" w:space="0" w:color="000000"/>
              <w:right w:val="single" w:sz="4" w:space="0" w:color="000000"/>
            </w:tcBorders>
            <w:hideMark/>
          </w:tcPr>
          <w:p w14:paraId="766B9ED3" w14:textId="77777777" w:rsidR="000E6038" w:rsidRPr="003D4A39" w:rsidRDefault="000E6038" w:rsidP="000E6038">
            <w:pPr>
              <w:ind w:left="127"/>
              <w:rPr>
                <w:sz w:val="24"/>
                <w:szCs w:val="24"/>
              </w:rPr>
            </w:pPr>
            <w:r w:rsidRPr="003D4A39">
              <w:rPr>
                <w:sz w:val="24"/>
                <w:szCs w:val="24"/>
              </w:rPr>
              <w:t>Nervesystemet</w:t>
            </w:r>
          </w:p>
        </w:tc>
        <w:tc>
          <w:tcPr>
            <w:tcW w:w="1281" w:type="pct"/>
            <w:tcBorders>
              <w:top w:val="single" w:sz="4" w:space="0" w:color="000000"/>
              <w:left w:val="single" w:sz="4" w:space="0" w:color="000000"/>
              <w:bottom w:val="single" w:sz="4" w:space="0" w:color="000000"/>
              <w:right w:val="single" w:sz="4" w:space="0" w:color="000000"/>
            </w:tcBorders>
            <w:hideMark/>
          </w:tcPr>
          <w:p w14:paraId="19B8FABE" w14:textId="77777777" w:rsidR="000E6038" w:rsidRPr="003D4A39" w:rsidRDefault="000E6038" w:rsidP="000E6038">
            <w:pPr>
              <w:ind w:left="127"/>
              <w:rPr>
                <w:sz w:val="24"/>
                <w:szCs w:val="24"/>
              </w:rPr>
            </w:pPr>
            <w:r w:rsidRPr="003D4A39">
              <w:rPr>
                <w:sz w:val="24"/>
                <w:szCs w:val="24"/>
              </w:rPr>
              <w:t xml:space="preserve">Dysgeusi/parosmi; </w:t>
            </w:r>
          </w:p>
          <w:p w14:paraId="687808B0" w14:textId="77777777" w:rsidR="000E6038" w:rsidRPr="003D4A39" w:rsidRDefault="000E6038" w:rsidP="000E6038">
            <w:pPr>
              <w:ind w:left="127"/>
              <w:rPr>
                <w:sz w:val="24"/>
                <w:szCs w:val="24"/>
              </w:rPr>
            </w:pPr>
            <w:r w:rsidRPr="003D4A39">
              <w:rPr>
                <w:sz w:val="24"/>
                <w:szCs w:val="24"/>
              </w:rPr>
              <w:t>Perifer sensorisk neuropati (G3/4: 0,6 %)</w:t>
            </w:r>
          </w:p>
        </w:tc>
        <w:tc>
          <w:tcPr>
            <w:tcW w:w="1282" w:type="pct"/>
            <w:tcBorders>
              <w:top w:val="single" w:sz="4" w:space="0" w:color="000000"/>
              <w:left w:val="single" w:sz="4" w:space="0" w:color="000000"/>
              <w:bottom w:val="single" w:sz="4" w:space="0" w:color="000000"/>
              <w:right w:val="single" w:sz="4" w:space="0" w:color="000000"/>
            </w:tcBorders>
            <w:hideMark/>
          </w:tcPr>
          <w:p w14:paraId="5FF23495" w14:textId="77777777" w:rsidR="000E6038" w:rsidRPr="003D4A39" w:rsidRDefault="000E6038" w:rsidP="000E6038">
            <w:pPr>
              <w:ind w:left="127"/>
              <w:rPr>
                <w:sz w:val="24"/>
                <w:szCs w:val="24"/>
              </w:rPr>
            </w:pPr>
            <w:r w:rsidRPr="003D4A39">
              <w:rPr>
                <w:sz w:val="24"/>
                <w:szCs w:val="24"/>
              </w:rPr>
              <w:t>Svimmelhed</w:t>
            </w:r>
          </w:p>
        </w:tc>
        <w:tc>
          <w:tcPr>
            <w:tcW w:w="1154" w:type="pct"/>
            <w:tcBorders>
              <w:top w:val="single" w:sz="4" w:space="0" w:color="000000"/>
              <w:left w:val="single" w:sz="4" w:space="0" w:color="000000"/>
              <w:bottom w:val="single" w:sz="4" w:space="0" w:color="000000"/>
              <w:right w:val="single" w:sz="4" w:space="0" w:color="000000"/>
            </w:tcBorders>
          </w:tcPr>
          <w:p w14:paraId="69D82080" w14:textId="77777777" w:rsidR="000E6038" w:rsidRPr="003D4A39" w:rsidRDefault="000E6038" w:rsidP="000E6038">
            <w:pPr>
              <w:ind w:left="127"/>
              <w:rPr>
                <w:sz w:val="24"/>
                <w:szCs w:val="24"/>
              </w:rPr>
            </w:pPr>
          </w:p>
        </w:tc>
      </w:tr>
      <w:tr w:rsidR="000E6038" w:rsidRPr="003D4A39" w14:paraId="4C17E76E" w14:textId="77777777" w:rsidTr="000E6038">
        <w:trPr>
          <w:trHeight w:val="20"/>
        </w:trPr>
        <w:tc>
          <w:tcPr>
            <w:tcW w:w="1282" w:type="pct"/>
            <w:tcBorders>
              <w:top w:val="single" w:sz="4" w:space="0" w:color="000000"/>
              <w:left w:val="single" w:sz="4" w:space="0" w:color="000000"/>
              <w:bottom w:val="single" w:sz="4" w:space="0" w:color="000000"/>
              <w:right w:val="single" w:sz="4" w:space="0" w:color="000000"/>
            </w:tcBorders>
            <w:hideMark/>
          </w:tcPr>
          <w:p w14:paraId="4722FF62" w14:textId="77777777" w:rsidR="000E6038" w:rsidRPr="003D4A39" w:rsidRDefault="000E6038" w:rsidP="000E6038">
            <w:pPr>
              <w:ind w:left="127"/>
              <w:rPr>
                <w:sz w:val="24"/>
                <w:szCs w:val="24"/>
              </w:rPr>
            </w:pPr>
            <w:r w:rsidRPr="003D4A39">
              <w:rPr>
                <w:sz w:val="24"/>
                <w:szCs w:val="24"/>
              </w:rPr>
              <w:t>Øjne</w:t>
            </w:r>
          </w:p>
        </w:tc>
        <w:tc>
          <w:tcPr>
            <w:tcW w:w="1281" w:type="pct"/>
            <w:tcBorders>
              <w:top w:val="single" w:sz="4" w:space="0" w:color="000000"/>
              <w:left w:val="single" w:sz="4" w:space="0" w:color="000000"/>
              <w:bottom w:val="single" w:sz="4" w:space="0" w:color="000000"/>
              <w:right w:val="single" w:sz="4" w:space="0" w:color="000000"/>
            </w:tcBorders>
          </w:tcPr>
          <w:p w14:paraId="24AC1CC8" w14:textId="77777777" w:rsidR="000E6038" w:rsidRPr="003D4A39" w:rsidRDefault="000E6038" w:rsidP="000E6038">
            <w:pPr>
              <w:ind w:left="127"/>
              <w:rPr>
                <w:sz w:val="24"/>
                <w:szCs w:val="24"/>
              </w:rPr>
            </w:pPr>
          </w:p>
        </w:tc>
        <w:tc>
          <w:tcPr>
            <w:tcW w:w="1282" w:type="pct"/>
            <w:tcBorders>
              <w:top w:val="single" w:sz="4" w:space="0" w:color="000000"/>
              <w:left w:val="single" w:sz="4" w:space="0" w:color="000000"/>
              <w:bottom w:val="single" w:sz="4" w:space="0" w:color="000000"/>
              <w:right w:val="single" w:sz="4" w:space="0" w:color="000000"/>
            </w:tcBorders>
            <w:hideMark/>
          </w:tcPr>
          <w:p w14:paraId="79D8F7C0" w14:textId="77777777" w:rsidR="000E6038" w:rsidRPr="003D4A39" w:rsidRDefault="000E6038" w:rsidP="000E6038">
            <w:pPr>
              <w:ind w:left="127"/>
              <w:rPr>
                <w:sz w:val="24"/>
                <w:szCs w:val="24"/>
              </w:rPr>
            </w:pPr>
            <w:r w:rsidRPr="003D4A39">
              <w:rPr>
                <w:sz w:val="24"/>
                <w:szCs w:val="24"/>
              </w:rPr>
              <w:t>Forhøjet lakrimation; Konjunktivitis</w:t>
            </w:r>
          </w:p>
        </w:tc>
        <w:tc>
          <w:tcPr>
            <w:tcW w:w="1154" w:type="pct"/>
            <w:tcBorders>
              <w:top w:val="single" w:sz="4" w:space="0" w:color="000000"/>
              <w:left w:val="single" w:sz="4" w:space="0" w:color="000000"/>
              <w:bottom w:val="single" w:sz="4" w:space="0" w:color="000000"/>
              <w:right w:val="single" w:sz="4" w:space="0" w:color="000000"/>
            </w:tcBorders>
          </w:tcPr>
          <w:p w14:paraId="13A56B73" w14:textId="77777777" w:rsidR="000E6038" w:rsidRPr="003D4A39" w:rsidRDefault="000E6038" w:rsidP="000E6038">
            <w:pPr>
              <w:ind w:left="127"/>
              <w:rPr>
                <w:sz w:val="24"/>
                <w:szCs w:val="24"/>
              </w:rPr>
            </w:pPr>
          </w:p>
        </w:tc>
      </w:tr>
      <w:tr w:rsidR="000E6038" w:rsidRPr="003D4A39" w14:paraId="024373C0" w14:textId="77777777" w:rsidTr="000E6038">
        <w:trPr>
          <w:trHeight w:val="20"/>
        </w:trPr>
        <w:tc>
          <w:tcPr>
            <w:tcW w:w="1282" w:type="pct"/>
            <w:tcBorders>
              <w:top w:val="single" w:sz="4" w:space="0" w:color="000000"/>
              <w:left w:val="single" w:sz="4" w:space="0" w:color="000000"/>
              <w:bottom w:val="single" w:sz="4" w:space="0" w:color="000000"/>
              <w:right w:val="single" w:sz="4" w:space="0" w:color="000000"/>
            </w:tcBorders>
            <w:hideMark/>
          </w:tcPr>
          <w:p w14:paraId="4C1639D5" w14:textId="77777777" w:rsidR="000E6038" w:rsidRPr="003D4A39" w:rsidRDefault="000E6038" w:rsidP="000E6038">
            <w:pPr>
              <w:ind w:left="127"/>
              <w:rPr>
                <w:sz w:val="24"/>
                <w:szCs w:val="24"/>
              </w:rPr>
            </w:pPr>
            <w:r w:rsidRPr="003D4A39">
              <w:rPr>
                <w:sz w:val="24"/>
                <w:szCs w:val="24"/>
              </w:rPr>
              <w:t>Øre og labyrint</w:t>
            </w:r>
          </w:p>
        </w:tc>
        <w:tc>
          <w:tcPr>
            <w:tcW w:w="1281" w:type="pct"/>
            <w:tcBorders>
              <w:top w:val="single" w:sz="4" w:space="0" w:color="000000"/>
              <w:left w:val="single" w:sz="4" w:space="0" w:color="000000"/>
              <w:bottom w:val="single" w:sz="4" w:space="0" w:color="000000"/>
              <w:right w:val="single" w:sz="4" w:space="0" w:color="000000"/>
            </w:tcBorders>
          </w:tcPr>
          <w:p w14:paraId="0BB5762D" w14:textId="77777777" w:rsidR="000E6038" w:rsidRPr="003D4A39" w:rsidRDefault="000E6038" w:rsidP="000E6038">
            <w:pPr>
              <w:ind w:left="127"/>
              <w:rPr>
                <w:sz w:val="24"/>
                <w:szCs w:val="24"/>
              </w:rPr>
            </w:pPr>
          </w:p>
        </w:tc>
        <w:tc>
          <w:tcPr>
            <w:tcW w:w="1282" w:type="pct"/>
            <w:tcBorders>
              <w:top w:val="single" w:sz="4" w:space="0" w:color="000000"/>
              <w:left w:val="single" w:sz="4" w:space="0" w:color="000000"/>
              <w:bottom w:val="single" w:sz="4" w:space="0" w:color="000000"/>
              <w:right w:val="single" w:sz="4" w:space="0" w:color="000000"/>
            </w:tcBorders>
            <w:hideMark/>
          </w:tcPr>
          <w:p w14:paraId="4B834F00" w14:textId="77777777" w:rsidR="000E6038" w:rsidRPr="003D4A39" w:rsidRDefault="000E6038" w:rsidP="000E6038">
            <w:pPr>
              <w:ind w:left="127"/>
              <w:rPr>
                <w:sz w:val="24"/>
                <w:szCs w:val="24"/>
              </w:rPr>
            </w:pPr>
            <w:r w:rsidRPr="003D4A39">
              <w:rPr>
                <w:sz w:val="24"/>
                <w:szCs w:val="24"/>
              </w:rPr>
              <w:t>Nedsat hørelse</w:t>
            </w:r>
          </w:p>
        </w:tc>
        <w:tc>
          <w:tcPr>
            <w:tcW w:w="1154" w:type="pct"/>
            <w:tcBorders>
              <w:top w:val="single" w:sz="4" w:space="0" w:color="000000"/>
              <w:left w:val="single" w:sz="4" w:space="0" w:color="000000"/>
              <w:bottom w:val="single" w:sz="4" w:space="0" w:color="000000"/>
              <w:right w:val="single" w:sz="4" w:space="0" w:color="000000"/>
            </w:tcBorders>
          </w:tcPr>
          <w:p w14:paraId="077A84C0" w14:textId="77777777" w:rsidR="000E6038" w:rsidRPr="003D4A39" w:rsidRDefault="000E6038" w:rsidP="000E6038">
            <w:pPr>
              <w:ind w:left="127"/>
              <w:rPr>
                <w:sz w:val="24"/>
                <w:szCs w:val="24"/>
              </w:rPr>
            </w:pPr>
          </w:p>
        </w:tc>
      </w:tr>
      <w:tr w:rsidR="000E6038" w:rsidRPr="003D4A39" w14:paraId="38E5AED5" w14:textId="77777777" w:rsidTr="000E6038">
        <w:trPr>
          <w:trHeight w:val="20"/>
        </w:trPr>
        <w:tc>
          <w:tcPr>
            <w:tcW w:w="1282" w:type="pct"/>
            <w:tcBorders>
              <w:top w:val="single" w:sz="4" w:space="0" w:color="000000"/>
              <w:left w:val="single" w:sz="4" w:space="0" w:color="000000"/>
              <w:bottom w:val="single" w:sz="4" w:space="0" w:color="000000"/>
              <w:right w:val="single" w:sz="4" w:space="0" w:color="000000"/>
            </w:tcBorders>
            <w:hideMark/>
          </w:tcPr>
          <w:p w14:paraId="70BC307D" w14:textId="77777777" w:rsidR="000E6038" w:rsidRPr="003D4A39" w:rsidRDefault="000E6038" w:rsidP="000E6038">
            <w:pPr>
              <w:ind w:left="127"/>
              <w:rPr>
                <w:sz w:val="24"/>
                <w:szCs w:val="24"/>
              </w:rPr>
            </w:pPr>
            <w:r w:rsidRPr="003D4A39">
              <w:rPr>
                <w:sz w:val="24"/>
                <w:szCs w:val="24"/>
              </w:rPr>
              <w:t>Hjerte</w:t>
            </w:r>
          </w:p>
        </w:tc>
        <w:tc>
          <w:tcPr>
            <w:tcW w:w="1281" w:type="pct"/>
            <w:tcBorders>
              <w:top w:val="single" w:sz="4" w:space="0" w:color="000000"/>
              <w:left w:val="single" w:sz="4" w:space="0" w:color="000000"/>
              <w:bottom w:val="single" w:sz="4" w:space="0" w:color="000000"/>
              <w:right w:val="single" w:sz="4" w:space="0" w:color="000000"/>
            </w:tcBorders>
          </w:tcPr>
          <w:p w14:paraId="7E9D1DE6" w14:textId="77777777" w:rsidR="000E6038" w:rsidRPr="003D4A39" w:rsidRDefault="000E6038" w:rsidP="000E6038">
            <w:pPr>
              <w:ind w:left="127"/>
              <w:rPr>
                <w:sz w:val="24"/>
                <w:szCs w:val="24"/>
              </w:rPr>
            </w:pPr>
          </w:p>
        </w:tc>
        <w:tc>
          <w:tcPr>
            <w:tcW w:w="1282" w:type="pct"/>
            <w:tcBorders>
              <w:top w:val="single" w:sz="4" w:space="0" w:color="000000"/>
              <w:left w:val="single" w:sz="4" w:space="0" w:color="000000"/>
              <w:bottom w:val="single" w:sz="4" w:space="0" w:color="000000"/>
              <w:right w:val="single" w:sz="4" w:space="0" w:color="000000"/>
            </w:tcBorders>
            <w:hideMark/>
          </w:tcPr>
          <w:p w14:paraId="6C910673" w14:textId="77777777" w:rsidR="000E6038" w:rsidRPr="003D4A39" w:rsidRDefault="000E6038" w:rsidP="000E6038">
            <w:pPr>
              <w:ind w:left="127"/>
              <w:rPr>
                <w:sz w:val="24"/>
                <w:szCs w:val="24"/>
              </w:rPr>
            </w:pPr>
            <w:r w:rsidRPr="003D4A39">
              <w:rPr>
                <w:sz w:val="24"/>
                <w:szCs w:val="24"/>
              </w:rPr>
              <w:t>Iskæmisk hjertesygdom (G3/4: 1,7 %)</w:t>
            </w:r>
          </w:p>
        </w:tc>
        <w:tc>
          <w:tcPr>
            <w:tcW w:w="1154" w:type="pct"/>
            <w:tcBorders>
              <w:top w:val="single" w:sz="4" w:space="0" w:color="000000"/>
              <w:left w:val="single" w:sz="4" w:space="0" w:color="000000"/>
              <w:bottom w:val="single" w:sz="4" w:space="0" w:color="000000"/>
              <w:right w:val="single" w:sz="4" w:space="0" w:color="000000"/>
            </w:tcBorders>
            <w:hideMark/>
          </w:tcPr>
          <w:p w14:paraId="12B15A66" w14:textId="77777777" w:rsidR="000E6038" w:rsidRPr="003D4A39" w:rsidRDefault="000E6038" w:rsidP="000E6038">
            <w:pPr>
              <w:ind w:left="127"/>
              <w:rPr>
                <w:sz w:val="24"/>
                <w:szCs w:val="24"/>
              </w:rPr>
            </w:pPr>
            <w:r w:rsidRPr="003D4A39">
              <w:rPr>
                <w:sz w:val="24"/>
                <w:szCs w:val="24"/>
              </w:rPr>
              <w:t>Arytmi (G3/4: 0,6 %)</w:t>
            </w:r>
          </w:p>
        </w:tc>
      </w:tr>
      <w:tr w:rsidR="000E6038" w:rsidRPr="003D4A39" w14:paraId="0033748A" w14:textId="77777777" w:rsidTr="000E6038">
        <w:trPr>
          <w:trHeight w:val="20"/>
        </w:trPr>
        <w:tc>
          <w:tcPr>
            <w:tcW w:w="1282" w:type="pct"/>
            <w:tcBorders>
              <w:top w:val="single" w:sz="4" w:space="0" w:color="000000"/>
              <w:left w:val="single" w:sz="4" w:space="0" w:color="000000"/>
              <w:bottom w:val="single" w:sz="4" w:space="0" w:color="000000"/>
              <w:right w:val="single" w:sz="4" w:space="0" w:color="000000"/>
            </w:tcBorders>
            <w:hideMark/>
          </w:tcPr>
          <w:p w14:paraId="5E70E88F" w14:textId="77777777" w:rsidR="000E6038" w:rsidRPr="003D4A39" w:rsidRDefault="000E6038" w:rsidP="000E6038">
            <w:pPr>
              <w:ind w:left="127"/>
              <w:rPr>
                <w:sz w:val="24"/>
                <w:szCs w:val="24"/>
              </w:rPr>
            </w:pPr>
            <w:r w:rsidRPr="003D4A39">
              <w:rPr>
                <w:sz w:val="24"/>
                <w:szCs w:val="24"/>
              </w:rPr>
              <w:t>Vaskulære sygdomme</w:t>
            </w:r>
          </w:p>
        </w:tc>
        <w:tc>
          <w:tcPr>
            <w:tcW w:w="1281" w:type="pct"/>
            <w:tcBorders>
              <w:top w:val="single" w:sz="4" w:space="0" w:color="000000"/>
              <w:left w:val="single" w:sz="4" w:space="0" w:color="000000"/>
              <w:bottom w:val="single" w:sz="4" w:space="0" w:color="000000"/>
              <w:right w:val="single" w:sz="4" w:space="0" w:color="000000"/>
            </w:tcBorders>
          </w:tcPr>
          <w:p w14:paraId="2C96A538" w14:textId="77777777" w:rsidR="000E6038" w:rsidRPr="003D4A39" w:rsidRDefault="000E6038" w:rsidP="000E6038">
            <w:pPr>
              <w:ind w:left="127"/>
              <w:rPr>
                <w:sz w:val="24"/>
                <w:szCs w:val="24"/>
              </w:rPr>
            </w:pPr>
          </w:p>
        </w:tc>
        <w:tc>
          <w:tcPr>
            <w:tcW w:w="1282" w:type="pct"/>
            <w:tcBorders>
              <w:top w:val="single" w:sz="4" w:space="0" w:color="000000"/>
              <w:left w:val="single" w:sz="4" w:space="0" w:color="000000"/>
              <w:bottom w:val="single" w:sz="4" w:space="0" w:color="000000"/>
              <w:right w:val="single" w:sz="4" w:space="0" w:color="000000"/>
            </w:tcBorders>
            <w:hideMark/>
          </w:tcPr>
          <w:p w14:paraId="2A4D2512" w14:textId="77777777" w:rsidR="000E6038" w:rsidRPr="003D4A39" w:rsidRDefault="000E6038" w:rsidP="000E6038">
            <w:pPr>
              <w:ind w:left="127"/>
              <w:rPr>
                <w:sz w:val="24"/>
                <w:szCs w:val="24"/>
              </w:rPr>
            </w:pPr>
            <w:r w:rsidRPr="003D4A39">
              <w:rPr>
                <w:sz w:val="24"/>
                <w:szCs w:val="24"/>
              </w:rPr>
              <w:t>Venesygdomme (G3/4: 0,6 %)</w:t>
            </w:r>
          </w:p>
        </w:tc>
        <w:tc>
          <w:tcPr>
            <w:tcW w:w="1154" w:type="pct"/>
            <w:tcBorders>
              <w:top w:val="single" w:sz="4" w:space="0" w:color="000000"/>
              <w:left w:val="single" w:sz="4" w:space="0" w:color="000000"/>
              <w:bottom w:val="single" w:sz="4" w:space="0" w:color="000000"/>
              <w:right w:val="single" w:sz="4" w:space="0" w:color="000000"/>
            </w:tcBorders>
          </w:tcPr>
          <w:p w14:paraId="6C93E134" w14:textId="77777777" w:rsidR="000E6038" w:rsidRPr="003D4A39" w:rsidRDefault="000E6038" w:rsidP="000E6038">
            <w:pPr>
              <w:ind w:left="127"/>
              <w:rPr>
                <w:sz w:val="24"/>
                <w:szCs w:val="24"/>
              </w:rPr>
            </w:pPr>
          </w:p>
        </w:tc>
      </w:tr>
      <w:tr w:rsidR="000E6038" w:rsidRPr="003D4A39" w14:paraId="666FA3F3" w14:textId="77777777" w:rsidTr="000E6038">
        <w:trPr>
          <w:trHeight w:val="2620"/>
        </w:trPr>
        <w:tc>
          <w:tcPr>
            <w:tcW w:w="1282" w:type="pct"/>
            <w:tcBorders>
              <w:top w:val="single" w:sz="4" w:space="0" w:color="000000"/>
              <w:left w:val="single" w:sz="4" w:space="0" w:color="000000"/>
              <w:bottom w:val="single" w:sz="4" w:space="0" w:color="000000"/>
              <w:right w:val="single" w:sz="4" w:space="0" w:color="000000"/>
            </w:tcBorders>
            <w:hideMark/>
          </w:tcPr>
          <w:p w14:paraId="510A944B" w14:textId="38486D41" w:rsidR="000E6038" w:rsidRPr="003D4A39" w:rsidRDefault="000E6038" w:rsidP="000E6038">
            <w:pPr>
              <w:ind w:left="127"/>
              <w:rPr>
                <w:sz w:val="24"/>
                <w:szCs w:val="24"/>
              </w:rPr>
            </w:pPr>
            <w:r w:rsidRPr="003D4A39">
              <w:rPr>
                <w:sz w:val="24"/>
                <w:szCs w:val="24"/>
              </w:rPr>
              <w:t>Mave-tarm</w:t>
            </w:r>
            <w:r>
              <w:rPr>
                <w:sz w:val="24"/>
                <w:szCs w:val="24"/>
              </w:rPr>
              <w:t>-</w:t>
            </w:r>
            <w:r w:rsidRPr="003D4A39">
              <w:rPr>
                <w:sz w:val="24"/>
                <w:szCs w:val="24"/>
              </w:rPr>
              <w:t>kanalen</w:t>
            </w:r>
          </w:p>
        </w:tc>
        <w:tc>
          <w:tcPr>
            <w:tcW w:w="1281" w:type="pct"/>
            <w:tcBorders>
              <w:top w:val="single" w:sz="4" w:space="0" w:color="000000"/>
              <w:left w:val="single" w:sz="4" w:space="0" w:color="000000"/>
              <w:bottom w:val="single" w:sz="4" w:space="0" w:color="000000"/>
              <w:right w:val="single" w:sz="4" w:space="0" w:color="000000"/>
            </w:tcBorders>
            <w:hideMark/>
          </w:tcPr>
          <w:p w14:paraId="1DE7EA00" w14:textId="77777777" w:rsidR="000E6038" w:rsidRPr="003D4A39" w:rsidRDefault="000E6038" w:rsidP="000E6038">
            <w:pPr>
              <w:ind w:left="127"/>
              <w:rPr>
                <w:sz w:val="24"/>
                <w:szCs w:val="24"/>
              </w:rPr>
            </w:pPr>
            <w:r w:rsidRPr="003D4A39">
              <w:rPr>
                <w:sz w:val="24"/>
                <w:szCs w:val="24"/>
              </w:rPr>
              <w:t>Kvalme (G3/4: 0,6 %);</w:t>
            </w:r>
          </w:p>
          <w:p w14:paraId="6508C150" w14:textId="77777777" w:rsidR="000E6038" w:rsidRPr="003D4A39" w:rsidRDefault="000E6038" w:rsidP="000E6038">
            <w:pPr>
              <w:ind w:left="127"/>
              <w:rPr>
                <w:sz w:val="24"/>
                <w:szCs w:val="24"/>
              </w:rPr>
            </w:pPr>
            <w:r w:rsidRPr="003D4A39">
              <w:rPr>
                <w:sz w:val="24"/>
                <w:szCs w:val="24"/>
              </w:rPr>
              <w:t>Stomatitis (G3/4: 4,0 %);</w:t>
            </w:r>
          </w:p>
          <w:p w14:paraId="1BED0690" w14:textId="77777777" w:rsidR="000E6038" w:rsidRPr="003D4A39" w:rsidRDefault="000E6038" w:rsidP="000E6038">
            <w:pPr>
              <w:ind w:left="127"/>
              <w:rPr>
                <w:sz w:val="24"/>
                <w:szCs w:val="24"/>
              </w:rPr>
            </w:pPr>
            <w:r w:rsidRPr="003D4A39">
              <w:rPr>
                <w:sz w:val="24"/>
                <w:szCs w:val="24"/>
              </w:rPr>
              <w:t>Diarré (G3/4: 2,9 %);</w:t>
            </w:r>
          </w:p>
          <w:p w14:paraId="6F217663" w14:textId="77777777" w:rsidR="000E6038" w:rsidRPr="003D4A39" w:rsidRDefault="000E6038" w:rsidP="000E6038">
            <w:pPr>
              <w:ind w:left="127"/>
              <w:rPr>
                <w:sz w:val="24"/>
                <w:szCs w:val="24"/>
              </w:rPr>
            </w:pPr>
            <w:r w:rsidRPr="003D4A39">
              <w:rPr>
                <w:sz w:val="24"/>
                <w:szCs w:val="24"/>
              </w:rPr>
              <w:t>Opkastning (G3/4: 0,6 %)</w:t>
            </w:r>
          </w:p>
        </w:tc>
        <w:tc>
          <w:tcPr>
            <w:tcW w:w="1282" w:type="pct"/>
            <w:tcBorders>
              <w:top w:val="single" w:sz="4" w:space="0" w:color="000000"/>
              <w:left w:val="single" w:sz="4" w:space="0" w:color="000000"/>
              <w:bottom w:val="single" w:sz="4" w:space="0" w:color="000000"/>
              <w:right w:val="single" w:sz="4" w:space="0" w:color="000000"/>
            </w:tcBorders>
            <w:hideMark/>
          </w:tcPr>
          <w:p w14:paraId="71C79704" w14:textId="77777777" w:rsidR="000E6038" w:rsidRPr="003D4A39" w:rsidRDefault="000E6038" w:rsidP="000E6038">
            <w:pPr>
              <w:ind w:left="127"/>
              <w:rPr>
                <w:sz w:val="24"/>
                <w:szCs w:val="24"/>
              </w:rPr>
            </w:pPr>
            <w:r w:rsidRPr="003D4A39">
              <w:rPr>
                <w:sz w:val="24"/>
                <w:szCs w:val="24"/>
              </w:rPr>
              <w:t>Konstipation;</w:t>
            </w:r>
          </w:p>
          <w:p w14:paraId="10F979C1" w14:textId="4D94343C" w:rsidR="000E6038" w:rsidRPr="003D4A39" w:rsidRDefault="000E6038" w:rsidP="000E6038">
            <w:pPr>
              <w:ind w:left="127"/>
              <w:rPr>
                <w:sz w:val="24"/>
                <w:szCs w:val="24"/>
              </w:rPr>
            </w:pPr>
            <w:r>
              <w:rPr>
                <w:sz w:val="24"/>
                <w:szCs w:val="24"/>
              </w:rPr>
              <w:t>Ø</w:t>
            </w:r>
            <w:r w:rsidRPr="003D4A39">
              <w:rPr>
                <w:sz w:val="24"/>
                <w:szCs w:val="24"/>
              </w:rPr>
              <w:t>so</w:t>
            </w:r>
            <w:r>
              <w:rPr>
                <w:sz w:val="24"/>
                <w:szCs w:val="24"/>
              </w:rPr>
              <w:t>f</w:t>
            </w:r>
            <w:r w:rsidRPr="003D4A39">
              <w:rPr>
                <w:sz w:val="24"/>
                <w:szCs w:val="24"/>
              </w:rPr>
              <w:t xml:space="preserve">agitis /dysfagi/ </w:t>
            </w:r>
          </w:p>
          <w:p w14:paraId="4DC099FC" w14:textId="77777777" w:rsidR="000E6038" w:rsidRPr="003D4A39" w:rsidRDefault="000E6038" w:rsidP="000E6038">
            <w:pPr>
              <w:ind w:left="127"/>
              <w:rPr>
                <w:sz w:val="24"/>
                <w:szCs w:val="24"/>
              </w:rPr>
            </w:pPr>
            <w:r w:rsidRPr="003D4A39">
              <w:rPr>
                <w:sz w:val="24"/>
                <w:szCs w:val="24"/>
              </w:rPr>
              <w:t>odynofagi (G3/4: 0,6 %);</w:t>
            </w:r>
          </w:p>
          <w:p w14:paraId="70E02D37" w14:textId="77777777" w:rsidR="000E6038" w:rsidRPr="003D4A39" w:rsidRDefault="000E6038" w:rsidP="000E6038">
            <w:pPr>
              <w:ind w:left="127"/>
              <w:rPr>
                <w:sz w:val="24"/>
                <w:szCs w:val="24"/>
              </w:rPr>
            </w:pPr>
            <w:r w:rsidRPr="003D4A39">
              <w:rPr>
                <w:sz w:val="24"/>
                <w:szCs w:val="24"/>
              </w:rPr>
              <w:t>Gastrointestinale smerter;</w:t>
            </w:r>
          </w:p>
          <w:p w14:paraId="63337A8F" w14:textId="77777777" w:rsidR="000E6038" w:rsidRPr="003D4A39" w:rsidRDefault="000E6038" w:rsidP="000E6038">
            <w:pPr>
              <w:ind w:left="127"/>
              <w:rPr>
                <w:sz w:val="24"/>
                <w:szCs w:val="24"/>
              </w:rPr>
            </w:pPr>
            <w:r w:rsidRPr="003D4A39">
              <w:rPr>
                <w:sz w:val="24"/>
                <w:szCs w:val="24"/>
              </w:rPr>
              <w:t>Dyspepsi;</w:t>
            </w:r>
          </w:p>
          <w:p w14:paraId="48F1A939" w14:textId="77777777" w:rsidR="000E6038" w:rsidRPr="003D4A39" w:rsidRDefault="000E6038" w:rsidP="000E6038">
            <w:pPr>
              <w:ind w:left="127"/>
              <w:rPr>
                <w:sz w:val="24"/>
                <w:szCs w:val="24"/>
              </w:rPr>
            </w:pPr>
            <w:r w:rsidRPr="003D4A39">
              <w:rPr>
                <w:sz w:val="24"/>
                <w:szCs w:val="24"/>
              </w:rPr>
              <w:t>Gastrointestinale blødninger (G3/4: 0,6 %)</w:t>
            </w:r>
          </w:p>
        </w:tc>
        <w:tc>
          <w:tcPr>
            <w:tcW w:w="1154" w:type="pct"/>
            <w:tcBorders>
              <w:top w:val="single" w:sz="4" w:space="0" w:color="000000"/>
              <w:left w:val="single" w:sz="4" w:space="0" w:color="000000"/>
              <w:bottom w:val="single" w:sz="4" w:space="0" w:color="000000"/>
              <w:right w:val="single" w:sz="4" w:space="0" w:color="000000"/>
            </w:tcBorders>
          </w:tcPr>
          <w:p w14:paraId="79F5D169" w14:textId="77777777" w:rsidR="000E6038" w:rsidRPr="003D4A39" w:rsidRDefault="000E6038" w:rsidP="000E6038">
            <w:pPr>
              <w:ind w:left="127"/>
              <w:rPr>
                <w:sz w:val="24"/>
                <w:szCs w:val="24"/>
              </w:rPr>
            </w:pPr>
          </w:p>
        </w:tc>
      </w:tr>
      <w:tr w:rsidR="000E6038" w:rsidRPr="003D4A39" w14:paraId="0287A667" w14:textId="77777777" w:rsidTr="000E6038">
        <w:trPr>
          <w:trHeight w:val="20"/>
        </w:trPr>
        <w:tc>
          <w:tcPr>
            <w:tcW w:w="1282" w:type="pct"/>
            <w:tcBorders>
              <w:top w:val="single" w:sz="4" w:space="0" w:color="000000"/>
              <w:left w:val="single" w:sz="4" w:space="0" w:color="000000"/>
              <w:bottom w:val="single" w:sz="4" w:space="0" w:color="000000"/>
              <w:right w:val="single" w:sz="4" w:space="0" w:color="000000"/>
            </w:tcBorders>
            <w:hideMark/>
          </w:tcPr>
          <w:p w14:paraId="63F19663" w14:textId="77777777" w:rsidR="000E6038" w:rsidRPr="003D4A39" w:rsidRDefault="000E6038" w:rsidP="000E6038">
            <w:pPr>
              <w:ind w:left="127"/>
              <w:rPr>
                <w:sz w:val="24"/>
                <w:szCs w:val="24"/>
              </w:rPr>
            </w:pPr>
            <w:r w:rsidRPr="003D4A39">
              <w:rPr>
                <w:sz w:val="24"/>
                <w:szCs w:val="24"/>
              </w:rPr>
              <w:t>Hud og subkutane væv</w:t>
            </w:r>
          </w:p>
        </w:tc>
        <w:tc>
          <w:tcPr>
            <w:tcW w:w="1281" w:type="pct"/>
            <w:tcBorders>
              <w:top w:val="single" w:sz="4" w:space="0" w:color="000000"/>
              <w:left w:val="single" w:sz="4" w:space="0" w:color="000000"/>
              <w:bottom w:val="single" w:sz="4" w:space="0" w:color="000000"/>
              <w:right w:val="single" w:sz="4" w:space="0" w:color="000000"/>
            </w:tcBorders>
            <w:hideMark/>
          </w:tcPr>
          <w:p w14:paraId="4623507F" w14:textId="77777777" w:rsidR="000E6038" w:rsidRPr="003D4A39" w:rsidRDefault="000E6038" w:rsidP="000E6038">
            <w:pPr>
              <w:ind w:left="127"/>
              <w:rPr>
                <w:sz w:val="24"/>
                <w:szCs w:val="24"/>
              </w:rPr>
            </w:pPr>
            <w:r w:rsidRPr="003D4A39">
              <w:rPr>
                <w:sz w:val="24"/>
                <w:szCs w:val="24"/>
              </w:rPr>
              <w:t>Alopeci (G3/4: 10,9 %)</w:t>
            </w:r>
          </w:p>
        </w:tc>
        <w:tc>
          <w:tcPr>
            <w:tcW w:w="1282" w:type="pct"/>
            <w:tcBorders>
              <w:top w:val="single" w:sz="4" w:space="0" w:color="000000"/>
              <w:left w:val="single" w:sz="4" w:space="0" w:color="000000"/>
              <w:bottom w:val="single" w:sz="4" w:space="0" w:color="000000"/>
              <w:right w:val="single" w:sz="4" w:space="0" w:color="000000"/>
            </w:tcBorders>
            <w:hideMark/>
          </w:tcPr>
          <w:p w14:paraId="53D3EDA1" w14:textId="77777777" w:rsidR="000E6038" w:rsidRPr="003D4A39" w:rsidRDefault="000E6038" w:rsidP="000E6038">
            <w:pPr>
              <w:ind w:left="127"/>
              <w:rPr>
                <w:sz w:val="24"/>
                <w:szCs w:val="24"/>
              </w:rPr>
            </w:pPr>
            <w:r w:rsidRPr="003D4A39">
              <w:rPr>
                <w:sz w:val="24"/>
                <w:szCs w:val="24"/>
              </w:rPr>
              <w:t xml:space="preserve">Kløende udslæt; </w:t>
            </w:r>
          </w:p>
          <w:p w14:paraId="04501CFF" w14:textId="77777777" w:rsidR="000E6038" w:rsidRPr="003D4A39" w:rsidRDefault="000E6038" w:rsidP="000E6038">
            <w:pPr>
              <w:ind w:left="127"/>
              <w:rPr>
                <w:sz w:val="24"/>
                <w:szCs w:val="24"/>
              </w:rPr>
            </w:pPr>
            <w:r w:rsidRPr="003D4A39">
              <w:rPr>
                <w:sz w:val="24"/>
                <w:szCs w:val="24"/>
              </w:rPr>
              <w:t>Tør hud;</w:t>
            </w:r>
          </w:p>
          <w:p w14:paraId="10751E82" w14:textId="77777777" w:rsidR="000E6038" w:rsidRPr="003D4A39" w:rsidRDefault="000E6038" w:rsidP="000E6038">
            <w:pPr>
              <w:ind w:left="127"/>
              <w:rPr>
                <w:sz w:val="24"/>
                <w:szCs w:val="24"/>
              </w:rPr>
            </w:pPr>
            <w:r w:rsidRPr="003D4A39">
              <w:rPr>
                <w:sz w:val="24"/>
                <w:szCs w:val="24"/>
              </w:rPr>
              <w:t>Hudafskalning (G3/4: 0,6 %)</w:t>
            </w:r>
          </w:p>
        </w:tc>
        <w:tc>
          <w:tcPr>
            <w:tcW w:w="1154" w:type="pct"/>
            <w:tcBorders>
              <w:top w:val="single" w:sz="4" w:space="0" w:color="000000"/>
              <w:left w:val="single" w:sz="4" w:space="0" w:color="000000"/>
              <w:bottom w:val="single" w:sz="4" w:space="0" w:color="000000"/>
              <w:right w:val="single" w:sz="4" w:space="0" w:color="000000"/>
            </w:tcBorders>
          </w:tcPr>
          <w:p w14:paraId="782019B8" w14:textId="77777777" w:rsidR="000E6038" w:rsidRPr="003D4A39" w:rsidRDefault="000E6038" w:rsidP="000E6038">
            <w:pPr>
              <w:ind w:left="127"/>
              <w:rPr>
                <w:sz w:val="24"/>
                <w:szCs w:val="24"/>
              </w:rPr>
            </w:pPr>
          </w:p>
        </w:tc>
      </w:tr>
      <w:tr w:rsidR="000E6038" w:rsidRPr="003D4A39" w14:paraId="24CB6BFA" w14:textId="77777777" w:rsidTr="000E6038">
        <w:trPr>
          <w:trHeight w:val="20"/>
        </w:trPr>
        <w:tc>
          <w:tcPr>
            <w:tcW w:w="1282" w:type="pct"/>
            <w:tcBorders>
              <w:top w:val="single" w:sz="4" w:space="0" w:color="000000"/>
              <w:left w:val="single" w:sz="4" w:space="0" w:color="000000"/>
              <w:bottom w:val="single" w:sz="4" w:space="0" w:color="000000"/>
              <w:right w:val="single" w:sz="4" w:space="0" w:color="000000"/>
            </w:tcBorders>
            <w:hideMark/>
          </w:tcPr>
          <w:p w14:paraId="290768F4" w14:textId="77777777" w:rsidR="000E6038" w:rsidRPr="003D4A39" w:rsidRDefault="000E6038" w:rsidP="000E6038">
            <w:pPr>
              <w:ind w:left="127"/>
              <w:rPr>
                <w:sz w:val="24"/>
                <w:szCs w:val="24"/>
              </w:rPr>
            </w:pPr>
            <w:r w:rsidRPr="003D4A39">
              <w:rPr>
                <w:sz w:val="24"/>
                <w:szCs w:val="24"/>
              </w:rPr>
              <w:t>Knogler, led, muskler og bindevæv</w:t>
            </w:r>
          </w:p>
        </w:tc>
        <w:tc>
          <w:tcPr>
            <w:tcW w:w="1281" w:type="pct"/>
            <w:tcBorders>
              <w:top w:val="single" w:sz="4" w:space="0" w:color="000000"/>
              <w:left w:val="single" w:sz="4" w:space="0" w:color="000000"/>
              <w:bottom w:val="single" w:sz="4" w:space="0" w:color="000000"/>
              <w:right w:val="single" w:sz="4" w:space="0" w:color="000000"/>
            </w:tcBorders>
          </w:tcPr>
          <w:p w14:paraId="1C522094" w14:textId="77777777" w:rsidR="000E6038" w:rsidRPr="003D4A39" w:rsidRDefault="000E6038" w:rsidP="000E6038">
            <w:pPr>
              <w:ind w:left="127"/>
              <w:rPr>
                <w:sz w:val="24"/>
                <w:szCs w:val="24"/>
              </w:rPr>
            </w:pPr>
          </w:p>
        </w:tc>
        <w:tc>
          <w:tcPr>
            <w:tcW w:w="1282" w:type="pct"/>
            <w:tcBorders>
              <w:top w:val="single" w:sz="4" w:space="0" w:color="000000"/>
              <w:left w:val="single" w:sz="4" w:space="0" w:color="000000"/>
              <w:bottom w:val="single" w:sz="4" w:space="0" w:color="000000"/>
              <w:right w:val="single" w:sz="4" w:space="0" w:color="000000"/>
            </w:tcBorders>
            <w:hideMark/>
          </w:tcPr>
          <w:p w14:paraId="15B88045" w14:textId="77777777" w:rsidR="000E6038" w:rsidRPr="003D4A39" w:rsidRDefault="000E6038" w:rsidP="000E6038">
            <w:pPr>
              <w:ind w:left="127"/>
              <w:rPr>
                <w:sz w:val="24"/>
                <w:szCs w:val="24"/>
              </w:rPr>
            </w:pPr>
            <w:r w:rsidRPr="003D4A39">
              <w:rPr>
                <w:sz w:val="24"/>
                <w:szCs w:val="24"/>
              </w:rPr>
              <w:t>Myalgi (G3/4: 0,6 %)</w:t>
            </w:r>
          </w:p>
        </w:tc>
        <w:tc>
          <w:tcPr>
            <w:tcW w:w="1154" w:type="pct"/>
            <w:tcBorders>
              <w:top w:val="single" w:sz="4" w:space="0" w:color="000000"/>
              <w:left w:val="single" w:sz="4" w:space="0" w:color="000000"/>
              <w:bottom w:val="single" w:sz="4" w:space="0" w:color="000000"/>
              <w:right w:val="single" w:sz="4" w:space="0" w:color="000000"/>
            </w:tcBorders>
          </w:tcPr>
          <w:p w14:paraId="621D9AE0" w14:textId="77777777" w:rsidR="000E6038" w:rsidRPr="003D4A39" w:rsidRDefault="000E6038" w:rsidP="000E6038">
            <w:pPr>
              <w:ind w:left="127"/>
              <w:rPr>
                <w:sz w:val="24"/>
                <w:szCs w:val="24"/>
              </w:rPr>
            </w:pPr>
          </w:p>
        </w:tc>
      </w:tr>
      <w:tr w:rsidR="000E6038" w:rsidRPr="003D4A39" w14:paraId="7AEA6E8C" w14:textId="77777777" w:rsidTr="000E6038">
        <w:trPr>
          <w:trHeight w:val="20"/>
        </w:trPr>
        <w:tc>
          <w:tcPr>
            <w:tcW w:w="1282" w:type="pct"/>
            <w:tcBorders>
              <w:top w:val="single" w:sz="4" w:space="0" w:color="000000"/>
              <w:left w:val="single" w:sz="4" w:space="0" w:color="000000"/>
              <w:bottom w:val="single" w:sz="4" w:space="0" w:color="000000"/>
              <w:right w:val="single" w:sz="4" w:space="0" w:color="000000"/>
            </w:tcBorders>
            <w:hideMark/>
          </w:tcPr>
          <w:p w14:paraId="2AFA1F2D" w14:textId="77777777" w:rsidR="000E6038" w:rsidRPr="003D4A39" w:rsidRDefault="000E6038" w:rsidP="000E6038">
            <w:pPr>
              <w:keepNext/>
              <w:ind w:left="125"/>
              <w:rPr>
                <w:sz w:val="24"/>
                <w:szCs w:val="24"/>
              </w:rPr>
            </w:pPr>
            <w:r w:rsidRPr="003D4A39">
              <w:rPr>
                <w:sz w:val="24"/>
                <w:szCs w:val="24"/>
              </w:rPr>
              <w:t>Almene symptomer og reaktioner på administrationsstedet</w:t>
            </w:r>
          </w:p>
        </w:tc>
        <w:tc>
          <w:tcPr>
            <w:tcW w:w="1281" w:type="pct"/>
            <w:tcBorders>
              <w:top w:val="single" w:sz="4" w:space="0" w:color="000000"/>
              <w:left w:val="single" w:sz="4" w:space="0" w:color="000000"/>
              <w:bottom w:val="single" w:sz="4" w:space="0" w:color="000000"/>
              <w:right w:val="single" w:sz="4" w:space="0" w:color="000000"/>
            </w:tcBorders>
            <w:hideMark/>
          </w:tcPr>
          <w:p w14:paraId="588AD484" w14:textId="77777777" w:rsidR="000E6038" w:rsidRPr="003D4A39" w:rsidRDefault="000E6038" w:rsidP="000E6038">
            <w:pPr>
              <w:keepNext/>
              <w:ind w:left="125"/>
              <w:rPr>
                <w:sz w:val="24"/>
                <w:szCs w:val="24"/>
              </w:rPr>
            </w:pPr>
            <w:r w:rsidRPr="003D4A39">
              <w:rPr>
                <w:sz w:val="24"/>
                <w:szCs w:val="24"/>
              </w:rPr>
              <w:t xml:space="preserve">Letargi (G3/4: 3,4 %); </w:t>
            </w:r>
          </w:p>
          <w:p w14:paraId="6107BD9E" w14:textId="77777777" w:rsidR="000E6038" w:rsidRPr="003D4A39" w:rsidRDefault="000E6038" w:rsidP="000E6038">
            <w:pPr>
              <w:keepNext/>
              <w:ind w:left="125"/>
              <w:rPr>
                <w:sz w:val="24"/>
                <w:szCs w:val="24"/>
              </w:rPr>
            </w:pPr>
            <w:r w:rsidRPr="003D4A39">
              <w:rPr>
                <w:sz w:val="24"/>
                <w:szCs w:val="24"/>
              </w:rPr>
              <w:t xml:space="preserve">Pyreksi (G3/4: 0,6 %); </w:t>
            </w:r>
          </w:p>
          <w:p w14:paraId="0102454C" w14:textId="77777777" w:rsidR="000E6038" w:rsidRPr="003D4A39" w:rsidRDefault="000E6038" w:rsidP="000E6038">
            <w:pPr>
              <w:keepNext/>
              <w:ind w:left="125"/>
              <w:rPr>
                <w:sz w:val="24"/>
                <w:szCs w:val="24"/>
              </w:rPr>
            </w:pPr>
            <w:r w:rsidRPr="003D4A39">
              <w:rPr>
                <w:sz w:val="24"/>
                <w:szCs w:val="24"/>
              </w:rPr>
              <w:t>Væskeretention;</w:t>
            </w:r>
          </w:p>
          <w:p w14:paraId="4F29217E" w14:textId="77777777" w:rsidR="000E6038" w:rsidRPr="003D4A39" w:rsidRDefault="000E6038" w:rsidP="000E6038">
            <w:pPr>
              <w:keepNext/>
              <w:ind w:left="125"/>
              <w:rPr>
                <w:sz w:val="24"/>
                <w:szCs w:val="24"/>
              </w:rPr>
            </w:pPr>
            <w:r w:rsidRPr="003D4A39">
              <w:rPr>
                <w:sz w:val="24"/>
                <w:szCs w:val="24"/>
              </w:rPr>
              <w:t>Ødem</w:t>
            </w:r>
          </w:p>
        </w:tc>
        <w:tc>
          <w:tcPr>
            <w:tcW w:w="1282" w:type="pct"/>
            <w:tcBorders>
              <w:top w:val="single" w:sz="4" w:space="0" w:color="000000"/>
              <w:left w:val="single" w:sz="4" w:space="0" w:color="000000"/>
              <w:bottom w:val="single" w:sz="4" w:space="0" w:color="000000"/>
              <w:right w:val="single" w:sz="4" w:space="0" w:color="000000"/>
            </w:tcBorders>
          </w:tcPr>
          <w:p w14:paraId="77F6B10B" w14:textId="77777777" w:rsidR="000E6038" w:rsidRPr="003D4A39" w:rsidRDefault="000E6038" w:rsidP="000E6038">
            <w:pPr>
              <w:keepNext/>
              <w:ind w:left="125"/>
              <w:rPr>
                <w:sz w:val="24"/>
                <w:szCs w:val="24"/>
              </w:rPr>
            </w:pPr>
          </w:p>
        </w:tc>
        <w:tc>
          <w:tcPr>
            <w:tcW w:w="1154" w:type="pct"/>
            <w:tcBorders>
              <w:top w:val="single" w:sz="4" w:space="0" w:color="000000"/>
              <w:left w:val="single" w:sz="4" w:space="0" w:color="000000"/>
              <w:bottom w:val="single" w:sz="4" w:space="0" w:color="000000"/>
              <w:right w:val="single" w:sz="4" w:space="0" w:color="000000"/>
            </w:tcBorders>
          </w:tcPr>
          <w:p w14:paraId="4DF2E93C" w14:textId="77777777" w:rsidR="000E6038" w:rsidRPr="003D4A39" w:rsidRDefault="000E6038" w:rsidP="000E6038">
            <w:pPr>
              <w:keepNext/>
              <w:ind w:left="125"/>
              <w:rPr>
                <w:sz w:val="24"/>
                <w:szCs w:val="24"/>
              </w:rPr>
            </w:pPr>
          </w:p>
        </w:tc>
      </w:tr>
      <w:tr w:rsidR="000E6038" w:rsidRPr="003D4A39" w14:paraId="514289E7" w14:textId="77777777" w:rsidTr="000E6038">
        <w:trPr>
          <w:trHeight w:val="20"/>
        </w:trPr>
        <w:tc>
          <w:tcPr>
            <w:tcW w:w="1282" w:type="pct"/>
            <w:tcBorders>
              <w:top w:val="single" w:sz="4" w:space="0" w:color="000000"/>
              <w:left w:val="single" w:sz="4" w:space="0" w:color="000000"/>
              <w:bottom w:val="single" w:sz="4" w:space="0" w:color="000000"/>
              <w:right w:val="single" w:sz="4" w:space="0" w:color="000000"/>
            </w:tcBorders>
            <w:hideMark/>
          </w:tcPr>
          <w:p w14:paraId="0E9FE334" w14:textId="77777777" w:rsidR="000E6038" w:rsidRPr="003D4A39" w:rsidRDefault="000E6038" w:rsidP="000E6038">
            <w:pPr>
              <w:ind w:left="127"/>
              <w:rPr>
                <w:sz w:val="24"/>
                <w:szCs w:val="24"/>
              </w:rPr>
            </w:pPr>
            <w:r w:rsidRPr="003D4A39">
              <w:rPr>
                <w:sz w:val="24"/>
                <w:szCs w:val="24"/>
              </w:rPr>
              <w:t>Undersøgelser</w:t>
            </w:r>
          </w:p>
        </w:tc>
        <w:tc>
          <w:tcPr>
            <w:tcW w:w="1281" w:type="pct"/>
            <w:tcBorders>
              <w:top w:val="single" w:sz="4" w:space="0" w:color="000000"/>
              <w:left w:val="single" w:sz="4" w:space="0" w:color="000000"/>
              <w:bottom w:val="single" w:sz="4" w:space="0" w:color="000000"/>
              <w:right w:val="single" w:sz="4" w:space="0" w:color="000000"/>
            </w:tcBorders>
          </w:tcPr>
          <w:p w14:paraId="26DBFC90" w14:textId="77777777" w:rsidR="000E6038" w:rsidRPr="003D4A39" w:rsidRDefault="000E6038" w:rsidP="000E6038">
            <w:pPr>
              <w:ind w:left="127"/>
              <w:rPr>
                <w:sz w:val="24"/>
                <w:szCs w:val="24"/>
              </w:rPr>
            </w:pPr>
          </w:p>
        </w:tc>
        <w:tc>
          <w:tcPr>
            <w:tcW w:w="1282" w:type="pct"/>
            <w:tcBorders>
              <w:top w:val="single" w:sz="4" w:space="0" w:color="000000"/>
              <w:left w:val="single" w:sz="4" w:space="0" w:color="000000"/>
              <w:bottom w:val="single" w:sz="4" w:space="0" w:color="000000"/>
              <w:right w:val="single" w:sz="4" w:space="0" w:color="000000"/>
            </w:tcBorders>
            <w:hideMark/>
          </w:tcPr>
          <w:p w14:paraId="6074DC67" w14:textId="77777777" w:rsidR="000E6038" w:rsidRPr="003D4A39" w:rsidRDefault="000E6038" w:rsidP="000E6038">
            <w:pPr>
              <w:ind w:left="127"/>
              <w:rPr>
                <w:sz w:val="24"/>
                <w:szCs w:val="24"/>
              </w:rPr>
            </w:pPr>
            <w:r w:rsidRPr="003D4A39">
              <w:rPr>
                <w:sz w:val="24"/>
                <w:szCs w:val="24"/>
              </w:rPr>
              <w:t>Vægtstigning</w:t>
            </w:r>
          </w:p>
        </w:tc>
        <w:tc>
          <w:tcPr>
            <w:tcW w:w="1154" w:type="pct"/>
            <w:tcBorders>
              <w:top w:val="single" w:sz="4" w:space="0" w:color="000000"/>
              <w:left w:val="single" w:sz="4" w:space="0" w:color="000000"/>
              <w:bottom w:val="single" w:sz="4" w:space="0" w:color="000000"/>
              <w:right w:val="single" w:sz="4" w:space="0" w:color="000000"/>
            </w:tcBorders>
          </w:tcPr>
          <w:p w14:paraId="7E384F2E" w14:textId="77777777" w:rsidR="000E6038" w:rsidRPr="003D4A39" w:rsidRDefault="000E6038" w:rsidP="000E6038">
            <w:pPr>
              <w:ind w:left="127"/>
              <w:rPr>
                <w:sz w:val="24"/>
                <w:szCs w:val="24"/>
              </w:rPr>
            </w:pPr>
          </w:p>
        </w:tc>
      </w:tr>
    </w:tbl>
    <w:p w14:paraId="7493D673" w14:textId="77777777" w:rsidR="006B34A1" w:rsidRPr="008D45EF" w:rsidRDefault="006B34A1" w:rsidP="0081699D">
      <w:pPr>
        <w:ind w:left="851"/>
        <w:rPr>
          <w:sz w:val="24"/>
          <w:szCs w:val="24"/>
        </w:rPr>
      </w:pPr>
    </w:p>
    <w:p w14:paraId="6696F8C7" w14:textId="77777777" w:rsidR="006B34A1" w:rsidRPr="008D45EF" w:rsidRDefault="006B34A1" w:rsidP="000F565C">
      <w:pPr>
        <w:numPr>
          <w:ilvl w:val="0"/>
          <w:numId w:val="17"/>
        </w:numPr>
        <w:ind w:left="1134" w:hanging="283"/>
        <w:rPr>
          <w:sz w:val="24"/>
          <w:szCs w:val="24"/>
        </w:rPr>
      </w:pPr>
      <w:r w:rsidRPr="008D45EF">
        <w:rPr>
          <w:sz w:val="24"/>
          <w:szCs w:val="24"/>
        </w:rPr>
        <w:t>Induktionskemoterapi efterfulgt af kemo- og stråleterapi (TAX 324)</w:t>
      </w:r>
    </w:p>
    <w:p w14:paraId="48D2E600" w14:textId="77777777" w:rsidR="006B34A1" w:rsidRPr="008D45EF" w:rsidRDefault="006B34A1" w:rsidP="0081699D">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34"/>
        <w:gridCol w:w="2434"/>
        <w:gridCol w:w="2430"/>
        <w:gridCol w:w="2330"/>
      </w:tblGrid>
      <w:tr w:rsidR="000E6038" w:rsidRPr="003D4A39" w14:paraId="10A65582" w14:textId="77777777" w:rsidTr="000E6038">
        <w:trPr>
          <w:trHeight w:val="20"/>
          <w:tblHeader/>
        </w:trPr>
        <w:tc>
          <w:tcPr>
            <w:tcW w:w="1264" w:type="pct"/>
            <w:tcBorders>
              <w:top w:val="single" w:sz="4" w:space="0" w:color="auto"/>
              <w:left w:val="single" w:sz="4" w:space="0" w:color="auto"/>
              <w:bottom w:val="single" w:sz="4" w:space="0" w:color="auto"/>
              <w:right w:val="single" w:sz="4" w:space="0" w:color="auto"/>
            </w:tcBorders>
            <w:hideMark/>
          </w:tcPr>
          <w:p w14:paraId="53235534" w14:textId="77777777" w:rsidR="000E6038" w:rsidRPr="003D4A39" w:rsidRDefault="000E6038" w:rsidP="000E6038">
            <w:pPr>
              <w:keepNext/>
              <w:ind w:left="142"/>
              <w:rPr>
                <w:b/>
                <w:bCs/>
                <w:sz w:val="24"/>
                <w:szCs w:val="24"/>
              </w:rPr>
            </w:pPr>
            <w:r w:rsidRPr="003D4A39">
              <w:rPr>
                <w:b/>
                <w:bCs/>
                <w:sz w:val="24"/>
                <w:szCs w:val="24"/>
              </w:rPr>
              <w:t>Systemorganklasser i henhold til MedDRA-databasen</w:t>
            </w:r>
          </w:p>
        </w:tc>
        <w:tc>
          <w:tcPr>
            <w:tcW w:w="1264" w:type="pct"/>
            <w:tcBorders>
              <w:top w:val="single" w:sz="4" w:space="0" w:color="auto"/>
              <w:left w:val="single" w:sz="4" w:space="0" w:color="auto"/>
              <w:bottom w:val="single" w:sz="4" w:space="0" w:color="auto"/>
              <w:right w:val="single" w:sz="4" w:space="0" w:color="auto"/>
            </w:tcBorders>
            <w:hideMark/>
          </w:tcPr>
          <w:p w14:paraId="0D8881C3" w14:textId="77777777" w:rsidR="000E6038" w:rsidRPr="003D4A39" w:rsidRDefault="000E6038" w:rsidP="000E6038">
            <w:pPr>
              <w:keepNext/>
              <w:ind w:left="142"/>
              <w:rPr>
                <w:b/>
                <w:bCs/>
                <w:sz w:val="24"/>
                <w:szCs w:val="24"/>
              </w:rPr>
            </w:pPr>
            <w:r w:rsidRPr="003D4A39">
              <w:rPr>
                <w:b/>
                <w:bCs/>
                <w:sz w:val="24"/>
                <w:szCs w:val="24"/>
              </w:rPr>
              <w:t>Meget almindelige bivirkninger</w:t>
            </w:r>
          </w:p>
        </w:tc>
        <w:tc>
          <w:tcPr>
            <w:tcW w:w="1262" w:type="pct"/>
            <w:tcBorders>
              <w:top w:val="single" w:sz="4" w:space="0" w:color="auto"/>
              <w:left w:val="single" w:sz="4" w:space="0" w:color="auto"/>
              <w:bottom w:val="single" w:sz="4" w:space="0" w:color="auto"/>
              <w:right w:val="single" w:sz="4" w:space="0" w:color="auto"/>
            </w:tcBorders>
            <w:hideMark/>
          </w:tcPr>
          <w:p w14:paraId="48E6CF76" w14:textId="77777777" w:rsidR="000E6038" w:rsidRPr="003D4A39" w:rsidRDefault="000E6038" w:rsidP="000E6038">
            <w:pPr>
              <w:keepNext/>
              <w:ind w:left="142"/>
              <w:rPr>
                <w:b/>
                <w:bCs/>
                <w:sz w:val="24"/>
                <w:szCs w:val="24"/>
              </w:rPr>
            </w:pPr>
            <w:r w:rsidRPr="003D4A39">
              <w:rPr>
                <w:b/>
                <w:bCs/>
                <w:sz w:val="24"/>
                <w:szCs w:val="24"/>
              </w:rPr>
              <w:t>Almindelige bivirkninger</w:t>
            </w:r>
          </w:p>
        </w:tc>
        <w:tc>
          <w:tcPr>
            <w:tcW w:w="1210" w:type="pct"/>
            <w:tcBorders>
              <w:top w:val="single" w:sz="4" w:space="0" w:color="auto"/>
              <w:left w:val="single" w:sz="4" w:space="0" w:color="auto"/>
              <w:bottom w:val="single" w:sz="4" w:space="0" w:color="auto"/>
              <w:right w:val="single" w:sz="4" w:space="0" w:color="auto"/>
            </w:tcBorders>
            <w:hideMark/>
          </w:tcPr>
          <w:p w14:paraId="59B1AF7E" w14:textId="77777777" w:rsidR="000E6038" w:rsidRPr="003D4A39" w:rsidRDefault="000E6038" w:rsidP="000E6038">
            <w:pPr>
              <w:keepNext/>
              <w:ind w:left="142"/>
              <w:rPr>
                <w:b/>
                <w:bCs/>
                <w:sz w:val="24"/>
                <w:szCs w:val="24"/>
              </w:rPr>
            </w:pPr>
            <w:r w:rsidRPr="003D4A39">
              <w:rPr>
                <w:b/>
                <w:bCs/>
                <w:sz w:val="24"/>
                <w:szCs w:val="24"/>
              </w:rPr>
              <w:t>Ikke almindelige bivirkninger</w:t>
            </w:r>
          </w:p>
        </w:tc>
      </w:tr>
      <w:tr w:rsidR="000E6038" w:rsidRPr="003D4A39" w14:paraId="398413D2" w14:textId="77777777" w:rsidTr="000E6038">
        <w:trPr>
          <w:trHeight w:val="20"/>
        </w:trPr>
        <w:tc>
          <w:tcPr>
            <w:tcW w:w="1264" w:type="pct"/>
            <w:tcBorders>
              <w:top w:val="single" w:sz="4" w:space="0" w:color="auto"/>
              <w:left w:val="single" w:sz="4" w:space="0" w:color="000000"/>
              <w:bottom w:val="single" w:sz="4" w:space="0" w:color="000000"/>
              <w:right w:val="single" w:sz="4" w:space="0" w:color="000000"/>
            </w:tcBorders>
            <w:hideMark/>
          </w:tcPr>
          <w:p w14:paraId="582B22CF" w14:textId="77777777" w:rsidR="000E6038" w:rsidRPr="003D4A39" w:rsidRDefault="000E6038" w:rsidP="000E6038">
            <w:pPr>
              <w:keepNext/>
              <w:ind w:left="142"/>
              <w:rPr>
                <w:sz w:val="24"/>
                <w:szCs w:val="24"/>
              </w:rPr>
            </w:pPr>
            <w:r w:rsidRPr="003D4A39">
              <w:rPr>
                <w:sz w:val="24"/>
                <w:szCs w:val="24"/>
              </w:rPr>
              <w:t>Infektioner og parasitære sygdomme</w:t>
            </w:r>
          </w:p>
        </w:tc>
        <w:tc>
          <w:tcPr>
            <w:tcW w:w="1264" w:type="pct"/>
            <w:tcBorders>
              <w:top w:val="single" w:sz="4" w:space="0" w:color="auto"/>
              <w:left w:val="single" w:sz="4" w:space="0" w:color="000000"/>
              <w:bottom w:val="single" w:sz="4" w:space="0" w:color="000000"/>
              <w:right w:val="single" w:sz="4" w:space="0" w:color="000000"/>
            </w:tcBorders>
            <w:hideMark/>
          </w:tcPr>
          <w:p w14:paraId="09E33D17" w14:textId="77777777" w:rsidR="000E6038" w:rsidRPr="003D4A39" w:rsidRDefault="000E6038" w:rsidP="000E6038">
            <w:pPr>
              <w:keepNext/>
              <w:ind w:left="142"/>
              <w:rPr>
                <w:sz w:val="24"/>
                <w:szCs w:val="24"/>
              </w:rPr>
            </w:pPr>
            <w:r w:rsidRPr="003D4A39">
              <w:rPr>
                <w:sz w:val="24"/>
                <w:szCs w:val="24"/>
              </w:rPr>
              <w:t>Infektion (G3/4: 3,6 %)</w:t>
            </w:r>
          </w:p>
        </w:tc>
        <w:tc>
          <w:tcPr>
            <w:tcW w:w="1262" w:type="pct"/>
            <w:tcBorders>
              <w:top w:val="single" w:sz="4" w:space="0" w:color="auto"/>
              <w:left w:val="single" w:sz="4" w:space="0" w:color="000000"/>
              <w:bottom w:val="single" w:sz="4" w:space="0" w:color="000000"/>
              <w:right w:val="single" w:sz="4" w:space="0" w:color="000000"/>
            </w:tcBorders>
            <w:hideMark/>
          </w:tcPr>
          <w:p w14:paraId="6DAB3F52" w14:textId="77777777" w:rsidR="000E6038" w:rsidRPr="003D4A39" w:rsidRDefault="000E6038" w:rsidP="000E6038">
            <w:pPr>
              <w:keepNext/>
              <w:ind w:left="142"/>
              <w:rPr>
                <w:sz w:val="24"/>
                <w:szCs w:val="24"/>
              </w:rPr>
            </w:pPr>
            <w:r w:rsidRPr="003D4A39">
              <w:rPr>
                <w:sz w:val="24"/>
                <w:szCs w:val="24"/>
              </w:rPr>
              <w:t>Neutropenisk infektion</w:t>
            </w:r>
          </w:p>
        </w:tc>
        <w:tc>
          <w:tcPr>
            <w:tcW w:w="1210" w:type="pct"/>
            <w:tcBorders>
              <w:top w:val="single" w:sz="4" w:space="0" w:color="auto"/>
              <w:left w:val="single" w:sz="4" w:space="0" w:color="000000"/>
              <w:bottom w:val="single" w:sz="4" w:space="0" w:color="000000"/>
              <w:right w:val="single" w:sz="4" w:space="0" w:color="000000"/>
            </w:tcBorders>
          </w:tcPr>
          <w:p w14:paraId="5DA90DD2" w14:textId="77777777" w:rsidR="000E6038" w:rsidRPr="003D4A39" w:rsidRDefault="000E6038" w:rsidP="000E6038">
            <w:pPr>
              <w:keepNext/>
              <w:ind w:left="142"/>
              <w:rPr>
                <w:sz w:val="24"/>
                <w:szCs w:val="24"/>
              </w:rPr>
            </w:pPr>
          </w:p>
        </w:tc>
      </w:tr>
      <w:tr w:rsidR="000E6038" w:rsidRPr="003D4A39" w14:paraId="548ACFB4" w14:textId="77777777" w:rsidTr="000E6038">
        <w:trPr>
          <w:trHeight w:val="20"/>
        </w:trPr>
        <w:tc>
          <w:tcPr>
            <w:tcW w:w="1264" w:type="pct"/>
            <w:tcBorders>
              <w:top w:val="single" w:sz="4" w:space="0" w:color="000000"/>
              <w:left w:val="single" w:sz="4" w:space="0" w:color="000000"/>
              <w:bottom w:val="single" w:sz="4" w:space="0" w:color="000000"/>
              <w:right w:val="single" w:sz="4" w:space="0" w:color="000000"/>
            </w:tcBorders>
            <w:hideMark/>
          </w:tcPr>
          <w:p w14:paraId="1AF933A9" w14:textId="77777777" w:rsidR="000E6038" w:rsidRPr="003D4A39" w:rsidRDefault="000E6038" w:rsidP="000E6038">
            <w:pPr>
              <w:keepNext/>
              <w:ind w:left="142"/>
              <w:rPr>
                <w:sz w:val="24"/>
                <w:szCs w:val="24"/>
              </w:rPr>
            </w:pPr>
            <w:r w:rsidRPr="003D4A39">
              <w:rPr>
                <w:sz w:val="24"/>
                <w:szCs w:val="24"/>
              </w:rPr>
              <w:t>Benigne, maligne og uspecificerede tumorer (inkl. cyster og polypper)</w:t>
            </w:r>
          </w:p>
        </w:tc>
        <w:tc>
          <w:tcPr>
            <w:tcW w:w="1264" w:type="pct"/>
            <w:tcBorders>
              <w:top w:val="single" w:sz="4" w:space="0" w:color="000000"/>
              <w:left w:val="single" w:sz="4" w:space="0" w:color="000000"/>
              <w:bottom w:val="single" w:sz="4" w:space="0" w:color="000000"/>
              <w:right w:val="single" w:sz="4" w:space="0" w:color="000000"/>
            </w:tcBorders>
          </w:tcPr>
          <w:p w14:paraId="653FA219" w14:textId="77777777" w:rsidR="000E6038" w:rsidRPr="003D4A39" w:rsidRDefault="000E6038" w:rsidP="000E6038">
            <w:pPr>
              <w:keepNext/>
              <w:ind w:left="142"/>
              <w:rPr>
                <w:sz w:val="24"/>
                <w:szCs w:val="24"/>
              </w:rPr>
            </w:pPr>
          </w:p>
        </w:tc>
        <w:tc>
          <w:tcPr>
            <w:tcW w:w="1262" w:type="pct"/>
            <w:tcBorders>
              <w:top w:val="single" w:sz="4" w:space="0" w:color="000000"/>
              <w:left w:val="single" w:sz="4" w:space="0" w:color="000000"/>
              <w:bottom w:val="single" w:sz="4" w:space="0" w:color="000000"/>
              <w:right w:val="single" w:sz="4" w:space="0" w:color="000000"/>
            </w:tcBorders>
            <w:hideMark/>
          </w:tcPr>
          <w:p w14:paraId="553A92C4" w14:textId="77777777" w:rsidR="000E6038" w:rsidRPr="003D4A39" w:rsidRDefault="000E6038" w:rsidP="000E6038">
            <w:pPr>
              <w:keepNext/>
              <w:ind w:left="142"/>
              <w:rPr>
                <w:sz w:val="24"/>
                <w:szCs w:val="24"/>
              </w:rPr>
            </w:pPr>
            <w:r w:rsidRPr="003D4A39">
              <w:rPr>
                <w:sz w:val="24"/>
                <w:szCs w:val="24"/>
              </w:rPr>
              <w:t>Cancersmerter (G3/4: 1,2 %)</w:t>
            </w:r>
          </w:p>
        </w:tc>
        <w:tc>
          <w:tcPr>
            <w:tcW w:w="1210" w:type="pct"/>
            <w:tcBorders>
              <w:top w:val="single" w:sz="4" w:space="0" w:color="000000"/>
              <w:left w:val="single" w:sz="4" w:space="0" w:color="000000"/>
              <w:bottom w:val="single" w:sz="4" w:space="0" w:color="000000"/>
              <w:right w:val="single" w:sz="4" w:space="0" w:color="000000"/>
            </w:tcBorders>
          </w:tcPr>
          <w:p w14:paraId="431D4271" w14:textId="77777777" w:rsidR="000E6038" w:rsidRPr="003D4A39" w:rsidRDefault="000E6038" w:rsidP="000E6038">
            <w:pPr>
              <w:keepNext/>
              <w:ind w:left="142"/>
              <w:rPr>
                <w:sz w:val="24"/>
                <w:szCs w:val="24"/>
              </w:rPr>
            </w:pPr>
          </w:p>
        </w:tc>
      </w:tr>
      <w:tr w:rsidR="000E6038" w:rsidRPr="003D4A39" w14:paraId="57A9D5A6" w14:textId="77777777" w:rsidTr="000E6038">
        <w:trPr>
          <w:trHeight w:val="20"/>
        </w:trPr>
        <w:tc>
          <w:tcPr>
            <w:tcW w:w="1264" w:type="pct"/>
            <w:tcBorders>
              <w:top w:val="single" w:sz="4" w:space="0" w:color="000000"/>
              <w:left w:val="single" w:sz="4" w:space="0" w:color="000000"/>
              <w:bottom w:val="single" w:sz="4" w:space="0" w:color="000000"/>
              <w:right w:val="single" w:sz="4" w:space="0" w:color="000000"/>
            </w:tcBorders>
            <w:hideMark/>
          </w:tcPr>
          <w:p w14:paraId="6C4F0062" w14:textId="77777777" w:rsidR="000E6038" w:rsidRPr="003D4A39" w:rsidRDefault="000E6038" w:rsidP="000E6038">
            <w:pPr>
              <w:keepNext/>
              <w:ind w:left="142"/>
              <w:rPr>
                <w:sz w:val="24"/>
                <w:szCs w:val="24"/>
              </w:rPr>
            </w:pPr>
            <w:r w:rsidRPr="003D4A39">
              <w:rPr>
                <w:sz w:val="24"/>
                <w:szCs w:val="24"/>
              </w:rPr>
              <w:t>Blod og lymfesystem</w:t>
            </w:r>
          </w:p>
        </w:tc>
        <w:tc>
          <w:tcPr>
            <w:tcW w:w="1264" w:type="pct"/>
            <w:tcBorders>
              <w:top w:val="single" w:sz="4" w:space="0" w:color="000000"/>
              <w:left w:val="single" w:sz="4" w:space="0" w:color="000000"/>
              <w:bottom w:val="single" w:sz="4" w:space="0" w:color="000000"/>
              <w:right w:val="single" w:sz="4" w:space="0" w:color="000000"/>
            </w:tcBorders>
            <w:hideMark/>
          </w:tcPr>
          <w:p w14:paraId="319EA773" w14:textId="77777777" w:rsidR="009B0C24" w:rsidRPr="009B0C24" w:rsidRDefault="009B0C24" w:rsidP="009B0C24">
            <w:pPr>
              <w:keepNext/>
              <w:ind w:left="142"/>
              <w:rPr>
                <w:sz w:val="24"/>
                <w:szCs w:val="24"/>
                <w:lang w:val="en-US"/>
              </w:rPr>
            </w:pPr>
            <w:r w:rsidRPr="00EF58FE">
              <w:rPr>
                <w:sz w:val="24"/>
                <w:szCs w:val="24"/>
                <w:lang w:val="en-US"/>
              </w:rPr>
              <w:t xml:space="preserve">Neutropeni (G3/4: 83,5 %); </w:t>
            </w:r>
          </w:p>
          <w:p w14:paraId="2E8ABC1F" w14:textId="77777777" w:rsidR="009B0C24" w:rsidRPr="009B0C24" w:rsidRDefault="009B0C24" w:rsidP="009B0C24">
            <w:pPr>
              <w:keepNext/>
              <w:ind w:left="142"/>
              <w:rPr>
                <w:sz w:val="24"/>
                <w:szCs w:val="24"/>
                <w:lang w:val="en-US"/>
              </w:rPr>
            </w:pPr>
            <w:r w:rsidRPr="009B0C24">
              <w:rPr>
                <w:sz w:val="24"/>
                <w:szCs w:val="24"/>
                <w:lang w:val="en-US"/>
              </w:rPr>
              <w:t>Anæmi (G3/4: 12,4 %);</w:t>
            </w:r>
          </w:p>
          <w:p w14:paraId="1B5FC6D5" w14:textId="77777777" w:rsidR="009B0C24" w:rsidRPr="009B0C24" w:rsidRDefault="009B0C24" w:rsidP="009B0C24">
            <w:pPr>
              <w:keepNext/>
              <w:ind w:left="142"/>
              <w:rPr>
                <w:sz w:val="24"/>
                <w:szCs w:val="24"/>
                <w:lang w:val="en-US"/>
              </w:rPr>
            </w:pPr>
            <w:r w:rsidRPr="009B0C24">
              <w:rPr>
                <w:sz w:val="24"/>
                <w:szCs w:val="24"/>
                <w:lang w:val="en-US"/>
              </w:rPr>
              <w:t>Trombocytopeni (G3/4: 4,0 %);</w:t>
            </w:r>
          </w:p>
          <w:p w14:paraId="4038833C" w14:textId="445B9D7D" w:rsidR="000E6038" w:rsidRPr="003D4A39" w:rsidRDefault="009B0C24" w:rsidP="009B0C24">
            <w:pPr>
              <w:keepNext/>
              <w:ind w:left="142"/>
              <w:rPr>
                <w:sz w:val="24"/>
                <w:szCs w:val="24"/>
              </w:rPr>
            </w:pPr>
            <w:r w:rsidRPr="003D4A39">
              <w:rPr>
                <w:sz w:val="24"/>
                <w:szCs w:val="24"/>
              </w:rPr>
              <w:t>Febril neutropeni</w:t>
            </w:r>
          </w:p>
        </w:tc>
        <w:tc>
          <w:tcPr>
            <w:tcW w:w="1262" w:type="pct"/>
            <w:tcBorders>
              <w:top w:val="single" w:sz="4" w:space="0" w:color="000000"/>
              <w:left w:val="single" w:sz="4" w:space="0" w:color="000000"/>
              <w:bottom w:val="single" w:sz="4" w:space="0" w:color="000000"/>
              <w:right w:val="single" w:sz="4" w:space="0" w:color="000000"/>
            </w:tcBorders>
          </w:tcPr>
          <w:p w14:paraId="530F6AAA" w14:textId="77777777" w:rsidR="000E6038" w:rsidRPr="003D4A39" w:rsidRDefault="000E6038" w:rsidP="000E6038">
            <w:pPr>
              <w:keepNext/>
              <w:ind w:left="142"/>
              <w:rPr>
                <w:sz w:val="24"/>
                <w:szCs w:val="24"/>
              </w:rPr>
            </w:pPr>
          </w:p>
        </w:tc>
        <w:tc>
          <w:tcPr>
            <w:tcW w:w="1210" w:type="pct"/>
            <w:tcBorders>
              <w:top w:val="single" w:sz="4" w:space="0" w:color="000000"/>
              <w:left w:val="single" w:sz="4" w:space="0" w:color="000000"/>
              <w:bottom w:val="single" w:sz="4" w:space="0" w:color="000000"/>
              <w:right w:val="single" w:sz="4" w:space="0" w:color="000000"/>
            </w:tcBorders>
          </w:tcPr>
          <w:p w14:paraId="117BDBBE" w14:textId="77777777" w:rsidR="000E6038" w:rsidRPr="003D4A39" w:rsidRDefault="000E6038" w:rsidP="000E6038">
            <w:pPr>
              <w:keepNext/>
              <w:ind w:left="142"/>
              <w:rPr>
                <w:sz w:val="24"/>
                <w:szCs w:val="24"/>
              </w:rPr>
            </w:pPr>
          </w:p>
        </w:tc>
      </w:tr>
      <w:tr w:rsidR="000E6038" w:rsidRPr="003D4A39" w14:paraId="4F99C0DA" w14:textId="77777777" w:rsidTr="000E6038">
        <w:trPr>
          <w:trHeight w:val="20"/>
        </w:trPr>
        <w:tc>
          <w:tcPr>
            <w:tcW w:w="1264" w:type="pct"/>
            <w:tcBorders>
              <w:top w:val="single" w:sz="4" w:space="0" w:color="000000"/>
              <w:left w:val="single" w:sz="4" w:space="0" w:color="000000"/>
              <w:bottom w:val="single" w:sz="4" w:space="0" w:color="000000"/>
              <w:right w:val="single" w:sz="4" w:space="0" w:color="000000"/>
            </w:tcBorders>
            <w:hideMark/>
          </w:tcPr>
          <w:p w14:paraId="2976220A" w14:textId="77777777" w:rsidR="000E6038" w:rsidRPr="003D4A39" w:rsidRDefault="000E6038" w:rsidP="000E6038">
            <w:pPr>
              <w:ind w:left="142"/>
              <w:rPr>
                <w:sz w:val="24"/>
                <w:szCs w:val="24"/>
              </w:rPr>
            </w:pPr>
            <w:r w:rsidRPr="003D4A39">
              <w:rPr>
                <w:sz w:val="24"/>
                <w:szCs w:val="24"/>
              </w:rPr>
              <w:t>Immunsystemet</w:t>
            </w:r>
          </w:p>
        </w:tc>
        <w:tc>
          <w:tcPr>
            <w:tcW w:w="1264" w:type="pct"/>
            <w:tcBorders>
              <w:top w:val="single" w:sz="4" w:space="0" w:color="000000"/>
              <w:left w:val="single" w:sz="4" w:space="0" w:color="000000"/>
              <w:bottom w:val="single" w:sz="4" w:space="0" w:color="000000"/>
              <w:right w:val="single" w:sz="4" w:space="0" w:color="000000"/>
            </w:tcBorders>
          </w:tcPr>
          <w:p w14:paraId="3404A037" w14:textId="77777777" w:rsidR="000E6038" w:rsidRPr="003D4A39" w:rsidRDefault="000E6038" w:rsidP="000E6038">
            <w:pPr>
              <w:ind w:left="142"/>
              <w:rPr>
                <w:sz w:val="24"/>
                <w:szCs w:val="24"/>
              </w:rPr>
            </w:pPr>
          </w:p>
        </w:tc>
        <w:tc>
          <w:tcPr>
            <w:tcW w:w="1262" w:type="pct"/>
            <w:tcBorders>
              <w:top w:val="single" w:sz="4" w:space="0" w:color="000000"/>
              <w:left w:val="single" w:sz="4" w:space="0" w:color="000000"/>
              <w:bottom w:val="single" w:sz="4" w:space="0" w:color="000000"/>
              <w:right w:val="single" w:sz="4" w:space="0" w:color="000000"/>
            </w:tcBorders>
          </w:tcPr>
          <w:p w14:paraId="30833BDE" w14:textId="77777777" w:rsidR="000E6038" w:rsidRPr="003D4A39" w:rsidRDefault="000E6038" w:rsidP="000E6038">
            <w:pPr>
              <w:ind w:left="142"/>
              <w:rPr>
                <w:sz w:val="24"/>
                <w:szCs w:val="24"/>
              </w:rPr>
            </w:pPr>
          </w:p>
        </w:tc>
        <w:tc>
          <w:tcPr>
            <w:tcW w:w="1210" w:type="pct"/>
            <w:tcBorders>
              <w:top w:val="single" w:sz="4" w:space="0" w:color="000000"/>
              <w:left w:val="single" w:sz="4" w:space="0" w:color="000000"/>
              <w:bottom w:val="single" w:sz="4" w:space="0" w:color="000000"/>
              <w:right w:val="single" w:sz="4" w:space="0" w:color="000000"/>
            </w:tcBorders>
            <w:hideMark/>
          </w:tcPr>
          <w:p w14:paraId="359C7DFA" w14:textId="77777777" w:rsidR="000E6038" w:rsidRPr="003D4A39" w:rsidRDefault="000E6038" w:rsidP="000E6038">
            <w:pPr>
              <w:ind w:left="142"/>
              <w:rPr>
                <w:sz w:val="24"/>
                <w:szCs w:val="24"/>
              </w:rPr>
            </w:pPr>
            <w:r w:rsidRPr="003D4A39">
              <w:rPr>
                <w:sz w:val="24"/>
                <w:szCs w:val="24"/>
              </w:rPr>
              <w:t>Overfølsomhed</w:t>
            </w:r>
          </w:p>
        </w:tc>
      </w:tr>
      <w:tr w:rsidR="000E6038" w:rsidRPr="003D4A39" w14:paraId="333C171E" w14:textId="77777777" w:rsidTr="000E6038">
        <w:trPr>
          <w:trHeight w:val="20"/>
        </w:trPr>
        <w:tc>
          <w:tcPr>
            <w:tcW w:w="1264" w:type="pct"/>
            <w:tcBorders>
              <w:top w:val="single" w:sz="4" w:space="0" w:color="000000"/>
              <w:left w:val="single" w:sz="4" w:space="0" w:color="000000"/>
              <w:bottom w:val="single" w:sz="4" w:space="0" w:color="000000"/>
              <w:right w:val="single" w:sz="4" w:space="0" w:color="000000"/>
            </w:tcBorders>
            <w:hideMark/>
          </w:tcPr>
          <w:p w14:paraId="58884DA6" w14:textId="77777777" w:rsidR="000E6038" w:rsidRPr="003D4A39" w:rsidRDefault="000E6038" w:rsidP="000E6038">
            <w:pPr>
              <w:ind w:left="142"/>
              <w:rPr>
                <w:sz w:val="24"/>
                <w:szCs w:val="24"/>
              </w:rPr>
            </w:pPr>
            <w:r w:rsidRPr="003D4A39">
              <w:rPr>
                <w:sz w:val="24"/>
                <w:szCs w:val="24"/>
              </w:rPr>
              <w:t>Metabolisme og ernæring</w:t>
            </w:r>
          </w:p>
        </w:tc>
        <w:tc>
          <w:tcPr>
            <w:tcW w:w="1264" w:type="pct"/>
            <w:tcBorders>
              <w:top w:val="single" w:sz="4" w:space="0" w:color="000000"/>
              <w:left w:val="single" w:sz="4" w:space="0" w:color="000000"/>
              <w:bottom w:val="single" w:sz="4" w:space="0" w:color="000000"/>
              <w:right w:val="single" w:sz="4" w:space="0" w:color="000000"/>
            </w:tcBorders>
            <w:hideMark/>
          </w:tcPr>
          <w:p w14:paraId="0017CD13" w14:textId="77777777" w:rsidR="000E6038" w:rsidRPr="003D4A39" w:rsidRDefault="000E6038" w:rsidP="000E6038">
            <w:pPr>
              <w:ind w:left="142"/>
              <w:rPr>
                <w:sz w:val="24"/>
                <w:szCs w:val="24"/>
              </w:rPr>
            </w:pPr>
            <w:r w:rsidRPr="003D4A39">
              <w:rPr>
                <w:sz w:val="24"/>
                <w:szCs w:val="24"/>
              </w:rPr>
              <w:t>Anoreksi (G3/4: 12,0 %)</w:t>
            </w:r>
          </w:p>
        </w:tc>
        <w:tc>
          <w:tcPr>
            <w:tcW w:w="1262" w:type="pct"/>
            <w:tcBorders>
              <w:top w:val="single" w:sz="4" w:space="0" w:color="000000"/>
              <w:left w:val="single" w:sz="4" w:space="0" w:color="000000"/>
              <w:bottom w:val="single" w:sz="4" w:space="0" w:color="000000"/>
              <w:right w:val="single" w:sz="4" w:space="0" w:color="000000"/>
            </w:tcBorders>
          </w:tcPr>
          <w:p w14:paraId="2C22F75E" w14:textId="77777777" w:rsidR="000E6038" w:rsidRPr="003D4A39" w:rsidRDefault="000E6038" w:rsidP="000E6038">
            <w:pPr>
              <w:ind w:left="142"/>
              <w:rPr>
                <w:sz w:val="24"/>
                <w:szCs w:val="24"/>
              </w:rPr>
            </w:pPr>
          </w:p>
        </w:tc>
        <w:tc>
          <w:tcPr>
            <w:tcW w:w="1210" w:type="pct"/>
            <w:tcBorders>
              <w:top w:val="single" w:sz="4" w:space="0" w:color="000000"/>
              <w:left w:val="single" w:sz="4" w:space="0" w:color="000000"/>
              <w:bottom w:val="single" w:sz="4" w:space="0" w:color="000000"/>
              <w:right w:val="single" w:sz="4" w:space="0" w:color="000000"/>
            </w:tcBorders>
          </w:tcPr>
          <w:p w14:paraId="5478A418" w14:textId="77777777" w:rsidR="000E6038" w:rsidRPr="003D4A39" w:rsidRDefault="000E6038" w:rsidP="000E6038">
            <w:pPr>
              <w:ind w:left="142"/>
              <w:rPr>
                <w:sz w:val="24"/>
                <w:szCs w:val="24"/>
              </w:rPr>
            </w:pPr>
          </w:p>
        </w:tc>
      </w:tr>
      <w:tr w:rsidR="000E6038" w:rsidRPr="002535BC" w14:paraId="0EEB2025" w14:textId="77777777" w:rsidTr="000E6038">
        <w:trPr>
          <w:trHeight w:val="20"/>
        </w:trPr>
        <w:tc>
          <w:tcPr>
            <w:tcW w:w="1264" w:type="pct"/>
            <w:tcBorders>
              <w:top w:val="single" w:sz="4" w:space="0" w:color="000000"/>
              <w:left w:val="single" w:sz="4" w:space="0" w:color="000000"/>
              <w:bottom w:val="single" w:sz="4" w:space="0" w:color="000000"/>
              <w:right w:val="single" w:sz="4" w:space="0" w:color="000000"/>
            </w:tcBorders>
            <w:hideMark/>
          </w:tcPr>
          <w:p w14:paraId="234FB10B" w14:textId="77777777" w:rsidR="000E6038" w:rsidRPr="003D4A39" w:rsidRDefault="000E6038" w:rsidP="000E6038">
            <w:pPr>
              <w:ind w:left="142"/>
              <w:rPr>
                <w:sz w:val="24"/>
                <w:szCs w:val="24"/>
              </w:rPr>
            </w:pPr>
            <w:r w:rsidRPr="003D4A39">
              <w:rPr>
                <w:sz w:val="24"/>
                <w:szCs w:val="24"/>
              </w:rPr>
              <w:t>Nervesystemet</w:t>
            </w:r>
          </w:p>
        </w:tc>
        <w:tc>
          <w:tcPr>
            <w:tcW w:w="1264" w:type="pct"/>
            <w:tcBorders>
              <w:top w:val="single" w:sz="4" w:space="0" w:color="000000"/>
              <w:left w:val="single" w:sz="4" w:space="0" w:color="000000"/>
              <w:bottom w:val="single" w:sz="4" w:space="0" w:color="000000"/>
              <w:right w:val="single" w:sz="4" w:space="0" w:color="000000"/>
            </w:tcBorders>
            <w:hideMark/>
          </w:tcPr>
          <w:p w14:paraId="4347AFFD" w14:textId="77777777" w:rsidR="000E6038" w:rsidRPr="003D4A39" w:rsidRDefault="000E6038" w:rsidP="000E6038">
            <w:pPr>
              <w:ind w:left="142"/>
              <w:rPr>
                <w:sz w:val="24"/>
                <w:szCs w:val="24"/>
              </w:rPr>
            </w:pPr>
            <w:r w:rsidRPr="003D4A39">
              <w:rPr>
                <w:sz w:val="24"/>
                <w:szCs w:val="24"/>
              </w:rPr>
              <w:t>Dysgeusi/parosmi (G3/4: 0,4 %);</w:t>
            </w:r>
          </w:p>
          <w:p w14:paraId="30375135" w14:textId="77777777" w:rsidR="000E6038" w:rsidRPr="003D4A39" w:rsidRDefault="000E6038" w:rsidP="000E6038">
            <w:pPr>
              <w:ind w:left="142"/>
              <w:rPr>
                <w:sz w:val="24"/>
                <w:szCs w:val="24"/>
              </w:rPr>
            </w:pPr>
            <w:r w:rsidRPr="003D4A39">
              <w:rPr>
                <w:sz w:val="24"/>
                <w:szCs w:val="24"/>
              </w:rPr>
              <w:t>Perifer sensorisk neuropati (G3/4: 1,2 %)</w:t>
            </w:r>
          </w:p>
        </w:tc>
        <w:tc>
          <w:tcPr>
            <w:tcW w:w="1262" w:type="pct"/>
            <w:tcBorders>
              <w:top w:val="single" w:sz="4" w:space="0" w:color="000000"/>
              <w:left w:val="single" w:sz="4" w:space="0" w:color="000000"/>
              <w:bottom w:val="single" w:sz="4" w:space="0" w:color="000000"/>
              <w:right w:val="single" w:sz="4" w:space="0" w:color="000000"/>
            </w:tcBorders>
            <w:hideMark/>
          </w:tcPr>
          <w:p w14:paraId="55331EFE" w14:textId="77777777" w:rsidR="000E6038" w:rsidRPr="002535BC" w:rsidRDefault="000E6038" w:rsidP="000E6038">
            <w:pPr>
              <w:ind w:left="142"/>
              <w:rPr>
                <w:sz w:val="24"/>
                <w:szCs w:val="24"/>
                <w:lang w:val="sv-SE"/>
              </w:rPr>
            </w:pPr>
            <w:r w:rsidRPr="002535BC">
              <w:rPr>
                <w:sz w:val="24"/>
                <w:szCs w:val="24"/>
                <w:lang w:val="sv-SE"/>
              </w:rPr>
              <w:t>Svimmelhed (G3/4: 2,0 %);</w:t>
            </w:r>
          </w:p>
          <w:p w14:paraId="2538CDB7" w14:textId="77777777" w:rsidR="000E6038" w:rsidRPr="002535BC" w:rsidRDefault="000E6038" w:rsidP="000E6038">
            <w:pPr>
              <w:ind w:left="142"/>
              <w:rPr>
                <w:sz w:val="24"/>
                <w:szCs w:val="24"/>
                <w:lang w:val="sv-SE"/>
              </w:rPr>
            </w:pPr>
            <w:r w:rsidRPr="002535BC">
              <w:rPr>
                <w:sz w:val="24"/>
                <w:szCs w:val="24"/>
                <w:lang w:val="sv-SE"/>
              </w:rPr>
              <w:t>Perifer motorisk neuropati (G3/4: 0,4 %)</w:t>
            </w:r>
          </w:p>
        </w:tc>
        <w:tc>
          <w:tcPr>
            <w:tcW w:w="1210" w:type="pct"/>
            <w:tcBorders>
              <w:top w:val="single" w:sz="4" w:space="0" w:color="000000"/>
              <w:left w:val="single" w:sz="4" w:space="0" w:color="000000"/>
              <w:bottom w:val="single" w:sz="4" w:space="0" w:color="000000"/>
              <w:right w:val="single" w:sz="4" w:space="0" w:color="000000"/>
            </w:tcBorders>
          </w:tcPr>
          <w:p w14:paraId="0F38BE59" w14:textId="77777777" w:rsidR="000E6038" w:rsidRPr="002535BC" w:rsidRDefault="000E6038" w:rsidP="000E6038">
            <w:pPr>
              <w:ind w:left="142"/>
              <w:rPr>
                <w:sz w:val="24"/>
                <w:szCs w:val="24"/>
                <w:lang w:val="sv-SE"/>
              </w:rPr>
            </w:pPr>
          </w:p>
        </w:tc>
      </w:tr>
      <w:tr w:rsidR="000E6038" w:rsidRPr="003D4A39" w14:paraId="2FA2FF23" w14:textId="77777777" w:rsidTr="000E6038">
        <w:trPr>
          <w:trHeight w:val="20"/>
        </w:trPr>
        <w:tc>
          <w:tcPr>
            <w:tcW w:w="1264" w:type="pct"/>
            <w:tcBorders>
              <w:top w:val="single" w:sz="4" w:space="0" w:color="000000"/>
              <w:left w:val="single" w:sz="4" w:space="0" w:color="000000"/>
              <w:bottom w:val="single" w:sz="4" w:space="0" w:color="000000"/>
              <w:right w:val="single" w:sz="4" w:space="0" w:color="000000"/>
            </w:tcBorders>
            <w:hideMark/>
          </w:tcPr>
          <w:p w14:paraId="6D3CEDAD" w14:textId="77777777" w:rsidR="000E6038" w:rsidRPr="003D4A39" w:rsidRDefault="000E6038" w:rsidP="000E6038">
            <w:pPr>
              <w:ind w:left="142"/>
              <w:rPr>
                <w:sz w:val="24"/>
                <w:szCs w:val="24"/>
              </w:rPr>
            </w:pPr>
            <w:r w:rsidRPr="003D4A39">
              <w:rPr>
                <w:sz w:val="24"/>
                <w:szCs w:val="24"/>
              </w:rPr>
              <w:t>Øjne</w:t>
            </w:r>
          </w:p>
        </w:tc>
        <w:tc>
          <w:tcPr>
            <w:tcW w:w="1264" w:type="pct"/>
            <w:tcBorders>
              <w:top w:val="single" w:sz="4" w:space="0" w:color="000000"/>
              <w:left w:val="single" w:sz="4" w:space="0" w:color="000000"/>
              <w:bottom w:val="single" w:sz="4" w:space="0" w:color="000000"/>
              <w:right w:val="single" w:sz="4" w:space="0" w:color="000000"/>
            </w:tcBorders>
          </w:tcPr>
          <w:p w14:paraId="5576F591" w14:textId="77777777" w:rsidR="000E6038" w:rsidRPr="003D4A39" w:rsidRDefault="000E6038" w:rsidP="000E6038">
            <w:pPr>
              <w:ind w:left="142"/>
              <w:rPr>
                <w:sz w:val="24"/>
                <w:szCs w:val="24"/>
              </w:rPr>
            </w:pPr>
          </w:p>
        </w:tc>
        <w:tc>
          <w:tcPr>
            <w:tcW w:w="1262" w:type="pct"/>
            <w:tcBorders>
              <w:top w:val="single" w:sz="4" w:space="0" w:color="000000"/>
              <w:left w:val="single" w:sz="4" w:space="0" w:color="000000"/>
              <w:bottom w:val="single" w:sz="4" w:space="0" w:color="000000"/>
              <w:right w:val="single" w:sz="4" w:space="0" w:color="000000"/>
            </w:tcBorders>
            <w:hideMark/>
          </w:tcPr>
          <w:p w14:paraId="4FB78EEC" w14:textId="77777777" w:rsidR="000E6038" w:rsidRPr="003D4A39" w:rsidRDefault="000E6038" w:rsidP="000E6038">
            <w:pPr>
              <w:ind w:left="142"/>
              <w:rPr>
                <w:sz w:val="24"/>
                <w:szCs w:val="24"/>
              </w:rPr>
            </w:pPr>
            <w:r w:rsidRPr="003D4A39">
              <w:rPr>
                <w:sz w:val="24"/>
                <w:szCs w:val="24"/>
              </w:rPr>
              <w:t>Forhøjet lakrimation</w:t>
            </w:r>
          </w:p>
        </w:tc>
        <w:tc>
          <w:tcPr>
            <w:tcW w:w="1210" w:type="pct"/>
            <w:tcBorders>
              <w:top w:val="single" w:sz="4" w:space="0" w:color="000000"/>
              <w:left w:val="single" w:sz="4" w:space="0" w:color="000000"/>
              <w:bottom w:val="single" w:sz="4" w:space="0" w:color="000000"/>
              <w:right w:val="single" w:sz="4" w:space="0" w:color="000000"/>
            </w:tcBorders>
            <w:hideMark/>
          </w:tcPr>
          <w:p w14:paraId="4FF2C601" w14:textId="77777777" w:rsidR="000E6038" w:rsidRPr="003D4A39" w:rsidRDefault="000E6038" w:rsidP="000E6038">
            <w:pPr>
              <w:ind w:left="142"/>
              <w:rPr>
                <w:sz w:val="24"/>
                <w:szCs w:val="24"/>
              </w:rPr>
            </w:pPr>
            <w:r w:rsidRPr="003D4A39">
              <w:rPr>
                <w:sz w:val="24"/>
                <w:szCs w:val="24"/>
              </w:rPr>
              <w:t>Konjunktivitis</w:t>
            </w:r>
          </w:p>
        </w:tc>
      </w:tr>
      <w:tr w:rsidR="000E6038" w:rsidRPr="003D4A39" w14:paraId="23BFBC01" w14:textId="77777777" w:rsidTr="000E6038">
        <w:trPr>
          <w:trHeight w:val="20"/>
        </w:trPr>
        <w:tc>
          <w:tcPr>
            <w:tcW w:w="1264" w:type="pct"/>
            <w:tcBorders>
              <w:top w:val="single" w:sz="4" w:space="0" w:color="000000"/>
              <w:left w:val="single" w:sz="4" w:space="0" w:color="000000"/>
              <w:bottom w:val="single" w:sz="4" w:space="0" w:color="000000"/>
              <w:right w:val="single" w:sz="4" w:space="0" w:color="000000"/>
            </w:tcBorders>
            <w:hideMark/>
          </w:tcPr>
          <w:p w14:paraId="1B22B556" w14:textId="77777777" w:rsidR="000E6038" w:rsidRPr="003D4A39" w:rsidRDefault="000E6038" w:rsidP="000E6038">
            <w:pPr>
              <w:ind w:left="142"/>
              <w:rPr>
                <w:sz w:val="24"/>
                <w:szCs w:val="24"/>
              </w:rPr>
            </w:pPr>
            <w:r w:rsidRPr="003D4A39">
              <w:rPr>
                <w:sz w:val="24"/>
                <w:szCs w:val="24"/>
              </w:rPr>
              <w:t>Øre og labyrint</w:t>
            </w:r>
          </w:p>
        </w:tc>
        <w:tc>
          <w:tcPr>
            <w:tcW w:w="1264" w:type="pct"/>
            <w:tcBorders>
              <w:top w:val="single" w:sz="4" w:space="0" w:color="000000"/>
              <w:left w:val="single" w:sz="4" w:space="0" w:color="000000"/>
              <w:bottom w:val="single" w:sz="4" w:space="0" w:color="000000"/>
              <w:right w:val="single" w:sz="4" w:space="0" w:color="000000"/>
            </w:tcBorders>
            <w:hideMark/>
          </w:tcPr>
          <w:p w14:paraId="1D9372FF" w14:textId="77777777" w:rsidR="000E6038" w:rsidRPr="003D4A39" w:rsidRDefault="000E6038" w:rsidP="000E6038">
            <w:pPr>
              <w:ind w:left="142"/>
              <w:rPr>
                <w:sz w:val="24"/>
                <w:szCs w:val="24"/>
              </w:rPr>
            </w:pPr>
            <w:r w:rsidRPr="003D4A39">
              <w:rPr>
                <w:sz w:val="24"/>
                <w:szCs w:val="24"/>
              </w:rPr>
              <w:t>Nedsat hørelse (G3/4: 1,2 %)</w:t>
            </w:r>
          </w:p>
        </w:tc>
        <w:tc>
          <w:tcPr>
            <w:tcW w:w="1262" w:type="pct"/>
            <w:tcBorders>
              <w:top w:val="single" w:sz="4" w:space="0" w:color="000000"/>
              <w:left w:val="single" w:sz="4" w:space="0" w:color="000000"/>
              <w:bottom w:val="single" w:sz="4" w:space="0" w:color="000000"/>
              <w:right w:val="single" w:sz="4" w:space="0" w:color="000000"/>
            </w:tcBorders>
          </w:tcPr>
          <w:p w14:paraId="3CAF5071" w14:textId="77777777" w:rsidR="000E6038" w:rsidRPr="003D4A39" w:rsidRDefault="000E6038" w:rsidP="000E6038">
            <w:pPr>
              <w:ind w:left="142"/>
              <w:rPr>
                <w:sz w:val="24"/>
                <w:szCs w:val="24"/>
              </w:rPr>
            </w:pPr>
          </w:p>
        </w:tc>
        <w:tc>
          <w:tcPr>
            <w:tcW w:w="1210" w:type="pct"/>
            <w:tcBorders>
              <w:top w:val="single" w:sz="4" w:space="0" w:color="000000"/>
              <w:left w:val="single" w:sz="4" w:space="0" w:color="000000"/>
              <w:bottom w:val="single" w:sz="4" w:space="0" w:color="000000"/>
              <w:right w:val="single" w:sz="4" w:space="0" w:color="000000"/>
            </w:tcBorders>
          </w:tcPr>
          <w:p w14:paraId="2CADD48C" w14:textId="77777777" w:rsidR="000E6038" w:rsidRPr="003D4A39" w:rsidRDefault="000E6038" w:rsidP="000E6038">
            <w:pPr>
              <w:ind w:left="142"/>
              <w:rPr>
                <w:sz w:val="24"/>
                <w:szCs w:val="24"/>
              </w:rPr>
            </w:pPr>
          </w:p>
        </w:tc>
      </w:tr>
      <w:tr w:rsidR="000E6038" w:rsidRPr="003D4A39" w14:paraId="44C6ED8D" w14:textId="77777777" w:rsidTr="000E6038">
        <w:trPr>
          <w:trHeight w:val="20"/>
        </w:trPr>
        <w:tc>
          <w:tcPr>
            <w:tcW w:w="1264" w:type="pct"/>
            <w:tcBorders>
              <w:top w:val="single" w:sz="4" w:space="0" w:color="000000"/>
              <w:left w:val="single" w:sz="4" w:space="0" w:color="000000"/>
              <w:bottom w:val="single" w:sz="4" w:space="0" w:color="000000"/>
              <w:right w:val="single" w:sz="4" w:space="0" w:color="000000"/>
            </w:tcBorders>
            <w:hideMark/>
          </w:tcPr>
          <w:p w14:paraId="0D9C2E3C" w14:textId="77777777" w:rsidR="000E6038" w:rsidRPr="003D4A39" w:rsidRDefault="000E6038" w:rsidP="000E6038">
            <w:pPr>
              <w:ind w:left="142"/>
              <w:rPr>
                <w:sz w:val="24"/>
                <w:szCs w:val="24"/>
              </w:rPr>
            </w:pPr>
            <w:r w:rsidRPr="003D4A39">
              <w:rPr>
                <w:sz w:val="24"/>
                <w:szCs w:val="24"/>
              </w:rPr>
              <w:t>Hjerte</w:t>
            </w:r>
          </w:p>
        </w:tc>
        <w:tc>
          <w:tcPr>
            <w:tcW w:w="1264" w:type="pct"/>
            <w:tcBorders>
              <w:top w:val="single" w:sz="4" w:space="0" w:color="000000"/>
              <w:left w:val="single" w:sz="4" w:space="0" w:color="000000"/>
              <w:bottom w:val="single" w:sz="4" w:space="0" w:color="000000"/>
              <w:right w:val="single" w:sz="4" w:space="0" w:color="000000"/>
            </w:tcBorders>
          </w:tcPr>
          <w:p w14:paraId="3BA66C4B" w14:textId="77777777" w:rsidR="000E6038" w:rsidRPr="003D4A39" w:rsidRDefault="000E6038" w:rsidP="000E6038">
            <w:pPr>
              <w:ind w:left="142"/>
              <w:rPr>
                <w:sz w:val="24"/>
                <w:szCs w:val="24"/>
              </w:rPr>
            </w:pPr>
          </w:p>
        </w:tc>
        <w:tc>
          <w:tcPr>
            <w:tcW w:w="1262" w:type="pct"/>
            <w:tcBorders>
              <w:top w:val="single" w:sz="4" w:space="0" w:color="000000"/>
              <w:left w:val="single" w:sz="4" w:space="0" w:color="000000"/>
              <w:bottom w:val="single" w:sz="4" w:space="0" w:color="000000"/>
              <w:right w:val="single" w:sz="4" w:space="0" w:color="000000"/>
            </w:tcBorders>
            <w:hideMark/>
          </w:tcPr>
          <w:p w14:paraId="7A95516F" w14:textId="77777777" w:rsidR="000E6038" w:rsidRPr="003D4A39" w:rsidRDefault="000E6038" w:rsidP="000E6038">
            <w:pPr>
              <w:ind w:left="142"/>
              <w:rPr>
                <w:sz w:val="24"/>
                <w:szCs w:val="24"/>
              </w:rPr>
            </w:pPr>
            <w:r w:rsidRPr="003D4A39">
              <w:rPr>
                <w:sz w:val="24"/>
                <w:szCs w:val="24"/>
              </w:rPr>
              <w:t>Arytmi (G3/4: 2,0 %)</w:t>
            </w:r>
          </w:p>
        </w:tc>
        <w:tc>
          <w:tcPr>
            <w:tcW w:w="1210" w:type="pct"/>
            <w:tcBorders>
              <w:top w:val="single" w:sz="4" w:space="0" w:color="000000"/>
              <w:left w:val="single" w:sz="4" w:space="0" w:color="000000"/>
              <w:bottom w:val="single" w:sz="4" w:space="0" w:color="000000"/>
              <w:right w:val="single" w:sz="4" w:space="0" w:color="000000"/>
            </w:tcBorders>
            <w:hideMark/>
          </w:tcPr>
          <w:p w14:paraId="4D620782" w14:textId="77777777" w:rsidR="000E6038" w:rsidRPr="003D4A39" w:rsidRDefault="000E6038" w:rsidP="000E6038">
            <w:pPr>
              <w:ind w:left="142"/>
              <w:rPr>
                <w:sz w:val="24"/>
                <w:szCs w:val="24"/>
              </w:rPr>
            </w:pPr>
            <w:r w:rsidRPr="003D4A39">
              <w:rPr>
                <w:sz w:val="24"/>
                <w:szCs w:val="24"/>
              </w:rPr>
              <w:t>Iskæmisk hjertesygdom</w:t>
            </w:r>
          </w:p>
        </w:tc>
      </w:tr>
      <w:tr w:rsidR="000E6038" w:rsidRPr="003D4A39" w14:paraId="1A7AEBE8" w14:textId="77777777" w:rsidTr="000E6038">
        <w:trPr>
          <w:trHeight w:val="20"/>
        </w:trPr>
        <w:tc>
          <w:tcPr>
            <w:tcW w:w="1264" w:type="pct"/>
            <w:tcBorders>
              <w:top w:val="single" w:sz="4" w:space="0" w:color="000000"/>
              <w:left w:val="single" w:sz="4" w:space="0" w:color="000000"/>
              <w:bottom w:val="single" w:sz="4" w:space="0" w:color="000000"/>
              <w:right w:val="single" w:sz="4" w:space="0" w:color="000000"/>
            </w:tcBorders>
            <w:hideMark/>
          </w:tcPr>
          <w:p w14:paraId="1E942692" w14:textId="23E8ECAF" w:rsidR="000E6038" w:rsidRPr="003D4A39" w:rsidRDefault="000E6038" w:rsidP="000E6038">
            <w:pPr>
              <w:ind w:left="142"/>
              <w:rPr>
                <w:sz w:val="24"/>
                <w:szCs w:val="24"/>
              </w:rPr>
            </w:pPr>
            <w:r w:rsidRPr="003D4A39">
              <w:rPr>
                <w:sz w:val="24"/>
                <w:szCs w:val="24"/>
              </w:rPr>
              <w:t xml:space="preserve">Vaskulære </w:t>
            </w:r>
            <w:r w:rsidRPr="00FA3EE7">
              <w:rPr>
                <w:sz w:val="24"/>
                <w:szCs w:val="24"/>
              </w:rPr>
              <w:t>sygdomme</w:t>
            </w:r>
          </w:p>
        </w:tc>
        <w:tc>
          <w:tcPr>
            <w:tcW w:w="1264" w:type="pct"/>
            <w:tcBorders>
              <w:top w:val="single" w:sz="4" w:space="0" w:color="000000"/>
              <w:left w:val="single" w:sz="4" w:space="0" w:color="000000"/>
              <w:bottom w:val="single" w:sz="4" w:space="0" w:color="000000"/>
              <w:right w:val="single" w:sz="4" w:space="0" w:color="000000"/>
            </w:tcBorders>
          </w:tcPr>
          <w:p w14:paraId="34987B8B" w14:textId="77777777" w:rsidR="000E6038" w:rsidRPr="003D4A39" w:rsidRDefault="000E6038" w:rsidP="000E6038">
            <w:pPr>
              <w:ind w:left="142"/>
              <w:rPr>
                <w:sz w:val="24"/>
                <w:szCs w:val="24"/>
              </w:rPr>
            </w:pPr>
          </w:p>
        </w:tc>
        <w:tc>
          <w:tcPr>
            <w:tcW w:w="1262" w:type="pct"/>
            <w:tcBorders>
              <w:top w:val="single" w:sz="4" w:space="0" w:color="000000"/>
              <w:left w:val="single" w:sz="4" w:space="0" w:color="000000"/>
              <w:bottom w:val="single" w:sz="4" w:space="0" w:color="000000"/>
              <w:right w:val="single" w:sz="4" w:space="0" w:color="000000"/>
            </w:tcBorders>
          </w:tcPr>
          <w:p w14:paraId="58C8486E" w14:textId="77777777" w:rsidR="000E6038" w:rsidRPr="003D4A39" w:rsidRDefault="000E6038" w:rsidP="000E6038">
            <w:pPr>
              <w:ind w:left="142"/>
              <w:rPr>
                <w:sz w:val="24"/>
                <w:szCs w:val="24"/>
              </w:rPr>
            </w:pPr>
          </w:p>
        </w:tc>
        <w:tc>
          <w:tcPr>
            <w:tcW w:w="1210" w:type="pct"/>
            <w:tcBorders>
              <w:top w:val="single" w:sz="4" w:space="0" w:color="000000"/>
              <w:left w:val="single" w:sz="4" w:space="0" w:color="000000"/>
              <w:bottom w:val="single" w:sz="4" w:space="0" w:color="000000"/>
              <w:right w:val="single" w:sz="4" w:space="0" w:color="000000"/>
            </w:tcBorders>
            <w:hideMark/>
          </w:tcPr>
          <w:p w14:paraId="168F8200" w14:textId="77777777" w:rsidR="000E6038" w:rsidRPr="003D4A39" w:rsidRDefault="000E6038" w:rsidP="000E6038">
            <w:pPr>
              <w:ind w:left="142"/>
              <w:rPr>
                <w:sz w:val="24"/>
                <w:szCs w:val="24"/>
              </w:rPr>
            </w:pPr>
            <w:r w:rsidRPr="003D4A39">
              <w:rPr>
                <w:sz w:val="24"/>
                <w:szCs w:val="24"/>
              </w:rPr>
              <w:t>Venesygdomme</w:t>
            </w:r>
          </w:p>
        </w:tc>
      </w:tr>
      <w:tr w:rsidR="000E6038" w:rsidRPr="003D4A39" w14:paraId="277C30F3" w14:textId="77777777" w:rsidTr="000E6038">
        <w:trPr>
          <w:trHeight w:val="20"/>
        </w:trPr>
        <w:tc>
          <w:tcPr>
            <w:tcW w:w="1264" w:type="pct"/>
            <w:tcBorders>
              <w:top w:val="single" w:sz="4" w:space="0" w:color="000000"/>
              <w:left w:val="single" w:sz="4" w:space="0" w:color="000000"/>
              <w:bottom w:val="single" w:sz="4" w:space="0" w:color="000000"/>
              <w:right w:val="single" w:sz="4" w:space="0" w:color="000000"/>
            </w:tcBorders>
            <w:hideMark/>
          </w:tcPr>
          <w:p w14:paraId="78B8D5B4" w14:textId="39CCC406" w:rsidR="000E6038" w:rsidRPr="003D4A39" w:rsidRDefault="000E6038" w:rsidP="000E6038">
            <w:pPr>
              <w:ind w:left="142"/>
              <w:rPr>
                <w:sz w:val="24"/>
                <w:szCs w:val="24"/>
              </w:rPr>
            </w:pPr>
            <w:r w:rsidRPr="003D4A39">
              <w:rPr>
                <w:sz w:val="24"/>
                <w:szCs w:val="24"/>
              </w:rPr>
              <w:t>Mave-tarm</w:t>
            </w:r>
            <w:r>
              <w:rPr>
                <w:sz w:val="24"/>
                <w:szCs w:val="24"/>
              </w:rPr>
              <w:t>-</w:t>
            </w:r>
            <w:r w:rsidRPr="003D4A39">
              <w:rPr>
                <w:sz w:val="24"/>
                <w:szCs w:val="24"/>
              </w:rPr>
              <w:t>kanalen</w:t>
            </w:r>
          </w:p>
        </w:tc>
        <w:tc>
          <w:tcPr>
            <w:tcW w:w="1264" w:type="pct"/>
            <w:tcBorders>
              <w:top w:val="single" w:sz="4" w:space="0" w:color="000000"/>
              <w:left w:val="single" w:sz="4" w:space="0" w:color="000000"/>
              <w:bottom w:val="single" w:sz="4" w:space="0" w:color="000000"/>
              <w:right w:val="single" w:sz="4" w:space="0" w:color="000000"/>
            </w:tcBorders>
            <w:hideMark/>
          </w:tcPr>
          <w:p w14:paraId="65EB63F5" w14:textId="77777777" w:rsidR="000E6038" w:rsidRPr="003D4A39" w:rsidRDefault="000E6038" w:rsidP="000E6038">
            <w:pPr>
              <w:ind w:left="142"/>
              <w:rPr>
                <w:sz w:val="24"/>
                <w:szCs w:val="24"/>
              </w:rPr>
            </w:pPr>
            <w:r w:rsidRPr="003D4A39">
              <w:rPr>
                <w:sz w:val="24"/>
                <w:szCs w:val="24"/>
              </w:rPr>
              <w:t>Kvalme (G3/4: 13,9 %);</w:t>
            </w:r>
          </w:p>
          <w:p w14:paraId="12669ABA" w14:textId="77777777" w:rsidR="000E6038" w:rsidRPr="003D4A39" w:rsidRDefault="000E6038" w:rsidP="000E6038">
            <w:pPr>
              <w:ind w:left="142"/>
              <w:rPr>
                <w:sz w:val="24"/>
                <w:szCs w:val="24"/>
              </w:rPr>
            </w:pPr>
            <w:r w:rsidRPr="003D4A39">
              <w:rPr>
                <w:sz w:val="24"/>
                <w:szCs w:val="24"/>
              </w:rPr>
              <w:t>Stomatitis (G3/4: 20,7 %);</w:t>
            </w:r>
          </w:p>
          <w:p w14:paraId="054A9A8E" w14:textId="77777777" w:rsidR="000E6038" w:rsidRPr="003D4A39" w:rsidRDefault="000E6038" w:rsidP="000E6038">
            <w:pPr>
              <w:ind w:left="142"/>
              <w:rPr>
                <w:sz w:val="24"/>
                <w:szCs w:val="24"/>
              </w:rPr>
            </w:pPr>
            <w:r w:rsidRPr="003D4A39">
              <w:rPr>
                <w:sz w:val="24"/>
                <w:szCs w:val="24"/>
              </w:rPr>
              <w:t>Opkastning (G3/4: 8,4 %)</w:t>
            </w:r>
          </w:p>
          <w:p w14:paraId="1A17E9EB" w14:textId="77777777" w:rsidR="000E6038" w:rsidRPr="003D4A39" w:rsidRDefault="000E6038" w:rsidP="000E6038">
            <w:pPr>
              <w:ind w:left="142"/>
              <w:rPr>
                <w:sz w:val="24"/>
                <w:szCs w:val="24"/>
              </w:rPr>
            </w:pPr>
            <w:r w:rsidRPr="003D4A39">
              <w:rPr>
                <w:sz w:val="24"/>
                <w:szCs w:val="24"/>
              </w:rPr>
              <w:t>Diarré (G3/4: 6,8 %);</w:t>
            </w:r>
          </w:p>
          <w:p w14:paraId="227595EB" w14:textId="7F88FAD5" w:rsidR="000E6038" w:rsidRPr="003D4A39" w:rsidRDefault="000E6038" w:rsidP="000E6038">
            <w:pPr>
              <w:ind w:left="142"/>
              <w:rPr>
                <w:sz w:val="24"/>
                <w:szCs w:val="24"/>
              </w:rPr>
            </w:pPr>
            <w:r>
              <w:rPr>
                <w:sz w:val="24"/>
                <w:szCs w:val="24"/>
              </w:rPr>
              <w:t>Ø</w:t>
            </w:r>
            <w:r w:rsidRPr="003D4A39">
              <w:rPr>
                <w:sz w:val="24"/>
                <w:szCs w:val="24"/>
              </w:rPr>
              <w:t>so</w:t>
            </w:r>
            <w:r>
              <w:rPr>
                <w:sz w:val="24"/>
                <w:szCs w:val="24"/>
              </w:rPr>
              <w:t>f</w:t>
            </w:r>
            <w:r w:rsidRPr="003D4A39">
              <w:rPr>
                <w:sz w:val="24"/>
                <w:szCs w:val="24"/>
              </w:rPr>
              <w:t>agitis/dys</w:t>
            </w:r>
            <w:r>
              <w:rPr>
                <w:sz w:val="24"/>
                <w:szCs w:val="24"/>
              </w:rPr>
              <w:t>f</w:t>
            </w:r>
            <w:r w:rsidRPr="003D4A39">
              <w:rPr>
                <w:sz w:val="24"/>
                <w:szCs w:val="24"/>
              </w:rPr>
              <w:t>agi/ odyno</w:t>
            </w:r>
            <w:r>
              <w:rPr>
                <w:sz w:val="24"/>
                <w:szCs w:val="24"/>
              </w:rPr>
              <w:t>f</w:t>
            </w:r>
            <w:r w:rsidRPr="003D4A39">
              <w:rPr>
                <w:sz w:val="24"/>
                <w:szCs w:val="24"/>
              </w:rPr>
              <w:t>agi (G3/4: 12,0 %)</w:t>
            </w:r>
          </w:p>
          <w:p w14:paraId="14051F08" w14:textId="77777777" w:rsidR="000E6038" w:rsidRPr="003D4A39" w:rsidRDefault="000E6038" w:rsidP="000E6038">
            <w:pPr>
              <w:ind w:left="142"/>
              <w:rPr>
                <w:sz w:val="24"/>
                <w:szCs w:val="24"/>
              </w:rPr>
            </w:pPr>
            <w:r w:rsidRPr="003D4A39">
              <w:rPr>
                <w:sz w:val="24"/>
                <w:szCs w:val="24"/>
              </w:rPr>
              <w:t>Konstipation (G3/4: 0,4 %)</w:t>
            </w:r>
          </w:p>
        </w:tc>
        <w:tc>
          <w:tcPr>
            <w:tcW w:w="1262" w:type="pct"/>
            <w:tcBorders>
              <w:top w:val="single" w:sz="4" w:space="0" w:color="000000"/>
              <w:left w:val="single" w:sz="4" w:space="0" w:color="000000"/>
              <w:bottom w:val="single" w:sz="4" w:space="0" w:color="000000"/>
              <w:right w:val="single" w:sz="4" w:space="0" w:color="000000"/>
            </w:tcBorders>
            <w:hideMark/>
          </w:tcPr>
          <w:p w14:paraId="23843466" w14:textId="77777777" w:rsidR="000E6038" w:rsidRPr="003D4A39" w:rsidRDefault="000E6038" w:rsidP="000E6038">
            <w:pPr>
              <w:ind w:left="142"/>
              <w:rPr>
                <w:sz w:val="24"/>
                <w:szCs w:val="24"/>
              </w:rPr>
            </w:pPr>
            <w:r w:rsidRPr="003D4A39">
              <w:rPr>
                <w:sz w:val="24"/>
                <w:szCs w:val="24"/>
              </w:rPr>
              <w:t>Dyspepsi (G3/4: 0,8 %)</w:t>
            </w:r>
          </w:p>
          <w:p w14:paraId="21DAF344" w14:textId="77777777" w:rsidR="000E6038" w:rsidRPr="003D4A39" w:rsidRDefault="000E6038" w:rsidP="000E6038">
            <w:pPr>
              <w:ind w:left="142"/>
              <w:rPr>
                <w:sz w:val="24"/>
                <w:szCs w:val="24"/>
              </w:rPr>
            </w:pPr>
            <w:r w:rsidRPr="003D4A39">
              <w:rPr>
                <w:sz w:val="24"/>
                <w:szCs w:val="24"/>
              </w:rPr>
              <w:t>Gastrointestinal smerte (G3/4: 1,2 %)</w:t>
            </w:r>
          </w:p>
          <w:p w14:paraId="67B332BF" w14:textId="77777777" w:rsidR="000E6038" w:rsidRPr="003D4A39" w:rsidRDefault="000E6038" w:rsidP="000E6038">
            <w:pPr>
              <w:ind w:left="142"/>
              <w:rPr>
                <w:sz w:val="24"/>
                <w:szCs w:val="24"/>
              </w:rPr>
            </w:pPr>
            <w:r w:rsidRPr="003D4A39">
              <w:rPr>
                <w:sz w:val="24"/>
                <w:szCs w:val="24"/>
              </w:rPr>
              <w:t>Gastrointestinal blødning (G3/4: 0,4 %)</w:t>
            </w:r>
          </w:p>
        </w:tc>
        <w:tc>
          <w:tcPr>
            <w:tcW w:w="1210" w:type="pct"/>
            <w:tcBorders>
              <w:top w:val="single" w:sz="4" w:space="0" w:color="000000"/>
              <w:left w:val="single" w:sz="4" w:space="0" w:color="000000"/>
              <w:bottom w:val="single" w:sz="4" w:space="0" w:color="000000"/>
              <w:right w:val="single" w:sz="4" w:space="0" w:color="000000"/>
            </w:tcBorders>
          </w:tcPr>
          <w:p w14:paraId="60AEA852" w14:textId="77777777" w:rsidR="000E6038" w:rsidRPr="003D4A39" w:rsidRDefault="000E6038" w:rsidP="000E6038">
            <w:pPr>
              <w:ind w:left="142"/>
              <w:rPr>
                <w:sz w:val="24"/>
                <w:szCs w:val="24"/>
              </w:rPr>
            </w:pPr>
          </w:p>
        </w:tc>
      </w:tr>
      <w:tr w:rsidR="000E6038" w:rsidRPr="003D4A39" w14:paraId="536F6627" w14:textId="77777777" w:rsidTr="000E6038">
        <w:trPr>
          <w:trHeight w:val="20"/>
        </w:trPr>
        <w:tc>
          <w:tcPr>
            <w:tcW w:w="1264" w:type="pct"/>
            <w:tcBorders>
              <w:top w:val="single" w:sz="4" w:space="0" w:color="000000"/>
              <w:left w:val="single" w:sz="4" w:space="0" w:color="000000"/>
              <w:bottom w:val="single" w:sz="4" w:space="0" w:color="000000"/>
              <w:right w:val="single" w:sz="4" w:space="0" w:color="000000"/>
            </w:tcBorders>
            <w:hideMark/>
          </w:tcPr>
          <w:p w14:paraId="626EA7FA" w14:textId="77777777" w:rsidR="000E6038" w:rsidRPr="003D4A39" w:rsidRDefault="000E6038" w:rsidP="000E6038">
            <w:pPr>
              <w:ind w:left="142"/>
              <w:rPr>
                <w:sz w:val="24"/>
                <w:szCs w:val="24"/>
              </w:rPr>
            </w:pPr>
            <w:r w:rsidRPr="003D4A39">
              <w:rPr>
                <w:sz w:val="24"/>
                <w:szCs w:val="24"/>
              </w:rPr>
              <w:t>Hud og subkutane væv</w:t>
            </w:r>
          </w:p>
        </w:tc>
        <w:tc>
          <w:tcPr>
            <w:tcW w:w="1264" w:type="pct"/>
            <w:tcBorders>
              <w:top w:val="single" w:sz="4" w:space="0" w:color="000000"/>
              <w:left w:val="single" w:sz="4" w:space="0" w:color="000000"/>
              <w:bottom w:val="single" w:sz="4" w:space="0" w:color="000000"/>
              <w:right w:val="single" w:sz="4" w:space="0" w:color="000000"/>
            </w:tcBorders>
            <w:hideMark/>
          </w:tcPr>
          <w:p w14:paraId="4A2F0985" w14:textId="77777777" w:rsidR="000E6038" w:rsidRPr="003D4A39" w:rsidRDefault="000E6038" w:rsidP="000E6038">
            <w:pPr>
              <w:ind w:left="142"/>
              <w:rPr>
                <w:sz w:val="24"/>
                <w:szCs w:val="24"/>
              </w:rPr>
            </w:pPr>
            <w:r w:rsidRPr="003D4A39">
              <w:rPr>
                <w:sz w:val="24"/>
                <w:szCs w:val="24"/>
              </w:rPr>
              <w:t>Alopeci (G3/4: 4,0 %);</w:t>
            </w:r>
          </w:p>
          <w:p w14:paraId="098D1C25" w14:textId="77777777" w:rsidR="000E6038" w:rsidRPr="003D4A39" w:rsidRDefault="000E6038" w:rsidP="000E6038">
            <w:pPr>
              <w:ind w:left="142"/>
              <w:rPr>
                <w:sz w:val="24"/>
                <w:szCs w:val="24"/>
              </w:rPr>
            </w:pPr>
            <w:r w:rsidRPr="003D4A39">
              <w:rPr>
                <w:sz w:val="24"/>
                <w:szCs w:val="24"/>
              </w:rPr>
              <w:t>Kløende udslæt</w:t>
            </w:r>
          </w:p>
        </w:tc>
        <w:tc>
          <w:tcPr>
            <w:tcW w:w="1262" w:type="pct"/>
            <w:tcBorders>
              <w:top w:val="single" w:sz="4" w:space="0" w:color="000000"/>
              <w:left w:val="single" w:sz="4" w:space="0" w:color="000000"/>
              <w:bottom w:val="single" w:sz="4" w:space="0" w:color="000000"/>
              <w:right w:val="single" w:sz="4" w:space="0" w:color="000000"/>
            </w:tcBorders>
            <w:hideMark/>
          </w:tcPr>
          <w:p w14:paraId="057D6F58" w14:textId="77777777" w:rsidR="000E6038" w:rsidRPr="003D4A39" w:rsidRDefault="000E6038" w:rsidP="000E6038">
            <w:pPr>
              <w:ind w:left="142"/>
              <w:rPr>
                <w:sz w:val="24"/>
                <w:szCs w:val="24"/>
              </w:rPr>
            </w:pPr>
            <w:r w:rsidRPr="003D4A39">
              <w:rPr>
                <w:sz w:val="24"/>
                <w:szCs w:val="24"/>
              </w:rPr>
              <w:t xml:space="preserve">Tør hud; </w:t>
            </w:r>
          </w:p>
          <w:p w14:paraId="3825236A" w14:textId="77777777" w:rsidR="000E6038" w:rsidRPr="003D4A39" w:rsidRDefault="000E6038" w:rsidP="000E6038">
            <w:pPr>
              <w:ind w:left="142"/>
              <w:rPr>
                <w:sz w:val="24"/>
                <w:szCs w:val="24"/>
              </w:rPr>
            </w:pPr>
            <w:r w:rsidRPr="003D4A39">
              <w:rPr>
                <w:sz w:val="24"/>
                <w:szCs w:val="24"/>
              </w:rPr>
              <w:t>Afskalning</w:t>
            </w:r>
          </w:p>
        </w:tc>
        <w:tc>
          <w:tcPr>
            <w:tcW w:w="1210" w:type="pct"/>
            <w:tcBorders>
              <w:top w:val="single" w:sz="4" w:space="0" w:color="000000"/>
              <w:left w:val="single" w:sz="4" w:space="0" w:color="000000"/>
              <w:bottom w:val="single" w:sz="4" w:space="0" w:color="000000"/>
              <w:right w:val="single" w:sz="4" w:space="0" w:color="000000"/>
            </w:tcBorders>
          </w:tcPr>
          <w:p w14:paraId="03CC65F0" w14:textId="77777777" w:rsidR="000E6038" w:rsidRPr="003D4A39" w:rsidRDefault="000E6038" w:rsidP="000E6038">
            <w:pPr>
              <w:ind w:left="142"/>
              <w:rPr>
                <w:sz w:val="24"/>
                <w:szCs w:val="24"/>
              </w:rPr>
            </w:pPr>
          </w:p>
        </w:tc>
      </w:tr>
      <w:tr w:rsidR="000E6038" w:rsidRPr="003D4A39" w14:paraId="6083AA2E" w14:textId="77777777" w:rsidTr="000E6038">
        <w:trPr>
          <w:trHeight w:val="20"/>
        </w:trPr>
        <w:tc>
          <w:tcPr>
            <w:tcW w:w="1264" w:type="pct"/>
            <w:tcBorders>
              <w:top w:val="single" w:sz="4" w:space="0" w:color="000000"/>
              <w:left w:val="single" w:sz="4" w:space="0" w:color="000000"/>
              <w:bottom w:val="single" w:sz="4" w:space="0" w:color="000000"/>
              <w:right w:val="single" w:sz="4" w:space="0" w:color="000000"/>
            </w:tcBorders>
            <w:hideMark/>
          </w:tcPr>
          <w:p w14:paraId="73AEC852" w14:textId="77777777" w:rsidR="000E6038" w:rsidRPr="003D4A39" w:rsidRDefault="000E6038" w:rsidP="000E6038">
            <w:pPr>
              <w:ind w:left="142"/>
              <w:rPr>
                <w:sz w:val="24"/>
                <w:szCs w:val="24"/>
              </w:rPr>
            </w:pPr>
            <w:r w:rsidRPr="003D4A39">
              <w:rPr>
                <w:sz w:val="24"/>
                <w:szCs w:val="24"/>
              </w:rPr>
              <w:t>Knogler, led, muskler og bindevæv</w:t>
            </w:r>
          </w:p>
        </w:tc>
        <w:tc>
          <w:tcPr>
            <w:tcW w:w="1264" w:type="pct"/>
            <w:tcBorders>
              <w:top w:val="single" w:sz="4" w:space="0" w:color="000000"/>
              <w:left w:val="single" w:sz="4" w:space="0" w:color="000000"/>
              <w:bottom w:val="single" w:sz="4" w:space="0" w:color="000000"/>
              <w:right w:val="single" w:sz="4" w:space="0" w:color="000000"/>
            </w:tcBorders>
          </w:tcPr>
          <w:p w14:paraId="1347F00C" w14:textId="77777777" w:rsidR="000E6038" w:rsidRPr="003D4A39" w:rsidRDefault="000E6038" w:rsidP="000E6038">
            <w:pPr>
              <w:ind w:left="142"/>
              <w:rPr>
                <w:sz w:val="24"/>
                <w:szCs w:val="24"/>
              </w:rPr>
            </w:pPr>
          </w:p>
        </w:tc>
        <w:tc>
          <w:tcPr>
            <w:tcW w:w="1262" w:type="pct"/>
            <w:tcBorders>
              <w:top w:val="single" w:sz="4" w:space="0" w:color="000000"/>
              <w:left w:val="single" w:sz="4" w:space="0" w:color="000000"/>
              <w:bottom w:val="single" w:sz="4" w:space="0" w:color="000000"/>
              <w:right w:val="single" w:sz="4" w:space="0" w:color="000000"/>
            </w:tcBorders>
            <w:hideMark/>
          </w:tcPr>
          <w:p w14:paraId="49D0B262" w14:textId="77777777" w:rsidR="000E6038" w:rsidRPr="003D4A39" w:rsidRDefault="000E6038" w:rsidP="000E6038">
            <w:pPr>
              <w:ind w:left="142"/>
              <w:rPr>
                <w:sz w:val="24"/>
                <w:szCs w:val="24"/>
              </w:rPr>
            </w:pPr>
            <w:r w:rsidRPr="003D4A39">
              <w:rPr>
                <w:sz w:val="24"/>
                <w:szCs w:val="24"/>
              </w:rPr>
              <w:t>Myalgi (G3/4: 0,4 %)</w:t>
            </w:r>
          </w:p>
        </w:tc>
        <w:tc>
          <w:tcPr>
            <w:tcW w:w="1210" w:type="pct"/>
            <w:tcBorders>
              <w:top w:val="single" w:sz="4" w:space="0" w:color="000000"/>
              <w:left w:val="single" w:sz="4" w:space="0" w:color="000000"/>
              <w:bottom w:val="single" w:sz="4" w:space="0" w:color="000000"/>
              <w:right w:val="single" w:sz="4" w:space="0" w:color="000000"/>
            </w:tcBorders>
          </w:tcPr>
          <w:p w14:paraId="66583204" w14:textId="77777777" w:rsidR="000E6038" w:rsidRPr="003D4A39" w:rsidRDefault="000E6038" w:rsidP="000E6038">
            <w:pPr>
              <w:ind w:left="142"/>
              <w:rPr>
                <w:sz w:val="24"/>
                <w:szCs w:val="24"/>
              </w:rPr>
            </w:pPr>
          </w:p>
        </w:tc>
      </w:tr>
      <w:tr w:rsidR="000E6038" w:rsidRPr="003D4A39" w14:paraId="53576DC3" w14:textId="77777777" w:rsidTr="000E6038">
        <w:trPr>
          <w:trHeight w:val="20"/>
        </w:trPr>
        <w:tc>
          <w:tcPr>
            <w:tcW w:w="1264" w:type="pct"/>
            <w:tcBorders>
              <w:top w:val="single" w:sz="4" w:space="0" w:color="000000"/>
              <w:left w:val="single" w:sz="4" w:space="0" w:color="000000"/>
              <w:bottom w:val="single" w:sz="4" w:space="0" w:color="000000"/>
              <w:right w:val="single" w:sz="4" w:space="0" w:color="000000"/>
            </w:tcBorders>
            <w:hideMark/>
          </w:tcPr>
          <w:p w14:paraId="362481AD" w14:textId="77777777" w:rsidR="000E6038" w:rsidRPr="003D4A39" w:rsidRDefault="000E6038" w:rsidP="000E6038">
            <w:pPr>
              <w:ind w:left="142"/>
              <w:rPr>
                <w:sz w:val="24"/>
                <w:szCs w:val="24"/>
              </w:rPr>
            </w:pPr>
            <w:r w:rsidRPr="003D4A39">
              <w:rPr>
                <w:sz w:val="24"/>
                <w:szCs w:val="24"/>
              </w:rPr>
              <w:t>Almene symptomer og reaktioner på administrationsstedet</w:t>
            </w:r>
          </w:p>
        </w:tc>
        <w:tc>
          <w:tcPr>
            <w:tcW w:w="1264" w:type="pct"/>
            <w:tcBorders>
              <w:top w:val="single" w:sz="4" w:space="0" w:color="000000"/>
              <w:left w:val="single" w:sz="4" w:space="0" w:color="000000"/>
              <w:bottom w:val="single" w:sz="4" w:space="0" w:color="000000"/>
              <w:right w:val="single" w:sz="4" w:space="0" w:color="000000"/>
            </w:tcBorders>
            <w:hideMark/>
          </w:tcPr>
          <w:p w14:paraId="318F90F5" w14:textId="77777777" w:rsidR="000E6038" w:rsidRPr="003D4A39" w:rsidRDefault="000E6038" w:rsidP="000E6038">
            <w:pPr>
              <w:ind w:left="142"/>
              <w:rPr>
                <w:sz w:val="24"/>
                <w:szCs w:val="24"/>
              </w:rPr>
            </w:pPr>
            <w:r w:rsidRPr="003D4A39">
              <w:rPr>
                <w:sz w:val="24"/>
                <w:szCs w:val="24"/>
              </w:rPr>
              <w:t>Letargi (G3/4: 4,0 %);</w:t>
            </w:r>
          </w:p>
          <w:p w14:paraId="6BB8C8F0" w14:textId="77777777" w:rsidR="000E6038" w:rsidRPr="003D4A39" w:rsidRDefault="000E6038" w:rsidP="000E6038">
            <w:pPr>
              <w:ind w:left="142"/>
              <w:rPr>
                <w:sz w:val="24"/>
                <w:szCs w:val="24"/>
              </w:rPr>
            </w:pPr>
            <w:r w:rsidRPr="003D4A39">
              <w:rPr>
                <w:sz w:val="24"/>
                <w:szCs w:val="24"/>
              </w:rPr>
              <w:t>Febril tilstand (G3/4: 3,6 %);</w:t>
            </w:r>
          </w:p>
          <w:p w14:paraId="2B019966" w14:textId="77777777" w:rsidR="000E6038" w:rsidRPr="003D4A39" w:rsidRDefault="000E6038" w:rsidP="000E6038">
            <w:pPr>
              <w:ind w:left="142"/>
              <w:rPr>
                <w:sz w:val="24"/>
                <w:szCs w:val="24"/>
              </w:rPr>
            </w:pPr>
            <w:r w:rsidRPr="003D4A39">
              <w:rPr>
                <w:sz w:val="24"/>
                <w:szCs w:val="24"/>
              </w:rPr>
              <w:t>Væskeretention G3/4: 1,2 %);</w:t>
            </w:r>
          </w:p>
          <w:p w14:paraId="77669B6B" w14:textId="77777777" w:rsidR="000E6038" w:rsidRPr="003D4A39" w:rsidRDefault="000E6038" w:rsidP="000E6038">
            <w:pPr>
              <w:ind w:left="142"/>
              <w:rPr>
                <w:sz w:val="24"/>
                <w:szCs w:val="24"/>
              </w:rPr>
            </w:pPr>
            <w:r w:rsidRPr="003D4A39">
              <w:rPr>
                <w:sz w:val="24"/>
                <w:szCs w:val="24"/>
              </w:rPr>
              <w:t>Ødemer (G3/4: 1,2 %)</w:t>
            </w:r>
          </w:p>
        </w:tc>
        <w:tc>
          <w:tcPr>
            <w:tcW w:w="1262" w:type="pct"/>
            <w:tcBorders>
              <w:top w:val="single" w:sz="4" w:space="0" w:color="000000"/>
              <w:left w:val="single" w:sz="4" w:space="0" w:color="000000"/>
              <w:bottom w:val="single" w:sz="4" w:space="0" w:color="000000"/>
              <w:right w:val="single" w:sz="4" w:space="0" w:color="000000"/>
            </w:tcBorders>
          </w:tcPr>
          <w:p w14:paraId="36654F02" w14:textId="77777777" w:rsidR="000E6038" w:rsidRPr="003D4A39" w:rsidRDefault="000E6038" w:rsidP="000E6038">
            <w:pPr>
              <w:ind w:left="142"/>
              <w:rPr>
                <w:sz w:val="24"/>
                <w:szCs w:val="24"/>
              </w:rPr>
            </w:pPr>
          </w:p>
        </w:tc>
        <w:tc>
          <w:tcPr>
            <w:tcW w:w="1210" w:type="pct"/>
            <w:tcBorders>
              <w:top w:val="single" w:sz="4" w:space="0" w:color="000000"/>
              <w:left w:val="single" w:sz="4" w:space="0" w:color="000000"/>
              <w:bottom w:val="single" w:sz="4" w:space="0" w:color="000000"/>
              <w:right w:val="single" w:sz="4" w:space="0" w:color="000000"/>
            </w:tcBorders>
          </w:tcPr>
          <w:p w14:paraId="6794D25F" w14:textId="77777777" w:rsidR="000E6038" w:rsidRPr="003D4A39" w:rsidRDefault="000E6038" w:rsidP="000E6038">
            <w:pPr>
              <w:ind w:left="142"/>
              <w:rPr>
                <w:sz w:val="24"/>
                <w:szCs w:val="24"/>
              </w:rPr>
            </w:pPr>
          </w:p>
        </w:tc>
      </w:tr>
      <w:tr w:rsidR="000E6038" w:rsidRPr="003D4A39" w14:paraId="26AF0894" w14:textId="77777777" w:rsidTr="000E6038">
        <w:trPr>
          <w:trHeight w:val="20"/>
        </w:trPr>
        <w:tc>
          <w:tcPr>
            <w:tcW w:w="1264" w:type="pct"/>
            <w:tcBorders>
              <w:top w:val="single" w:sz="4" w:space="0" w:color="000000"/>
              <w:left w:val="single" w:sz="4" w:space="0" w:color="000000"/>
              <w:bottom w:val="single" w:sz="4" w:space="0" w:color="000000"/>
              <w:right w:val="single" w:sz="4" w:space="0" w:color="000000"/>
            </w:tcBorders>
            <w:hideMark/>
          </w:tcPr>
          <w:p w14:paraId="5C1AB737" w14:textId="77777777" w:rsidR="000E6038" w:rsidRPr="003D4A39" w:rsidRDefault="000E6038" w:rsidP="000E6038">
            <w:pPr>
              <w:ind w:left="142"/>
              <w:rPr>
                <w:sz w:val="24"/>
                <w:szCs w:val="24"/>
              </w:rPr>
            </w:pPr>
            <w:r w:rsidRPr="003D4A39">
              <w:rPr>
                <w:sz w:val="24"/>
                <w:szCs w:val="24"/>
              </w:rPr>
              <w:t>Undersøgelser</w:t>
            </w:r>
          </w:p>
        </w:tc>
        <w:tc>
          <w:tcPr>
            <w:tcW w:w="1264" w:type="pct"/>
            <w:tcBorders>
              <w:top w:val="single" w:sz="4" w:space="0" w:color="000000"/>
              <w:left w:val="single" w:sz="4" w:space="0" w:color="000000"/>
              <w:bottom w:val="single" w:sz="4" w:space="0" w:color="000000"/>
              <w:right w:val="single" w:sz="4" w:space="0" w:color="000000"/>
            </w:tcBorders>
            <w:hideMark/>
          </w:tcPr>
          <w:p w14:paraId="07F3AFF8" w14:textId="77777777" w:rsidR="000E6038" w:rsidRPr="003D4A39" w:rsidRDefault="000E6038" w:rsidP="000E6038">
            <w:pPr>
              <w:ind w:left="142"/>
              <w:rPr>
                <w:sz w:val="24"/>
                <w:szCs w:val="24"/>
              </w:rPr>
            </w:pPr>
            <w:r w:rsidRPr="003D4A39">
              <w:rPr>
                <w:sz w:val="24"/>
                <w:szCs w:val="24"/>
              </w:rPr>
              <w:t>Vægttab</w:t>
            </w:r>
          </w:p>
        </w:tc>
        <w:tc>
          <w:tcPr>
            <w:tcW w:w="1262" w:type="pct"/>
            <w:tcBorders>
              <w:top w:val="single" w:sz="4" w:space="0" w:color="000000"/>
              <w:left w:val="single" w:sz="4" w:space="0" w:color="000000"/>
              <w:bottom w:val="single" w:sz="4" w:space="0" w:color="000000"/>
              <w:right w:val="single" w:sz="4" w:space="0" w:color="000000"/>
            </w:tcBorders>
          </w:tcPr>
          <w:p w14:paraId="2AB281A8" w14:textId="77777777" w:rsidR="000E6038" w:rsidRPr="003D4A39" w:rsidRDefault="000E6038" w:rsidP="000E6038">
            <w:pPr>
              <w:ind w:left="142"/>
              <w:rPr>
                <w:sz w:val="24"/>
                <w:szCs w:val="24"/>
              </w:rPr>
            </w:pPr>
          </w:p>
        </w:tc>
        <w:tc>
          <w:tcPr>
            <w:tcW w:w="1210" w:type="pct"/>
            <w:tcBorders>
              <w:top w:val="single" w:sz="4" w:space="0" w:color="000000"/>
              <w:left w:val="single" w:sz="4" w:space="0" w:color="000000"/>
              <w:bottom w:val="single" w:sz="4" w:space="0" w:color="000000"/>
              <w:right w:val="single" w:sz="4" w:space="0" w:color="000000"/>
            </w:tcBorders>
            <w:hideMark/>
          </w:tcPr>
          <w:p w14:paraId="1D24C53A" w14:textId="77777777" w:rsidR="000E6038" w:rsidRPr="003D4A39" w:rsidRDefault="000E6038" w:rsidP="000E6038">
            <w:pPr>
              <w:ind w:left="142"/>
              <w:rPr>
                <w:sz w:val="24"/>
                <w:szCs w:val="24"/>
              </w:rPr>
            </w:pPr>
            <w:r w:rsidRPr="003D4A39">
              <w:rPr>
                <w:sz w:val="24"/>
                <w:szCs w:val="24"/>
              </w:rPr>
              <w:t>Vægtøgning</w:t>
            </w:r>
          </w:p>
        </w:tc>
      </w:tr>
    </w:tbl>
    <w:p w14:paraId="4C00F443" w14:textId="7A03BB99" w:rsidR="006B34A1" w:rsidRDefault="006B34A1" w:rsidP="0081699D">
      <w:pPr>
        <w:ind w:left="851"/>
        <w:rPr>
          <w:sz w:val="24"/>
          <w:szCs w:val="24"/>
        </w:rPr>
      </w:pPr>
    </w:p>
    <w:p w14:paraId="79E85058" w14:textId="77777777" w:rsidR="00E119CB" w:rsidRPr="003D4A39" w:rsidRDefault="00E119CB" w:rsidP="00E119CB">
      <w:pPr>
        <w:ind w:left="851"/>
        <w:rPr>
          <w:sz w:val="24"/>
          <w:szCs w:val="24"/>
        </w:rPr>
      </w:pPr>
      <w:r w:rsidRPr="003D4A39">
        <w:rPr>
          <w:sz w:val="24"/>
          <w:szCs w:val="24"/>
          <w:u w:val="single"/>
        </w:rPr>
        <w:t>Erfaringer efter markedsføring</w:t>
      </w:r>
    </w:p>
    <w:p w14:paraId="6C970D5B" w14:textId="77777777" w:rsidR="00E119CB" w:rsidRDefault="00E119CB" w:rsidP="0081699D">
      <w:pPr>
        <w:ind w:left="851"/>
        <w:rPr>
          <w:sz w:val="24"/>
          <w:szCs w:val="24"/>
        </w:rPr>
      </w:pPr>
    </w:p>
    <w:p w14:paraId="2905A93F" w14:textId="77777777" w:rsidR="000E6038" w:rsidRPr="003D4A39" w:rsidRDefault="000E6038" w:rsidP="000E6038">
      <w:pPr>
        <w:ind w:left="851"/>
        <w:rPr>
          <w:sz w:val="24"/>
          <w:szCs w:val="24"/>
        </w:rPr>
      </w:pPr>
      <w:r w:rsidRPr="003D4A39">
        <w:rPr>
          <w:i/>
          <w:iCs/>
          <w:sz w:val="24"/>
          <w:szCs w:val="24"/>
        </w:rPr>
        <w:t>Benigne, maligne og uspecificerede tumorer (inkl. cyster og polypper)</w:t>
      </w:r>
    </w:p>
    <w:p w14:paraId="593A9B7E" w14:textId="14EBC3ED" w:rsidR="000E6038" w:rsidRPr="003D4A39" w:rsidRDefault="000E6038" w:rsidP="000E6038">
      <w:pPr>
        <w:ind w:left="851"/>
        <w:rPr>
          <w:sz w:val="24"/>
          <w:szCs w:val="24"/>
        </w:rPr>
      </w:pPr>
      <w:r w:rsidRPr="003D4A39">
        <w:rPr>
          <w:sz w:val="24"/>
          <w:szCs w:val="24"/>
        </w:rPr>
        <w:t>Andre primære maligniteter (hyppighed ikke kendt), herunder non-Hodgkin lymfom, er blevet rapporteret, når docetaxel blev givet i kombination med andre anticancer behandlinger, der vides at være forbundet med andre primære maligniteter. Akut myeloid leukæmi og myelodysplastisk syndrom</w:t>
      </w:r>
      <w:r w:rsidRPr="003D4A39">
        <w:t xml:space="preserve"> </w:t>
      </w:r>
      <w:r w:rsidRPr="003D4A39">
        <w:rPr>
          <w:sz w:val="24"/>
          <w:szCs w:val="24"/>
        </w:rPr>
        <w:t>er blevet rapporteret (hyppighed ikke almindelig) i pivotale kliniske studier med brystkræft med TAC-regime.</w:t>
      </w:r>
    </w:p>
    <w:p w14:paraId="386C2729" w14:textId="77777777" w:rsidR="000E6038" w:rsidRPr="003D4A39" w:rsidRDefault="000E6038" w:rsidP="000E6038">
      <w:pPr>
        <w:ind w:left="851"/>
        <w:rPr>
          <w:sz w:val="24"/>
          <w:szCs w:val="24"/>
        </w:rPr>
      </w:pPr>
    </w:p>
    <w:p w14:paraId="28272970" w14:textId="77777777" w:rsidR="000E6038" w:rsidRPr="003D4A39" w:rsidRDefault="000E6038" w:rsidP="000E6038">
      <w:pPr>
        <w:ind w:left="851"/>
        <w:rPr>
          <w:sz w:val="24"/>
          <w:szCs w:val="24"/>
        </w:rPr>
      </w:pPr>
      <w:r w:rsidRPr="003D4A39">
        <w:rPr>
          <w:i/>
          <w:iCs/>
          <w:sz w:val="24"/>
          <w:szCs w:val="24"/>
        </w:rPr>
        <w:t>Blod og lymfesystem</w:t>
      </w:r>
    </w:p>
    <w:p w14:paraId="016D637D" w14:textId="77777777" w:rsidR="000E6038" w:rsidRPr="003D4A39" w:rsidRDefault="000E6038" w:rsidP="000E6038">
      <w:pPr>
        <w:ind w:left="851"/>
        <w:rPr>
          <w:sz w:val="24"/>
          <w:szCs w:val="24"/>
        </w:rPr>
      </w:pPr>
      <w:r w:rsidRPr="003D4A39">
        <w:rPr>
          <w:sz w:val="24"/>
          <w:szCs w:val="24"/>
        </w:rPr>
        <w:t>Der er rapporter om knoglemarvsdepression og andre hæmatologiske bivirkninger. Der er rapporter om dissemineret intravaskulær koagulation (DIC), ofte i forbindelse med sepsis eller multiorgan-svigt.</w:t>
      </w:r>
    </w:p>
    <w:p w14:paraId="5C8E75EB" w14:textId="77777777" w:rsidR="000E6038" w:rsidRPr="003D4A39" w:rsidRDefault="000E6038" w:rsidP="000E6038">
      <w:pPr>
        <w:ind w:left="851"/>
        <w:rPr>
          <w:sz w:val="24"/>
          <w:szCs w:val="24"/>
        </w:rPr>
      </w:pPr>
    </w:p>
    <w:p w14:paraId="604EAB76" w14:textId="77777777" w:rsidR="000E6038" w:rsidRPr="003D4A39" w:rsidRDefault="000E6038" w:rsidP="000E6038">
      <w:pPr>
        <w:ind w:left="851"/>
        <w:rPr>
          <w:sz w:val="24"/>
          <w:szCs w:val="24"/>
        </w:rPr>
      </w:pPr>
      <w:r w:rsidRPr="003D4A39">
        <w:rPr>
          <w:i/>
          <w:iCs/>
          <w:sz w:val="24"/>
          <w:szCs w:val="24"/>
        </w:rPr>
        <w:t>Immunsystemet</w:t>
      </w:r>
    </w:p>
    <w:p w14:paraId="4514B32C" w14:textId="77777777" w:rsidR="000E6038" w:rsidRPr="003D4A39" w:rsidRDefault="000E6038" w:rsidP="000E6038">
      <w:pPr>
        <w:ind w:left="851"/>
        <w:rPr>
          <w:sz w:val="24"/>
          <w:szCs w:val="24"/>
        </w:rPr>
      </w:pPr>
      <w:r w:rsidRPr="003D4A39">
        <w:rPr>
          <w:sz w:val="24"/>
          <w:szCs w:val="24"/>
        </w:rPr>
        <w:t>Der er rapporter om anafylaktisk shock, i nogle tilfælde letale.</w:t>
      </w:r>
    </w:p>
    <w:p w14:paraId="462A68A4" w14:textId="77777777" w:rsidR="000E6038" w:rsidRPr="003D4A39" w:rsidRDefault="000E6038" w:rsidP="000E6038">
      <w:pPr>
        <w:ind w:left="851"/>
        <w:rPr>
          <w:sz w:val="24"/>
          <w:szCs w:val="24"/>
        </w:rPr>
      </w:pPr>
      <w:r w:rsidRPr="003D4A39">
        <w:rPr>
          <w:sz w:val="24"/>
          <w:szCs w:val="24"/>
        </w:rPr>
        <w:t>Overfølsomhedsreaktioner (hyppighed ikke kendt) er rapporteret for docetaxel hos patienter, der tidligere har haft overfølsomhedsreaktioner overfor paclitaxel.</w:t>
      </w:r>
    </w:p>
    <w:p w14:paraId="7F07A6D1" w14:textId="77777777" w:rsidR="006B34A1" w:rsidRPr="008D45EF" w:rsidRDefault="006B34A1" w:rsidP="0081699D">
      <w:pPr>
        <w:ind w:left="851"/>
        <w:rPr>
          <w:sz w:val="24"/>
          <w:szCs w:val="24"/>
        </w:rPr>
      </w:pPr>
    </w:p>
    <w:p w14:paraId="6397A692" w14:textId="77777777" w:rsidR="006B34A1" w:rsidRPr="008D45EF" w:rsidRDefault="006B34A1" w:rsidP="0081699D">
      <w:pPr>
        <w:ind w:left="851"/>
        <w:rPr>
          <w:sz w:val="24"/>
          <w:szCs w:val="24"/>
        </w:rPr>
      </w:pPr>
      <w:r w:rsidRPr="008D45EF">
        <w:rPr>
          <w:i/>
          <w:iCs/>
          <w:sz w:val="24"/>
          <w:szCs w:val="24"/>
        </w:rPr>
        <w:t>Nervesystemet</w:t>
      </w:r>
    </w:p>
    <w:p w14:paraId="4BDE189D" w14:textId="77777777" w:rsidR="006B34A1" w:rsidRPr="008D45EF" w:rsidRDefault="006B34A1" w:rsidP="0081699D">
      <w:pPr>
        <w:ind w:left="851"/>
        <w:rPr>
          <w:sz w:val="24"/>
          <w:szCs w:val="24"/>
        </w:rPr>
      </w:pPr>
      <w:r w:rsidRPr="008D45EF">
        <w:rPr>
          <w:sz w:val="24"/>
          <w:szCs w:val="24"/>
        </w:rPr>
        <w:t>Der er observeret sjældne tilfælde af kramper eller forbigående tab af bevidstheden under administration af docetaxel. Disse reaktioner er også set under infusion med lægemidlet.</w:t>
      </w:r>
    </w:p>
    <w:p w14:paraId="22631641" w14:textId="77777777" w:rsidR="006B34A1" w:rsidRPr="008D45EF" w:rsidRDefault="006B34A1" w:rsidP="0081699D">
      <w:pPr>
        <w:ind w:left="851"/>
        <w:rPr>
          <w:sz w:val="24"/>
          <w:szCs w:val="24"/>
        </w:rPr>
      </w:pPr>
    </w:p>
    <w:p w14:paraId="4E597F93" w14:textId="77777777" w:rsidR="006B34A1" w:rsidRPr="008D45EF" w:rsidRDefault="006B34A1" w:rsidP="0081699D">
      <w:pPr>
        <w:ind w:left="851"/>
        <w:rPr>
          <w:sz w:val="24"/>
          <w:szCs w:val="24"/>
        </w:rPr>
      </w:pPr>
      <w:r w:rsidRPr="008D45EF">
        <w:rPr>
          <w:i/>
          <w:iCs/>
          <w:sz w:val="24"/>
          <w:szCs w:val="24"/>
        </w:rPr>
        <w:t>Øjne</w:t>
      </w:r>
    </w:p>
    <w:p w14:paraId="5A7FFA93" w14:textId="77777777" w:rsidR="006B34A1" w:rsidRPr="008D45EF" w:rsidRDefault="006B34A1" w:rsidP="0081699D">
      <w:pPr>
        <w:ind w:left="851"/>
        <w:rPr>
          <w:sz w:val="24"/>
          <w:szCs w:val="24"/>
        </w:rPr>
      </w:pPr>
      <w:r w:rsidRPr="008D45EF">
        <w:rPr>
          <w:sz w:val="24"/>
          <w:szCs w:val="24"/>
        </w:rPr>
        <w:t>Der er observeret meget sjældne tilfælde af forbigående synsforstyrrelser (glimt, lysglimt, pletter i synsfeltet) typisk forekommende under infusion med lægemidlet og i forbindelse med overfølsomheds-reaktioner. Disse var reversible ved ophør af behandlingen. Tilfælde af lakrimation med eller uden konjunktivitis, da der er sjældne rapporter om tilfælde af obstruktion af tårekanalerne, som resulterede i usædvanlig kraftigt tåreflod</w:t>
      </w:r>
      <w:r w:rsidRPr="008D45EF">
        <w:rPr>
          <w:i/>
          <w:sz w:val="24"/>
          <w:szCs w:val="24"/>
        </w:rPr>
        <w:t>.</w:t>
      </w:r>
      <w:r w:rsidRPr="008D45EF">
        <w:rPr>
          <w:sz w:val="24"/>
          <w:szCs w:val="24"/>
        </w:rPr>
        <w:t xml:space="preserve"> Tilfælde af cystoidt makulaødem (CMO) er blevet rapporteret hos patienter behandlet med docetaxel.</w:t>
      </w:r>
    </w:p>
    <w:p w14:paraId="7ABCC0E0" w14:textId="77777777" w:rsidR="006B34A1" w:rsidRPr="008D45EF" w:rsidRDefault="006B34A1" w:rsidP="0081699D">
      <w:pPr>
        <w:ind w:left="851"/>
        <w:rPr>
          <w:sz w:val="24"/>
          <w:szCs w:val="24"/>
        </w:rPr>
      </w:pPr>
    </w:p>
    <w:p w14:paraId="36404BA9" w14:textId="77777777" w:rsidR="006B34A1" w:rsidRPr="008D45EF" w:rsidRDefault="006B34A1" w:rsidP="0081699D">
      <w:pPr>
        <w:ind w:left="851"/>
        <w:rPr>
          <w:sz w:val="24"/>
          <w:szCs w:val="24"/>
        </w:rPr>
      </w:pPr>
      <w:r w:rsidRPr="008D45EF">
        <w:rPr>
          <w:i/>
          <w:iCs/>
          <w:sz w:val="24"/>
          <w:szCs w:val="24"/>
        </w:rPr>
        <w:t>Øre og labyrint</w:t>
      </w:r>
    </w:p>
    <w:p w14:paraId="5BA356A7" w14:textId="77777777" w:rsidR="006B34A1" w:rsidRPr="008D45EF" w:rsidRDefault="006B34A1" w:rsidP="0081699D">
      <w:pPr>
        <w:ind w:left="851"/>
        <w:rPr>
          <w:sz w:val="24"/>
          <w:szCs w:val="24"/>
        </w:rPr>
      </w:pPr>
      <w:r w:rsidRPr="008D45EF">
        <w:rPr>
          <w:sz w:val="24"/>
          <w:szCs w:val="24"/>
        </w:rPr>
        <w:t>Der er rapporter om sjældne tilfælde af ototoksicitet, nedsat hørelse og/eller tab af hørelse.</w:t>
      </w:r>
    </w:p>
    <w:p w14:paraId="244030B7" w14:textId="77777777" w:rsidR="006B34A1" w:rsidRPr="008D45EF" w:rsidRDefault="006B34A1" w:rsidP="0081699D">
      <w:pPr>
        <w:ind w:left="851"/>
        <w:rPr>
          <w:sz w:val="24"/>
          <w:szCs w:val="24"/>
        </w:rPr>
      </w:pPr>
    </w:p>
    <w:p w14:paraId="3533CA8B" w14:textId="77777777" w:rsidR="000E6038" w:rsidRPr="003D4A39" w:rsidRDefault="000E6038" w:rsidP="000E6038">
      <w:pPr>
        <w:ind w:left="851"/>
        <w:rPr>
          <w:sz w:val="24"/>
          <w:szCs w:val="24"/>
        </w:rPr>
      </w:pPr>
      <w:r w:rsidRPr="003D4A39">
        <w:rPr>
          <w:i/>
          <w:iCs/>
          <w:sz w:val="24"/>
          <w:szCs w:val="24"/>
        </w:rPr>
        <w:t>Hjerte</w:t>
      </w:r>
    </w:p>
    <w:p w14:paraId="1EEDFBEB" w14:textId="77777777" w:rsidR="000E6038" w:rsidRPr="003D4A39" w:rsidRDefault="000E6038" w:rsidP="000E6038">
      <w:pPr>
        <w:ind w:left="851"/>
        <w:rPr>
          <w:sz w:val="24"/>
          <w:szCs w:val="24"/>
        </w:rPr>
      </w:pPr>
      <w:r w:rsidRPr="003D4A39">
        <w:rPr>
          <w:sz w:val="24"/>
          <w:szCs w:val="24"/>
        </w:rPr>
        <w:t>Sjældne tilfælde af myokardieinfarkt er rapporteret.</w:t>
      </w:r>
    </w:p>
    <w:p w14:paraId="2AE63828" w14:textId="77777777" w:rsidR="000E6038" w:rsidRPr="003D4A39" w:rsidRDefault="000E6038" w:rsidP="000E6038">
      <w:pPr>
        <w:ind w:left="851"/>
        <w:rPr>
          <w:sz w:val="24"/>
          <w:szCs w:val="24"/>
        </w:rPr>
      </w:pPr>
      <w:r w:rsidRPr="003D4A39">
        <w:rPr>
          <w:sz w:val="24"/>
          <w:szCs w:val="24"/>
        </w:rPr>
        <w:t>Ventrikulær arytmi inklusive ventrikulær takykardi (hyppighed ikke kendt), undertiden dødelig, er rapporteret hos patienter behandlet med docetaxel i kombinationsregimer, herunder doxorubicin, 5-fluorouracil og/eller cyclofosfamid.</w:t>
      </w:r>
    </w:p>
    <w:p w14:paraId="01D9856A" w14:textId="77777777" w:rsidR="006B34A1" w:rsidRPr="008D45EF" w:rsidRDefault="006B34A1" w:rsidP="0081699D">
      <w:pPr>
        <w:ind w:left="851"/>
        <w:rPr>
          <w:sz w:val="24"/>
          <w:szCs w:val="24"/>
        </w:rPr>
      </w:pPr>
    </w:p>
    <w:p w14:paraId="10DFF380" w14:textId="77777777" w:rsidR="006B34A1" w:rsidRPr="008D45EF" w:rsidRDefault="006B34A1" w:rsidP="0081699D">
      <w:pPr>
        <w:ind w:left="851"/>
        <w:rPr>
          <w:sz w:val="24"/>
          <w:szCs w:val="24"/>
        </w:rPr>
      </w:pPr>
      <w:r w:rsidRPr="008D45EF">
        <w:rPr>
          <w:i/>
          <w:iCs/>
          <w:sz w:val="24"/>
          <w:szCs w:val="24"/>
        </w:rPr>
        <w:t>Vaskulære sygdomme</w:t>
      </w:r>
    </w:p>
    <w:p w14:paraId="7A8D2D9F" w14:textId="77777777" w:rsidR="006B34A1" w:rsidRPr="008D45EF" w:rsidRDefault="006B34A1" w:rsidP="0081699D">
      <w:pPr>
        <w:ind w:left="851"/>
        <w:rPr>
          <w:sz w:val="24"/>
          <w:szCs w:val="24"/>
        </w:rPr>
      </w:pPr>
      <w:r w:rsidRPr="008D45EF">
        <w:rPr>
          <w:sz w:val="24"/>
          <w:szCs w:val="24"/>
        </w:rPr>
        <w:t>Venøse tromboemboliske tilfælde er sjældent rapporteret.</w:t>
      </w:r>
    </w:p>
    <w:p w14:paraId="151C1F7B" w14:textId="77777777" w:rsidR="006B34A1" w:rsidRPr="008D45EF" w:rsidRDefault="006B34A1" w:rsidP="0081699D">
      <w:pPr>
        <w:ind w:left="851"/>
        <w:rPr>
          <w:sz w:val="24"/>
          <w:szCs w:val="24"/>
        </w:rPr>
      </w:pPr>
    </w:p>
    <w:p w14:paraId="72F068C1" w14:textId="77777777" w:rsidR="006B34A1" w:rsidRPr="008D45EF" w:rsidRDefault="006B34A1" w:rsidP="000E6038">
      <w:pPr>
        <w:keepNext/>
        <w:ind w:left="851"/>
        <w:rPr>
          <w:sz w:val="24"/>
          <w:szCs w:val="24"/>
        </w:rPr>
      </w:pPr>
      <w:r w:rsidRPr="008D45EF">
        <w:rPr>
          <w:i/>
          <w:iCs/>
          <w:sz w:val="24"/>
          <w:szCs w:val="24"/>
        </w:rPr>
        <w:t>Luftveje, thorax og mediastinum</w:t>
      </w:r>
    </w:p>
    <w:p w14:paraId="0BEFA15D" w14:textId="77777777" w:rsidR="006B34A1" w:rsidRPr="008D45EF" w:rsidRDefault="006B34A1" w:rsidP="0081699D">
      <w:pPr>
        <w:ind w:left="851"/>
        <w:rPr>
          <w:sz w:val="24"/>
          <w:szCs w:val="24"/>
        </w:rPr>
      </w:pPr>
      <w:r w:rsidRPr="008D45EF">
        <w:rPr>
          <w:sz w:val="24"/>
          <w:szCs w:val="24"/>
        </w:rPr>
        <w:t>Akut respiratorisk distress syndrom og tilfælde af interstitiel pneumoni/pneumonitis, interstitiel lungesygdom, lungefibrose og respirationssvigt, sommetider letale, er rapporteret sjældent. Der er rapporter om sjældne tilfælde af strålepneumonitis hos patienter, som samtidig fik strålebehandling.</w:t>
      </w:r>
    </w:p>
    <w:p w14:paraId="4F0706E0" w14:textId="77777777" w:rsidR="006B34A1" w:rsidRPr="008D45EF" w:rsidRDefault="006B34A1" w:rsidP="000E6038">
      <w:pPr>
        <w:rPr>
          <w:sz w:val="24"/>
          <w:szCs w:val="24"/>
        </w:rPr>
      </w:pPr>
    </w:p>
    <w:p w14:paraId="684CC19B" w14:textId="77777777" w:rsidR="000E6038" w:rsidRPr="003D4A39" w:rsidRDefault="000E6038" w:rsidP="000E6038">
      <w:pPr>
        <w:keepNext/>
        <w:ind w:left="850"/>
        <w:rPr>
          <w:sz w:val="24"/>
          <w:szCs w:val="24"/>
        </w:rPr>
      </w:pPr>
      <w:r w:rsidRPr="003D4A39">
        <w:rPr>
          <w:i/>
          <w:iCs/>
          <w:sz w:val="24"/>
          <w:szCs w:val="24"/>
        </w:rPr>
        <w:t>Mave-tarm-kanalen</w:t>
      </w:r>
    </w:p>
    <w:p w14:paraId="63AC54D0" w14:textId="77777777" w:rsidR="000E6038" w:rsidRPr="003D4A39" w:rsidRDefault="000E6038" w:rsidP="000E6038">
      <w:pPr>
        <w:keepNext/>
        <w:ind w:left="850"/>
        <w:rPr>
          <w:sz w:val="24"/>
          <w:szCs w:val="24"/>
        </w:rPr>
      </w:pPr>
      <w:r w:rsidRPr="003D4A39">
        <w:rPr>
          <w:sz w:val="24"/>
          <w:szCs w:val="24"/>
        </w:rPr>
        <w:t xml:space="preserve">Der er rapporteret sjældne tilfælde af enterocolitis, herunder colitis, iskæmisk colitis og neutropenisk enterocolitis med en potentielt dødelig udgang (hyppighed ikke kendt). </w:t>
      </w:r>
    </w:p>
    <w:p w14:paraId="653E92EA" w14:textId="77777777" w:rsidR="000E6038" w:rsidRPr="003D4A39" w:rsidRDefault="000E6038" w:rsidP="000E6038">
      <w:pPr>
        <w:ind w:left="851"/>
        <w:rPr>
          <w:sz w:val="24"/>
          <w:szCs w:val="24"/>
        </w:rPr>
      </w:pPr>
      <w:r w:rsidRPr="003D4A39">
        <w:rPr>
          <w:sz w:val="24"/>
          <w:szCs w:val="24"/>
        </w:rPr>
        <w:t xml:space="preserve">Der er rapporter om sjælden forekomst af dehydrering som en konsekvens af gastrointestinale lidelser, herunder enterocolitis og gastrointestinal perforation. </w:t>
      </w:r>
    </w:p>
    <w:p w14:paraId="2C9715AB" w14:textId="627F2C5D" w:rsidR="000E6038" w:rsidRPr="003D4A39" w:rsidRDefault="000E6038" w:rsidP="000E6038">
      <w:pPr>
        <w:ind w:left="851"/>
        <w:rPr>
          <w:sz w:val="24"/>
          <w:szCs w:val="24"/>
        </w:rPr>
      </w:pPr>
      <w:r w:rsidRPr="003D4A39">
        <w:rPr>
          <w:sz w:val="24"/>
          <w:szCs w:val="24"/>
        </w:rPr>
        <w:t>Der er rapporter om sjældne tilfælde af ileus og intestinal obstruktion.</w:t>
      </w:r>
    </w:p>
    <w:p w14:paraId="166367B4" w14:textId="77777777" w:rsidR="006B34A1" w:rsidRDefault="006B34A1" w:rsidP="0081699D">
      <w:pPr>
        <w:ind w:left="851"/>
        <w:rPr>
          <w:sz w:val="24"/>
          <w:szCs w:val="24"/>
        </w:rPr>
      </w:pPr>
    </w:p>
    <w:p w14:paraId="7E8E0F52" w14:textId="77777777" w:rsidR="006B34A1" w:rsidRPr="008D45EF" w:rsidRDefault="006B34A1" w:rsidP="0081699D">
      <w:pPr>
        <w:ind w:left="851"/>
        <w:rPr>
          <w:sz w:val="24"/>
          <w:szCs w:val="24"/>
        </w:rPr>
      </w:pPr>
      <w:r w:rsidRPr="008D45EF">
        <w:rPr>
          <w:i/>
          <w:iCs/>
          <w:sz w:val="24"/>
          <w:szCs w:val="24"/>
        </w:rPr>
        <w:t>Lever og galdeveje</w:t>
      </w:r>
    </w:p>
    <w:p w14:paraId="2AEEC011" w14:textId="77777777" w:rsidR="006B34A1" w:rsidRPr="008D45EF" w:rsidRDefault="006B34A1" w:rsidP="0081699D">
      <w:pPr>
        <w:ind w:left="851"/>
        <w:rPr>
          <w:sz w:val="24"/>
          <w:szCs w:val="24"/>
        </w:rPr>
      </w:pPr>
      <w:r w:rsidRPr="008D45EF">
        <w:rPr>
          <w:sz w:val="24"/>
          <w:szCs w:val="24"/>
        </w:rPr>
        <w:t>Der er rapporteret om meget sjældne tilfælde af hepatitis, nogle gange letale, hovedsageligt hos patienter med præ-eksisterende leversygdomme.</w:t>
      </w:r>
    </w:p>
    <w:p w14:paraId="244B08A5" w14:textId="77777777" w:rsidR="006B34A1" w:rsidRPr="008D45EF" w:rsidRDefault="006B34A1" w:rsidP="0081699D">
      <w:pPr>
        <w:ind w:left="851"/>
        <w:rPr>
          <w:sz w:val="24"/>
          <w:szCs w:val="24"/>
        </w:rPr>
      </w:pPr>
    </w:p>
    <w:p w14:paraId="646076EB" w14:textId="77777777" w:rsidR="000E6038" w:rsidRPr="003D4A39" w:rsidRDefault="000E6038" w:rsidP="000E6038">
      <w:pPr>
        <w:ind w:left="851"/>
        <w:rPr>
          <w:sz w:val="24"/>
          <w:szCs w:val="24"/>
        </w:rPr>
      </w:pPr>
      <w:r w:rsidRPr="003D4A39">
        <w:rPr>
          <w:i/>
          <w:iCs/>
          <w:sz w:val="24"/>
          <w:szCs w:val="24"/>
        </w:rPr>
        <w:t>Hud og subkutane væv</w:t>
      </w:r>
    </w:p>
    <w:p w14:paraId="63BF0516" w14:textId="177FD04E" w:rsidR="000E6038" w:rsidRPr="003D4A39" w:rsidRDefault="000E6038" w:rsidP="000E6038">
      <w:pPr>
        <w:ind w:left="851"/>
        <w:rPr>
          <w:sz w:val="24"/>
          <w:szCs w:val="24"/>
        </w:rPr>
      </w:pPr>
      <w:r w:rsidRPr="003D4A39">
        <w:rPr>
          <w:sz w:val="24"/>
          <w:szCs w:val="24"/>
        </w:rPr>
        <w:t>Med docetaxel er der rapporteret tilfælde af kutan lupus erythematosus, bulløst udslæt såsom erythema multiforme og alvorlige kutane bivirkninger såsom Stevens-Johnson syndrom, toksisk epidermal nekrolyse og akut generaliseret eksantematøs pustulose. Ved behandling med docetaxel er der rapporteret om sklerodermi-lignende forandringer, som oftest forudgået af perifert lymfødem. Tilfælde af vedvarende alopeci (hyppighed ikke kendt) er rapporteret.</w:t>
      </w:r>
    </w:p>
    <w:p w14:paraId="39C94A45" w14:textId="77777777" w:rsidR="006B34A1" w:rsidRPr="008D45EF" w:rsidRDefault="006B34A1" w:rsidP="0081699D">
      <w:pPr>
        <w:ind w:left="851"/>
        <w:rPr>
          <w:sz w:val="24"/>
          <w:szCs w:val="24"/>
        </w:rPr>
      </w:pPr>
    </w:p>
    <w:p w14:paraId="7A330B2F" w14:textId="77777777" w:rsidR="006B34A1" w:rsidRPr="008D45EF" w:rsidRDefault="006B34A1" w:rsidP="0081699D">
      <w:pPr>
        <w:ind w:left="851"/>
        <w:rPr>
          <w:sz w:val="24"/>
          <w:szCs w:val="24"/>
        </w:rPr>
      </w:pPr>
      <w:r w:rsidRPr="008D45EF">
        <w:rPr>
          <w:i/>
          <w:iCs/>
          <w:sz w:val="24"/>
          <w:szCs w:val="24"/>
        </w:rPr>
        <w:t>Nyre og urinveje</w:t>
      </w:r>
    </w:p>
    <w:p w14:paraId="13410D47" w14:textId="77777777" w:rsidR="006B34A1" w:rsidRPr="008D45EF" w:rsidRDefault="006B34A1" w:rsidP="0081699D">
      <w:pPr>
        <w:ind w:left="851"/>
        <w:rPr>
          <w:sz w:val="24"/>
          <w:szCs w:val="24"/>
        </w:rPr>
      </w:pPr>
      <w:r w:rsidRPr="008D45EF">
        <w:rPr>
          <w:sz w:val="24"/>
          <w:szCs w:val="24"/>
        </w:rPr>
        <w:t>Nyreinsufficiens og nyresvigt er rapporteret. I ca</w:t>
      </w:r>
      <w:r>
        <w:rPr>
          <w:sz w:val="24"/>
          <w:szCs w:val="24"/>
        </w:rPr>
        <w:t>.</w:t>
      </w:r>
      <w:r w:rsidRPr="008D45EF">
        <w:rPr>
          <w:sz w:val="24"/>
          <w:szCs w:val="24"/>
        </w:rPr>
        <w:t xml:space="preserve"> 20 % af tilfældene var der ingen risikofaktorer for akut nyresvigt såsom samtidig behandling med nefrotoksiske lægemidler og gastrointestinale sygdomme.</w:t>
      </w:r>
    </w:p>
    <w:p w14:paraId="41A7125E" w14:textId="77777777" w:rsidR="006B34A1" w:rsidRPr="008D45EF" w:rsidRDefault="006B34A1" w:rsidP="0081699D">
      <w:pPr>
        <w:ind w:left="851"/>
        <w:rPr>
          <w:sz w:val="24"/>
          <w:szCs w:val="24"/>
        </w:rPr>
      </w:pPr>
    </w:p>
    <w:p w14:paraId="37C04C68" w14:textId="77777777" w:rsidR="000E6038" w:rsidRPr="003D4A39" w:rsidRDefault="000E6038" w:rsidP="000E6038">
      <w:pPr>
        <w:ind w:left="851"/>
        <w:rPr>
          <w:sz w:val="24"/>
          <w:szCs w:val="24"/>
        </w:rPr>
      </w:pPr>
      <w:r w:rsidRPr="003D4A39">
        <w:rPr>
          <w:i/>
          <w:iCs/>
          <w:sz w:val="24"/>
          <w:szCs w:val="24"/>
        </w:rPr>
        <w:t>Almene symptomer og reaktioner på administrationsstedet</w:t>
      </w:r>
    </w:p>
    <w:p w14:paraId="673FF883" w14:textId="77777777" w:rsidR="000E6038" w:rsidRPr="003D4A39" w:rsidRDefault="000E6038" w:rsidP="000E6038">
      <w:pPr>
        <w:ind w:left="851"/>
        <w:rPr>
          <w:sz w:val="24"/>
          <w:szCs w:val="24"/>
        </w:rPr>
      </w:pPr>
      <w:r w:rsidRPr="003D4A39">
        <w:rPr>
          <w:sz w:val="24"/>
          <w:szCs w:val="24"/>
        </w:rPr>
        <w:t>Der er sjældne rapporter om radiation recall-fænomen.</w:t>
      </w:r>
    </w:p>
    <w:p w14:paraId="1C2DA56A" w14:textId="77777777" w:rsidR="000E6038" w:rsidRPr="003D4A39" w:rsidRDefault="000E6038" w:rsidP="000E6038">
      <w:pPr>
        <w:ind w:left="851"/>
        <w:rPr>
          <w:sz w:val="24"/>
          <w:szCs w:val="24"/>
        </w:rPr>
      </w:pPr>
      <w:r w:rsidRPr="003D4A39">
        <w:rPr>
          <w:sz w:val="24"/>
          <w:szCs w:val="24"/>
        </w:rPr>
        <w:t xml:space="preserve">Recall-reaktion på injektionsstedet (tilbagefald af hudreaktion på et sted med tidligere ekstravasation efter administration af docetaxel på et andet sted) er observeret på stedet for tidligere ekstravasation (hyppighed ikke kendt). </w:t>
      </w:r>
    </w:p>
    <w:p w14:paraId="1E2F9599" w14:textId="77777777" w:rsidR="000E6038" w:rsidRPr="003D4A39" w:rsidRDefault="000E6038" w:rsidP="000E6038">
      <w:pPr>
        <w:ind w:left="851"/>
        <w:rPr>
          <w:sz w:val="24"/>
          <w:szCs w:val="24"/>
        </w:rPr>
      </w:pPr>
      <w:r w:rsidRPr="003D4A39">
        <w:rPr>
          <w:sz w:val="24"/>
          <w:szCs w:val="24"/>
        </w:rPr>
        <w:t>Væskeretention er ikke ledsaget af akutte episoder af oliguri eller hypotension. Dehydrering og pulmonar ødem er sjældent rapporteret.</w:t>
      </w:r>
    </w:p>
    <w:p w14:paraId="228ACA01" w14:textId="77777777" w:rsidR="000E6038" w:rsidRPr="003D4A39" w:rsidRDefault="000E6038" w:rsidP="000E6038">
      <w:pPr>
        <w:ind w:left="851"/>
        <w:rPr>
          <w:sz w:val="24"/>
          <w:szCs w:val="24"/>
        </w:rPr>
      </w:pPr>
    </w:p>
    <w:p w14:paraId="41743D6A" w14:textId="77777777" w:rsidR="000E6038" w:rsidRPr="003D4A39" w:rsidRDefault="000E6038" w:rsidP="000E6038">
      <w:pPr>
        <w:ind w:left="851"/>
        <w:rPr>
          <w:sz w:val="24"/>
          <w:szCs w:val="24"/>
        </w:rPr>
      </w:pPr>
      <w:r w:rsidRPr="003D4A39">
        <w:rPr>
          <w:i/>
          <w:iCs/>
          <w:sz w:val="24"/>
          <w:szCs w:val="24"/>
        </w:rPr>
        <w:t>Metabolisme og ernæring</w:t>
      </w:r>
    </w:p>
    <w:p w14:paraId="2364D610" w14:textId="1D66FF34" w:rsidR="000E6038" w:rsidRPr="003D4A39" w:rsidRDefault="000E6038" w:rsidP="000E6038">
      <w:pPr>
        <w:ind w:left="851"/>
        <w:rPr>
          <w:sz w:val="24"/>
          <w:szCs w:val="24"/>
        </w:rPr>
      </w:pPr>
      <w:r w:rsidRPr="003D4A39">
        <w:rPr>
          <w:sz w:val="24"/>
          <w:szCs w:val="24"/>
        </w:rPr>
        <w:t>Tilfælde af elektrolytforstyrrelser er rapporteret. Der er rapporteret tilfælde af hyponatriæmi, typisk forbundet med dehydrering, opkastning og pneumoni.</w:t>
      </w:r>
      <w:r w:rsidRPr="003D4A39">
        <w:t xml:space="preserve"> </w:t>
      </w:r>
      <w:r w:rsidRPr="003D4A39">
        <w:rPr>
          <w:sz w:val="24"/>
          <w:szCs w:val="24"/>
        </w:rPr>
        <w:t>Hypokaliæmi, hypomagnesiæmi og hypokalcæmi er observeret, sædvanligvis i forbindelse med lidelser i mave-tarm-kanalen og især med diarré. Tumorlyse syndrom, der er potentielt dødeligt, er rapporteret (hyppighed ikke kendt).</w:t>
      </w:r>
    </w:p>
    <w:p w14:paraId="6E74F362" w14:textId="77777777" w:rsidR="000E6038" w:rsidRPr="003D4A39" w:rsidRDefault="000E6038" w:rsidP="000E6038">
      <w:pPr>
        <w:ind w:left="851"/>
        <w:rPr>
          <w:sz w:val="24"/>
          <w:szCs w:val="24"/>
        </w:rPr>
      </w:pPr>
    </w:p>
    <w:p w14:paraId="17A9F30F" w14:textId="77777777" w:rsidR="000E6038" w:rsidRPr="005D4D80" w:rsidRDefault="000E6038" w:rsidP="000E6038">
      <w:pPr>
        <w:ind w:left="851"/>
        <w:rPr>
          <w:i/>
          <w:iCs/>
          <w:sz w:val="24"/>
          <w:szCs w:val="24"/>
        </w:rPr>
      </w:pPr>
      <w:r w:rsidRPr="005D4D80">
        <w:rPr>
          <w:i/>
          <w:iCs/>
          <w:sz w:val="24"/>
          <w:szCs w:val="24"/>
        </w:rPr>
        <w:t xml:space="preserve">Sygdomme i bevægeapparatet </w:t>
      </w:r>
    </w:p>
    <w:p w14:paraId="6DDE550C" w14:textId="77777777" w:rsidR="000E6038" w:rsidRPr="003D4A39" w:rsidRDefault="000E6038" w:rsidP="000E6038">
      <w:pPr>
        <w:ind w:left="851"/>
        <w:rPr>
          <w:sz w:val="24"/>
          <w:szCs w:val="24"/>
        </w:rPr>
      </w:pPr>
      <w:r w:rsidRPr="003D4A39">
        <w:rPr>
          <w:sz w:val="24"/>
          <w:szCs w:val="24"/>
        </w:rPr>
        <w:t>Myositis er rapporteret med docetaxel (hyppighed ikke kendt).</w:t>
      </w:r>
    </w:p>
    <w:p w14:paraId="05719BF5" w14:textId="77777777" w:rsidR="000E6038" w:rsidRPr="003D4A39" w:rsidRDefault="000E6038" w:rsidP="000E6038">
      <w:pPr>
        <w:ind w:left="851"/>
        <w:rPr>
          <w:sz w:val="24"/>
          <w:szCs w:val="24"/>
        </w:rPr>
      </w:pPr>
    </w:p>
    <w:p w14:paraId="7278BD60" w14:textId="77777777" w:rsidR="000E6038" w:rsidRPr="003D4A39" w:rsidRDefault="000E6038" w:rsidP="000E6038">
      <w:pPr>
        <w:keepNext/>
        <w:ind w:left="851"/>
        <w:rPr>
          <w:sz w:val="24"/>
          <w:szCs w:val="24"/>
          <w:u w:val="single"/>
        </w:rPr>
      </w:pPr>
      <w:r w:rsidRPr="003D4A39">
        <w:rPr>
          <w:sz w:val="24"/>
          <w:szCs w:val="24"/>
          <w:u w:val="single"/>
        </w:rPr>
        <w:t>Indberetning af formodede bivirkninger</w:t>
      </w:r>
    </w:p>
    <w:p w14:paraId="1D05EEA2" w14:textId="13593094" w:rsidR="000E6038" w:rsidRPr="003D4A39" w:rsidRDefault="000E6038" w:rsidP="000E6038">
      <w:pPr>
        <w:ind w:left="851"/>
        <w:rPr>
          <w:sz w:val="24"/>
          <w:szCs w:val="24"/>
        </w:rPr>
      </w:pPr>
      <w:r w:rsidRPr="003D4A39">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07A07FEB" w14:textId="77777777" w:rsidR="000E6038" w:rsidRPr="003D4A39" w:rsidRDefault="000E6038" w:rsidP="000E6038">
      <w:pPr>
        <w:ind w:left="851"/>
        <w:rPr>
          <w:sz w:val="24"/>
          <w:szCs w:val="24"/>
        </w:rPr>
      </w:pPr>
    </w:p>
    <w:p w14:paraId="3357FD4A" w14:textId="77777777" w:rsidR="000E6038" w:rsidRPr="003D4A39" w:rsidRDefault="000E6038" w:rsidP="000E6038">
      <w:pPr>
        <w:ind w:left="851"/>
        <w:rPr>
          <w:sz w:val="24"/>
          <w:szCs w:val="24"/>
        </w:rPr>
      </w:pPr>
      <w:r w:rsidRPr="003D4A39">
        <w:rPr>
          <w:sz w:val="24"/>
          <w:szCs w:val="24"/>
        </w:rPr>
        <w:t>Lægemiddelstyrelsen</w:t>
      </w:r>
    </w:p>
    <w:p w14:paraId="519CCC16" w14:textId="77777777" w:rsidR="000E6038" w:rsidRPr="003D4A39" w:rsidRDefault="000E6038" w:rsidP="000E6038">
      <w:pPr>
        <w:ind w:left="851"/>
        <w:rPr>
          <w:sz w:val="24"/>
          <w:szCs w:val="24"/>
        </w:rPr>
      </w:pPr>
      <w:r w:rsidRPr="003D4A39">
        <w:rPr>
          <w:sz w:val="24"/>
          <w:szCs w:val="24"/>
        </w:rPr>
        <w:t>Axel Heides Gade 1</w:t>
      </w:r>
    </w:p>
    <w:p w14:paraId="074E376C" w14:textId="77777777" w:rsidR="000E6038" w:rsidRPr="003D4A39" w:rsidRDefault="000E6038" w:rsidP="000E6038">
      <w:pPr>
        <w:ind w:left="851"/>
        <w:rPr>
          <w:sz w:val="24"/>
          <w:szCs w:val="24"/>
        </w:rPr>
      </w:pPr>
      <w:r w:rsidRPr="003D4A39">
        <w:rPr>
          <w:sz w:val="24"/>
          <w:szCs w:val="24"/>
        </w:rPr>
        <w:t>DK</w:t>
      </w:r>
      <w:r w:rsidRPr="003D4A39">
        <w:rPr>
          <w:sz w:val="24"/>
          <w:szCs w:val="24"/>
        </w:rPr>
        <w:noBreakHyphen/>
        <w:t>2300 København S</w:t>
      </w:r>
    </w:p>
    <w:p w14:paraId="5EB0CC07" w14:textId="1E971EFC" w:rsidR="000E6038" w:rsidRDefault="000E6038" w:rsidP="000E6038">
      <w:pPr>
        <w:ind w:left="851"/>
        <w:rPr>
          <w:sz w:val="24"/>
          <w:szCs w:val="24"/>
        </w:rPr>
      </w:pPr>
      <w:r w:rsidRPr="003D4A39">
        <w:rPr>
          <w:sz w:val="24"/>
          <w:szCs w:val="24"/>
        </w:rPr>
        <w:t xml:space="preserve">Websted: </w:t>
      </w:r>
      <w:hyperlink r:id="rId8" w:history="1">
        <w:r w:rsidRPr="005B53A5">
          <w:rPr>
            <w:rStyle w:val="Hyperlink"/>
            <w:sz w:val="24"/>
            <w:szCs w:val="24"/>
          </w:rPr>
          <w:t>www.meldenbivirkning.dk</w:t>
        </w:r>
      </w:hyperlink>
    </w:p>
    <w:p w14:paraId="240ADEF2" w14:textId="77777777" w:rsidR="006B34A1" w:rsidRPr="00922A8B" w:rsidRDefault="006B34A1" w:rsidP="0081699D">
      <w:pPr>
        <w:pStyle w:val="Sidehoved"/>
        <w:tabs>
          <w:tab w:val="clear" w:pos="4819"/>
          <w:tab w:val="clear" w:pos="9638"/>
        </w:tabs>
        <w:ind w:left="851"/>
        <w:rPr>
          <w:szCs w:val="24"/>
        </w:rPr>
      </w:pPr>
    </w:p>
    <w:p w14:paraId="5017B55E" w14:textId="77777777" w:rsidR="006B34A1" w:rsidRPr="008D45EF" w:rsidRDefault="006B34A1" w:rsidP="002D7470">
      <w:pPr>
        <w:ind w:left="851" w:hanging="851"/>
        <w:rPr>
          <w:b/>
          <w:sz w:val="24"/>
          <w:szCs w:val="24"/>
        </w:rPr>
      </w:pPr>
      <w:r w:rsidRPr="008D45EF">
        <w:rPr>
          <w:b/>
          <w:sz w:val="24"/>
          <w:szCs w:val="24"/>
        </w:rPr>
        <w:t>4.9</w:t>
      </w:r>
      <w:r w:rsidRPr="008D45EF">
        <w:rPr>
          <w:b/>
          <w:sz w:val="24"/>
          <w:szCs w:val="24"/>
        </w:rPr>
        <w:tab/>
        <w:t>Overdosering</w:t>
      </w:r>
    </w:p>
    <w:p w14:paraId="3895AD9E" w14:textId="77777777" w:rsidR="006B34A1" w:rsidRPr="008D45EF" w:rsidRDefault="006B34A1" w:rsidP="0081699D">
      <w:pPr>
        <w:ind w:left="851"/>
        <w:rPr>
          <w:sz w:val="24"/>
          <w:szCs w:val="24"/>
        </w:rPr>
      </w:pPr>
      <w:r w:rsidRPr="008D45EF">
        <w:rPr>
          <w:sz w:val="24"/>
          <w:szCs w:val="24"/>
        </w:rPr>
        <w:t>Der er få rapporter om overdosering. Der er ingen kendt antidot til overdosering med docetaxel. I tilfælde af en overdosis skal patienten indlægges på en specialafdeling og de vitale funktioner skal følges nøje. I tilfælde af en overdosis kan der forventes en forværring af bivirkninger. De forventede komplikationer ved overdosis vil være knoglemarv</w:t>
      </w:r>
      <w:r>
        <w:rPr>
          <w:sz w:val="24"/>
          <w:szCs w:val="24"/>
        </w:rPr>
        <w:softHyphen/>
      </w:r>
      <w:r w:rsidRPr="008D45EF">
        <w:rPr>
          <w:sz w:val="24"/>
          <w:szCs w:val="24"/>
        </w:rPr>
        <w:t>suppression, perifer neurotoksicitet og mucositis. Patienter bør modtage terapeutisk G</w:t>
      </w:r>
      <w:r w:rsidRPr="008D45EF">
        <w:rPr>
          <w:sz w:val="24"/>
          <w:szCs w:val="24"/>
        </w:rPr>
        <w:noBreakHyphen/>
        <w:t>CSF så snart som muligt efter overdosering er erkendt. Om nødvendigt bør man tage andre passende symptomatiske forholdsregler.</w:t>
      </w:r>
    </w:p>
    <w:p w14:paraId="61325166" w14:textId="77777777" w:rsidR="006B34A1" w:rsidRPr="008D45EF" w:rsidRDefault="006B34A1" w:rsidP="0081699D">
      <w:pPr>
        <w:ind w:left="851"/>
        <w:rPr>
          <w:sz w:val="24"/>
          <w:szCs w:val="24"/>
        </w:rPr>
      </w:pPr>
    </w:p>
    <w:p w14:paraId="6269AF70" w14:textId="77777777" w:rsidR="006B34A1" w:rsidRPr="008D45EF" w:rsidRDefault="006B34A1" w:rsidP="002D7470">
      <w:pPr>
        <w:ind w:left="851" w:hanging="851"/>
        <w:rPr>
          <w:b/>
          <w:sz w:val="24"/>
          <w:szCs w:val="24"/>
        </w:rPr>
      </w:pPr>
      <w:r w:rsidRPr="008D45EF">
        <w:rPr>
          <w:b/>
          <w:sz w:val="24"/>
          <w:szCs w:val="24"/>
        </w:rPr>
        <w:t>4.10</w:t>
      </w:r>
      <w:r w:rsidRPr="008D45EF">
        <w:rPr>
          <w:b/>
          <w:sz w:val="24"/>
          <w:szCs w:val="24"/>
        </w:rPr>
        <w:tab/>
        <w:t>Udlevering</w:t>
      </w:r>
    </w:p>
    <w:p w14:paraId="619E2FA2" w14:textId="0C963232" w:rsidR="000E6038" w:rsidRPr="003D4A39" w:rsidRDefault="000E6038" w:rsidP="000E6038">
      <w:pPr>
        <w:ind w:left="851"/>
        <w:rPr>
          <w:sz w:val="24"/>
          <w:szCs w:val="24"/>
        </w:rPr>
      </w:pPr>
      <w:r w:rsidRPr="003D4A39">
        <w:rPr>
          <w:sz w:val="24"/>
          <w:szCs w:val="24"/>
        </w:rPr>
        <w:t xml:space="preserve">BEGR – kun til sygehuse </w:t>
      </w:r>
    </w:p>
    <w:p w14:paraId="0B7C3F6C" w14:textId="72271D5B" w:rsidR="006B34A1" w:rsidRPr="008D45EF" w:rsidRDefault="006B34A1" w:rsidP="0081699D">
      <w:pPr>
        <w:ind w:left="851"/>
        <w:rPr>
          <w:sz w:val="24"/>
          <w:szCs w:val="24"/>
        </w:rPr>
      </w:pPr>
    </w:p>
    <w:p w14:paraId="3899BCA5" w14:textId="77777777" w:rsidR="006B34A1" w:rsidRPr="008D45EF" w:rsidRDefault="006B34A1" w:rsidP="0081699D">
      <w:pPr>
        <w:ind w:left="851"/>
        <w:rPr>
          <w:sz w:val="24"/>
          <w:szCs w:val="24"/>
        </w:rPr>
      </w:pPr>
    </w:p>
    <w:p w14:paraId="3F0A1A01" w14:textId="77777777" w:rsidR="006B34A1" w:rsidRPr="008D45EF" w:rsidRDefault="006B34A1" w:rsidP="002D7470">
      <w:pPr>
        <w:ind w:left="851" w:hanging="851"/>
        <w:rPr>
          <w:b/>
          <w:sz w:val="24"/>
          <w:szCs w:val="24"/>
        </w:rPr>
      </w:pPr>
      <w:r w:rsidRPr="008D45EF">
        <w:rPr>
          <w:b/>
          <w:sz w:val="24"/>
          <w:szCs w:val="24"/>
        </w:rPr>
        <w:t>5.</w:t>
      </w:r>
      <w:r w:rsidRPr="008D45EF">
        <w:rPr>
          <w:b/>
          <w:sz w:val="24"/>
          <w:szCs w:val="24"/>
        </w:rPr>
        <w:tab/>
        <w:t>FARMAKOLOGISKE EGENSKABER</w:t>
      </w:r>
    </w:p>
    <w:p w14:paraId="01945FA0" w14:textId="77777777" w:rsidR="006B34A1" w:rsidRPr="008D45EF" w:rsidRDefault="006B34A1" w:rsidP="0081699D">
      <w:pPr>
        <w:ind w:left="851"/>
        <w:rPr>
          <w:sz w:val="24"/>
          <w:szCs w:val="24"/>
        </w:rPr>
      </w:pPr>
    </w:p>
    <w:p w14:paraId="7AE10FC9" w14:textId="77777777" w:rsidR="006B34A1" w:rsidRPr="008D45EF" w:rsidRDefault="006B34A1" w:rsidP="002D7470">
      <w:pPr>
        <w:ind w:left="851" w:hanging="851"/>
        <w:rPr>
          <w:b/>
          <w:sz w:val="24"/>
          <w:szCs w:val="24"/>
        </w:rPr>
      </w:pPr>
      <w:r w:rsidRPr="008D45EF">
        <w:rPr>
          <w:b/>
          <w:sz w:val="24"/>
          <w:szCs w:val="24"/>
        </w:rPr>
        <w:t>5.1</w:t>
      </w:r>
      <w:r w:rsidRPr="008D45EF">
        <w:rPr>
          <w:b/>
          <w:sz w:val="24"/>
          <w:szCs w:val="24"/>
        </w:rPr>
        <w:tab/>
        <w:t>Farmakodynamiske egenskaber</w:t>
      </w:r>
    </w:p>
    <w:p w14:paraId="27278C9B" w14:textId="54F7DDAE" w:rsidR="006B34A1" w:rsidRDefault="009B0C24" w:rsidP="009B0C24">
      <w:pPr>
        <w:ind w:left="851"/>
        <w:rPr>
          <w:sz w:val="24"/>
          <w:szCs w:val="24"/>
        </w:rPr>
      </w:pPr>
      <w:r>
        <w:rPr>
          <w:sz w:val="24"/>
          <w:szCs w:val="24"/>
        </w:rPr>
        <w:t>Farmakoterapeutisk klassifikation:</w:t>
      </w:r>
      <w:r w:rsidRPr="009B0C24">
        <w:rPr>
          <w:sz w:val="24"/>
          <w:szCs w:val="24"/>
        </w:rPr>
        <w:t xml:space="preserve"> </w:t>
      </w:r>
      <w:r w:rsidRPr="008D45EF">
        <w:rPr>
          <w:sz w:val="24"/>
          <w:szCs w:val="24"/>
        </w:rPr>
        <w:t>Taxaner</w:t>
      </w:r>
      <w:r>
        <w:rPr>
          <w:sz w:val="24"/>
          <w:szCs w:val="24"/>
        </w:rPr>
        <w:t xml:space="preserve">, </w:t>
      </w:r>
      <w:r w:rsidRPr="008D45EF">
        <w:rPr>
          <w:sz w:val="24"/>
          <w:szCs w:val="24"/>
        </w:rPr>
        <w:t>ATC</w:t>
      </w:r>
      <w:r w:rsidRPr="008D45EF">
        <w:rPr>
          <w:sz w:val="24"/>
          <w:szCs w:val="24"/>
        </w:rPr>
        <w:noBreakHyphen/>
        <w:t>kode: L01CD02</w:t>
      </w:r>
      <w:r>
        <w:rPr>
          <w:sz w:val="24"/>
          <w:szCs w:val="24"/>
        </w:rPr>
        <w:t>.</w:t>
      </w:r>
    </w:p>
    <w:p w14:paraId="48EB08C2" w14:textId="77777777" w:rsidR="009B0C24" w:rsidRPr="008D45EF" w:rsidRDefault="009B0C24" w:rsidP="0081699D">
      <w:pPr>
        <w:ind w:left="851"/>
        <w:rPr>
          <w:sz w:val="24"/>
          <w:szCs w:val="24"/>
        </w:rPr>
      </w:pPr>
    </w:p>
    <w:p w14:paraId="171D5ED6" w14:textId="77777777" w:rsidR="00D22BF6" w:rsidRPr="003D4A39" w:rsidRDefault="00D22BF6" w:rsidP="00D22BF6">
      <w:pPr>
        <w:ind w:left="851"/>
        <w:rPr>
          <w:sz w:val="24"/>
          <w:szCs w:val="24"/>
        </w:rPr>
      </w:pPr>
      <w:r w:rsidRPr="003D4A39">
        <w:rPr>
          <w:sz w:val="24"/>
          <w:szCs w:val="24"/>
          <w:u w:val="single"/>
        </w:rPr>
        <w:t>Virkningsmekanisme</w:t>
      </w:r>
    </w:p>
    <w:p w14:paraId="31C06AD4" w14:textId="77777777" w:rsidR="006B34A1" w:rsidRPr="008D45EF" w:rsidRDefault="006B34A1" w:rsidP="0081699D">
      <w:pPr>
        <w:ind w:left="851"/>
        <w:rPr>
          <w:sz w:val="24"/>
          <w:szCs w:val="24"/>
        </w:rPr>
      </w:pPr>
      <w:r w:rsidRPr="008D45EF">
        <w:rPr>
          <w:sz w:val="24"/>
          <w:szCs w:val="24"/>
        </w:rPr>
        <w:t>Docetaxel er et antineoplastisk stof, som virker ved at facilitere polymerisering af tubulin til stabile mikrotubuli og hæmme depolymerisering af mikrotubuli til tubulin, hvilket medfører et udtalt fald i koncentrationen af frit tubulin. Binding af docetaxel til mikrotubuli medfører ingen ændring i antallet af protofilamenter.</w:t>
      </w:r>
    </w:p>
    <w:p w14:paraId="3DCF1F82" w14:textId="77777777" w:rsidR="006B34A1" w:rsidRPr="008D45EF" w:rsidRDefault="006B34A1" w:rsidP="0081699D">
      <w:pPr>
        <w:ind w:left="851"/>
        <w:rPr>
          <w:sz w:val="24"/>
          <w:szCs w:val="24"/>
        </w:rPr>
      </w:pPr>
    </w:p>
    <w:p w14:paraId="4DF8858F" w14:textId="77777777" w:rsidR="006B34A1" w:rsidRPr="008D45EF" w:rsidRDefault="006B34A1" w:rsidP="0081699D">
      <w:pPr>
        <w:ind w:left="851"/>
        <w:rPr>
          <w:sz w:val="24"/>
          <w:szCs w:val="24"/>
        </w:rPr>
      </w:pPr>
      <w:r w:rsidRPr="008D45EF">
        <w:rPr>
          <w:i/>
          <w:iCs/>
          <w:sz w:val="24"/>
          <w:szCs w:val="24"/>
        </w:rPr>
        <w:t>In vitro</w:t>
      </w:r>
      <w:r w:rsidRPr="008D45EF">
        <w:rPr>
          <w:sz w:val="24"/>
          <w:szCs w:val="24"/>
        </w:rPr>
        <w:t>-studier har vist, at Docetaxel ødelægger det mikrotubulære netværk i celler, som er essentielle for mitosen og cellulære funktioner i interfasen.</w:t>
      </w:r>
    </w:p>
    <w:p w14:paraId="522895CA" w14:textId="77777777" w:rsidR="006B34A1" w:rsidRPr="008D45EF" w:rsidRDefault="006B34A1" w:rsidP="0081699D">
      <w:pPr>
        <w:ind w:left="851"/>
        <w:rPr>
          <w:sz w:val="24"/>
          <w:szCs w:val="24"/>
        </w:rPr>
      </w:pPr>
    </w:p>
    <w:p w14:paraId="0C743A3D" w14:textId="77777777" w:rsidR="00D22BF6" w:rsidRPr="003D4A39" w:rsidRDefault="00D22BF6" w:rsidP="00D22BF6">
      <w:pPr>
        <w:ind w:left="851"/>
        <w:rPr>
          <w:sz w:val="24"/>
          <w:szCs w:val="24"/>
          <w:u w:val="single"/>
        </w:rPr>
      </w:pPr>
      <w:r w:rsidRPr="003D4A39">
        <w:rPr>
          <w:sz w:val="24"/>
          <w:szCs w:val="24"/>
          <w:u w:val="single"/>
        </w:rPr>
        <w:t>Farmakodynamisk virkning</w:t>
      </w:r>
    </w:p>
    <w:p w14:paraId="61EAEA62" w14:textId="118FEC86" w:rsidR="00D22BF6" w:rsidRPr="003D4A39" w:rsidRDefault="00D22BF6" w:rsidP="00D22BF6">
      <w:pPr>
        <w:ind w:left="851"/>
        <w:rPr>
          <w:sz w:val="24"/>
          <w:szCs w:val="24"/>
        </w:rPr>
      </w:pPr>
      <w:r w:rsidRPr="003D4A39">
        <w:rPr>
          <w:sz w:val="24"/>
          <w:szCs w:val="24"/>
        </w:rPr>
        <w:t xml:space="preserve">Docetaxel fandtes </w:t>
      </w:r>
      <w:r w:rsidRPr="003D4A39">
        <w:rPr>
          <w:i/>
          <w:iCs/>
          <w:sz w:val="24"/>
          <w:szCs w:val="24"/>
        </w:rPr>
        <w:t xml:space="preserve">in vitro </w:t>
      </w:r>
      <w:r w:rsidRPr="003D4A39">
        <w:rPr>
          <w:sz w:val="24"/>
          <w:szCs w:val="24"/>
        </w:rPr>
        <w:t>at være cytotoksisk over for forskellige murine og humane tumorcellelinjer samt over for humane tumorceller fra frisk udtaget væv i klonogene assays. Docetaxel opnår høje intracellulære koncentrationer og forbliver længe intracellulært. Docetaxel fandtes ydermere at være aktivt over for nogle, men ikke alle cellelinjer, der udviste overekspression af p-glycoprotein, hvis tilstedeværelse er bestemt af "</w:t>
      </w:r>
      <w:r w:rsidRPr="00677957">
        <w:rPr>
          <w:i/>
          <w:iCs/>
          <w:sz w:val="24"/>
          <w:szCs w:val="24"/>
        </w:rPr>
        <w:t>multidrug resistance</w:t>
      </w:r>
      <w:r w:rsidRPr="003D4A39">
        <w:rPr>
          <w:sz w:val="24"/>
          <w:szCs w:val="24"/>
        </w:rPr>
        <w:t xml:space="preserve">"-genet (MDR-genet). </w:t>
      </w:r>
      <w:r w:rsidRPr="003D4A39">
        <w:rPr>
          <w:i/>
          <w:iCs/>
          <w:sz w:val="24"/>
          <w:szCs w:val="24"/>
        </w:rPr>
        <w:t xml:space="preserve">In vivo </w:t>
      </w:r>
      <w:r w:rsidRPr="003D4A39">
        <w:rPr>
          <w:sz w:val="24"/>
          <w:szCs w:val="24"/>
        </w:rPr>
        <w:t>er docetaxels aktivitet uafhængig af behandlingsregimet og har eksperimentelt vist et bredt spektrum af antineoplastisk aktivitet over for murine og transplanterede humane tumorer.</w:t>
      </w:r>
    </w:p>
    <w:p w14:paraId="0AE77F83" w14:textId="77777777" w:rsidR="006B34A1" w:rsidRPr="008D45EF" w:rsidRDefault="006B34A1" w:rsidP="0081699D">
      <w:pPr>
        <w:ind w:left="851"/>
        <w:rPr>
          <w:sz w:val="24"/>
          <w:szCs w:val="24"/>
        </w:rPr>
      </w:pPr>
    </w:p>
    <w:p w14:paraId="28C624F9" w14:textId="77777777" w:rsidR="00D22BF6" w:rsidRPr="003D4A39" w:rsidRDefault="00D22BF6" w:rsidP="00D22BF6">
      <w:pPr>
        <w:keepNext/>
        <w:ind w:left="851"/>
        <w:rPr>
          <w:sz w:val="24"/>
          <w:szCs w:val="24"/>
        </w:rPr>
      </w:pPr>
      <w:r w:rsidRPr="003D4A39">
        <w:rPr>
          <w:sz w:val="24"/>
          <w:szCs w:val="24"/>
          <w:u w:val="single"/>
        </w:rPr>
        <w:t>Klinisk virkning og sikkerhed</w:t>
      </w:r>
    </w:p>
    <w:p w14:paraId="54853E4C" w14:textId="77777777" w:rsidR="00D22BF6" w:rsidRPr="003D4A39" w:rsidRDefault="00D22BF6" w:rsidP="00D22BF6">
      <w:pPr>
        <w:keepNext/>
        <w:ind w:left="851"/>
        <w:rPr>
          <w:sz w:val="24"/>
          <w:szCs w:val="24"/>
        </w:rPr>
      </w:pPr>
    </w:p>
    <w:p w14:paraId="16B3BB49" w14:textId="77777777" w:rsidR="00D22BF6" w:rsidRPr="003D4A39" w:rsidRDefault="00D22BF6" w:rsidP="00D22BF6">
      <w:pPr>
        <w:keepNext/>
        <w:ind w:left="851"/>
        <w:rPr>
          <w:sz w:val="24"/>
          <w:szCs w:val="24"/>
        </w:rPr>
      </w:pPr>
      <w:r w:rsidRPr="003D4A39">
        <w:rPr>
          <w:i/>
          <w:iCs/>
          <w:sz w:val="24"/>
          <w:szCs w:val="24"/>
          <w:u w:val="single"/>
        </w:rPr>
        <w:t>Brystkræft</w:t>
      </w:r>
    </w:p>
    <w:p w14:paraId="0824928D" w14:textId="77777777" w:rsidR="00D22BF6" w:rsidRPr="003D4A39" w:rsidRDefault="00D22BF6" w:rsidP="00D22BF6">
      <w:pPr>
        <w:keepNext/>
        <w:ind w:left="851"/>
        <w:rPr>
          <w:sz w:val="24"/>
          <w:szCs w:val="24"/>
        </w:rPr>
      </w:pPr>
    </w:p>
    <w:p w14:paraId="7E16D315" w14:textId="77777777" w:rsidR="00D22BF6" w:rsidRPr="003D4A39" w:rsidRDefault="00D22BF6" w:rsidP="00D22BF6">
      <w:pPr>
        <w:keepNext/>
        <w:ind w:left="851"/>
        <w:rPr>
          <w:sz w:val="24"/>
          <w:szCs w:val="24"/>
        </w:rPr>
      </w:pPr>
      <w:r w:rsidRPr="003D4A39">
        <w:rPr>
          <w:i/>
          <w:iCs/>
          <w:sz w:val="24"/>
          <w:szCs w:val="24"/>
        </w:rPr>
        <w:t>Docetaxel i kombination med doxorubicin og cyclophosphamid: Adjuverende behandling</w:t>
      </w:r>
    </w:p>
    <w:p w14:paraId="4CACBEBF" w14:textId="77777777" w:rsidR="00D22BF6" w:rsidRPr="003D4A39" w:rsidRDefault="00D22BF6" w:rsidP="00D22BF6">
      <w:pPr>
        <w:keepNext/>
        <w:ind w:left="851"/>
        <w:rPr>
          <w:sz w:val="24"/>
          <w:szCs w:val="24"/>
        </w:rPr>
      </w:pPr>
    </w:p>
    <w:p w14:paraId="1A1E7171" w14:textId="77777777" w:rsidR="00D22BF6" w:rsidRPr="003D4A39" w:rsidRDefault="00D22BF6" w:rsidP="00D22BF6">
      <w:pPr>
        <w:keepNext/>
        <w:ind w:left="851"/>
        <w:rPr>
          <w:sz w:val="24"/>
          <w:szCs w:val="24"/>
        </w:rPr>
      </w:pPr>
      <w:r w:rsidRPr="003D4A39">
        <w:rPr>
          <w:sz w:val="24"/>
          <w:szCs w:val="24"/>
          <w:u w:val="single"/>
        </w:rPr>
        <w:t>Patienter med operabel, lymfeknude-positiv brystkræft (TAX 316)</w:t>
      </w:r>
    </w:p>
    <w:p w14:paraId="275E2788" w14:textId="58BF4C70" w:rsidR="00D22BF6" w:rsidRPr="003D4A39" w:rsidRDefault="00D22BF6" w:rsidP="00D22BF6">
      <w:pPr>
        <w:ind w:left="851"/>
        <w:rPr>
          <w:sz w:val="24"/>
          <w:szCs w:val="24"/>
        </w:rPr>
      </w:pPr>
      <w:r w:rsidRPr="003D4A39">
        <w:rPr>
          <w:sz w:val="24"/>
          <w:szCs w:val="24"/>
        </w:rPr>
        <w:t xml:space="preserve">Data fra et multicenter åbent randomiseret studium støtter anvendelsen af docetaxel som den adjuverende behandling til patienter med operabel lymfeknude-positiv brystkræft og KPS </w:t>
      </w:r>
      <w:r w:rsidRPr="003D4A39">
        <w:rPr>
          <w:sz w:val="24"/>
          <w:szCs w:val="24"/>
          <w:u w:val="single"/>
        </w:rPr>
        <w:t>&gt; </w:t>
      </w:r>
      <w:r w:rsidRPr="003D4A39">
        <w:rPr>
          <w:sz w:val="24"/>
          <w:szCs w:val="24"/>
        </w:rPr>
        <w:t>80 % i alderen mellem 18 og 70 år. Efter stratificering i henhold til antallet af positive lymfeknuder (1</w:t>
      </w:r>
      <w:r w:rsidRPr="003D4A39">
        <w:rPr>
          <w:sz w:val="24"/>
          <w:szCs w:val="24"/>
        </w:rPr>
        <w:noBreakHyphen/>
        <w:t>3, 4+), blev 1.491 patienter randomiseret til enten at få enten docetaxel 75 mg/m² administreret en time efter doxorubicin 50 mg/m² og cyclophosphamid 500 mg/m² (TAC-arm), eller doxorubicin 50 mg/m², fulgt af fluoruracil 500 mg/ m² og cyclophosphamid 500 mg/m² (FAC-arm). Begge regimer blev administreret en gang hver 3. uge i 6 perioder. Docetaxel blev administreret som en 1</w:t>
      </w:r>
      <w:r w:rsidRPr="003D4A39">
        <w:rPr>
          <w:sz w:val="24"/>
          <w:szCs w:val="24"/>
        </w:rPr>
        <w:noBreakHyphen/>
        <w:t>times infusion. Alle andre lægemidler blev givet som intravenøs bolus på dag 1. G</w:t>
      </w:r>
      <w:r w:rsidRPr="003D4A39">
        <w:rPr>
          <w:sz w:val="24"/>
          <w:szCs w:val="24"/>
        </w:rPr>
        <w:noBreakHyphen/>
        <w:t>CSF blev administreret som sekundær profylakse til patienter, som fik kompliceret neutropeni (febril neutropeni, forlænget neutropen</w:t>
      </w:r>
      <w:r>
        <w:rPr>
          <w:sz w:val="24"/>
          <w:szCs w:val="24"/>
        </w:rPr>
        <w:t>i</w:t>
      </w:r>
      <w:r w:rsidRPr="003D4A39">
        <w:rPr>
          <w:sz w:val="24"/>
          <w:szCs w:val="24"/>
        </w:rPr>
        <w:t xml:space="preserve"> eller infektion). Patienter på TAC-armen fik antibiotisk profylakse med ciprofloxacin 500 mg oralt 2 gange daglig i 10 dage, startende på dag 5 af hver periode, eller lignende. Efter den sidste cyklus af kemoterapi, fik patienter i begge arme, der havde positive østrogen- og/eller progesteron-receptorer tamoxifen 20 mg daglig i op til 5 år. Adjuverende stråleterapi blev givet i henhold til eksisterende vejledninger på de deltagende centre og blev givet til 69 % af patienterne, som fik TAC, og 72 % af patienterne som fik FAC. Der blev udført to interim-analyser og en endelig analyse. Den første interim-analyse var planlagt til 3 år efter datoen, hvor halvdelen af tilmeldingerne til studiet var nået. Den anden interim-analyse blev udført efter optagelse af i alt 400 sygdomsfri overlevelser (DFS), hvilket førte til en median opfølgningstid på 55 måneder. Den endelige analyse blev udført, da alle patienter havde nået deres 10 års opfølgningsbesøg (medmindre de havde DFS eller udgik tidligere fra opfølgning). DFS var det primære effektendepunkt, og total overlevelse (OS) var det sekundære effektendepunkt.</w:t>
      </w:r>
    </w:p>
    <w:p w14:paraId="621F626C" w14:textId="77777777" w:rsidR="00D22BF6" w:rsidRPr="003D4A39" w:rsidRDefault="00D22BF6" w:rsidP="00D22BF6">
      <w:pPr>
        <w:ind w:left="851"/>
        <w:rPr>
          <w:sz w:val="24"/>
          <w:szCs w:val="24"/>
        </w:rPr>
      </w:pPr>
    </w:p>
    <w:p w14:paraId="690FB727" w14:textId="311C6B72" w:rsidR="00D22BF6" w:rsidRPr="003D4A39" w:rsidRDefault="00D22BF6" w:rsidP="00D22BF6">
      <w:pPr>
        <w:ind w:left="851"/>
        <w:rPr>
          <w:sz w:val="24"/>
          <w:szCs w:val="24"/>
        </w:rPr>
      </w:pPr>
      <w:r w:rsidRPr="003D4A39">
        <w:rPr>
          <w:sz w:val="24"/>
          <w:szCs w:val="24"/>
        </w:rPr>
        <w:t xml:space="preserve">Der blev udført en endelig analyse med en aktuel median opfølgning på 96 måneder. Der blev vist signifikant længere sygdomsfri overlevelse i TAC-armen end FAC-armen. Forekomsten af tilbagefald ved 10 år var reduceret hos de patienter som fik TAC, sammenlignet med dem, som fik FAC (henholdsvis 39 % </w:t>
      </w:r>
      <w:r w:rsidRPr="00E45332">
        <w:rPr>
          <w:i/>
          <w:sz w:val="24"/>
          <w:szCs w:val="24"/>
        </w:rPr>
        <w:t>versus</w:t>
      </w:r>
      <w:r w:rsidRPr="003D4A39">
        <w:rPr>
          <w:iCs/>
          <w:sz w:val="24"/>
          <w:szCs w:val="24"/>
        </w:rPr>
        <w:t xml:space="preserve"> </w:t>
      </w:r>
      <w:r w:rsidRPr="003D4A39">
        <w:rPr>
          <w:sz w:val="24"/>
          <w:szCs w:val="24"/>
        </w:rPr>
        <w:t xml:space="preserve">45 %). Det betyder en absolut risikoreduktion på 6 % (p = 0,0043). Total overlevelse ved 10 år var også signifikant forøget med TAC i forhold til FAC (henholdsvis 76 % </w:t>
      </w:r>
      <w:r w:rsidRPr="00E45332">
        <w:rPr>
          <w:i/>
          <w:sz w:val="24"/>
          <w:szCs w:val="24"/>
        </w:rPr>
        <w:t>versus</w:t>
      </w:r>
      <w:r w:rsidRPr="003D4A39">
        <w:rPr>
          <w:iCs/>
          <w:sz w:val="24"/>
          <w:szCs w:val="24"/>
        </w:rPr>
        <w:t xml:space="preserve"> </w:t>
      </w:r>
      <w:r w:rsidRPr="003D4A39">
        <w:rPr>
          <w:sz w:val="24"/>
          <w:szCs w:val="24"/>
        </w:rPr>
        <w:t>69 %). Det betyder en absolut risikoreduktion for død på 7 % (p = 0,002). Da fordelene hos patienter med 4+lymfeknuder ikke var statistisk signifikant for DFS og OS, blev den positive benefit/risk-fordeling for TAC hos patienter med 4+lymfeknuder ikke helt demonstreret ved den endelige analyse.</w:t>
      </w:r>
    </w:p>
    <w:p w14:paraId="1AF23EEB" w14:textId="77777777" w:rsidR="00D22BF6" w:rsidRPr="003D4A39" w:rsidRDefault="00D22BF6" w:rsidP="00D22BF6">
      <w:pPr>
        <w:ind w:left="851"/>
        <w:rPr>
          <w:sz w:val="24"/>
          <w:szCs w:val="24"/>
        </w:rPr>
      </w:pPr>
    </w:p>
    <w:p w14:paraId="5A64787D" w14:textId="49221F03" w:rsidR="00D22BF6" w:rsidRPr="003D4A39" w:rsidRDefault="00D22BF6" w:rsidP="00D22BF6">
      <w:pPr>
        <w:ind w:left="851"/>
        <w:rPr>
          <w:sz w:val="24"/>
          <w:szCs w:val="24"/>
        </w:rPr>
      </w:pPr>
      <w:r w:rsidRPr="003D4A39">
        <w:rPr>
          <w:sz w:val="24"/>
          <w:szCs w:val="24"/>
        </w:rPr>
        <w:t>Overordnet demonstrerer resultaterne fra studierne en positiv benefit/risk-fordeling for TAC sammenlignet med FAC.</w:t>
      </w:r>
      <w:r>
        <w:rPr>
          <w:sz w:val="24"/>
          <w:szCs w:val="24"/>
        </w:rPr>
        <w:t>r</w:t>
      </w:r>
    </w:p>
    <w:p w14:paraId="5B6F3950" w14:textId="77777777" w:rsidR="00D22BF6" w:rsidRPr="003D4A39" w:rsidRDefault="00D22BF6" w:rsidP="00D22BF6">
      <w:pPr>
        <w:ind w:left="851"/>
        <w:rPr>
          <w:sz w:val="24"/>
          <w:szCs w:val="24"/>
        </w:rPr>
      </w:pPr>
    </w:p>
    <w:p w14:paraId="54F68D19" w14:textId="77777777" w:rsidR="00D22BF6" w:rsidRPr="003D4A39" w:rsidRDefault="00D22BF6" w:rsidP="00D22BF6">
      <w:pPr>
        <w:ind w:left="851"/>
        <w:rPr>
          <w:sz w:val="24"/>
          <w:szCs w:val="24"/>
        </w:rPr>
      </w:pPr>
      <w:r w:rsidRPr="003D4A39">
        <w:rPr>
          <w:sz w:val="24"/>
          <w:szCs w:val="24"/>
        </w:rPr>
        <w:t>Fordelingen af TAC-behandlede patienter ifølge allerede definerede større prognostiske faktorer blev analyseret:</w:t>
      </w:r>
    </w:p>
    <w:p w14:paraId="517A9445" w14:textId="77777777" w:rsidR="006B34A1" w:rsidRPr="008D45EF" w:rsidRDefault="006B34A1" w:rsidP="0081699D">
      <w:pPr>
        <w:ind w:left="851"/>
        <w:rPr>
          <w:sz w:val="24"/>
          <w:szCs w:val="24"/>
        </w:rPr>
      </w:pPr>
    </w:p>
    <w:tbl>
      <w:tblPr>
        <w:tblW w:w="5000" w:type="pct"/>
        <w:tblCellMar>
          <w:left w:w="0" w:type="dxa"/>
          <w:right w:w="0" w:type="dxa"/>
        </w:tblCellMar>
        <w:tblLook w:val="04A0" w:firstRow="1" w:lastRow="0" w:firstColumn="1" w:lastColumn="0" w:noHBand="0" w:noVBand="1"/>
      </w:tblPr>
      <w:tblGrid>
        <w:gridCol w:w="1667"/>
        <w:gridCol w:w="1117"/>
        <w:gridCol w:w="1146"/>
        <w:gridCol w:w="1212"/>
        <w:gridCol w:w="857"/>
        <w:gridCol w:w="1235"/>
        <w:gridCol w:w="1547"/>
        <w:gridCol w:w="852"/>
      </w:tblGrid>
      <w:tr w:rsidR="006B34A1" w:rsidRPr="008D45EF" w14:paraId="0B3E2E2C" w14:textId="77777777" w:rsidTr="002A7D83">
        <w:trPr>
          <w:trHeight w:hRule="exact" w:val="264"/>
        </w:trPr>
        <w:tc>
          <w:tcPr>
            <w:tcW w:w="865" w:type="pct"/>
            <w:tcBorders>
              <w:top w:val="nil"/>
              <w:left w:val="nil"/>
              <w:bottom w:val="single" w:sz="4" w:space="0" w:color="auto"/>
              <w:right w:val="nil"/>
            </w:tcBorders>
          </w:tcPr>
          <w:p w14:paraId="6696EF6F" w14:textId="77777777" w:rsidR="006B34A1" w:rsidRPr="008D45EF" w:rsidRDefault="006B34A1" w:rsidP="00D22BF6">
            <w:pPr>
              <w:keepNext/>
              <w:ind w:left="137"/>
              <w:rPr>
                <w:sz w:val="24"/>
                <w:szCs w:val="24"/>
              </w:rPr>
            </w:pPr>
          </w:p>
        </w:tc>
        <w:tc>
          <w:tcPr>
            <w:tcW w:w="580" w:type="pct"/>
            <w:tcBorders>
              <w:top w:val="nil"/>
              <w:left w:val="nil"/>
              <w:bottom w:val="single" w:sz="4" w:space="0" w:color="auto"/>
              <w:right w:val="single" w:sz="4" w:space="0" w:color="auto"/>
            </w:tcBorders>
          </w:tcPr>
          <w:p w14:paraId="476C6365" w14:textId="77777777" w:rsidR="006B34A1" w:rsidRPr="008D45EF" w:rsidRDefault="006B34A1" w:rsidP="0081699D">
            <w:pPr>
              <w:ind w:left="137"/>
              <w:rPr>
                <w:sz w:val="24"/>
                <w:szCs w:val="24"/>
              </w:rPr>
            </w:pPr>
          </w:p>
        </w:tc>
        <w:tc>
          <w:tcPr>
            <w:tcW w:w="1669" w:type="pct"/>
            <w:gridSpan w:val="3"/>
            <w:tcBorders>
              <w:top w:val="single" w:sz="4" w:space="0" w:color="000000"/>
              <w:left w:val="single" w:sz="4" w:space="0" w:color="auto"/>
              <w:bottom w:val="single" w:sz="4" w:space="0" w:color="000000"/>
              <w:right w:val="single" w:sz="4" w:space="0" w:color="000000"/>
            </w:tcBorders>
            <w:hideMark/>
          </w:tcPr>
          <w:p w14:paraId="242DED04" w14:textId="42E708B0" w:rsidR="006B34A1" w:rsidRPr="008D45EF" w:rsidRDefault="00D22BF6" w:rsidP="00D22BF6">
            <w:pPr>
              <w:keepNext/>
              <w:ind w:left="137"/>
              <w:rPr>
                <w:sz w:val="24"/>
                <w:szCs w:val="24"/>
              </w:rPr>
            </w:pPr>
            <w:r w:rsidRPr="003D4A39">
              <w:rPr>
                <w:b/>
                <w:bCs/>
                <w:sz w:val="24"/>
                <w:szCs w:val="24"/>
              </w:rPr>
              <w:t>Sygdomsfri</w:t>
            </w:r>
            <w:r w:rsidR="000F0CB1">
              <w:rPr>
                <w:b/>
                <w:bCs/>
                <w:sz w:val="24"/>
                <w:szCs w:val="24"/>
              </w:rPr>
              <w:t xml:space="preserve"> overlevelse</w:t>
            </w:r>
          </w:p>
        </w:tc>
        <w:tc>
          <w:tcPr>
            <w:tcW w:w="1886" w:type="pct"/>
            <w:gridSpan w:val="3"/>
            <w:tcBorders>
              <w:top w:val="single" w:sz="4" w:space="0" w:color="000000"/>
              <w:left w:val="single" w:sz="4" w:space="0" w:color="000000"/>
              <w:bottom w:val="single" w:sz="4" w:space="0" w:color="000000"/>
              <w:right w:val="single" w:sz="4" w:space="0" w:color="000000"/>
            </w:tcBorders>
            <w:hideMark/>
          </w:tcPr>
          <w:p w14:paraId="10EA6555" w14:textId="77777777" w:rsidR="006B34A1" w:rsidRPr="008D45EF" w:rsidRDefault="006B34A1" w:rsidP="00D22BF6">
            <w:pPr>
              <w:keepNext/>
              <w:ind w:left="137"/>
              <w:rPr>
                <w:sz w:val="24"/>
                <w:szCs w:val="24"/>
              </w:rPr>
            </w:pPr>
            <w:r w:rsidRPr="008D45EF">
              <w:rPr>
                <w:b/>
                <w:bCs/>
                <w:sz w:val="24"/>
                <w:szCs w:val="24"/>
              </w:rPr>
              <w:t>Total overlevelse</w:t>
            </w:r>
          </w:p>
        </w:tc>
      </w:tr>
      <w:tr w:rsidR="006B34A1" w:rsidRPr="008D45EF" w14:paraId="393D3B68" w14:textId="77777777" w:rsidTr="002F3AAC">
        <w:tc>
          <w:tcPr>
            <w:tcW w:w="865" w:type="pct"/>
            <w:tcBorders>
              <w:top w:val="single" w:sz="4" w:space="0" w:color="auto"/>
              <w:left w:val="single" w:sz="4" w:space="0" w:color="000000"/>
              <w:bottom w:val="single" w:sz="4" w:space="0" w:color="000000"/>
              <w:right w:val="single" w:sz="4" w:space="0" w:color="000000"/>
            </w:tcBorders>
            <w:hideMark/>
          </w:tcPr>
          <w:p w14:paraId="6B7DFB9D" w14:textId="77777777" w:rsidR="006B34A1" w:rsidRPr="008D45EF" w:rsidRDefault="006B34A1" w:rsidP="00D22BF6">
            <w:pPr>
              <w:keepNext/>
              <w:ind w:left="137"/>
              <w:rPr>
                <w:b/>
                <w:bCs/>
                <w:sz w:val="24"/>
                <w:szCs w:val="24"/>
              </w:rPr>
            </w:pPr>
            <w:r w:rsidRPr="008D45EF">
              <w:rPr>
                <w:b/>
                <w:bCs/>
                <w:sz w:val="24"/>
                <w:szCs w:val="24"/>
              </w:rPr>
              <w:t>Patient fordeling</w:t>
            </w:r>
          </w:p>
        </w:tc>
        <w:tc>
          <w:tcPr>
            <w:tcW w:w="580" w:type="pct"/>
            <w:tcBorders>
              <w:top w:val="single" w:sz="4" w:space="0" w:color="auto"/>
              <w:left w:val="single" w:sz="4" w:space="0" w:color="000000"/>
              <w:bottom w:val="single" w:sz="4" w:space="0" w:color="000000"/>
              <w:right w:val="single" w:sz="4" w:space="0" w:color="000000"/>
            </w:tcBorders>
            <w:hideMark/>
          </w:tcPr>
          <w:p w14:paraId="5B2AA7A0" w14:textId="77777777" w:rsidR="006B34A1" w:rsidRPr="008D45EF" w:rsidRDefault="006B34A1" w:rsidP="00D22BF6">
            <w:pPr>
              <w:keepNext/>
              <w:ind w:left="137"/>
              <w:rPr>
                <w:sz w:val="24"/>
                <w:szCs w:val="24"/>
              </w:rPr>
            </w:pPr>
            <w:r w:rsidRPr="008D45EF">
              <w:rPr>
                <w:b/>
                <w:bCs/>
                <w:sz w:val="24"/>
                <w:szCs w:val="24"/>
              </w:rPr>
              <w:t>Antal patienter</w:t>
            </w:r>
          </w:p>
        </w:tc>
        <w:tc>
          <w:tcPr>
            <w:tcW w:w="595" w:type="pct"/>
            <w:tcBorders>
              <w:top w:val="single" w:sz="4" w:space="0" w:color="000000"/>
              <w:left w:val="single" w:sz="4" w:space="0" w:color="000000"/>
              <w:bottom w:val="single" w:sz="4" w:space="0" w:color="000000"/>
              <w:right w:val="single" w:sz="4" w:space="0" w:color="000000"/>
            </w:tcBorders>
            <w:hideMark/>
          </w:tcPr>
          <w:p w14:paraId="0E6D8D0E" w14:textId="77777777" w:rsidR="006B34A1" w:rsidRPr="008D45EF" w:rsidRDefault="006B34A1" w:rsidP="0081699D">
            <w:pPr>
              <w:ind w:left="137"/>
              <w:rPr>
                <w:sz w:val="24"/>
                <w:szCs w:val="24"/>
              </w:rPr>
            </w:pPr>
            <w:r w:rsidRPr="008D45EF">
              <w:rPr>
                <w:b/>
                <w:bCs/>
                <w:sz w:val="24"/>
                <w:szCs w:val="24"/>
              </w:rPr>
              <w:t>Hazard ratio*</w:t>
            </w:r>
          </w:p>
        </w:tc>
        <w:tc>
          <w:tcPr>
            <w:tcW w:w="629" w:type="pct"/>
            <w:tcBorders>
              <w:top w:val="single" w:sz="4" w:space="0" w:color="000000"/>
              <w:left w:val="single" w:sz="4" w:space="0" w:color="000000"/>
              <w:bottom w:val="single" w:sz="4" w:space="0" w:color="000000"/>
              <w:right w:val="single" w:sz="4" w:space="0" w:color="000000"/>
            </w:tcBorders>
            <w:hideMark/>
          </w:tcPr>
          <w:p w14:paraId="1BC90317" w14:textId="77777777" w:rsidR="006B34A1" w:rsidRPr="008D45EF" w:rsidRDefault="006B34A1" w:rsidP="0081699D">
            <w:pPr>
              <w:ind w:left="137"/>
              <w:rPr>
                <w:sz w:val="24"/>
                <w:szCs w:val="24"/>
              </w:rPr>
            </w:pPr>
            <w:r w:rsidRPr="008D45EF">
              <w:rPr>
                <w:b/>
                <w:bCs/>
                <w:sz w:val="24"/>
                <w:szCs w:val="24"/>
              </w:rPr>
              <w:t>95 %CI</w:t>
            </w:r>
          </w:p>
        </w:tc>
        <w:tc>
          <w:tcPr>
            <w:tcW w:w="445" w:type="pct"/>
            <w:tcBorders>
              <w:top w:val="single" w:sz="4" w:space="0" w:color="000000"/>
              <w:left w:val="single" w:sz="4" w:space="0" w:color="000000"/>
              <w:bottom w:val="single" w:sz="4" w:space="0" w:color="000000"/>
              <w:right w:val="single" w:sz="4" w:space="0" w:color="000000"/>
            </w:tcBorders>
            <w:hideMark/>
          </w:tcPr>
          <w:p w14:paraId="09885B41" w14:textId="0E5E4316" w:rsidR="006B34A1" w:rsidRPr="008D45EF" w:rsidRDefault="002F3AAC" w:rsidP="0081699D">
            <w:pPr>
              <w:ind w:left="137"/>
              <w:rPr>
                <w:sz w:val="24"/>
                <w:szCs w:val="24"/>
              </w:rPr>
            </w:pPr>
            <w:r>
              <w:rPr>
                <w:b/>
                <w:bCs/>
                <w:sz w:val="24"/>
                <w:szCs w:val="24"/>
              </w:rPr>
              <w:t>p</w:t>
            </w:r>
            <w:r w:rsidRPr="008D45EF">
              <w:rPr>
                <w:b/>
                <w:bCs/>
                <w:sz w:val="24"/>
                <w:szCs w:val="24"/>
              </w:rPr>
              <w:t xml:space="preserve"> =</w:t>
            </w:r>
          </w:p>
        </w:tc>
        <w:tc>
          <w:tcPr>
            <w:tcW w:w="641" w:type="pct"/>
            <w:tcBorders>
              <w:top w:val="single" w:sz="4" w:space="0" w:color="000000"/>
              <w:left w:val="single" w:sz="4" w:space="0" w:color="000000"/>
              <w:bottom w:val="single" w:sz="4" w:space="0" w:color="000000"/>
              <w:right w:val="single" w:sz="4" w:space="0" w:color="000000"/>
            </w:tcBorders>
            <w:hideMark/>
          </w:tcPr>
          <w:p w14:paraId="4F21948B" w14:textId="77777777" w:rsidR="006B34A1" w:rsidRPr="008D45EF" w:rsidRDefault="006B34A1" w:rsidP="0081699D">
            <w:pPr>
              <w:ind w:left="137"/>
              <w:rPr>
                <w:sz w:val="24"/>
                <w:szCs w:val="24"/>
              </w:rPr>
            </w:pPr>
            <w:r w:rsidRPr="008D45EF">
              <w:rPr>
                <w:b/>
                <w:bCs/>
                <w:sz w:val="24"/>
                <w:szCs w:val="24"/>
              </w:rPr>
              <w:t>Hazard ratio*</w:t>
            </w:r>
          </w:p>
        </w:tc>
        <w:tc>
          <w:tcPr>
            <w:tcW w:w="803" w:type="pct"/>
            <w:tcBorders>
              <w:top w:val="single" w:sz="4" w:space="0" w:color="000000"/>
              <w:left w:val="single" w:sz="4" w:space="0" w:color="000000"/>
              <w:bottom w:val="single" w:sz="4" w:space="0" w:color="000000"/>
              <w:right w:val="single" w:sz="4" w:space="0" w:color="000000"/>
            </w:tcBorders>
            <w:hideMark/>
          </w:tcPr>
          <w:p w14:paraId="564C80B8" w14:textId="77777777" w:rsidR="006B34A1" w:rsidRPr="008D45EF" w:rsidRDefault="006B34A1" w:rsidP="0081699D">
            <w:pPr>
              <w:ind w:left="137"/>
              <w:rPr>
                <w:sz w:val="24"/>
                <w:szCs w:val="24"/>
              </w:rPr>
            </w:pPr>
            <w:r w:rsidRPr="008D45EF">
              <w:rPr>
                <w:b/>
                <w:bCs/>
                <w:sz w:val="24"/>
                <w:szCs w:val="24"/>
              </w:rPr>
              <w:t>95 %CI</w:t>
            </w:r>
          </w:p>
        </w:tc>
        <w:tc>
          <w:tcPr>
            <w:tcW w:w="442" w:type="pct"/>
            <w:tcBorders>
              <w:top w:val="single" w:sz="4" w:space="0" w:color="000000"/>
              <w:left w:val="single" w:sz="4" w:space="0" w:color="000000"/>
              <w:bottom w:val="single" w:sz="4" w:space="0" w:color="000000"/>
              <w:right w:val="single" w:sz="4" w:space="0" w:color="000000"/>
            </w:tcBorders>
            <w:hideMark/>
          </w:tcPr>
          <w:p w14:paraId="4FF30615" w14:textId="77777777" w:rsidR="006B34A1" w:rsidRPr="008D45EF" w:rsidRDefault="006B34A1" w:rsidP="0081699D">
            <w:pPr>
              <w:ind w:left="137"/>
              <w:rPr>
                <w:sz w:val="24"/>
                <w:szCs w:val="24"/>
              </w:rPr>
            </w:pPr>
            <w:r w:rsidRPr="008D45EF">
              <w:rPr>
                <w:b/>
                <w:bCs/>
                <w:sz w:val="24"/>
                <w:szCs w:val="24"/>
              </w:rPr>
              <w:t>p =</w:t>
            </w:r>
          </w:p>
        </w:tc>
      </w:tr>
      <w:tr w:rsidR="006B34A1" w:rsidRPr="008D45EF" w14:paraId="78CFD303" w14:textId="77777777" w:rsidTr="002A7D83">
        <w:trPr>
          <w:trHeight w:hRule="exact" w:val="269"/>
        </w:trPr>
        <w:tc>
          <w:tcPr>
            <w:tcW w:w="865" w:type="pct"/>
            <w:tcBorders>
              <w:top w:val="single" w:sz="4" w:space="0" w:color="000000"/>
              <w:left w:val="single" w:sz="4" w:space="0" w:color="000000"/>
              <w:bottom w:val="nil"/>
              <w:right w:val="single" w:sz="4" w:space="0" w:color="000000"/>
            </w:tcBorders>
            <w:hideMark/>
          </w:tcPr>
          <w:p w14:paraId="7D1CCE35" w14:textId="77777777" w:rsidR="006B34A1" w:rsidRPr="008D45EF" w:rsidRDefault="006B34A1" w:rsidP="0081699D">
            <w:pPr>
              <w:ind w:left="137"/>
              <w:rPr>
                <w:b/>
                <w:bCs/>
                <w:sz w:val="24"/>
                <w:szCs w:val="24"/>
              </w:rPr>
            </w:pPr>
            <w:r w:rsidRPr="008D45EF">
              <w:rPr>
                <w:b/>
                <w:bCs/>
                <w:sz w:val="24"/>
                <w:szCs w:val="24"/>
              </w:rPr>
              <w:t>Antal positive</w:t>
            </w:r>
          </w:p>
        </w:tc>
        <w:tc>
          <w:tcPr>
            <w:tcW w:w="580" w:type="pct"/>
            <w:vMerge w:val="restart"/>
            <w:tcBorders>
              <w:top w:val="single" w:sz="4" w:space="0" w:color="000000"/>
              <w:left w:val="single" w:sz="4" w:space="0" w:color="000000"/>
              <w:bottom w:val="nil"/>
              <w:right w:val="single" w:sz="4" w:space="0" w:color="000000"/>
            </w:tcBorders>
          </w:tcPr>
          <w:p w14:paraId="551FC7C1" w14:textId="77777777" w:rsidR="006B34A1" w:rsidRPr="008D45EF" w:rsidRDefault="006B34A1" w:rsidP="0081699D">
            <w:pPr>
              <w:ind w:left="137"/>
              <w:rPr>
                <w:sz w:val="24"/>
                <w:szCs w:val="24"/>
              </w:rPr>
            </w:pPr>
          </w:p>
          <w:p w14:paraId="3F3F24BC" w14:textId="77777777" w:rsidR="006B34A1" w:rsidRPr="008D45EF" w:rsidRDefault="006B34A1" w:rsidP="0081699D">
            <w:pPr>
              <w:ind w:left="137"/>
              <w:rPr>
                <w:sz w:val="24"/>
                <w:szCs w:val="24"/>
              </w:rPr>
            </w:pPr>
            <w:r w:rsidRPr="008D45EF">
              <w:rPr>
                <w:sz w:val="24"/>
                <w:szCs w:val="24"/>
              </w:rPr>
              <w:t>745</w:t>
            </w:r>
          </w:p>
        </w:tc>
        <w:tc>
          <w:tcPr>
            <w:tcW w:w="595" w:type="pct"/>
            <w:vMerge w:val="restart"/>
            <w:tcBorders>
              <w:top w:val="single" w:sz="4" w:space="0" w:color="000000"/>
              <w:left w:val="single" w:sz="4" w:space="0" w:color="000000"/>
              <w:bottom w:val="nil"/>
              <w:right w:val="single" w:sz="4" w:space="0" w:color="000000"/>
            </w:tcBorders>
          </w:tcPr>
          <w:p w14:paraId="7471102B" w14:textId="77777777" w:rsidR="006B34A1" w:rsidRPr="008D45EF" w:rsidRDefault="006B34A1" w:rsidP="0081699D">
            <w:pPr>
              <w:ind w:left="137"/>
              <w:rPr>
                <w:sz w:val="24"/>
                <w:szCs w:val="24"/>
              </w:rPr>
            </w:pPr>
          </w:p>
          <w:p w14:paraId="30863397" w14:textId="77777777" w:rsidR="006B34A1" w:rsidRPr="008D45EF" w:rsidRDefault="006B34A1" w:rsidP="0081699D">
            <w:pPr>
              <w:ind w:left="137"/>
              <w:rPr>
                <w:sz w:val="24"/>
                <w:szCs w:val="24"/>
              </w:rPr>
            </w:pPr>
            <w:r w:rsidRPr="008D45EF">
              <w:rPr>
                <w:sz w:val="24"/>
                <w:szCs w:val="24"/>
              </w:rPr>
              <w:t>0,80</w:t>
            </w:r>
          </w:p>
        </w:tc>
        <w:tc>
          <w:tcPr>
            <w:tcW w:w="629" w:type="pct"/>
            <w:vMerge w:val="restart"/>
            <w:tcBorders>
              <w:top w:val="single" w:sz="4" w:space="0" w:color="000000"/>
              <w:left w:val="single" w:sz="4" w:space="0" w:color="000000"/>
              <w:bottom w:val="nil"/>
              <w:right w:val="single" w:sz="4" w:space="0" w:color="000000"/>
            </w:tcBorders>
          </w:tcPr>
          <w:p w14:paraId="2775E5F9" w14:textId="77777777" w:rsidR="006B34A1" w:rsidRPr="008D45EF" w:rsidRDefault="006B34A1" w:rsidP="0081699D">
            <w:pPr>
              <w:ind w:left="137"/>
              <w:rPr>
                <w:sz w:val="24"/>
                <w:szCs w:val="24"/>
              </w:rPr>
            </w:pPr>
          </w:p>
          <w:p w14:paraId="71044B2F" w14:textId="77777777" w:rsidR="006B34A1" w:rsidRPr="008D45EF" w:rsidRDefault="006B34A1" w:rsidP="0081699D">
            <w:pPr>
              <w:ind w:left="137"/>
              <w:rPr>
                <w:sz w:val="24"/>
                <w:szCs w:val="24"/>
              </w:rPr>
            </w:pPr>
            <w:r w:rsidRPr="008D45EF">
              <w:rPr>
                <w:sz w:val="24"/>
                <w:szCs w:val="24"/>
              </w:rPr>
              <w:t>0,68</w:t>
            </w:r>
            <w:r w:rsidRPr="008D45EF">
              <w:rPr>
                <w:sz w:val="24"/>
                <w:szCs w:val="24"/>
              </w:rPr>
              <w:noBreakHyphen/>
              <w:t>0,93</w:t>
            </w:r>
          </w:p>
        </w:tc>
        <w:tc>
          <w:tcPr>
            <w:tcW w:w="445" w:type="pct"/>
            <w:vMerge w:val="restart"/>
            <w:tcBorders>
              <w:top w:val="single" w:sz="4" w:space="0" w:color="000000"/>
              <w:left w:val="single" w:sz="4" w:space="0" w:color="000000"/>
              <w:bottom w:val="nil"/>
              <w:right w:val="single" w:sz="4" w:space="0" w:color="000000"/>
            </w:tcBorders>
          </w:tcPr>
          <w:p w14:paraId="4CC54016" w14:textId="77777777" w:rsidR="006B34A1" w:rsidRPr="008D45EF" w:rsidRDefault="006B34A1" w:rsidP="0081699D">
            <w:pPr>
              <w:ind w:left="137"/>
              <w:rPr>
                <w:sz w:val="24"/>
                <w:szCs w:val="24"/>
              </w:rPr>
            </w:pPr>
          </w:p>
          <w:p w14:paraId="46386921" w14:textId="77777777" w:rsidR="006B34A1" w:rsidRPr="008D45EF" w:rsidRDefault="006B34A1" w:rsidP="0081699D">
            <w:pPr>
              <w:ind w:left="137"/>
              <w:rPr>
                <w:sz w:val="24"/>
                <w:szCs w:val="24"/>
              </w:rPr>
            </w:pPr>
            <w:r w:rsidRPr="008D45EF">
              <w:rPr>
                <w:sz w:val="24"/>
                <w:szCs w:val="24"/>
              </w:rPr>
              <w:t>0,0043</w:t>
            </w:r>
          </w:p>
        </w:tc>
        <w:tc>
          <w:tcPr>
            <w:tcW w:w="641" w:type="pct"/>
            <w:vMerge w:val="restart"/>
            <w:tcBorders>
              <w:top w:val="single" w:sz="4" w:space="0" w:color="000000"/>
              <w:left w:val="single" w:sz="4" w:space="0" w:color="000000"/>
              <w:bottom w:val="nil"/>
              <w:right w:val="single" w:sz="4" w:space="0" w:color="000000"/>
            </w:tcBorders>
          </w:tcPr>
          <w:p w14:paraId="7D25E85B" w14:textId="77777777" w:rsidR="006B34A1" w:rsidRPr="008D45EF" w:rsidRDefault="006B34A1" w:rsidP="0081699D">
            <w:pPr>
              <w:ind w:left="137"/>
              <w:rPr>
                <w:sz w:val="24"/>
                <w:szCs w:val="24"/>
              </w:rPr>
            </w:pPr>
          </w:p>
          <w:p w14:paraId="324FF54D" w14:textId="77777777" w:rsidR="006B34A1" w:rsidRPr="008D45EF" w:rsidRDefault="006B34A1" w:rsidP="0081699D">
            <w:pPr>
              <w:ind w:left="137"/>
              <w:rPr>
                <w:sz w:val="24"/>
                <w:szCs w:val="24"/>
              </w:rPr>
            </w:pPr>
            <w:r w:rsidRPr="008D45EF">
              <w:rPr>
                <w:sz w:val="24"/>
                <w:szCs w:val="24"/>
              </w:rPr>
              <w:t>0,74</w:t>
            </w:r>
          </w:p>
        </w:tc>
        <w:tc>
          <w:tcPr>
            <w:tcW w:w="803" w:type="pct"/>
            <w:vMerge w:val="restart"/>
            <w:tcBorders>
              <w:top w:val="single" w:sz="4" w:space="0" w:color="000000"/>
              <w:left w:val="single" w:sz="4" w:space="0" w:color="000000"/>
              <w:bottom w:val="nil"/>
              <w:right w:val="single" w:sz="4" w:space="0" w:color="000000"/>
            </w:tcBorders>
          </w:tcPr>
          <w:p w14:paraId="408269C2" w14:textId="77777777" w:rsidR="006B34A1" w:rsidRPr="008D45EF" w:rsidRDefault="006B34A1" w:rsidP="0081699D">
            <w:pPr>
              <w:ind w:left="137"/>
              <w:rPr>
                <w:sz w:val="24"/>
                <w:szCs w:val="24"/>
              </w:rPr>
            </w:pPr>
          </w:p>
          <w:p w14:paraId="662008B2" w14:textId="77777777" w:rsidR="006B34A1" w:rsidRPr="008D45EF" w:rsidRDefault="006B34A1" w:rsidP="0081699D">
            <w:pPr>
              <w:ind w:left="137"/>
              <w:rPr>
                <w:sz w:val="24"/>
                <w:szCs w:val="24"/>
              </w:rPr>
            </w:pPr>
            <w:r w:rsidRPr="008D45EF">
              <w:rPr>
                <w:sz w:val="24"/>
                <w:szCs w:val="24"/>
              </w:rPr>
              <w:t>0,61</w:t>
            </w:r>
            <w:r w:rsidRPr="008D45EF">
              <w:rPr>
                <w:sz w:val="24"/>
                <w:szCs w:val="24"/>
              </w:rPr>
              <w:noBreakHyphen/>
              <w:t>0,90</w:t>
            </w:r>
          </w:p>
        </w:tc>
        <w:tc>
          <w:tcPr>
            <w:tcW w:w="442" w:type="pct"/>
            <w:vMerge w:val="restart"/>
            <w:tcBorders>
              <w:top w:val="single" w:sz="4" w:space="0" w:color="000000"/>
              <w:left w:val="single" w:sz="4" w:space="0" w:color="000000"/>
              <w:bottom w:val="nil"/>
              <w:right w:val="single" w:sz="4" w:space="0" w:color="000000"/>
            </w:tcBorders>
          </w:tcPr>
          <w:p w14:paraId="75FA90F8" w14:textId="77777777" w:rsidR="006B34A1" w:rsidRPr="008D45EF" w:rsidRDefault="006B34A1" w:rsidP="0081699D">
            <w:pPr>
              <w:ind w:left="137"/>
              <w:rPr>
                <w:sz w:val="24"/>
                <w:szCs w:val="24"/>
              </w:rPr>
            </w:pPr>
          </w:p>
          <w:p w14:paraId="2898610C" w14:textId="77777777" w:rsidR="006B34A1" w:rsidRPr="008D45EF" w:rsidRDefault="006B34A1" w:rsidP="0081699D">
            <w:pPr>
              <w:ind w:left="137"/>
              <w:rPr>
                <w:sz w:val="24"/>
                <w:szCs w:val="24"/>
              </w:rPr>
            </w:pPr>
            <w:r w:rsidRPr="008D45EF">
              <w:rPr>
                <w:sz w:val="24"/>
                <w:szCs w:val="24"/>
              </w:rPr>
              <w:t>0,0020</w:t>
            </w:r>
          </w:p>
        </w:tc>
      </w:tr>
      <w:tr w:rsidR="006B34A1" w:rsidRPr="008D45EF" w14:paraId="7D8F874E" w14:textId="77777777" w:rsidTr="002A7D83">
        <w:trPr>
          <w:trHeight w:val="251"/>
        </w:trPr>
        <w:tc>
          <w:tcPr>
            <w:tcW w:w="865" w:type="pct"/>
            <w:tcBorders>
              <w:top w:val="nil"/>
              <w:left w:val="single" w:sz="4" w:space="0" w:color="000000"/>
              <w:bottom w:val="nil"/>
              <w:right w:val="single" w:sz="4" w:space="0" w:color="000000"/>
            </w:tcBorders>
            <w:hideMark/>
          </w:tcPr>
          <w:p w14:paraId="57DF0922" w14:textId="77777777" w:rsidR="006B34A1" w:rsidRPr="008D45EF" w:rsidRDefault="006B34A1" w:rsidP="0081699D">
            <w:pPr>
              <w:ind w:left="137"/>
              <w:rPr>
                <w:b/>
                <w:bCs/>
                <w:sz w:val="24"/>
                <w:szCs w:val="24"/>
              </w:rPr>
            </w:pPr>
            <w:r w:rsidRPr="008D45EF">
              <w:rPr>
                <w:b/>
                <w:bCs/>
                <w:sz w:val="24"/>
                <w:szCs w:val="24"/>
              </w:rPr>
              <w:t>lymfeknuder</w:t>
            </w:r>
          </w:p>
        </w:tc>
        <w:tc>
          <w:tcPr>
            <w:tcW w:w="580" w:type="pct"/>
            <w:vMerge/>
            <w:tcBorders>
              <w:top w:val="single" w:sz="4" w:space="0" w:color="000000"/>
              <w:left w:val="single" w:sz="4" w:space="0" w:color="000000"/>
              <w:bottom w:val="nil"/>
              <w:right w:val="single" w:sz="4" w:space="0" w:color="000000"/>
            </w:tcBorders>
            <w:vAlign w:val="center"/>
            <w:hideMark/>
          </w:tcPr>
          <w:p w14:paraId="226E3EAF" w14:textId="77777777" w:rsidR="006B34A1" w:rsidRPr="008D45EF" w:rsidRDefault="006B34A1" w:rsidP="0081699D">
            <w:pPr>
              <w:ind w:left="137"/>
              <w:rPr>
                <w:sz w:val="24"/>
                <w:szCs w:val="24"/>
              </w:rPr>
            </w:pPr>
          </w:p>
        </w:tc>
        <w:tc>
          <w:tcPr>
            <w:tcW w:w="595" w:type="pct"/>
            <w:vMerge/>
            <w:tcBorders>
              <w:top w:val="single" w:sz="4" w:space="0" w:color="000000"/>
              <w:left w:val="single" w:sz="4" w:space="0" w:color="000000"/>
              <w:bottom w:val="nil"/>
              <w:right w:val="single" w:sz="4" w:space="0" w:color="000000"/>
            </w:tcBorders>
            <w:vAlign w:val="center"/>
            <w:hideMark/>
          </w:tcPr>
          <w:p w14:paraId="7A679789" w14:textId="77777777" w:rsidR="006B34A1" w:rsidRPr="008D45EF" w:rsidRDefault="006B34A1" w:rsidP="0081699D">
            <w:pPr>
              <w:ind w:left="137"/>
              <w:rPr>
                <w:sz w:val="24"/>
                <w:szCs w:val="24"/>
              </w:rPr>
            </w:pPr>
          </w:p>
        </w:tc>
        <w:tc>
          <w:tcPr>
            <w:tcW w:w="629" w:type="pct"/>
            <w:vMerge/>
            <w:tcBorders>
              <w:top w:val="single" w:sz="4" w:space="0" w:color="000000"/>
              <w:left w:val="single" w:sz="4" w:space="0" w:color="000000"/>
              <w:bottom w:val="nil"/>
              <w:right w:val="single" w:sz="4" w:space="0" w:color="000000"/>
            </w:tcBorders>
            <w:vAlign w:val="center"/>
            <w:hideMark/>
          </w:tcPr>
          <w:p w14:paraId="732D6C69" w14:textId="77777777" w:rsidR="006B34A1" w:rsidRPr="008D45EF" w:rsidRDefault="006B34A1" w:rsidP="0081699D">
            <w:pPr>
              <w:ind w:left="137"/>
              <w:rPr>
                <w:sz w:val="24"/>
                <w:szCs w:val="24"/>
              </w:rPr>
            </w:pPr>
          </w:p>
        </w:tc>
        <w:tc>
          <w:tcPr>
            <w:tcW w:w="445" w:type="pct"/>
            <w:vMerge/>
            <w:tcBorders>
              <w:top w:val="single" w:sz="4" w:space="0" w:color="000000"/>
              <w:left w:val="single" w:sz="4" w:space="0" w:color="000000"/>
              <w:bottom w:val="nil"/>
              <w:right w:val="single" w:sz="4" w:space="0" w:color="000000"/>
            </w:tcBorders>
            <w:vAlign w:val="center"/>
            <w:hideMark/>
          </w:tcPr>
          <w:p w14:paraId="30A4EBE9" w14:textId="77777777" w:rsidR="006B34A1" w:rsidRPr="008D45EF" w:rsidRDefault="006B34A1" w:rsidP="0081699D">
            <w:pPr>
              <w:ind w:left="137"/>
              <w:rPr>
                <w:sz w:val="24"/>
                <w:szCs w:val="24"/>
              </w:rPr>
            </w:pPr>
          </w:p>
        </w:tc>
        <w:tc>
          <w:tcPr>
            <w:tcW w:w="641" w:type="pct"/>
            <w:vMerge/>
            <w:tcBorders>
              <w:top w:val="single" w:sz="4" w:space="0" w:color="000000"/>
              <w:left w:val="single" w:sz="4" w:space="0" w:color="000000"/>
              <w:bottom w:val="nil"/>
              <w:right w:val="single" w:sz="4" w:space="0" w:color="000000"/>
            </w:tcBorders>
            <w:vAlign w:val="center"/>
            <w:hideMark/>
          </w:tcPr>
          <w:p w14:paraId="41FB158C" w14:textId="77777777" w:rsidR="006B34A1" w:rsidRPr="008D45EF" w:rsidRDefault="006B34A1" w:rsidP="0081699D">
            <w:pPr>
              <w:ind w:left="137"/>
              <w:rPr>
                <w:sz w:val="24"/>
                <w:szCs w:val="24"/>
              </w:rPr>
            </w:pPr>
          </w:p>
        </w:tc>
        <w:tc>
          <w:tcPr>
            <w:tcW w:w="803" w:type="pct"/>
            <w:vMerge/>
            <w:tcBorders>
              <w:top w:val="single" w:sz="4" w:space="0" w:color="000000"/>
              <w:left w:val="single" w:sz="4" w:space="0" w:color="000000"/>
              <w:bottom w:val="nil"/>
              <w:right w:val="single" w:sz="4" w:space="0" w:color="000000"/>
            </w:tcBorders>
            <w:vAlign w:val="center"/>
            <w:hideMark/>
          </w:tcPr>
          <w:p w14:paraId="587675C6" w14:textId="77777777" w:rsidR="006B34A1" w:rsidRPr="008D45EF" w:rsidRDefault="006B34A1" w:rsidP="0081699D">
            <w:pPr>
              <w:ind w:left="137"/>
              <w:rPr>
                <w:sz w:val="24"/>
                <w:szCs w:val="24"/>
              </w:rPr>
            </w:pPr>
          </w:p>
        </w:tc>
        <w:tc>
          <w:tcPr>
            <w:tcW w:w="442" w:type="pct"/>
            <w:vMerge/>
            <w:tcBorders>
              <w:top w:val="single" w:sz="4" w:space="0" w:color="000000"/>
              <w:left w:val="single" w:sz="4" w:space="0" w:color="000000"/>
              <w:bottom w:val="nil"/>
              <w:right w:val="single" w:sz="4" w:space="0" w:color="000000"/>
            </w:tcBorders>
            <w:vAlign w:val="center"/>
            <w:hideMark/>
          </w:tcPr>
          <w:p w14:paraId="53910592" w14:textId="77777777" w:rsidR="006B34A1" w:rsidRPr="008D45EF" w:rsidRDefault="006B34A1" w:rsidP="0081699D">
            <w:pPr>
              <w:ind w:left="137"/>
              <w:rPr>
                <w:sz w:val="24"/>
                <w:szCs w:val="24"/>
              </w:rPr>
            </w:pPr>
          </w:p>
        </w:tc>
      </w:tr>
      <w:tr w:rsidR="006B34A1" w:rsidRPr="008D45EF" w14:paraId="5F8BD89C" w14:textId="77777777" w:rsidTr="002A7D83">
        <w:trPr>
          <w:trHeight w:val="252"/>
        </w:trPr>
        <w:tc>
          <w:tcPr>
            <w:tcW w:w="865" w:type="pct"/>
            <w:tcBorders>
              <w:top w:val="nil"/>
              <w:left w:val="single" w:sz="4" w:space="0" w:color="000000"/>
              <w:bottom w:val="nil"/>
              <w:right w:val="single" w:sz="4" w:space="0" w:color="000000"/>
            </w:tcBorders>
            <w:hideMark/>
          </w:tcPr>
          <w:p w14:paraId="0646B04E" w14:textId="77777777" w:rsidR="006B34A1" w:rsidRPr="008D45EF" w:rsidRDefault="006B34A1" w:rsidP="0081699D">
            <w:pPr>
              <w:ind w:left="137"/>
              <w:rPr>
                <w:bCs/>
                <w:sz w:val="24"/>
                <w:szCs w:val="24"/>
              </w:rPr>
            </w:pPr>
            <w:r w:rsidRPr="008D45EF">
              <w:rPr>
                <w:bCs/>
                <w:sz w:val="24"/>
                <w:szCs w:val="24"/>
              </w:rPr>
              <w:t>I alt</w:t>
            </w:r>
          </w:p>
        </w:tc>
        <w:tc>
          <w:tcPr>
            <w:tcW w:w="580" w:type="pct"/>
            <w:vMerge/>
            <w:tcBorders>
              <w:top w:val="single" w:sz="4" w:space="0" w:color="000000"/>
              <w:left w:val="single" w:sz="4" w:space="0" w:color="000000"/>
              <w:bottom w:val="nil"/>
              <w:right w:val="single" w:sz="4" w:space="0" w:color="000000"/>
            </w:tcBorders>
            <w:vAlign w:val="center"/>
            <w:hideMark/>
          </w:tcPr>
          <w:p w14:paraId="60E64247" w14:textId="77777777" w:rsidR="006B34A1" w:rsidRPr="008D45EF" w:rsidRDefault="006B34A1" w:rsidP="0081699D">
            <w:pPr>
              <w:ind w:left="137"/>
              <w:rPr>
                <w:sz w:val="24"/>
                <w:szCs w:val="24"/>
              </w:rPr>
            </w:pPr>
          </w:p>
        </w:tc>
        <w:tc>
          <w:tcPr>
            <w:tcW w:w="595" w:type="pct"/>
            <w:vMerge/>
            <w:tcBorders>
              <w:top w:val="single" w:sz="4" w:space="0" w:color="000000"/>
              <w:left w:val="single" w:sz="4" w:space="0" w:color="000000"/>
              <w:bottom w:val="nil"/>
              <w:right w:val="single" w:sz="4" w:space="0" w:color="000000"/>
            </w:tcBorders>
            <w:vAlign w:val="center"/>
            <w:hideMark/>
          </w:tcPr>
          <w:p w14:paraId="7C89827E" w14:textId="77777777" w:rsidR="006B34A1" w:rsidRPr="008D45EF" w:rsidRDefault="006B34A1" w:rsidP="0081699D">
            <w:pPr>
              <w:ind w:left="137"/>
              <w:rPr>
                <w:sz w:val="24"/>
                <w:szCs w:val="24"/>
              </w:rPr>
            </w:pPr>
          </w:p>
        </w:tc>
        <w:tc>
          <w:tcPr>
            <w:tcW w:w="629" w:type="pct"/>
            <w:vMerge/>
            <w:tcBorders>
              <w:top w:val="single" w:sz="4" w:space="0" w:color="000000"/>
              <w:left w:val="single" w:sz="4" w:space="0" w:color="000000"/>
              <w:bottom w:val="nil"/>
              <w:right w:val="single" w:sz="4" w:space="0" w:color="000000"/>
            </w:tcBorders>
            <w:vAlign w:val="center"/>
            <w:hideMark/>
          </w:tcPr>
          <w:p w14:paraId="426020C5" w14:textId="77777777" w:rsidR="006B34A1" w:rsidRPr="008D45EF" w:rsidRDefault="006B34A1" w:rsidP="0081699D">
            <w:pPr>
              <w:ind w:left="137"/>
              <w:rPr>
                <w:sz w:val="24"/>
                <w:szCs w:val="24"/>
              </w:rPr>
            </w:pPr>
          </w:p>
        </w:tc>
        <w:tc>
          <w:tcPr>
            <w:tcW w:w="445" w:type="pct"/>
            <w:vMerge/>
            <w:tcBorders>
              <w:top w:val="single" w:sz="4" w:space="0" w:color="000000"/>
              <w:left w:val="single" w:sz="4" w:space="0" w:color="000000"/>
              <w:bottom w:val="nil"/>
              <w:right w:val="single" w:sz="4" w:space="0" w:color="000000"/>
            </w:tcBorders>
            <w:vAlign w:val="center"/>
            <w:hideMark/>
          </w:tcPr>
          <w:p w14:paraId="7CD60F49" w14:textId="77777777" w:rsidR="006B34A1" w:rsidRPr="008D45EF" w:rsidRDefault="006B34A1" w:rsidP="0081699D">
            <w:pPr>
              <w:ind w:left="137"/>
              <w:rPr>
                <w:sz w:val="24"/>
                <w:szCs w:val="24"/>
              </w:rPr>
            </w:pPr>
          </w:p>
        </w:tc>
        <w:tc>
          <w:tcPr>
            <w:tcW w:w="641" w:type="pct"/>
            <w:vMerge/>
            <w:tcBorders>
              <w:top w:val="single" w:sz="4" w:space="0" w:color="000000"/>
              <w:left w:val="single" w:sz="4" w:space="0" w:color="000000"/>
              <w:bottom w:val="nil"/>
              <w:right w:val="single" w:sz="4" w:space="0" w:color="000000"/>
            </w:tcBorders>
            <w:vAlign w:val="center"/>
            <w:hideMark/>
          </w:tcPr>
          <w:p w14:paraId="3B156F09" w14:textId="77777777" w:rsidR="006B34A1" w:rsidRPr="008D45EF" w:rsidRDefault="006B34A1" w:rsidP="0081699D">
            <w:pPr>
              <w:ind w:left="137"/>
              <w:rPr>
                <w:sz w:val="24"/>
                <w:szCs w:val="24"/>
              </w:rPr>
            </w:pPr>
          </w:p>
        </w:tc>
        <w:tc>
          <w:tcPr>
            <w:tcW w:w="803" w:type="pct"/>
            <w:vMerge/>
            <w:tcBorders>
              <w:top w:val="single" w:sz="4" w:space="0" w:color="000000"/>
              <w:left w:val="single" w:sz="4" w:space="0" w:color="000000"/>
              <w:bottom w:val="nil"/>
              <w:right w:val="single" w:sz="4" w:space="0" w:color="000000"/>
            </w:tcBorders>
            <w:vAlign w:val="center"/>
            <w:hideMark/>
          </w:tcPr>
          <w:p w14:paraId="40518E80" w14:textId="77777777" w:rsidR="006B34A1" w:rsidRPr="008D45EF" w:rsidRDefault="006B34A1" w:rsidP="0081699D">
            <w:pPr>
              <w:ind w:left="137"/>
              <w:rPr>
                <w:sz w:val="24"/>
                <w:szCs w:val="24"/>
              </w:rPr>
            </w:pPr>
          </w:p>
        </w:tc>
        <w:tc>
          <w:tcPr>
            <w:tcW w:w="442" w:type="pct"/>
            <w:vMerge/>
            <w:tcBorders>
              <w:top w:val="single" w:sz="4" w:space="0" w:color="000000"/>
              <w:left w:val="single" w:sz="4" w:space="0" w:color="000000"/>
              <w:bottom w:val="nil"/>
              <w:right w:val="single" w:sz="4" w:space="0" w:color="000000"/>
            </w:tcBorders>
            <w:vAlign w:val="center"/>
            <w:hideMark/>
          </w:tcPr>
          <w:p w14:paraId="13D4A35D" w14:textId="77777777" w:rsidR="006B34A1" w:rsidRPr="008D45EF" w:rsidRDefault="006B34A1" w:rsidP="0081699D">
            <w:pPr>
              <w:ind w:left="137"/>
              <w:rPr>
                <w:sz w:val="24"/>
                <w:szCs w:val="24"/>
              </w:rPr>
            </w:pPr>
          </w:p>
        </w:tc>
      </w:tr>
      <w:tr w:rsidR="006B34A1" w:rsidRPr="008D45EF" w14:paraId="483D1CEE" w14:textId="77777777" w:rsidTr="002A7D83">
        <w:trPr>
          <w:trHeight w:hRule="exact" w:val="253"/>
        </w:trPr>
        <w:tc>
          <w:tcPr>
            <w:tcW w:w="865" w:type="pct"/>
            <w:tcBorders>
              <w:top w:val="nil"/>
              <w:left w:val="single" w:sz="4" w:space="0" w:color="000000"/>
              <w:bottom w:val="nil"/>
              <w:right w:val="single" w:sz="4" w:space="0" w:color="000000"/>
            </w:tcBorders>
            <w:hideMark/>
          </w:tcPr>
          <w:p w14:paraId="1301D0DC" w14:textId="77777777" w:rsidR="006B34A1" w:rsidRPr="008D45EF" w:rsidRDefault="006B34A1" w:rsidP="0081699D">
            <w:pPr>
              <w:ind w:left="137"/>
              <w:rPr>
                <w:bCs/>
                <w:sz w:val="24"/>
                <w:szCs w:val="24"/>
              </w:rPr>
            </w:pPr>
            <w:r w:rsidRPr="008D45EF">
              <w:rPr>
                <w:bCs/>
                <w:sz w:val="24"/>
                <w:szCs w:val="24"/>
              </w:rPr>
              <w:t>1</w:t>
            </w:r>
            <w:r w:rsidRPr="008D45EF">
              <w:rPr>
                <w:bCs/>
                <w:sz w:val="24"/>
                <w:szCs w:val="24"/>
              </w:rPr>
              <w:noBreakHyphen/>
              <w:t>3</w:t>
            </w:r>
          </w:p>
        </w:tc>
        <w:tc>
          <w:tcPr>
            <w:tcW w:w="580" w:type="pct"/>
            <w:tcBorders>
              <w:top w:val="nil"/>
              <w:left w:val="single" w:sz="4" w:space="0" w:color="000000"/>
              <w:bottom w:val="nil"/>
              <w:right w:val="single" w:sz="4" w:space="0" w:color="000000"/>
            </w:tcBorders>
            <w:hideMark/>
          </w:tcPr>
          <w:p w14:paraId="47B648E2" w14:textId="77777777" w:rsidR="006B34A1" w:rsidRPr="008D45EF" w:rsidRDefault="006B34A1" w:rsidP="0081699D">
            <w:pPr>
              <w:ind w:left="137"/>
              <w:rPr>
                <w:sz w:val="24"/>
                <w:szCs w:val="24"/>
              </w:rPr>
            </w:pPr>
            <w:r w:rsidRPr="008D45EF">
              <w:rPr>
                <w:sz w:val="24"/>
                <w:szCs w:val="24"/>
              </w:rPr>
              <w:t>467</w:t>
            </w:r>
          </w:p>
        </w:tc>
        <w:tc>
          <w:tcPr>
            <w:tcW w:w="595" w:type="pct"/>
            <w:tcBorders>
              <w:top w:val="nil"/>
              <w:left w:val="single" w:sz="4" w:space="0" w:color="000000"/>
              <w:bottom w:val="nil"/>
              <w:right w:val="single" w:sz="4" w:space="0" w:color="000000"/>
            </w:tcBorders>
            <w:hideMark/>
          </w:tcPr>
          <w:p w14:paraId="3716F273" w14:textId="77777777" w:rsidR="006B34A1" w:rsidRPr="008D45EF" w:rsidRDefault="006B34A1" w:rsidP="0081699D">
            <w:pPr>
              <w:ind w:left="137"/>
              <w:rPr>
                <w:sz w:val="24"/>
                <w:szCs w:val="24"/>
              </w:rPr>
            </w:pPr>
            <w:r w:rsidRPr="008D45EF">
              <w:rPr>
                <w:sz w:val="24"/>
                <w:szCs w:val="24"/>
              </w:rPr>
              <w:t>0,72</w:t>
            </w:r>
          </w:p>
        </w:tc>
        <w:tc>
          <w:tcPr>
            <w:tcW w:w="629" w:type="pct"/>
            <w:tcBorders>
              <w:top w:val="nil"/>
              <w:left w:val="single" w:sz="4" w:space="0" w:color="000000"/>
              <w:bottom w:val="nil"/>
              <w:right w:val="single" w:sz="4" w:space="0" w:color="000000"/>
            </w:tcBorders>
            <w:hideMark/>
          </w:tcPr>
          <w:p w14:paraId="065FF248" w14:textId="77777777" w:rsidR="006B34A1" w:rsidRPr="008D45EF" w:rsidRDefault="006B34A1" w:rsidP="0081699D">
            <w:pPr>
              <w:ind w:left="137"/>
              <w:rPr>
                <w:sz w:val="24"/>
                <w:szCs w:val="24"/>
              </w:rPr>
            </w:pPr>
            <w:r w:rsidRPr="008D45EF">
              <w:rPr>
                <w:sz w:val="24"/>
                <w:szCs w:val="24"/>
              </w:rPr>
              <w:t>0,58</w:t>
            </w:r>
            <w:r w:rsidRPr="008D45EF">
              <w:rPr>
                <w:sz w:val="24"/>
                <w:szCs w:val="24"/>
              </w:rPr>
              <w:noBreakHyphen/>
              <w:t>0,91</w:t>
            </w:r>
          </w:p>
        </w:tc>
        <w:tc>
          <w:tcPr>
            <w:tcW w:w="445" w:type="pct"/>
            <w:tcBorders>
              <w:top w:val="nil"/>
              <w:left w:val="single" w:sz="4" w:space="0" w:color="000000"/>
              <w:bottom w:val="nil"/>
              <w:right w:val="single" w:sz="4" w:space="0" w:color="000000"/>
            </w:tcBorders>
            <w:hideMark/>
          </w:tcPr>
          <w:p w14:paraId="29DE7918" w14:textId="77777777" w:rsidR="006B34A1" w:rsidRPr="008D45EF" w:rsidRDefault="006B34A1" w:rsidP="0081699D">
            <w:pPr>
              <w:ind w:left="137"/>
              <w:rPr>
                <w:sz w:val="24"/>
                <w:szCs w:val="24"/>
              </w:rPr>
            </w:pPr>
            <w:r w:rsidRPr="008D45EF">
              <w:rPr>
                <w:sz w:val="24"/>
                <w:szCs w:val="24"/>
              </w:rPr>
              <w:t>0,0047</w:t>
            </w:r>
          </w:p>
        </w:tc>
        <w:tc>
          <w:tcPr>
            <w:tcW w:w="641" w:type="pct"/>
            <w:tcBorders>
              <w:top w:val="nil"/>
              <w:left w:val="single" w:sz="4" w:space="0" w:color="000000"/>
              <w:bottom w:val="nil"/>
              <w:right w:val="single" w:sz="4" w:space="0" w:color="000000"/>
            </w:tcBorders>
            <w:hideMark/>
          </w:tcPr>
          <w:p w14:paraId="56D84564" w14:textId="77777777" w:rsidR="006B34A1" w:rsidRPr="008D45EF" w:rsidRDefault="006B34A1" w:rsidP="0081699D">
            <w:pPr>
              <w:ind w:left="137"/>
              <w:rPr>
                <w:sz w:val="24"/>
                <w:szCs w:val="24"/>
              </w:rPr>
            </w:pPr>
            <w:r w:rsidRPr="008D45EF">
              <w:rPr>
                <w:sz w:val="24"/>
                <w:szCs w:val="24"/>
              </w:rPr>
              <w:t>0,62</w:t>
            </w:r>
          </w:p>
        </w:tc>
        <w:tc>
          <w:tcPr>
            <w:tcW w:w="803" w:type="pct"/>
            <w:tcBorders>
              <w:top w:val="nil"/>
              <w:left w:val="single" w:sz="4" w:space="0" w:color="000000"/>
              <w:bottom w:val="nil"/>
              <w:right w:val="single" w:sz="4" w:space="0" w:color="000000"/>
            </w:tcBorders>
            <w:hideMark/>
          </w:tcPr>
          <w:p w14:paraId="41EAE598" w14:textId="77777777" w:rsidR="006B34A1" w:rsidRPr="008D45EF" w:rsidRDefault="006B34A1" w:rsidP="0081699D">
            <w:pPr>
              <w:ind w:left="137"/>
              <w:rPr>
                <w:sz w:val="24"/>
                <w:szCs w:val="24"/>
              </w:rPr>
            </w:pPr>
            <w:r w:rsidRPr="008D45EF">
              <w:rPr>
                <w:sz w:val="24"/>
                <w:szCs w:val="24"/>
              </w:rPr>
              <w:t>0,46</w:t>
            </w:r>
            <w:r w:rsidRPr="008D45EF">
              <w:rPr>
                <w:sz w:val="24"/>
                <w:szCs w:val="24"/>
              </w:rPr>
              <w:noBreakHyphen/>
              <w:t>0,82</w:t>
            </w:r>
          </w:p>
        </w:tc>
        <w:tc>
          <w:tcPr>
            <w:tcW w:w="442" w:type="pct"/>
            <w:tcBorders>
              <w:top w:val="nil"/>
              <w:left w:val="single" w:sz="4" w:space="0" w:color="000000"/>
              <w:bottom w:val="nil"/>
              <w:right w:val="single" w:sz="4" w:space="0" w:color="000000"/>
            </w:tcBorders>
            <w:hideMark/>
          </w:tcPr>
          <w:p w14:paraId="6B76D102" w14:textId="77777777" w:rsidR="006B34A1" w:rsidRPr="008D45EF" w:rsidRDefault="006B34A1" w:rsidP="0081699D">
            <w:pPr>
              <w:ind w:left="137"/>
              <w:rPr>
                <w:sz w:val="24"/>
                <w:szCs w:val="24"/>
              </w:rPr>
            </w:pPr>
            <w:r w:rsidRPr="008D45EF">
              <w:rPr>
                <w:sz w:val="24"/>
                <w:szCs w:val="24"/>
              </w:rPr>
              <w:t>0,0008</w:t>
            </w:r>
          </w:p>
        </w:tc>
      </w:tr>
      <w:tr w:rsidR="006B34A1" w:rsidRPr="008D45EF" w14:paraId="289A4045" w14:textId="77777777" w:rsidTr="002A7D83">
        <w:trPr>
          <w:trHeight w:hRule="exact" w:val="504"/>
        </w:trPr>
        <w:tc>
          <w:tcPr>
            <w:tcW w:w="865" w:type="pct"/>
            <w:tcBorders>
              <w:top w:val="nil"/>
              <w:left w:val="single" w:sz="4" w:space="0" w:color="000000"/>
              <w:bottom w:val="single" w:sz="4" w:space="0" w:color="000000"/>
              <w:right w:val="single" w:sz="4" w:space="0" w:color="000000"/>
            </w:tcBorders>
            <w:hideMark/>
          </w:tcPr>
          <w:p w14:paraId="6B8BC32E" w14:textId="77777777" w:rsidR="006B34A1" w:rsidRPr="008D45EF" w:rsidRDefault="006B34A1" w:rsidP="0081699D">
            <w:pPr>
              <w:ind w:left="137"/>
              <w:rPr>
                <w:bCs/>
                <w:sz w:val="24"/>
                <w:szCs w:val="24"/>
              </w:rPr>
            </w:pPr>
            <w:r w:rsidRPr="008D45EF">
              <w:rPr>
                <w:bCs/>
                <w:sz w:val="24"/>
                <w:szCs w:val="24"/>
              </w:rPr>
              <w:t>4+</w:t>
            </w:r>
          </w:p>
        </w:tc>
        <w:tc>
          <w:tcPr>
            <w:tcW w:w="580" w:type="pct"/>
            <w:tcBorders>
              <w:top w:val="nil"/>
              <w:left w:val="single" w:sz="4" w:space="0" w:color="000000"/>
              <w:bottom w:val="single" w:sz="4" w:space="0" w:color="000000"/>
              <w:right w:val="single" w:sz="4" w:space="0" w:color="000000"/>
            </w:tcBorders>
            <w:hideMark/>
          </w:tcPr>
          <w:p w14:paraId="6BCBAB0D" w14:textId="77777777" w:rsidR="006B34A1" w:rsidRPr="008D45EF" w:rsidRDefault="006B34A1" w:rsidP="0081699D">
            <w:pPr>
              <w:ind w:left="137"/>
              <w:rPr>
                <w:sz w:val="24"/>
                <w:szCs w:val="24"/>
              </w:rPr>
            </w:pPr>
            <w:r w:rsidRPr="008D45EF">
              <w:rPr>
                <w:sz w:val="24"/>
                <w:szCs w:val="24"/>
              </w:rPr>
              <w:t>278</w:t>
            </w:r>
          </w:p>
        </w:tc>
        <w:tc>
          <w:tcPr>
            <w:tcW w:w="595" w:type="pct"/>
            <w:tcBorders>
              <w:top w:val="nil"/>
              <w:left w:val="single" w:sz="4" w:space="0" w:color="000000"/>
              <w:bottom w:val="single" w:sz="4" w:space="0" w:color="000000"/>
              <w:right w:val="single" w:sz="4" w:space="0" w:color="000000"/>
            </w:tcBorders>
            <w:hideMark/>
          </w:tcPr>
          <w:p w14:paraId="7F6E0EED" w14:textId="77777777" w:rsidR="006B34A1" w:rsidRPr="008D45EF" w:rsidRDefault="006B34A1" w:rsidP="0081699D">
            <w:pPr>
              <w:ind w:left="137"/>
              <w:rPr>
                <w:sz w:val="24"/>
                <w:szCs w:val="24"/>
              </w:rPr>
            </w:pPr>
            <w:r w:rsidRPr="008D45EF">
              <w:rPr>
                <w:sz w:val="24"/>
                <w:szCs w:val="24"/>
              </w:rPr>
              <w:t>0,87</w:t>
            </w:r>
          </w:p>
        </w:tc>
        <w:tc>
          <w:tcPr>
            <w:tcW w:w="629" w:type="pct"/>
            <w:tcBorders>
              <w:top w:val="nil"/>
              <w:left w:val="single" w:sz="4" w:space="0" w:color="000000"/>
              <w:bottom w:val="single" w:sz="4" w:space="0" w:color="000000"/>
              <w:right w:val="single" w:sz="4" w:space="0" w:color="000000"/>
            </w:tcBorders>
            <w:hideMark/>
          </w:tcPr>
          <w:p w14:paraId="3C3F8805" w14:textId="77777777" w:rsidR="006B34A1" w:rsidRPr="008D45EF" w:rsidRDefault="006B34A1" w:rsidP="0081699D">
            <w:pPr>
              <w:ind w:left="137"/>
              <w:rPr>
                <w:sz w:val="24"/>
                <w:szCs w:val="24"/>
              </w:rPr>
            </w:pPr>
            <w:r w:rsidRPr="008D45EF">
              <w:rPr>
                <w:sz w:val="24"/>
                <w:szCs w:val="24"/>
              </w:rPr>
              <w:t>0,70</w:t>
            </w:r>
            <w:r w:rsidRPr="008D45EF">
              <w:rPr>
                <w:sz w:val="24"/>
                <w:szCs w:val="24"/>
              </w:rPr>
              <w:noBreakHyphen/>
              <w:t>1,09</w:t>
            </w:r>
          </w:p>
        </w:tc>
        <w:tc>
          <w:tcPr>
            <w:tcW w:w="445" w:type="pct"/>
            <w:tcBorders>
              <w:top w:val="nil"/>
              <w:left w:val="single" w:sz="4" w:space="0" w:color="000000"/>
              <w:bottom w:val="single" w:sz="4" w:space="0" w:color="000000"/>
              <w:right w:val="single" w:sz="4" w:space="0" w:color="000000"/>
            </w:tcBorders>
            <w:hideMark/>
          </w:tcPr>
          <w:p w14:paraId="6C51ED46" w14:textId="77777777" w:rsidR="006B34A1" w:rsidRPr="008D45EF" w:rsidRDefault="006B34A1" w:rsidP="0081699D">
            <w:pPr>
              <w:ind w:left="137"/>
              <w:rPr>
                <w:sz w:val="24"/>
                <w:szCs w:val="24"/>
              </w:rPr>
            </w:pPr>
            <w:r w:rsidRPr="008D45EF">
              <w:rPr>
                <w:sz w:val="24"/>
                <w:szCs w:val="24"/>
              </w:rPr>
              <w:t>0,2290</w:t>
            </w:r>
          </w:p>
        </w:tc>
        <w:tc>
          <w:tcPr>
            <w:tcW w:w="641" w:type="pct"/>
            <w:tcBorders>
              <w:top w:val="nil"/>
              <w:left w:val="single" w:sz="4" w:space="0" w:color="000000"/>
              <w:bottom w:val="single" w:sz="4" w:space="0" w:color="000000"/>
              <w:right w:val="single" w:sz="4" w:space="0" w:color="000000"/>
            </w:tcBorders>
            <w:hideMark/>
          </w:tcPr>
          <w:p w14:paraId="1E087EE2" w14:textId="77777777" w:rsidR="006B34A1" w:rsidRPr="008D45EF" w:rsidRDefault="006B34A1" w:rsidP="0081699D">
            <w:pPr>
              <w:ind w:left="137"/>
              <w:rPr>
                <w:sz w:val="24"/>
                <w:szCs w:val="24"/>
              </w:rPr>
            </w:pPr>
            <w:r w:rsidRPr="008D45EF">
              <w:rPr>
                <w:sz w:val="24"/>
                <w:szCs w:val="24"/>
              </w:rPr>
              <w:t>0,87</w:t>
            </w:r>
          </w:p>
        </w:tc>
        <w:tc>
          <w:tcPr>
            <w:tcW w:w="803" w:type="pct"/>
            <w:tcBorders>
              <w:top w:val="nil"/>
              <w:left w:val="single" w:sz="4" w:space="0" w:color="000000"/>
              <w:bottom w:val="single" w:sz="4" w:space="0" w:color="000000"/>
              <w:right w:val="single" w:sz="4" w:space="0" w:color="000000"/>
            </w:tcBorders>
            <w:hideMark/>
          </w:tcPr>
          <w:p w14:paraId="46F85FAB" w14:textId="77777777" w:rsidR="006B34A1" w:rsidRPr="008D45EF" w:rsidRDefault="006B34A1" w:rsidP="0081699D">
            <w:pPr>
              <w:ind w:left="137"/>
              <w:rPr>
                <w:sz w:val="24"/>
                <w:szCs w:val="24"/>
              </w:rPr>
            </w:pPr>
            <w:r w:rsidRPr="008D45EF">
              <w:rPr>
                <w:sz w:val="24"/>
                <w:szCs w:val="24"/>
              </w:rPr>
              <w:t>0,67</w:t>
            </w:r>
            <w:r w:rsidRPr="008D45EF">
              <w:rPr>
                <w:sz w:val="24"/>
                <w:szCs w:val="24"/>
              </w:rPr>
              <w:noBreakHyphen/>
              <w:t>1,12</w:t>
            </w:r>
          </w:p>
        </w:tc>
        <w:tc>
          <w:tcPr>
            <w:tcW w:w="442" w:type="pct"/>
            <w:tcBorders>
              <w:top w:val="nil"/>
              <w:left w:val="single" w:sz="4" w:space="0" w:color="000000"/>
              <w:bottom w:val="single" w:sz="4" w:space="0" w:color="000000"/>
              <w:right w:val="single" w:sz="4" w:space="0" w:color="000000"/>
            </w:tcBorders>
            <w:hideMark/>
          </w:tcPr>
          <w:p w14:paraId="417B0C78" w14:textId="77777777" w:rsidR="006B34A1" w:rsidRPr="008D45EF" w:rsidRDefault="006B34A1" w:rsidP="0081699D">
            <w:pPr>
              <w:ind w:left="137"/>
              <w:rPr>
                <w:sz w:val="24"/>
                <w:szCs w:val="24"/>
              </w:rPr>
            </w:pPr>
            <w:r w:rsidRPr="008D45EF">
              <w:rPr>
                <w:sz w:val="24"/>
                <w:szCs w:val="24"/>
              </w:rPr>
              <w:t>0,2746</w:t>
            </w:r>
          </w:p>
        </w:tc>
      </w:tr>
    </w:tbl>
    <w:p w14:paraId="77CC9915" w14:textId="7F19BCB3" w:rsidR="00D22BF6" w:rsidRPr="003D4A39" w:rsidRDefault="00D22BF6" w:rsidP="00D22BF6">
      <w:pPr>
        <w:rPr>
          <w:sz w:val="24"/>
          <w:szCs w:val="24"/>
        </w:rPr>
      </w:pPr>
      <w:r w:rsidRPr="003D4A39">
        <w:rPr>
          <w:sz w:val="24"/>
          <w:szCs w:val="24"/>
        </w:rPr>
        <w:t xml:space="preserve">*En </w:t>
      </w:r>
      <w:r w:rsidRPr="005D4D80">
        <w:rPr>
          <w:i/>
          <w:iCs/>
          <w:sz w:val="24"/>
          <w:szCs w:val="24"/>
        </w:rPr>
        <w:t>Hazard</w:t>
      </w:r>
      <w:r w:rsidRPr="003D4A39">
        <w:rPr>
          <w:sz w:val="24"/>
          <w:szCs w:val="24"/>
        </w:rPr>
        <w:t xml:space="preserve"> ratio på mindre end 1 indikerer, at TAC kan associeres med længere sygdomsfri overlevelse og længere total overlevelse sammenlignet med FAC.</w:t>
      </w:r>
    </w:p>
    <w:p w14:paraId="64AB3660" w14:textId="77777777" w:rsidR="006B34A1" w:rsidRPr="008D45EF" w:rsidRDefault="006B34A1" w:rsidP="0081699D">
      <w:pPr>
        <w:ind w:left="851"/>
        <w:rPr>
          <w:sz w:val="24"/>
          <w:szCs w:val="24"/>
        </w:rPr>
      </w:pPr>
    </w:p>
    <w:p w14:paraId="64973188" w14:textId="77777777" w:rsidR="00D22BF6" w:rsidRPr="003D4A39" w:rsidRDefault="00D22BF6" w:rsidP="00D22BF6">
      <w:pPr>
        <w:ind w:left="851"/>
        <w:rPr>
          <w:sz w:val="24"/>
          <w:szCs w:val="24"/>
          <w:u w:val="single"/>
        </w:rPr>
      </w:pPr>
      <w:r w:rsidRPr="003D4A39">
        <w:rPr>
          <w:sz w:val="24"/>
          <w:szCs w:val="24"/>
          <w:u w:val="single"/>
        </w:rPr>
        <w:t>Patienter med operabel, lymfeknude-negativ brystkræft, egnet til behandling med kemoterapi (GEICAM 9805)</w:t>
      </w:r>
    </w:p>
    <w:p w14:paraId="51D8EFC0" w14:textId="77777777" w:rsidR="00D22BF6" w:rsidRPr="00D73EEE" w:rsidRDefault="00D22BF6" w:rsidP="0081699D">
      <w:pPr>
        <w:ind w:left="851"/>
        <w:rPr>
          <w:i/>
          <w:sz w:val="24"/>
          <w:szCs w:val="24"/>
        </w:rPr>
      </w:pPr>
    </w:p>
    <w:p w14:paraId="1DF36A62" w14:textId="080EA272" w:rsidR="00D22BF6" w:rsidRPr="003D4A39" w:rsidRDefault="00D22BF6" w:rsidP="00D22BF6">
      <w:pPr>
        <w:ind w:left="851"/>
        <w:rPr>
          <w:sz w:val="24"/>
          <w:szCs w:val="24"/>
        </w:rPr>
      </w:pPr>
      <w:r w:rsidRPr="003D4A39">
        <w:rPr>
          <w:sz w:val="24"/>
          <w:szCs w:val="24"/>
        </w:rPr>
        <w:t xml:space="preserve">Data fra et multicenter, åbent, randomiseret studium støtter anvendelsen af docetaxel som adjuverende behandling til patienter med operabel, lymfeknude-negativ brystkræft, der er egnede til kemoterapibehandling. 1.060 patienter blev randomiseret til at få enten docetaxel 75 mg/m² administreret 1 time efter doxorubicin 50 mg/m² og cyclophosphamid 500 mg/m² (539 patienter i TAC-armen) eller doxorubicin 50 mg/m² efterfulgt af fluoruracil 500 mg/m² og cyclophosphamid 500 mg/m² (521 patienter i FAC-armen) som adjuverende behandling. Patienterne havde operabel, lymfeknude-negativ brystkræft med høj risiko for tilbagefald ifølge </w:t>
      </w:r>
      <w:smartTag w:uri="urn:schemas-microsoft-com:office:smarttags" w:element="metricconverter">
        <w:smartTagPr>
          <w:attr w:name="ProductID" w:val="1998 St"/>
        </w:smartTagPr>
        <w:r w:rsidRPr="003D4A39">
          <w:rPr>
            <w:sz w:val="24"/>
            <w:szCs w:val="24"/>
          </w:rPr>
          <w:t>1998 St</w:t>
        </w:r>
      </w:smartTag>
      <w:r w:rsidRPr="003D4A39">
        <w:rPr>
          <w:sz w:val="24"/>
          <w:szCs w:val="24"/>
        </w:rPr>
        <w:t>. Gallen-kriterierne (tumorstørrelse &gt; 2 cm og/eller negative østrogenreceptorer (ER) og progesteronreceptorer (PR) og/eller høj histologisk/nukle</w:t>
      </w:r>
      <w:r>
        <w:rPr>
          <w:sz w:val="24"/>
          <w:szCs w:val="24"/>
        </w:rPr>
        <w:t>a</w:t>
      </w:r>
      <w:r w:rsidRPr="003D4A39">
        <w:rPr>
          <w:sz w:val="24"/>
          <w:szCs w:val="24"/>
        </w:rPr>
        <w:t>r grad (grad 2 til 3) og/eller alder &lt; 35 år). Begge regimer blev administreret en gang hver 3. uge i 6 cykler. Docetaxel blev administreret som infusion over 1 time, alle andre lægemidler blev givet intravenøst på dag 1 hver 3. uge. Primær G</w:t>
      </w:r>
      <w:r w:rsidRPr="003D4A39">
        <w:rPr>
          <w:sz w:val="24"/>
          <w:szCs w:val="24"/>
        </w:rPr>
        <w:noBreakHyphen/>
        <w:t>CSF-profylakse blev gjort obligatorisk i TAC-armen, efter 230 patienter var blevet randomiseret. Hyppigheden af grad 4 neutropeni, febril neutropeni og neutropenisk infektion blev reduceret hos patienter der fik primær G</w:t>
      </w:r>
      <w:r w:rsidRPr="003D4A39">
        <w:rPr>
          <w:sz w:val="24"/>
          <w:szCs w:val="24"/>
        </w:rPr>
        <w:noBreakHyphen/>
        <w:t>CSF-profylakse (se pkt. 4.8). I begge arme fik patienter med ER+ og/eller PR+ tumorer 20 mg tamoxifen en gang daglig i op til 5 år efter den sidste kemoterapicyklus. Adjuverende strålebehandling blev administreret i henhold til guidelines på de deltagende behandlingssteder og blev givet til 57,3 % af de patienter, der fik TAC, og til 51,2 % af de patienter, der fik FAC.</w:t>
      </w:r>
    </w:p>
    <w:p w14:paraId="1E44FDA8" w14:textId="77777777" w:rsidR="00D22BF6" w:rsidRPr="003D4A39" w:rsidRDefault="00D22BF6" w:rsidP="00D22BF6">
      <w:pPr>
        <w:ind w:left="851"/>
        <w:rPr>
          <w:sz w:val="24"/>
          <w:szCs w:val="24"/>
        </w:rPr>
      </w:pPr>
    </w:p>
    <w:p w14:paraId="57C3D784" w14:textId="5EC52223" w:rsidR="00D22BF6" w:rsidRPr="003D4A39" w:rsidRDefault="00D22BF6" w:rsidP="00D22BF6">
      <w:pPr>
        <w:ind w:left="851"/>
        <w:rPr>
          <w:sz w:val="24"/>
          <w:szCs w:val="24"/>
        </w:rPr>
      </w:pPr>
      <w:r w:rsidRPr="003D4A39">
        <w:rPr>
          <w:sz w:val="24"/>
          <w:szCs w:val="24"/>
        </w:rPr>
        <w:t>En primær analyse og en opdateret analyse blev udført. Den primære analyse blev udført, da alle patienter havde en opfølgningstid på mere end 5 år (median opfølgningstid var 77 måneder). Den opdaterede analyse blev udført, da alle patienter havde nået deres 10-års (median opfølgningstid var 10 år og 5 måneder) opfølgningsbesøg (medmindre de havde DFS eller tidligere var udgået fra opfølgning). Sygdomsfri overlevelse (DFS) var det primære effekt-endepunkt, og total overlevelse (OS) var det sekundære effekt-endepunkt.</w:t>
      </w:r>
    </w:p>
    <w:p w14:paraId="0F2FD9B8" w14:textId="77777777" w:rsidR="00D22BF6" w:rsidRPr="003D4A39" w:rsidRDefault="00D22BF6" w:rsidP="00D22BF6">
      <w:pPr>
        <w:ind w:left="851"/>
        <w:rPr>
          <w:sz w:val="24"/>
          <w:szCs w:val="24"/>
        </w:rPr>
      </w:pPr>
    </w:p>
    <w:p w14:paraId="39C01780" w14:textId="18831C4A" w:rsidR="00D22BF6" w:rsidRPr="003D4A39" w:rsidRDefault="00D22BF6" w:rsidP="00D22BF6">
      <w:pPr>
        <w:ind w:left="851"/>
        <w:rPr>
          <w:sz w:val="24"/>
          <w:szCs w:val="24"/>
        </w:rPr>
      </w:pPr>
      <w:r w:rsidRPr="003D4A39">
        <w:rPr>
          <w:sz w:val="24"/>
          <w:szCs w:val="24"/>
        </w:rPr>
        <w:t>Ved den mediane opfølgningsperiode på 77 måneder blev der vist signifikant længere sygdomsfri overlevelse (DFS) i TAC-armen sammenlignet med FAC-armen. TAC-behandlede patienter havde 32 % lavere risiko for tilbagefald sammenlignet med de patienter, der blev behandlet med FAC (</w:t>
      </w:r>
      <w:r w:rsidRPr="005D4D80">
        <w:rPr>
          <w:i/>
          <w:iCs/>
          <w:sz w:val="24"/>
          <w:szCs w:val="24"/>
        </w:rPr>
        <w:t>hazard</w:t>
      </w:r>
      <w:r w:rsidRPr="003D4A39">
        <w:rPr>
          <w:sz w:val="24"/>
          <w:szCs w:val="24"/>
        </w:rPr>
        <w:t>-ratio = 0,68; 95 % CI (0,49</w:t>
      </w:r>
      <w:r w:rsidRPr="003D4A39">
        <w:rPr>
          <w:sz w:val="24"/>
          <w:szCs w:val="24"/>
        </w:rPr>
        <w:noBreakHyphen/>
        <w:t>0,93); p = 0,01). Ved den mediane opfølgningsperiode på 10 år og 5 måneder havde TAC-behandlede patienter 16,5 % lavere risiko for tilbagefald sammenlignet med de patienter, der blev behandlet med FAC (</w:t>
      </w:r>
      <w:r w:rsidRPr="005D4D80">
        <w:rPr>
          <w:i/>
          <w:iCs/>
          <w:sz w:val="24"/>
          <w:szCs w:val="24"/>
        </w:rPr>
        <w:t>hazard</w:t>
      </w:r>
      <w:r w:rsidRPr="003D4A39">
        <w:rPr>
          <w:sz w:val="24"/>
          <w:szCs w:val="24"/>
        </w:rPr>
        <w:t xml:space="preserve"> ratio = 0,84; 95 % CI (0,65-1,08); p=0,1646). Data for DFS var ikke statistisk signifikante, men blev alligevel forbundet med en positiv tendens til fordel for TAC.</w:t>
      </w:r>
    </w:p>
    <w:p w14:paraId="1952510F" w14:textId="77777777" w:rsidR="00D22BF6" w:rsidRPr="003D4A39" w:rsidRDefault="00D22BF6" w:rsidP="00D22BF6">
      <w:pPr>
        <w:ind w:left="851"/>
        <w:rPr>
          <w:sz w:val="24"/>
          <w:szCs w:val="24"/>
        </w:rPr>
      </w:pPr>
    </w:p>
    <w:p w14:paraId="40A7D9DC" w14:textId="78E11274" w:rsidR="00D22BF6" w:rsidRPr="003D4A39" w:rsidRDefault="00D22BF6" w:rsidP="00D22BF6">
      <w:pPr>
        <w:ind w:left="851"/>
        <w:rPr>
          <w:sz w:val="24"/>
          <w:szCs w:val="24"/>
        </w:rPr>
      </w:pPr>
      <w:r w:rsidRPr="003D4A39">
        <w:rPr>
          <w:sz w:val="24"/>
          <w:szCs w:val="24"/>
        </w:rPr>
        <w:t>Ved den mediane opfølgningsperiode på 77 måneder var den totale overlevelse (OS) længere i TAC-armen, hvor TAC-behandlede patienter havde 24 % lavere risiko for død sammenlignet med FAC-behandlede patienter (</w:t>
      </w:r>
      <w:r w:rsidRPr="005D4D80">
        <w:rPr>
          <w:i/>
          <w:iCs/>
          <w:sz w:val="24"/>
          <w:szCs w:val="24"/>
        </w:rPr>
        <w:t>hazard</w:t>
      </w:r>
      <w:r w:rsidRPr="003D4A39">
        <w:rPr>
          <w:sz w:val="24"/>
          <w:szCs w:val="24"/>
        </w:rPr>
        <w:t xml:space="preserve"> ratio = 0,76; 95 % CI (0,46-1,26; p=0,29). Dog var fordelingen af OS ikke signifikant forskellig i de to grupper.  </w:t>
      </w:r>
    </w:p>
    <w:p w14:paraId="5FA223B0" w14:textId="77777777" w:rsidR="00D22BF6" w:rsidRPr="003D4A39" w:rsidRDefault="00D22BF6" w:rsidP="00D22BF6">
      <w:pPr>
        <w:ind w:left="851"/>
        <w:rPr>
          <w:sz w:val="24"/>
          <w:szCs w:val="24"/>
        </w:rPr>
      </w:pPr>
    </w:p>
    <w:p w14:paraId="6A400B60" w14:textId="44E43588" w:rsidR="00D22BF6" w:rsidRPr="003D4A39" w:rsidRDefault="00D22BF6" w:rsidP="00D22BF6">
      <w:pPr>
        <w:ind w:left="851"/>
        <w:rPr>
          <w:sz w:val="24"/>
          <w:szCs w:val="24"/>
        </w:rPr>
      </w:pPr>
      <w:r w:rsidRPr="003D4A39">
        <w:rPr>
          <w:sz w:val="24"/>
          <w:szCs w:val="24"/>
        </w:rPr>
        <w:t>Ved den mediane opfølgningsperiode på 10 år og 5 måneder havde TAC-behandlede patienter en 9 % lavere risiko for død sammenlignet med FAC-behandlede patienter (</w:t>
      </w:r>
      <w:r w:rsidRPr="005D4D80">
        <w:rPr>
          <w:i/>
          <w:iCs/>
          <w:sz w:val="24"/>
          <w:szCs w:val="24"/>
        </w:rPr>
        <w:t>hazard</w:t>
      </w:r>
      <w:r w:rsidRPr="003D4A39">
        <w:rPr>
          <w:sz w:val="24"/>
          <w:szCs w:val="24"/>
        </w:rPr>
        <w:t xml:space="preserve"> ratio = 0,91; 95 % CI (0,63-1,32)). Overlevelsesprocenten var 93,7 % i TAC-armen og 91,4 % i FAC-armen ved tidspunktet for 8-års opfølgning, og 91,3 % i TAC-armen og 89 % i FAC-armen ved tidspunktet for 10-års opfølgning. </w:t>
      </w:r>
    </w:p>
    <w:p w14:paraId="36015D0F" w14:textId="77777777" w:rsidR="00D22BF6" w:rsidRPr="003D4A39" w:rsidRDefault="00D22BF6" w:rsidP="00D22BF6">
      <w:pPr>
        <w:ind w:left="851" w:hanging="851"/>
        <w:rPr>
          <w:sz w:val="24"/>
          <w:szCs w:val="24"/>
        </w:rPr>
      </w:pPr>
    </w:p>
    <w:p w14:paraId="6D5BD39A" w14:textId="038C7F4D" w:rsidR="00D22BF6" w:rsidRPr="003D4A39" w:rsidRDefault="00D22BF6" w:rsidP="00D22BF6">
      <w:pPr>
        <w:ind w:left="851"/>
        <w:rPr>
          <w:sz w:val="24"/>
          <w:szCs w:val="24"/>
        </w:rPr>
      </w:pPr>
      <w:r w:rsidRPr="003D4A39">
        <w:rPr>
          <w:sz w:val="24"/>
          <w:szCs w:val="24"/>
        </w:rPr>
        <w:t>Det positive benefit/risk-forhold for TAC sammenlignet med FAC forblev uændret.</w:t>
      </w:r>
    </w:p>
    <w:p w14:paraId="76D19BE6" w14:textId="77777777" w:rsidR="00D22BF6" w:rsidRPr="003D4A39" w:rsidRDefault="00D22BF6" w:rsidP="00D22BF6">
      <w:pPr>
        <w:ind w:left="851"/>
        <w:rPr>
          <w:sz w:val="24"/>
          <w:szCs w:val="24"/>
        </w:rPr>
      </w:pPr>
    </w:p>
    <w:p w14:paraId="6256C88E" w14:textId="77777777" w:rsidR="00D22BF6" w:rsidRPr="003D4A39" w:rsidRDefault="00D22BF6" w:rsidP="00D22BF6">
      <w:pPr>
        <w:ind w:left="851"/>
        <w:rPr>
          <w:sz w:val="24"/>
          <w:szCs w:val="24"/>
        </w:rPr>
      </w:pPr>
      <w:r w:rsidRPr="003D4A39">
        <w:rPr>
          <w:sz w:val="24"/>
          <w:szCs w:val="24"/>
        </w:rPr>
        <w:t>Undergrupper af TAC-behandlede patienter efter prospektivt definerede betydningsfulde prognostiske faktorer blev analyseret i den primære analyse (ved median opfølgningsperiode på 77 måneder) (se tabel nedenfor):</w:t>
      </w:r>
    </w:p>
    <w:p w14:paraId="68B915C8" w14:textId="77777777" w:rsidR="006B34A1" w:rsidRPr="008D45EF" w:rsidRDefault="006B34A1" w:rsidP="0081699D">
      <w:pPr>
        <w:ind w:left="851"/>
        <w:rPr>
          <w:sz w:val="24"/>
          <w:szCs w:val="24"/>
        </w:rPr>
      </w:pPr>
    </w:p>
    <w:p w14:paraId="1F858196" w14:textId="77777777" w:rsidR="006B34A1" w:rsidRPr="008D45EF" w:rsidRDefault="006B34A1" w:rsidP="0081699D">
      <w:pPr>
        <w:rPr>
          <w:sz w:val="24"/>
          <w:szCs w:val="24"/>
        </w:rPr>
      </w:pPr>
      <w:r w:rsidRPr="008D45EF">
        <w:rPr>
          <w:sz w:val="24"/>
          <w:szCs w:val="24"/>
          <w:u w:val="single"/>
        </w:rPr>
        <w:t>Undergruppeanalyser – adjuverende behandling hos patienter med lymfeknude-negativ brystkræft</w:t>
      </w:r>
      <w:r w:rsidRPr="008D45EF">
        <w:rPr>
          <w:sz w:val="24"/>
          <w:szCs w:val="24"/>
        </w:rPr>
        <w:t xml:space="preserve"> </w:t>
      </w:r>
      <w:r w:rsidRPr="008D45EF">
        <w:rPr>
          <w:sz w:val="24"/>
          <w:szCs w:val="24"/>
          <w:u w:val="single"/>
        </w:rPr>
        <w:t>(intent-to-treat analyse)</w:t>
      </w:r>
    </w:p>
    <w:p w14:paraId="5FC9087E" w14:textId="77777777" w:rsidR="006B34A1" w:rsidRPr="008D45EF" w:rsidRDefault="006B34A1" w:rsidP="0081699D">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2182"/>
        <w:gridCol w:w="2407"/>
        <w:gridCol w:w="2407"/>
      </w:tblGrid>
      <w:tr w:rsidR="006B34A1" w:rsidRPr="008D45EF" w14:paraId="45EA9CB0" w14:textId="77777777" w:rsidTr="002A7D83">
        <w:trPr>
          <w:tblHeader/>
        </w:trPr>
        <w:tc>
          <w:tcPr>
            <w:tcW w:w="1367" w:type="pct"/>
            <w:vMerge w:val="restart"/>
            <w:tcBorders>
              <w:top w:val="single" w:sz="4" w:space="0" w:color="auto"/>
              <w:left w:val="single" w:sz="4" w:space="0" w:color="auto"/>
              <w:bottom w:val="single" w:sz="4" w:space="0" w:color="auto"/>
              <w:right w:val="single" w:sz="4" w:space="0" w:color="auto"/>
            </w:tcBorders>
            <w:hideMark/>
          </w:tcPr>
          <w:p w14:paraId="3E57C209" w14:textId="77777777" w:rsidR="006B34A1" w:rsidRPr="008D45EF" w:rsidRDefault="006B34A1" w:rsidP="0081699D">
            <w:pPr>
              <w:rPr>
                <w:sz w:val="24"/>
                <w:szCs w:val="24"/>
              </w:rPr>
            </w:pPr>
            <w:r w:rsidRPr="008D45EF">
              <w:rPr>
                <w:b/>
                <w:bCs/>
                <w:sz w:val="24"/>
                <w:szCs w:val="24"/>
              </w:rPr>
              <w:t>Undergruppe</w:t>
            </w:r>
          </w:p>
        </w:tc>
        <w:tc>
          <w:tcPr>
            <w:tcW w:w="1133" w:type="pct"/>
            <w:vMerge w:val="restart"/>
            <w:tcBorders>
              <w:top w:val="single" w:sz="4" w:space="0" w:color="auto"/>
              <w:left w:val="single" w:sz="4" w:space="0" w:color="auto"/>
              <w:bottom w:val="single" w:sz="4" w:space="0" w:color="auto"/>
              <w:right w:val="single" w:sz="4" w:space="0" w:color="auto"/>
            </w:tcBorders>
            <w:hideMark/>
          </w:tcPr>
          <w:p w14:paraId="47BB9B33" w14:textId="77777777" w:rsidR="006B34A1" w:rsidRPr="00B43FE2" w:rsidRDefault="006B34A1" w:rsidP="0081699D">
            <w:pPr>
              <w:rPr>
                <w:b/>
                <w:bCs/>
                <w:sz w:val="24"/>
                <w:szCs w:val="24"/>
              </w:rPr>
            </w:pPr>
            <w:r w:rsidRPr="00B43FE2">
              <w:rPr>
                <w:b/>
                <w:bCs/>
                <w:sz w:val="24"/>
                <w:szCs w:val="24"/>
              </w:rPr>
              <w:t>Antal patienter</w:t>
            </w:r>
          </w:p>
          <w:p w14:paraId="033DDBC2" w14:textId="77777777" w:rsidR="006B34A1" w:rsidRPr="008D45EF" w:rsidRDefault="006B34A1" w:rsidP="0081699D">
            <w:pPr>
              <w:rPr>
                <w:sz w:val="24"/>
                <w:szCs w:val="24"/>
              </w:rPr>
            </w:pPr>
            <w:r w:rsidRPr="00B43FE2">
              <w:rPr>
                <w:b/>
                <w:bCs/>
                <w:sz w:val="24"/>
                <w:szCs w:val="24"/>
              </w:rPr>
              <w:t>i TAC armen</w:t>
            </w:r>
          </w:p>
        </w:tc>
        <w:tc>
          <w:tcPr>
            <w:tcW w:w="2500" w:type="pct"/>
            <w:gridSpan w:val="2"/>
            <w:tcBorders>
              <w:top w:val="single" w:sz="4" w:space="0" w:color="auto"/>
              <w:left w:val="single" w:sz="4" w:space="0" w:color="auto"/>
              <w:bottom w:val="single" w:sz="4" w:space="0" w:color="auto"/>
              <w:right w:val="single" w:sz="4" w:space="0" w:color="auto"/>
            </w:tcBorders>
            <w:hideMark/>
          </w:tcPr>
          <w:p w14:paraId="772447FD" w14:textId="590D25D8" w:rsidR="006B34A1" w:rsidRPr="008D45EF" w:rsidRDefault="00D22BF6" w:rsidP="0081699D">
            <w:pPr>
              <w:rPr>
                <w:sz w:val="24"/>
                <w:szCs w:val="24"/>
              </w:rPr>
            </w:pPr>
            <w:r w:rsidRPr="003D4A39">
              <w:rPr>
                <w:b/>
                <w:bCs/>
                <w:sz w:val="24"/>
                <w:szCs w:val="24"/>
              </w:rPr>
              <w:t>Sygdomsfri overlevelse</w:t>
            </w:r>
          </w:p>
        </w:tc>
      </w:tr>
      <w:tr w:rsidR="006B34A1" w:rsidRPr="008D45EF" w14:paraId="2C05FFA3" w14:textId="77777777" w:rsidTr="002A7D83">
        <w:trPr>
          <w:tblHeader/>
        </w:trPr>
        <w:tc>
          <w:tcPr>
            <w:tcW w:w="1367" w:type="pct"/>
            <w:vMerge/>
            <w:tcBorders>
              <w:top w:val="single" w:sz="4" w:space="0" w:color="auto"/>
              <w:left w:val="single" w:sz="4" w:space="0" w:color="auto"/>
              <w:bottom w:val="single" w:sz="4" w:space="0" w:color="auto"/>
              <w:right w:val="single" w:sz="4" w:space="0" w:color="auto"/>
            </w:tcBorders>
            <w:vAlign w:val="center"/>
            <w:hideMark/>
          </w:tcPr>
          <w:p w14:paraId="5489EC5F" w14:textId="77777777" w:rsidR="006B34A1" w:rsidRPr="008D45EF" w:rsidRDefault="006B34A1" w:rsidP="0081699D">
            <w:pPr>
              <w:rPr>
                <w:sz w:val="24"/>
                <w:szCs w:val="24"/>
              </w:rPr>
            </w:pPr>
          </w:p>
        </w:tc>
        <w:tc>
          <w:tcPr>
            <w:tcW w:w="1133" w:type="pct"/>
            <w:vMerge/>
            <w:tcBorders>
              <w:top w:val="single" w:sz="4" w:space="0" w:color="auto"/>
              <w:left w:val="single" w:sz="4" w:space="0" w:color="auto"/>
              <w:bottom w:val="single" w:sz="4" w:space="0" w:color="auto"/>
              <w:right w:val="single" w:sz="4" w:space="0" w:color="auto"/>
            </w:tcBorders>
            <w:vAlign w:val="center"/>
            <w:hideMark/>
          </w:tcPr>
          <w:p w14:paraId="4A3DC995" w14:textId="77777777" w:rsidR="006B34A1" w:rsidRPr="008D45EF" w:rsidRDefault="006B34A1" w:rsidP="0081699D">
            <w:pPr>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14:paraId="3F6B4780" w14:textId="77777777" w:rsidR="006B34A1" w:rsidRPr="008D45EF" w:rsidRDefault="006B34A1" w:rsidP="0081699D">
            <w:pPr>
              <w:rPr>
                <w:sz w:val="24"/>
                <w:szCs w:val="24"/>
              </w:rPr>
            </w:pPr>
            <w:r w:rsidRPr="008D45EF">
              <w:rPr>
                <w:b/>
                <w:bCs/>
                <w:sz w:val="24"/>
                <w:szCs w:val="24"/>
              </w:rPr>
              <w:t>Hazard ratio*</w:t>
            </w:r>
          </w:p>
        </w:tc>
        <w:tc>
          <w:tcPr>
            <w:tcW w:w="1250" w:type="pct"/>
            <w:tcBorders>
              <w:top w:val="single" w:sz="4" w:space="0" w:color="auto"/>
              <w:left w:val="single" w:sz="4" w:space="0" w:color="auto"/>
              <w:bottom w:val="single" w:sz="4" w:space="0" w:color="auto"/>
              <w:right w:val="single" w:sz="4" w:space="0" w:color="auto"/>
            </w:tcBorders>
            <w:hideMark/>
          </w:tcPr>
          <w:p w14:paraId="11A2C255" w14:textId="77777777" w:rsidR="006B34A1" w:rsidRPr="008D45EF" w:rsidRDefault="006B34A1" w:rsidP="0081699D">
            <w:pPr>
              <w:rPr>
                <w:sz w:val="24"/>
                <w:szCs w:val="24"/>
              </w:rPr>
            </w:pPr>
            <w:r w:rsidRPr="008D45EF">
              <w:rPr>
                <w:b/>
                <w:bCs/>
                <w:sz w:val="24"/>
                <w:szCs w:val="24"/>
              </w:rPr>
              <w:t>95 % CI</w:t>
            </w:r>
          </w:p>
        </w:tc>
      </w:tr>
      <w:tr w:rsidR="006B34A1" w:rsidRPr="008D45EF" w14:paraId="1B836293" w14:textId="77777777" w:rsidTr="002A7D83">
        <w:tc>
          <w:tcPr>
            <w:tcW w:w="1367" w:type="pct"/>
            <w:tcBorders>
              <w:top w:val="single" w:sz="4" w:space="0" w:color="auto"/>
              <w:left w:val="single" w:sz="4" w:space="0" w:color="auto"/>
              <w:bottom w:val="single" w:sz="4" w:space="0" w:color="auto"/>
              <w:right w:val="single" w:sz="4" w:space="0" w:color="auto"/>
            </w:tcBorders>
            <w:hideMark/>
          </w:tcPr>
          <w:p w14:paraId="7D2CD200" w14:textId="77777777" w:rsidR="006B34A1" w:rsidRPr="008D45EF" w:rsidRDefault="006B34A1" w:rsidP="0081699D">
            <w:pPr>
              <w:rPr>
                <w:sz w:val="24"/>
                <w:szCs w:val="24"/>
              </w:rPr>
            </w:pPr>
            <w:r w:rsidRPr="008D45EF">
              <w:rPr>
                <w:b/>
                <w:bCs/>
                <w:sz w:val="24"/>
                <w:szCs w:val="24"/>
              </w:rPr>
              <w:t>Samlet</w:t>
            </w:r>
          </w:p>
        </w:tc>
        <w:tc>
          <w:tcPr>
            <w:tcW w:w="1133" w:type="pct"/>
            <w:tcBorders>
              <w:top w:val="single" w:sz="4" w:space="0" w:color="auto"/>
              <w:left w:val="single" w:sz="4" w:space="0" w:color="auto"/>
              <w:bottom w:val="single" w:sz="4" w:space="0" w:color="auto"/>
              <w:right w:val="single" w:sz="4" w:space="0" w:color="auto"/>
            </w:tcBorders>
            <w:hideMark/>
          </w:tcPr>
          <w:p w14:paraId="3B813646" w14:textId="77777777" w:rsidR="006B34A1" w:rsidRPr="008D45EF" w:rsidRDefault="006B34A1" w:rsidP="0081699D">
            <w:pPr>
              <w:rPr>
                <w:sz w:val="24"/>
                <w:szCs w:val="24"/>
              </w:rPr>
            </w:pPr>
            <w:r w:rsidRPr="008D45EF">
              <w:rPr>
                <w:sz w:val="24"/>
                <w:szCs w:val="24"/>
              </w:rPr>
              <w:t>539</w:t>
            </w:r>
          </w:p>
        </w:tc>
        <w:tc>
          <w:tcPr>
            <w:tcW w:w="1250" w:type="pct"/>
            <w:tcBorders>
              <w:top w:val="single" w:sz="4" w:space="0" w:color="auto"/>
              <w:left w:val="single" w:sz="4" w:space="0" w:color="auto"/>
              <w:bottom w:val="single" w:sz="4" w:space="0" w:color="auto"/>
              <w:right w:val="single" w:sz="4" w:space="0" w:color="auto"/>
            </w:tcBorders>
            <w:hideMark/>
          </w:tcPr>
          <w:p w14:paraId="670BE109" w14:textId="77777777" w:rsidR="006B34A1" w:rsidRPr="008D45EF" w:rsidRDefault="006B34A1" w:rsidP="0081699D">
            <w:pPr>
              <w:rPr>
                <w:sz w:val="24"/>
                <w:szCs w:val="24"/>
              </w:rPr>
            </w:pPr>
            <w:r w:rsidRPr="008D45EF">
              <w:rPr>
                <w:sz w:val="24"/>
                <w:szCs w:val="24"/>
              </w:rPr>
              <w:t>0,68</w:t>
            </w:r>
          </w:p>
        </w:tc>
        <w:tc>
          <w:tcPr>
            <w:tcW w:w="1250" w:type="pct"/>
            <w:tcBorders>
              <w:top w:val="single" w:sz="4" w:space="0" w:color="auto"/>
              <w:left w:val="single" w:sz="4" w:space="0" w:color="auto"/>
              <w:bottom w:val="single" w:sz="4" w:space="0" w:color="auto"/>
              <w:right w:val="single" w:sz="4" w:space="0" w:color="auto"/>
            </w:tcBorders>
            <w:hideMark/>
          </w:tcPr>
          <w:p w14:paraId="4DC50CA8" w14:textId="77777777" w:rsidR="006B34A1" w:rsidRPr="008D45EF" w:rsidRDefault="006B34A1" w:rsidP="0081699D">
            <w:pPr>
              <w:rPr>
                <w:sz w:val="24"/>
                <w:szCs w:val="24"/>
              </w:rPr>
            </w:pPr>
            <w:r w:rsidRPr="008D45EF">
              <w:rPr>
                <w:sz w:val="24"/>
                <w:szCs w:val="24"/>
              </w:rPr>
              <w:t>0,49</w:t>
            </w:r>
            <w:r w:rsidRPr="008D45EF">
              <w:rPr>
                <w:sz w:val="24"/>
                <w:szCs w:val="24"/>
              </w:rPr>
              <w:noBreakHyphen/>
              <w:t>0,93</w:t>
            </w:r>
          </w:p>
        </w:tc>
      </w:tr>
      <w:tr w:rsidR="006B34A1" w:rsidRPr="008D45EF" w14:paraId="790D11D4" w14:textId="77777777" w:rsidTr="002A7D83">
        <w:tc>
          <w:tcPr>
            <w:tcW w:w="1367" w:type="pct"/>
            <w:tcBorders>
              <w:top w:val="single" w:sz="4" w:space="0" w:color="auto"/>
              <w:left w:val="single" w:sz="4" w:space="0" w:color="auto"/>
              <w:bottom w:val="single" w:sz="4" w:space="0" w:color="auto"/>
              <w:right w:val="single" w:sz="4" w:space="0" w:color="auto"/>
            </w:tcBorders>
            <w:hideMark/>
          </w:tcPr>
          <w:p w14:paraId="1A695734" w14:textId="77777777" w:rsidR="006B34A1" w:rsidRPr="008D45EF" w:rsidRDefault="006B34A1" w:rsidP="0081699D">
            <w:pPr>
              <w:rPr>
                <w:b/>
                <w:bCs/>
                <w:sz w:val="24"/>
                <w:szCs w:val="24"/>
              </w:rPr>
            </w:pPr>
            <w:r w:rsidRPr="008D45EF">
              <w:rPr>
                <w:b/>
                <w:bCs/>
                <w:sz w:val="24"/>
                <w:szCs w:val="24"/>
              </w:rPr>
              <w:t>Alderskategori 1</w:t>
            </w:r>
          </w:p>
          <w:p w14:paraId="56432966" w14:textId="77777777" w:rsidR="006B34A1" w:rsidRPr="008D45EF" w:rsidRDefault="006B34A1" w:rsidP="0081699D">
            <w:pPr>
              <w:rPr>
                <w:sz w:val="24"/>
                <w:szCs w:val="24"/>
              </w:rPr>
            </w:pPr>
            <w:r w:rsidRPr="008D45EF">
              <w:rPr>
                <w:sz w:val="24"/>
                <w:szCs w:val="24"/>
              </w:rPr>
              <w:t>&lt; 50 år</w:t>
            </w:r>
          </w:p>
          <w:p w14:paraId="69982124" w14:textId="77777777" w:rsidR="006B34A1" w:rsidRPr="008D45EF" w:rsidRDefault="006B34A1" w:rsidP="0081699D">
            <w:pPr>
              <w:rPr>
                <w:sz w:val="24"/>
                <w:szCs w:val="24"/>
              </w:rPr>
            </w:pPr>
            <w:r w:rsidRPr="008D45EF">
              <w:rPr>
                <w:sz w:val="24"/>
                <w:szCs w:val="24"/>
              </w:rPr>
              <w:t>≥ 50 år</w:t>
            </w:r>
          </w:p>
        </w:tc>
        <w:tc>
          <w:tcPr>
            <w:tcW w:w="1133" w:type="pct"/>
            <w:tcBorders>
              <w:top w:val="single" w:sz="4" w:space="0" w:color="auto"/>
              <w:left w:val="single" w:sz="4" w:space="0" w:color="auto"/>
              <w:bottom w:val="single" w:sz="4" w:space="0" w:color="auto"/>
              <w:right w:val="single" w:sz="4" w:space="0" w:color="auto"/>
            </w:tcBorders>
          </w:tcPr>
          <w:p w14:paraId="0C3C6249" w14:textId="77777777" w:rsidR="006B34A1" w:rsidRPr="008D45EF" w:rsidRDefault="006B34A1" w:rsidP="0081699D">
            <w:pPr>
              <w:rPr>
                <w:sz w:val="24"/>
                <w:szCs w:val="24"/>
              </w:rPr>
            </w:pPr>
          </w:p>
          <w:p w14:paraId="039335D5" w14:textId="77777777" w:rsidR="006B34A1" w:rsidRPr="008D45EF" w:rsidRDefault="006B34A1" w:rsidP="0081699D">
            <w:pPr>
              <w:rPr>
                <w:sz w:val="24"/>
                <w:szCs w:val="24"/>
              </w:rPr>
            </w:pPr>
            <w:r w:rsidRPr="008D45EF">
              <w:rPr>
                <w:sz w:val="24"/>
                <w:szCs w:val="24"/>
              </w:rPr>
              <w:t>260</w:t>
            </w:r>
          </w:p>
          <w:p w14:paraId="4184DF68" w14:textId="77777777" w:rsidR="006B34A1" w:rsidRPr="008D45EF" w:rsidRDefault="006B34A1" w:rsidP="0081699D">
            <w:pPr>
              <w:rPr>
                <w:sz w:val="24"/>
                <w:szCs w:val="24"/>
              </w:rPr>
            </w:pPr>
            <w:r w:rsidRPr="008D45EF">
              <w:rPr>
                <w:sz w:val="24"/>
                <w:szCs w:val="24"/>
              </w:rPr>
              <w:t>279</w:t>
            </w:r>
          </w:p>
        </w:tc>
        <w:tc>
          <w:tcPr>
            <w:tcW w:w="1250" w:type="pct"/>
            <w:tcBorders>
              <w:top w:val="single" w:sz="4" w:space="0" w:color="auto"/>
              <w:left w:val="single" w:sz="4" w:space="0" w:color="auto"/>
              <w:bottom w:val="single" w:sz="4" w:space="0" w:color="auto"/>
              <w:right w:val="single" w:sz="4" w:space="0" w:color="auto"/>
            </w:tcBorders>
          </w:tcPr>
          <w:p w14:paraId="217B6702" w14:textId="77777777" w:rsidR="006B34A1" w:rsidRPr="008D45EF" w:rsidRDefault="006B34A1" w:rsidP="0081699D">
            <w:pPr>
              <w:rPr>
                <w:sz w:val="24"/>
                <w:szCs w:val="24"/>
              </w:rPr>
            </w:pPr>
          </w:p>
          <w:p w14:paraId="162B837B" w14:textId="77777777" w:rsidR="006B34A1" w:rsidRPr="008D45EF" w:rsidRDefault="006B34A1" w:rsidP="0081699D">
            <w:pPr>
              <w:rPr>
                <w:sz w:val="24"/>
                <w:szCs w:val="24"/>
              </w:rPr>
            </w:pPr>
            <w:r w:rsidRPr="008D45EF">
              <w:rPr>
                <w:sz w:val="24"/>
                <w:szCs w:val="24"/>
              </w:rPr>
              <w:t>0,67</w:t>
            </w:r>
          </w:p>
          <w:p w14:paraId="1E5FD1AA" w14:textId="77777777" w:rsidR="006B34A1" w:rsidRPr="008D45EF" w:rsidRDefault="006B34A1" w:rsidP="0081699D">
            <w:pPr>
              <w:rPr>
                <w:sz w:val="24"/>
                <w:szCs w:val="24"/>
              </w:rPr>
            </w:pPr>
            <w:r w:rsidRPr="008D45EF">
              <w:rPr>
                <w:sz w:val="24"/>
                <w:szCs w:val="24"/>
              </w:rPr>
              <w:t>0,67</w:t>
            </w:r>
          </w:p>
        </w:tc>
        <w:tc>
          <w:tcPr>
            <w:tcW w:w="1250" w:type="pct"/>
            <w:tcBorders>
              <w:top w:val="single" w:sz="4" w:space="0" w:color="auto"/>
              <w:left w:val="single" w:sz="4" w:space="0" w:color="auto"/>
              <w:bottom w:val="single" w:sz="4" w:space="0" w:color="auto"/>
              <w:right w:val="single" w:sz="4" w:space="0" w:color="auto"/>
            </w:tcBorders>
          </w:tcPr>
          <w:p w14:paraId="5CFB2146" w14:textId="77777777" w:rsidR="006B34A1" w:rsidRPr="008D45EF" w:rsidRDefault="006B34A1" w:rsidP="0081699D">
            <w:pPr>
              <w:rPr>
                <w:sz w:val="24"/>
                <w:szCs w:val="24"/>
              </w:rPr>
            </w:pPr>
          </w:p>
          <w:p w14:paraId="29387550" w14:textId="77777777" w:rsidR="006B34A1" w:rsidRPr="008D45EF" w:rsidRDefault="006B34A1" w:rsidP="0081699D">
            <w:pPr>
              <w:rPr>
                <w:sz w:val="24"/>
                <w:szCs w:val="24"/>
              </w:rPr>
            </w:pPr>
            <w:r w:rsidRPr="008D45EF">
              <w:rPr>
                <w:sz w:val="24"/>
                <w:szCs w:val="24"/>
              </w:rPr>
              <w:t>0,43</w:t>
            </w:r>
            <w:r w:rsidRPr="008D45EF">
              <w:rPr>
                <w:sz w:val="24"/>
                <w:szCs w:val="24"/>
              </w:rPr>
              <w:noBreakHyphen/>
              <w:t>1,05</w:t>
            </w:r>
          </w:p>
          <w:p w14:paraId="75F953B4" w14:textId="77777777" w:rsidR="006B34A1" w:rsidRPr="008D45EF" w:rsidRDefault="006B34A1" w:rsidP="0081699D">
            <w:pPr>
              <w:rPr>
                <w:sz w:val="24"/>
                <w:szCs w:val="24"/>
              </w:rPr>
            </w:pPr>
            <w:r w:rsidRPr="008D45EF">
              <w:rPr>
                <w:sz w:val="24"/>
                <w:szCs w:val="24"/>
              </w:rPr>
              <w:t>0,43</w:t>
            </w:r>
            <w:r w:rsidRPr="008D45EF">
              <w:rPr>
                <w:sz w:val="24"/>
                <w:szCs w:val="24"/>
              </w:rPr>
              <w:noBreakHyphen/>
              <w:t>1,05</w:t>
            </w:r>
          </w:p>
        </w:tc>
      </w:tr>
      <w:tr w:rsidR="006B34A1" w:rsidRPr="008D45EF" w14:paraId="6783B4C4" w14:textId="77777777" w:rsidTr="002A7D83">
        <w:tc>
          <w:tcPr>
            <w:tcW w:w="1367" w:type="pct"/>
            <w:tcBorders>
              <w:top w:val="single" w:sz="4" w:space="0" w:color="auto"/>
              <w:left w:val="single" w:sz="4" w:space="0" w:color="auto"/>
              <w:bottom w:val="single" w:sz="4" w:space="0" w:color="auto"/>
              <w:right w:val="single" w:sz="4" w:space="0" w:color="auto"/>
            </w:tcBorders>
            <w:hideMark/>
          </w:tcPr>
          <w:p w14:paraId="0571F286" w14:textId="77777777" w:rsidR="006B34A1" w:rsidRPr="008D45EF" w:rsidRDefault="006B34A1" w:rsidP="0081699D">
            <w:pPr>
              <w:rPr>
                <w:b/>
                <w:bCs/>
                <w:sz w:val="24"/>
                <w:szCs w:val="24"/>
              </w:rPr>
            </w:pPr>
            <w:r w:rsidRPr="008D45EF">
              <w:rPr>
                <w:b/>
                <w:bCs/>
                <w:sz w:val="24"/>
                <w:szCs w:val="24"/>
              </w:rPr>
              <w:t>Alderskategori 2</w:t>
            </w:r>
          </w:p>
          <w:p w14:paraId="7F719F92" w14:textId="77777777" w:rsidR="006B34A1" w:rsidRPr="008D45EF" w:rsidRDefault="006B34A1" w:rsidP="0081699D">
            <w:pPr>
              <w:rPr>
                <w:sz w:val="24"/>
                <w:szCs w:val="24"/>
              </w:rPr>
            </w:pPr>
            <w:r w:rsidRPr="008D45EF">
              <w:rPr>
                <w:sz w:val="24"/>
                <w:szCs w:val="24"/>
              </w:rPr>
              <w:t>&lt; 35 år</w:t>
            </w:r>
          </w:p>
          <w:p w14:paraId="45039A47" w14:textId="77777777" w:rsidR="006B34A1" w:rsidRPr="008D45EF" w:rsidRDefault="006B34A1" w:rsidP="0081699D">
            <w:pPr>
              <w:rPr>
                <w:sz w:val="24"/>
                <w:szCs w:val="24"/>
              </w:rPr>
            </w:pPr>
            <w:r w:rsidRPr="008D45EF">
              <w:rPr>
                <w:sz w:val="24"/>
                <w:szCs w:val="24"/>
              </w:rPr>
              <w:t>≥ 35 år</w:t>
            </w:r>
          </w:p>
        </w:tc>
        <w:tc>
          <w:tcPr>
            <w:tcW w:w="1133" w:type="pct"/>
            <w:tcBorders>
              <w:top w:val="single" w:sz="4" w:space="0" w:color="auto"/>
              <w:left w:val="single" w:sz="4" w:space="0" w:color="auto"/>
              <w:bottom w:val="single" w:sz="4" w:space="0" w:color="auto"/>
              <w:right w:val="single" w:sz="4" w:space="0" w:color="auto"/>
            </w:tcBorders>
          </w:tcPr>
          <w:p w14:paraId="3642618C" w14:textId="77777777" w:rsidR="006B34A1" w:rsidRPr="008D45EF" w:rsidRDefault="006B34A1" w:rsidP="0081699D">
            <w:pPr>
              <w:rPr>
                <w:sz w:val="24"/>
                <w:szCs w:val="24"/>
              </w:rPr>
            </w:pPr>
          </w:p>
          <w:p w14:paraId="2BA503D7" w14:textId="77777777" w:rsidR="006B34A1" w:rsidRPr="008D45EF" w:rsidRDefault="006B34A1" w:rsidP="0081699D">
            <w:pPr>
              <w:rPr>
                <w:sz w:val="24"/>
                <w:szCs w:val="24"/>
              </w:rPr>
            </w:pPr>
            <w:r w:rsidRPr="008D45EF">
              <w:rPr>
                <w:sz w:val="24"/>
                <w:szCs w:val="24"/>
              </w:rPr>
              <w:t>42</w:t>
            </w:r>
          </w:p>
          <w:p w14:paraId="7491099F" w14:textId="77777777" w:rsidR="006B34A1" w:rsidRPr="008D45EF" w:rsidRDefault="006B34A1" w:rsidP="0081699D">
            <w:pPr>
              <w:rPr>
                <w:sz w:val="24"/>
                <w:szCs w:val="24"/>
              </w:rPr>
            </w:pPr>
            <w:r w:rsidRPr="008D45EF">
              <w:rPr>
                <w:sz w:val="24"/>
                <w:szCs w:val="24"/>
              </w:rPr>
              <w:t>497</w:t>
            </w:r>
          </w:p>
        </w:tc>
        <w:tc>
          <w:tcPr>
            <w:tcW w:w="1250" w:type="pct"/>
            <w:tcBorders>
              <w:top w:val="single" w:sz="4" w:space="0" w:color="auto"/>
              <w:left w:val="single" w:sz="4" w:space="0" w:color="auto"/>
              <w:bottom w:val="single" w:sz="4" w:space="0" w:color="auto"/>
              <w:right w:val="single" w:sz="4" w:space="0" w:color="auto"/>
            </w:tcBorders>
          </w:tcPr>
          <w:p w14:paraId="7B2B13A4" w14:textId="77777777" w:rsidR="006B34A1" w:rsidRPr="008D45EF" w:rsidRDefault="006B34A1" w:rsidP="0081699D">
            <w:pPr>
              <w:rPr>
                <w:sz w:val="24"/>
                <w:szCs w:val="24"/>
              </w:rPr>
            </w:pPr>
          </w:p>
          <w:p w14:paraId="3E9D7696" w14:textId="77777777" w:rsidR="006B34A1" w:rsidRPr="008D45EF" w:rsidRDefault="006B34A1" w:rsidP="0081699D">
            <w:pPr>
              <w:rPr>
                <w:sz w:val="24"/>
                <w:szCs w:val="24"/>
              </w:rPr>
            </w:pPr>
            <w:r w:rsidRPr="008D45EF">
              <w:rPr>
                <w:sz w:val="24"/>
                <w:szCs w:val="24"/>
              </w:rPr>
              <w:t>0,31</w:t>
            </w:r>
          </w:p>
          <w:p w14:paraId="39DB23A5" w14:textId="77777777" w:rsidR="006B34A1" w:rsidRPr="008D45EF" w:rsidRDefault="006B34A1" w:rsidP="0081699D">
            <w:pPr>
              <w:rPr>
                <w:sz w:val="24"/>
                <w:szCs w:val="24"/>
              </w:rPr>
            </w:pPr>
            <w:r w:rsidRPr="008D45EF">
              <w:rPr>
                <w:sz w:val="24"/>
                <w:szCs w:val="24"/>
              </w:rPr>
              <w:t>0,73</w:t>
            </w:r>
          </w:p>
        </w:tc>
        <w:tc>
          <w:tcPr>
            <w:tcW w:w="1250" w:type="pct"/>
            <w:tcBorders>
              <w:top w:val="single" w:sz="4" w:space="0" w:color="auto"/>
              <w:left w:val="single" w:sz="4" w:space="0" w:color="auto"/>
              <w:bottom w:val="single" w:sz="4" w:space="0" w:color="auto"/>
              <w:right w:val="single" w:sz="4" w:space="0" w:color="auto"/>
            </w:tcBorders>
          </w:tcPr>
          <w:p w14:paraId="26F351E7" w14:textId="77777777" w:rsidR="006B34A1" w:rsidRPr="008D45EF" w:rsidRDefault="006B34A1" w:rsidP="0081699D">
            <w:pPr>
              <w:rPr>
                <w:sz w:val="24"/>
                <w:szCs w:val="24"/>
              </w:rPr>
            </w:pPr>
          </w:p>
          <w:p w14:paraId="5F99C00A" w14:textId="77777777" w:rsidR="006B34A1" w:rsidRPr="008D45EF" w:rsidRDefault="006B34A1" w:rsidP="0081699D">
            <w:pPr>
              <w:rPr>
                <w:sz w:val="24"/>
                <w:szCs w:val="24"/>
              </w:rPr>
            </w:pPr>
            <w:r w:rsidRPr="008D45EF">
              <w:rPr>
                <w:sz w:val="24"/>
                <w:szCs w:val="24"/>
              </w:rPr>
              <w:t>0,11</w:t>
            </w:r>
            <w:r w:rsidRPr="008D45EF">
              <w:rPr>
                <w:sz w:val="24"/>
                <w:szCs w:val="24"/>
              </w:rPr>
              <w:noBreakHyphen/>
              <w:t>0,89</w:t>
            </w:r>
          </w:p>
          <w:p w14:paraId="28693785" w14:textId="77777777" w:rsidR="006B34A1" w:rsidRPr="008D45EF" w:rsidRDefault="006B34A1" w:rsidP="0081699D">
            <w:pPr>
              <w:rPr>
                <w:sz w:val="24"/>
                <w:szCs w:val="24"/>
              </w:rPr>
            </w:pPr>
            <w:r w:rsidRPr="008D45EF">
              <w:rPr>
                <w:sz w:val="24"/>
                <w:szCs w:val="24"/>
              </w:rPr>
              <w:t>0,52</w:t>
            </w:r>
            <w:r w:rsidRPr="008D45EF">
              <w:rPr>
                <w:sz w:val="24"/>
                <w:szCs w:val="24"/>
              </w:rPr>
              <w:noBreakHyphen/>
              <w:t>1,01</w:t>
            </w:r>
          </w:p>
        </w:tc>
      </w:tr>
      <w:tr w:rsidR="006B34A1" w:rsidRPr="008D45EF" w14:paraId="55B2C5B3" w14:textId="77777777" w:rsidTr="002A7D83">
        <w:tc>
          <w:tcPr>
            <w:tcW w:w="1367" w:type="pct"/>
            <w:tcBorders>
              <w:top w:val="single" w:sz="4" w:space="0" w:color="auto"/>
              <w:left w:val="single" w:sz="4" w:space="0" w:color="auto"/>
              <w:bottom w:val="single" w:sz="4" w:space="0" w:color="auto"/>
              <w:right w:val="single" w:sz="4" w:space="0" w:color="auto"/>
            </w:tcBorders>
            <w:hideMark/>
          </w:tcPr>
          <w:p w14:paraId="42BAC009" w14:textId="77777777" w:rsidR="006B34A1" w:rsidRPr="008D45EF" w:rsidRDefault="006B34A1" w:rsidP="0081699D">
            <w:pPr>
              <w:rPr>
                <w:sz w:val="24"/>
                <w:szCs w:val="24"/>
              </w:rPr>
            </w:pPr>
            <w:r w:rsidRPr="008D45EF">
              <w:rPr>
                <w:b/>
                <w:bCs/>
                <w:sz w:val="24"/>
                <w:szCs w:val="24"/>
              </w:rPr>
              <w:t>Hormonel receptorstatus</w:t>
            </w:r>
          </w:p>
          <w:p w14:paraId="1165E447" w14:textId="77777777" w:rsidR="006B34A1" w:rsidRPr="008D45EF" w:rsidRDefault="006B34A1" w:rsidP="0081699D">
            <w:pPr>
              <w:rPr>
                <w:sz w:val="24"/>
                <w:szCs w:val="24"/>
              </w:rPr>
            </w:pPr>
            <w:r w:rsidRPr="008D45EF">
              <w:rPr>
                <w:sz w:val="24"/>
                <w:szCs w:val="24"/>
              </w:rPr>
              <w:t>Negativ</w:t>
            </w:r>
          </w:p>
          <w:p w14:paraId="0CF32474" w14:textId="77777777" w:rsidR="006B34A1" w:rsidRPr="008D45EF" w:rsidRDefault="006B34A1" w:rsidP="0081699D">
            <w:pPr>
              <w:rPr>
                <w:sz w:val="24"/>
                <w:szCs w:val="24"/>
              </w:rPr>
            </w:pPr>
            <w:r w:rsidRPr="008D45EF">
              <w:rPr>
                <w:sz w:val="24"/>
                <w:szCs w:val="24"/>
              </w:rPr>
              <w:t>Positiv</w:t>
            </w:r>
          </w:p>
        </w:tc>
        <w:tc>
          <w:tcPr>
            <w:tcW w:w="1133" w:type="pct"/>
            <w:tcBorders>
              <w:top w:val="single" w:sz="4" w:space="0" w:color="auto"/>
              <w:left w:val="single" w:sz="4" w:space="0" w:color="auto"/>
              <w:bottom w:val="single" w:sz="4" w:space="0" w:color="auto"/>
              <w:right w:val="single" w:sz="4" w:space="0" w:color="auto"/>
            </w:tcBorders>
          </w:tcPr>
          <w:p w14:paraId="66CA3381" w14:textId="77777777" w:rsidR="006B34A1" w:rsidRPr="008D45EF" w:rsidRDefault="006B34A1" w:rsidP="0081699D">
            <w:pPr>
              <w:rPr>
                <w:sz w:val="24"/>
                <w:szCs w:val="24"/>
              </w:rPr>
            </w:pPr>
          </w:p>
          <w:p w14:paraId="7626D2FF" w14:textId="77777777" w:rsidR="006B34A1" w:rsidRPr="008D45EF" w:rsidRDefault="006B34A1" w:rsidP="0081699D">
            <w:pPr>
              <w:rPr>
                <w:sz w:val="24"/>
                <w:szCs w:val="24"/>
              </w:rPr>
            </w:pPr>
          </w:p>
          <w:p w14:paraId="4A79797F" w14:textId="77777777" w:rsidR="006B34A1" w:rsidRPr="008D45EF" w:rsidRDefault="006B34A1" w:rsidP="0081699D">
            <w:pPr>
              <w:rPr>
                <w:sz w:val="24"/>
                <w:szCs w:val="24"/>
              </w:rPr>
            </w:pPr>
            <w:r w:rsidRPr="008D45EF">
              <w:rPr>
                <w:sz w:val="24"/>
                <w:szCs w:val="24"/>
              </w:rPr>
              <w:t>195</w:t>
            </w:r>
          </w:p>
          <w:p w14:paraId="3136D687" w14:textId="77777777" w:rsidR="006B34A1" w:rsidRPr="008D45EF" w:rsidRDefault="006B34A1" w:rsidP="0081699D">
            <w:pPr>
              <w:rPr>
                <w:sz w:val="24"/>
                <w:szCs w:val="24"/>
              </w:rPr>
            </w:pPr>
            <w:r w:rsidRPr="008D45EF">
              <w:rPr>
                <w:sz w:val="24"/>
                <w:szCs w:val="24"/>
              </w:rPr>
              <w:t>344</w:t>
            </w:r>
          </w:p>
        </w:tc>
        <w:tc>
          <w:tcPr>
            <w:tcW w:w="1250" w:type="pct"/>
            <w:tcBorders>
              <w:top w:val="single" w:sz="4" w:space="0" w:color="auto"/>
              <w:left w:val="single" w:sz="4" w:space="0" w:color="auto"/>
              <w:bottom w:val="single" w:sz="4" w:space="0" w:color="auto"/>
              <w:right w:val="single" w:sz="4" w:space="0" w:color="auto"/>
            </w:tcBorders>
          </w:tcPr>
          <w:p w14:paraId="1FD0C745" w14:textId="77777777" w:rsidR="006B34A1" w:rsidRPr="008D45EF" w:rsidRDefault="006B34A1" w:rsidP="0081699D">
            <w:pPr>
              <w:rPr>
                <w:sz w:val="24"/>
                <w:szCs w:val="24"/>
              </w:rPr>
            </w:pPr>
          </w:p>
          <w:p w14:paraId="27796DD2" w14:textId="77777777" w:rsidR="006B34A1" w:rsidRPr="008D45EF" w:rsidRDefault="006B34A1" w:rsidP="0081699D">
            <w:pPr>
              <w:rPr>
                <w:sz w:val="24"/>
                <w:szCs w:val="24"/>
              </w:rPr>
            </w:pPr>
          </w:p>
          <w:p w14:paraId="7876DD43" w14:textId="77777777" w:rsidR="006B34A1" w:rsidRPr="008D45EF" w:rsidRDefault="006B34A1" w:rsidP="0081699D">
            <w:pPr>
              <w:rPr>
                <w:sz w:val="24"/>
                <w:szCs w:val="24"/>
              </w:rPr>
            </w:pPr>
            <w:r w:rsidRPr="008D45EF">
              <w:rPr>
                <w:sz w:val="24"/>
                <w:szCs w:val="24"/>
              </w:rPr>
              <w:t>0,7</w:t>
            </w:r>
          </w:p>
          <w:p w14:paraId="03135A97" w14:textId="77777777" w:rsidR="006B34A1" w:rsidRPr="008D45EF" w:rsidRDefault="006B34A1" w:rsidP="0081699D">
            <w:pPr>
              <w:rPr>
                <w:sz w:val="24"/>
                <w:szCs w:val="24"/>
              </w:rPr>
            </w:pPr>
            <w:r w:rsidRPr="008D45EF">
              <w:rPr>
                <w:sz w:val="24"/>
                <w:szCs w:val="24"/>
              </w:rPr>
              <w:t>0,62</w:t>
            </w:r>
          </w:p>
        </w:tc>
        <w:tc>
          <w:tcPr>
            <w:tcW w:w="1250" w:type="pct"/>
            <w:tcBorders>
              <w:top w:val="single" w:sz="4" w:space="0" w:color="auto"/>
              <w:left w:val="single" w:sz="4" w:space="0" w:color="auto"/>
              <w:bottom w:val="single" w:sz="4" w:space="0" w:color="auto"/>
              <w:right w:val="single" w:sz="4" w:space="0" w:color="auto"/>
            </w:tcBorders>
          </w:tcPr>
          <w:p w14:paraId="18870117" w14:textId="77777777" w:rsidR="006B34A1" w:rsidRPr="008D45EF" w:rsidRDefault="006B34A1" w:rsidP="0081699D">
            <w:pPr>
              <w:rPr>
                <w:sz w:val="24"/>
                <w:szCs w:val="24"/>
              </w:rPr>
            </w:pPr>
          </w:p>
          <w:p w14:paraId="0E41859C" w14:textId="77777777" w:rsidR="006B34A1" w:rsidRPr="008D45EF" w:rsidRDefault="006B34A1" w:rsidP="0081699D">
            <w:pPr>
              <w:rPr>
                <w:sz w:val="24"/>
                <w:szCs w:val="24"/>
              </w:rPr>
            </w:pPr>
          </w:p>
          <w:p w14:paraId="02AF6946" w14:textId="77777777" w:rsidR="006B34A1" w:rsidRPr="008D45EF" w:rsidRDefault="006B34A1" w:rsidP="0081699D">
            <w:pPr>
              <w:rPr>
                <w:sz w:val="24"/>
                <w:szCs w:val="24"/>
              </w:rPr>
            </w:pPr>
            <w:r w:rsidRPr="008D45EF">
              <w:rPr>
                <w:sz w:val="24"/>
                <w:szCs w:val="24"/>
              </w:rPr>
              <w:t>0,45</w:t>
            </w:r>
            <w:r w:rsidRPr="008D45EF">
              <w:rPr>
                <w:sz w:val="24"/>
                <w:szCs w:val="24"/>
              </w:rPr>
              <w:noBreakHyphen/>
              <w:t>1,1</w:t>
            </w:r>
          </w:p>
          <w:p w14:paraId="1E664D5E" w14:textId="77777777" w:rsidR="006B34A1" w:rsidRPr="008D45EF" w:rsidRDefault="006B34A1" w:rsidP="0081699D">
            <w:pPr>
              <w:rPr>
                <w:sz w:val="24"/>
                <w:szCs w:val="24"/>
              </w:rPr>
            </w:pPr>
            <w:r w:rsidRPr="008D45EF">
              <w:rPr>
                <w:sz w:val="24"/>
                <w:szCs w:val="24"/>
              </w:rPr>
              <w:t>0,4</w:t>
            </w:r>
            <w:r w:rsidRPr="008D45EF">
              <w:rPr>
                <w:sz w:val="24"/>
                <w:szCs w:val="24"/>
              </w:rPr>
              <w:noBreakHyphen/>
              <w:t>0,97</w:t>
            </w:r>
          </w:p>
        </w:tc>
      </w:tr>
      <w:tr w:rsidR="006B34A1" w:rsidRPr="008D45EF" w14:paraId="6ADA3750" w14:textId="77777777" w:rsidTr="002A7D83">
        <w:tc>
          <w:tcPr>
            <w:tcW w:w="1367" w:type="pct"/>
            <w:tcBorders>
              <w:top w:val="single" w:sz="4" w:space="0" w:color="auto"/>
              <w:left w:val="single" w:sz="4" w:space="0" w:color="auto"/>
              <w:bottom w:val="single" w:sz="4" w:space="0" w:color="auto"/>
              <w:right w:val="single" w:sz="4" w:space="0" w:color="auto"/>
            </w:tcBorders>
            <w:hideMark/>
          </w:tcPr>
          <w:p w14:paraId="4657377F" w14:textId="77777777" w:rsidR="006B34A1" w:rsidRPr="008D45EF" w:rsidRDefault="006B34A1" w:rsidP="0081699D">
            <w:pPr>
              <w:rPr>
                <w:sz w:val="24"/>
                <w:szCs w:val="24"/>
              </w:rPr>
            </w:pPr>
            <w:r w:rsidRPr="008D45EF">
              <w:rPr>
                <w:b/>
                <w:bCs/>
                <w:sz w:val="24"/>
                <w:szCs w:val="24"/>
              </w:rPr>
              <w:t>Tumorstørrelse</w:t>
            </w:r>
          </w:p>
          <w:p w14:paraId="1AF8EA51" w14:textId="77777777" w:rsidR="006B34A1" w:rsidRPr="008D45EF" w:rsidRDefault="006B34A1" w:rsidP="0081699D">
            <w:pPr>
              <w:rPr>
                <w:sz w:val="24"/>
                <w:szCs w:val="24"/>
              </w:rPr>
            </w:pPr>
            <w:r w:rsidRPr="008D45EF">
              <w:rPr>
                <w:sz w:val="24"/>
                <w:szCs w:val="24"/>
              </w:rPr>
              <w:t>≤ 2 cm</w:t>
            </w:r>
          </w:p>
          <w:p w14:paraId="5A41DD79" w14:textId="77777777" w:rsidR="006B34A1" w:rsidRPr="008D45EF" w:rsidRDefault="006B34A1" w:rsidP="0081699D">
            <w:pPr>
              <w:rPr>
                <w:b/>
                <w:bCs/>
                <w:sz w:val="24"/>
                <w:szCs w:val="24"/>
              </w:rPr>
            </w:pPr>
            <w:r w:rsidRPr="008D45EF">
              <w:rPr>
                <w:sz w:val="24"/>
                <w:szCs w:val="24"/>
              </w:rPr>
              <w:t>&gt; </w:t>
            </w:r>
            <w:smartTag w:uri="urn:schemas-microsoft-com:office:smarttags" w:element="metricconverter">
              <w:smartTagPr>
                <w:attr w:name="ProductID" w:val="2ﾠcm"/>
              </w:smartTagPr>
              <w:r w:rsidRPr="008D45EF">
                <w:rPr>
                  <w:sz w:val="24"/>
                  <w:szCs w:val="24"/>
                </w:rPr>
                <w:t>2 cm</w:t>
              </w:r>
            </w:smartTag>
          </w:p>
        </w:tc>
        <w:tc>
          <w:tcPr>
            <w:tcW w:w="1133" w:type="pct"/>
            <w:tcBorders>
              <w:top w:val="single" w:sz="4" w:space="0" w:color="auto"/>
              <w:left w:val="single" w:sz="4" w:space="0" w:color="auto"/>
              <w:bottom w:val="single" w:sz="4" w:space="0" w:color="auto"/>
              <w:right w:val="single" w:sz="4" w:space="0" w:color="auto"/>
            </w:tcBorders>
          </w:tcPr>
          <w:p w14:paraId="2BDA3FB4" w14:textId="77777777" w:rsidR="006B34A1" w:rsidRPr="008D45EF" w:rsidRDefault="006B34A1" w:rsidP="0081699D">
            <w:pPr>
              <w:rPr>
                <w:sz w:val="24"/>
                <w:szCs w:val="24"/>
              </w:rPr>
            </w:pPr>
          </w:p>
          <w:p w14:paraId="6ECAA093" w14:textId="77777777" w:rsidR="006B34A1" w:rsidRPr="008D45EF" w:rsidRDefault="006B34A1" w:rsidP="0081699D">
            <w:pPr>
              <w:rPr>
                <w:sz w:val="24"/>
                <w:szCs w:val="24"/>
              </w:rPr>
            </w:pPr>
            <w:r w:rsidRPr="008D45EF">
              <w:rPr>
                <w:sz w:val="24"/>
                <w:szCs w:val="24"/>
              </w:rPr>
              <w:t>285</w:t>
            </w:r>
          </w:p>
          <w:p w14:paraId="6E7F0C7A" w14:textId="77777777" w:rsidR="006B34A1" w:rsidRPr="008D45EF" w:rsidRDefault="006B34A1" w:rsidP="0081699D">
            <w:pPr>
              <w:rPr>
                <w:sz w:val="24"/>
                <w:szCs w:val="24"/>
              </w:rPr>
            </w:pPr>
            <w:r w:rsidRPr="008D45EF">
              <w:rPr>
                <w:sz w:val="24"/>
                <w:szCs w:val="24"/>
              </w:rPr>
              <w:t>254</w:t>
            </w:r>
          </w:p>
        </w:tc>
        <w:tc>
          <w:tcPr>
            <w:tcW w:w="1250" w:type="pct"/>
            <w:tcBorders>
              <w:top w:val="single" w:sz="4" w:space="0" w:color="auto"/>
              <w:left w:val="single" w:sz="4" w:space="0" w:color="auto"/>
              <w:bottom w:val="single" w:sz="4" w:space="0" w:color="auto"/>
              <w:right w:val="single" w:sz="4" w:space="0" w:color="auto"/>
            </w:tcBorders>
          </w:tcPr>
          <w:p w14:paraId="1B0EA5E0" w14:textId="77777777" w:rsidR="006B34A1" w:rsidRPr="008D45EF" w:rsidRDefault="006B34A1" w:rsidP="0081699D">
            <w:pPr>
              <w:rPr>
                <w:sz w:val="24"/>
                <w:szCs w:val="24"/>
              </w:rPr>
            </w:pPr>
          </w:p>
          <w:p w14:paraId="1BFE381A" w14:textId="77777777" w:rsidR="006B34A1" w:rsidRPr="008D45EF" w:rsidRDefault="006B34A1" w:rsidP="0081699D">
            <w:pPr>
              <w:rPr>
                <w:sz w:val="24"/>
                <w:szCs w:val="24"/>
              </w:rPr>
            </w:pPr>
            <w:r w:rsidRPr="008D45EF">
              <w:rPr>
                <w:sz w:val="24"/>
                <w:szCs w:val="24"/>
              </w:rPr>
              <w:t>0,69</w:t>
            </w:r>
          </w:p>
          <w:p w14:paraId="02BAF9FE" w14:textId="77777777" w:rsidR="006B34A1" w:rsidRPr="008D45EF" w:rsidRDefault="006B34A1" w:rsidP="0081699D">
            <w:pPr>
              <w:rPr>
                <w:sz w:val="24"/>
                <w:szCs w:val="24"/>
              </w:rPr>
            </w:pPr>
            <w:r w:rsidRPr="008D45EF">
              <w:rPr>
                <w:sz w:val="24"/>
                <w:szCs w:val="24"/>
              </w:rPr>
              <w:t>0,68</w:t>
            </w:r>
          </w:p>
        </w:tc>
        <w:tc>
          <w:tcPr>
            <w:tcW w:w="1250" w:type="pct"/>
            <w:tcBorders>
              <w:top w:val="single" w:sz="4" w:space="0" w:color="auto"/>
              <w:left w:val="single" w:sz="4" w:space="0" w:color="auto"/>
              <w:bottom w:val="single" w:sz="4" w:space="0" w:color="auto"/>
              <w:right w:val="single" w:sz="4" w:space="0" w:color="auto"/>
            </w:tcBorders>
          </w:tcPr>
          <w:p w14:paraId="5A152FC2" w14:textId="77777777" w:rsidR="006B34A1" w:rsidRPr="008D45EF" w:rsidRDefault="006B34A1" w:rsidP="0081699D">
            <w:pPr>
              <w:rPr>
                <w:sz w:val="24"/>
                <w:szCs w:val="24"/>
              </w:rPr>
            </w:pPr>
          </w:p>
          <w:p w14:paraId="79D5FEF1" w14:textId="77777777" w:rsidR="006B34A1" w:rsidRPr="008D45EF" w:rsidRDefault="006B34A1" w:rsidP="0081699D">
            <w:pPr>
              <w:rPr>
                <w:sz w:val="24"/>
                <w:szCs w:val="24"/>
              </w:rPr>
            </w:pPr>
            <w:r w:rsidRPr="008D45EF">
              <w:rPr>
                <w:sz w:val="24"/>
                <w:szCs w:val="24"/>
              </w:rPr>
              <w:t>0,43</w:t>
            </w:r>
            <w:r w:rsidRPr="008D45EF">
              <w:rPr>
                <w:sz w:val="24"/>
                <w:szCs w:val="24"/>
              </w:rPr>
              <w:noBreakHyphen/>
              <w:t>1,1</w:t>
            </w:r>
          </w:p>
          <w:p w14:paraId="21A24FC0" w14:textId="77777777" w:rsidR="006B34A1" w:rsidRPr="008D45EF" w:rsidRDefault="006B34A1" w:rsidP="0081699D">
            <w:pPr>
              <w:rPr>
                <w:sz w:val="24"/>
                <w:szCs w:val="24"/>
              </w:rPr>
            </w:pPr>
            <w:r w:rsidRPr="008D45EF">
              <w:rPr>
                <w:sz w:val="24"/>
                <w:szCs w:val="24"/>
              </w:rPr>
              <w:t>0,45</w:t>
            </w:r>
            <w:r w:rsidRPr="008D45EF">
              <w:rPr>
                <w:sz w:val="24"/>
                <w:szCs w:val="24"/>
              </w:rPr>
              <w:noBreakHyphen/>
              <w:t>1,04</w:t>
            </w:r>
          </w:p>
        </w:tc>
      </w:tr>
      <w:tr w:rsidR="006B34A1" w:rsidRPr="008D45EF" w14:paraId="7E6D4DE5" w14:textId="77777777" w:rsidTr="002A7D83">
        <w:tc>
          <w:tcPr>
            <w:tcW w:w="1367" w:type="pct"/>
            <w:tcBorders>
              <w:top w:val="single" w:sz="4" w:space="0" w:color="auto"/>
              <w:left w:val="single" w:sz="4" w:space="0" w:color="auto"/>
              <w:bottom w:val="single" w:sz="4" w:space="0" w:color="auto"/>
              <w:right w:val="single" w:sz="4" w:space="0" w:color="auto"/>
            </w:tcBorders>
            <w:hideMark/>
          </w:tcPr>
          <w:p w14:paraId="5088EB9A" w14:textId="77777777" w:rsidR="006B34A1" w:rsidRPr="008D45EF" w:rsidRDefault="006B34A1" w:rsidP="0081699D">
            <w:pPr>
              <w:rPr>
                <w:sz w:val="24"/>
                <w:szCs w:val="24"/>
              </w:rPr>
            </w:pPr>
            <w:r w:rsidRPr="008D45EF">
              <w:rPr>
                <w:b/>
                <w:bCs/>
                <w:sz w:val="24"/>
                <w:szCs w:val="24"/>
              </w:rPr>
              <w:t>Histologisk grad</w:t>
            </w:r>
          </w:p>
          <w:p w14:paraId="2FC35062" w14:textId="77777777" w:rsidR="006B34A1" w:rsidRPr="008D45EF" w:rsidRDefault="006B34A1" w:rsidP="0081699D">
            <w:pPr>
              <w:rPr>
                <w:sz w:val="24"/>
                <w:szCs w:val="24"/>
              </w:rPr>
            </w:pPr>
            <w:r w:rsidRPr="008D45EF">
              <w:rPr>
                <w:sz w:val="24"/>
                <w:szCs w:val="24"/>
              </w:rPr>
              <w:t>Grad 1 (inklusiv grader, der ikke er fastsat</w:t>
            </w:r>
            <w:r>
              <w:rPr>
                <w:sz w:val="24"/>
                <w:szCs w:val="24"/>
              </w:rPr>
              <w:t>)</w:t>
            </w:r>
          </w:p>
          <w:p w14:paraId="72EF867B" w14:textId="77777777" w:rsidR="006B34A1" w:rsidRPr="008D45EF" w:rsidRDefault="006B34A1" w:rsidP="0081699D">
            <w:pPr>
              <w:rPr>
                <w:sz w:val="24"/>
                <w:szCs w:val="24"/>
              </w:rPr>
            </w:pPr>
            <w:r w:rsidRPr="008D45EF">
              <w:rPr>
                <w:sz w:val="24"/>
                <w:szCs w:val="24"/>
              </w:rPr>
              <w:t>Grad 2</w:t>
            </w:r>
          </w:p>
          <w:p w14:paraId="6A071671" w14:textId="77777777" w:rsidR="006B34A1" w:rsidRPr="008D45EF" w:rsidRDefault="006B34A1" w:rsidP="0081699D">
            <w:pPr>
              <w:rPr>
                <w:b/>
                <w:bCs/>
                <w:sz w:val="24"/>
                <w:szCs w:val="24"/>
              </w:rPr>
            </w:pPr>
            <w:r w:rsidRPr="008D45EF">
              <w:rPr>
                <w:sz w:val="24"/>
                <w:szCs w:val="24"/>
              </w:rPr>
              <w:t>Grad 3</w:t>
            </w:r>
          </w:p>
        </w:tc>
        <w:tc>
          <w:tcPr>
            <w:tcW w:w="1133" w:type="pct"/>
            <w:tcBorders>
              <w:top w:val="single" w:sz="4" w:space="0" w:color="auto"/>
              <w:left w:val="single" w:sz="4" w:space="0" w:color="auto"/>
              <w:bottom w:val="single" w:sz="4" w:space="0" w:color="auto"/>
              <w:right w:val="single" w:sz="4" w:space="0" w:color="auto"/>
            </w:tcBorders>
          </w:tcPr>
          <w:p w14:paraId="2CF4CD56" w14:textId="77777777" w:rsidR="006B34A1" w:rsidRPr="008D45EF" w:rsidRDefault="006B34A1" w:rsidP="0081699D">
            <w:pPr>
              <w:rPr>
                <w:sz w:val="24"/>
                <w:szCs w:val="24"/>
              </w:rPr>
            </w:pPr>
          </w:p>
          <w:p w14:paraId="46761F61" w14:textId="77777777" w:rsidR="006B34A1" w:rsidRPr="008D45EF" w:rsidRDefault="006B34A1" w:rsidP="0081699D">
            <w:pPr>
              <w:rPr>
                <w:sz w:val="24"/>
                <w:szCs w:val="24"/>
              </w:rPr>
            </w:pPr>
            <w:r w:rsidRPr="008D45EF">
              <w:rPr>
                <w:sz w:val="24"/>
                <w:szCs w:val="24"/>
              </w:rPr>
              <w:t>64</w:t>
            </w:r>
          </w:p>
          <w:p w14:paraId="3C9E9C7D" w14:textId="77777777" w:rsidR="006B34A1" w:rsidRPr="008D45EF" w:rsidRDefault="006B34A1" w:rsidP="0081699D">
            <w:pPr>
              <w:rPr>
                <w:sz w:val="24"/>
                <w:szCs w:val="24"/>
              </w:rPr>
            </w:pPr>
          </w:p>
          <w:p w14:paraId="2BE62F7E" w14:textId="77777777" w:rsidR="006B34A1" w:rsidRPr="008D45EF" w:rsidRDefault="006B34A1" w:rsidP="0081699D">
            <w:pPr>
              <w:rPr>
                <w:sz w:val="24"/>
                <w:szCs w:val="24"/>
              </w:rPr>
            </w:pPr>
            <w:r w:rsidRPr="008D45EF">
              <w:rPr>
                <w:sz w:val="24"/>
                <w:szCs w:val="24"/>
              </w:rPr>
              <w:t>216</w:t>
            </w:r>
          </w:p>
          <w:p w14:paraId="38B8C493" w14:textId="77777777" w:rsidR="006B34A1" w:rsidRPr="008D45EF" w:rsidRDefault="006B34A1" w:rsidP="0081699D">
            <w:pPr>
              <w:rPr>
                <w:sz w:val="24"/>
                <w:szCs w:val="24"/>
              </w:rPr>
            </w:pPr>
            <w:r w:rsidRPr="008D45EF">
              <w:rPr>
                <w:sz w:val="24"/>
                <w:szCs w:val="24"/>
              </w:rPr>
              <w:t>259</w:t>
            </w:r>
          </w:p>
        </w:tc>
        <w:tc>
          <w:tcPr>
            <w:tcW w:w="1250" w:type="pct"/>
            <w:tcBorders>
              <w:top w:val="single" w:sz="4" w:space="0" w:color="auto"/>
              <w:left w:val="single" w:sz="4" w:space="0" w:color="auto"/>
              <w:bottom w:val="single" w:sz="4" w:space="0" w:color="auto"/>
              <w:right w:val="single" w:sz="4" w:space="0" w:color="auto"/>
            </w:tcBorders>
          </w:tcPr>
          <w:p w14:paraId="235A000A" w14:textId="77777777" w:rsidR="006B34A1" w:rsidRPr="008D45EF" w:rsidRDefault="006B34A1" w:rsidP="0081699D">
            <w:pPr>
              <w:rPr>
                <w:sz w:val="24"/>
                <w:szCs w:val="24"/>
              </w:rPr>
            </w:pPr>
          </w:p>
          <w:p w14:paraId="4EC041CB" w14:textId="77777777" w:rsidR="006B34A1" w:rsidRPr="008D45EF" w:rsidRDefault="006B34A1" w:rsidP="0081699D">
            <w:pPr>
              <w:rPr>
                <w:sz w:val="24"/>
                <w:szCs w:val="24"/>
              </w:rPr>
            </w:pPr>
            <w:r w:rsidRPr="008D45EF">
              <w:rPr>
                <w:sz w:val="24"/>
                <w:szCs w:val="24"/>
              </w:rPr>
              <w:t>0,79</w:t>
            </w:r>
          </w:p>
          <w:p w14:paraId="40A8F17F" w14:textId="77777777" w:rsidR="006B34A1" w:rsidRPr="008D45EF" w:rsidRDefault="006B34A1" w:rsidP="0081699D">
            <w:pPr>
              <w:rPr>
                <w:sz w:val="24"/>
                <w:szCs w:val="24"/>
              </w:rPr>
            </w:pPr>
          </w:p>
          <w:p w14:paraId="2C456C6E" w14:textId="77777777" w:rsidR="006B34A1" w:rsidRPr="008D45EF" w:rsidRDefault="006B34A1" w:rsidP="0081699D">
            <w:pPr>
              <w:rPr>
                <w:sz w:val="24"/>
                <w:szCs w:val="24"/>
              </w:rPr>
            </w:pPr>
            <w:r w:rsidRPr="008D45EF">
              <w:rPr>
                <w:sz w:val="24"/>
                <w:szCs w:val="24"/>
              </w:rPr>
              <w:t>0,77</w:t>
            </w:r>
          </w:p>
          <w:p w14:paraId="7E5D82E3" w14:textId="77777777" w:rsidR="006B34A1" w:rsidRPr="008D45EF" w:rsidRDefault="006B34A1" w:rsidP="0081699D">
            <w:pPr>
              <w:rPr>
                <w:sz w:val="24"/>
                <w:szCs w:val="24"/>
              </w:rPr>
            </w:pPr>
            <w:r w:rsidRPr="008D45EF">
              <w:rPr>
                <w:sz w:val="24"/>
                <w:szCs w:val="24"/>
              </w:rPr>
              <w:t>0,59</w:t>
            </w:r>
          </w:p>
        </w:tc>
        <w:tc>
          <w:tcPr>
            <w:tcW w:w="1250" w:type="pct"/>
            <w:tcBorders>
              <w:top w:val="single" w:sz="4" w:space="0" w:color="auto"/>
              <w:left w:val="single" w:sz="4" w:space="0" w:color="auto"/>
              <w:bottom w:val="single" w:sz="4" w:space="0" w:color="auto"/>
              <w:right w:val="single" w:sz="4" w:space="0" w:color="auto"/>
            </w:tcBorders>
          </w:tcPr>
          <w:p w14:paraId="647330E1" w14:textId="77777777" w:rsidR="006B34A1" w:rsidRPr="008D45EF" w:rsidRDefault="006B34A1" w:rsidP="0081699D">
            <w:pPr>
              <w:rPr>
                <w:sz w:val="24"/>
                <w:szCs w:val="24"/>
              </w:rPr>
            </w:pPr>
          </w:p>
          <w:p w14:paraId="32270FAA" w14:textId="77777777" w:rsidR="006B34A1" w:rsidRPr="008D45EF" w:rsidRDefault="006B34A1" w:rsidP="0081699D">
            <w:pPr>
              <w:rPr>
                <w:sz w:val="24"/>
                <w:szCs w:val="24"/>
              </w:rPr>
            </w:pPr>
            <w:r w:rsidRPr="008D45EF">
              <w:rPr>
                <w:sz w:val="24"/>
                <w:szCs w:val="24"/>
              </w:rPr>
              <w:t>0,24</w:t>
            </w:r>
            <w:r w:rsidRPr="008D45EF">
              <w:rPr>
                <w:sz w:val="24"/>
                <w:szCs w:val="24"/>
              </w:rPr>
              <w:noBreakHyphen/>
              <w:t>2,6</w:t>
            </w:r>
          </w:p>
          <w:p w14:paraId="1F90C420" w14:textId="77777777" w:rsidR="006B34A1" w:rsidRPr="008D45EF" w:rsidRDefault="006B34A1" w:rsidP="0081699D">
            <w:pPr>
              <w:rPr>
                <w:sz w:val="24"/>
                <w:szCs w:val="24"/>
              </w:rPr>
            </w:pPr>
          </w:p>
          <w:p w14:paraId="0FC0D186" w14:textId="77777777" w:rsidR="006B34A1" w:rsidRPr="008D45EF" w:rsidRDefault="006B34A1" w:rsidP="0081699D">
            <w:pPr>
              <w:rPr>
                <w:sz w:val="24"/>
                <w:szCs w:val="24"/>
              </w:rPr>
            </w:pPr>
            <w:r w:rsidRPr="008D45EF">
              <w:rPr>
                <w:sz w:val="24"/>
                <w:szCs w:val="24"/>
              </w:rPr>
              <w:t>0,46</w:t>
            </w:r>
            <w:r w:rsidRPr="008D45EF">
              <w:rPr>
                <w:sz w:val="24"/>
                <w:szCs w:val="24"/>
              </w:rPr>
              <w:noBreakHyphen/>
              <w:t>1,3</w:t>
            </w:r>
          </w:p>
          <w:p w14:paraId="7332C99C" w14:textId="77777777" w:rsidR="006B34A1" w:rsidRPr="008D45EF" w:rsidRDefault="006B34A1" w:rsidP="0081699D">
            <w:pPr>
              <w:rPr>
                <w:sz w:val="24"/>
                <w:szCs w:val="24"/>
              </w:rPr>
            </w:pPr>
            <w:r w:rsidRPr="008D45EF">
              <w:rPr>
                <w:sz w:val="24"/>
                <w:szCs w:val="24"/>
              </w:rPr>
              <w:t>0,39</w:t>
            </w:r>
            <w:r w:rsidRPr="008D45EF">
              <w:rPr>
                <w:sz w:val="24"/>
                <w:szCs w:val="24"/>
              </w:rPr>
              <w:noBreakHyphen/>
              <w:t>0,9</w:t>
            </w:r>
          </w:p>
        </w:tc>
      </w:tr>
      <w:tr w:rsidR="006B34A1" w:rsidRPr="008D45EF" w14:paraId="7A138D33" w14:textId="77777777" w:rsidTr="002A7D83">
        <w:tc>
          <w:tcPr>
            <w:tcW w:w="1367" w:type="pct"/>
            <w:tcBorders>
              <w:top w:val="single" w:sz="4" w:space="0" w:color="auto"/>
              <w:left w:val="single" w:sz="4" w:space="0" w:color="auto"/>
              <w:bottom w:val="single" w:sz="4" w:space="0" w:color="auto"/>
              <w:right w:val="single" w:sz="4" w:space="0" w:color="auto"/>
            </w:tcBorders>
            <w:hideMark/>
          </w:tcPr>
          <w:p w14:paraId="42523D82" w14:textId="77777777" w:rsidR="006B34A1" w:rsidRPr="008D45EF" w:rsidRDefault="006B34A1" w:rsidP="0081699D">
            <w:pPr>
              <w:rPr>
                <w:sz w:val="24"/>
                <w:szCs w:val="24"/>
              </w:rPr>
            </w:pPr>
            <w:r w:rsidRPr="008D45EF">
              <w:rPr>
                <w:b/>
                <w:bCs/>
                <w:sz w:val="24"/>
                <w:szCs w:val="24"/>
              </w:rPr>
              <w:t>Menopausal status</w:t>
            </w:r>
          </w:p>
          <w:p w14:paraId="680E6CAE" w14:textId="77777777" w:rsidR="006B34A1" w:rsidRPr="008D45EF" w:rsidRDefault="006B34A1" w:rsidP="0081699D">
            <w:pPr>
              <w:rPr>
                <w:sz w:val="24"/>
                <w:szCs w:val="24"/>
              </w:rPr>
            </w:pPr>
            <w:r w:rsidRPr="008D45EF">
              <w:rPr>
                <w:sz w:val="24"/>
                <w:szCs w:val="24"/>
              </w:rPr>
              <w:t>Præ-menopausal</w:t>
            </w:r>
          </w:p>
          <w:p w14:paraId="0C6C41DB" w14:textId="77777777" w:rsidR="006B34A1" w:rsidRPr="008D45EF" w:rsidRDefault="006B34A1" w:rsidP="0081699D">
            <w:pPr>
              <w:rPr>
                <w:b/>
                <w:bCs/>
                <w:sz w:val="24"/>
                <w:szCs w:val="24"/>
              </w:rPr>
            </w:pPr>
            <w:r w:rsidRPr="008D45EF">
              <w:rPr>
                <w:sz w:val="24"/>
                <w:szCs w:val="24"/>
              </w:rPr>
              <w:t>Post-menopausal</w:t>
            </w:r>
          </w:p>
        </w:tc>
        <w:tc>
          <w:tcPr>
            <w:tcW w:w="1133" w:type="pct"/>
            <w:tcBorders>
              <w:top w:val="single" w:sz="4" w:space="0" w:color="auto"/>
              <w:left w:val="single" w:sz="4" w:space="0" w:color="auto"/>
              <w:bottom w:val="single" w:sz="4" w:space="0" w:color="auto"/>
              <w:right w:val="single" w:sz="4" w:space="0" w:color="auto"/>
            </w:tcBorders>
          </w:tcPr>
          <w:p w14:paraId="30271E97" w14:textId="77777777" w:rsidR="006B34A1" w:rsidRPr="008D45EF" w:rsidRDefault="006B34A1" w:rsidP="0081699D">
            <w:pPr>
              <w:rPr>
                <w:sz w:val="24"/>
                <w:szCs w:val="24"/>
              </w:rPr>
            </w:pPr>
          </w:p>
          <w:p w14:paraId="67CD4AE3" w14:textId="77777777" w:rsidR="006B34A1" w:rsidRPr="008D45EF" w:rsidRDefault="006B34A1" w:rsidP="0081699D">
            <w:pPr>
              <w:rPr>
                <w:sz w:val="24"/>
                <w:szCs w:val="24"/>
              </w:rPr>
            </w:pPr>
            <w:r w:rsidRPr="008D45EF">
              <w:rPr>
                <w:sz w:val="24"/>
                <w:szCs w:val="24"/>
              </w:rPr>
              <w:t>285</w:t>
            </w:r>
          </w:p>
          <w:p w14:paraId="49BEE3F8" w14:textId="77777777" w:rsidR="006B34A1" w:rsidRPr="008D45EF" w:rsidRDefault="006B34A1" w:rsidP="0081699D">
            <w:pPr>
              <w:rPr>
                <w:sz w:val="24"/>
                <w:szCs w:val="24"/>
              </w:rPr>
            </w:pPr>
            <w:r w:rsidRPr="008D45EF">
              <w:rPr>
                <w:sz w:val="24"/>
                <w:szCs w:val="24"/>
              </w:rPr>
              <w:t>254</w:t>
            </w:r>
          </w:p>
        </w:tc>
        <w:tc>
          <w:tcPr>
            <w:tcW w:w="1250" w:type="pct"/>
            <w:tcBorders>
              <w:top w:val="single" w:sz="4" w:space="0" w:color="auto"/>
              <w:left w:val="single" w:sz="4" w:space="0" w:color="auto"/>
              <w:bottom w:val="single" w:sz="4" w:space="0" w:color="auto"/>
              <w:right w:val="single" w:sz="4" w:space="0" w:color="auto"/>
            </w:tcBorders>
          </w:tcPr>
          <w:p w14:paraId="3B3C8473" w14:textId="77777777" w:rsidR="006B34A1" w:rsidRPr="008D45EF" w:rsidRDefault="006B34A1" w:rsidP="0081699D">
            <w:pPr>
              <w:rPr>
                <w:sz w:val="24"/>
                <w:szCs w:val="24"/>
              </w:rPr>
            </w:pPr>
          </w:p>
          <w:p w14:paraId="1BB20413" w14:textId="77777777" w:rsidR="006B34A1" w:rsidRPr="008D45EF" w:rsidRDefault="006B34A1" w:rsidP="0081699D">
            <w:pPr>
              <w:rPr>
                <w:sz w:val="24"/>
                <w:szCs w:val="24"/>
              </w:rPr>
            </w:pPr>
            <w:r w:rsidRPr="008D45EF">
              <w:rPr>
                <w:sz w:val="24"/>
                <w:szCs w:val="24"/>
              </w:rPr>
              <w:t>0,64</w:t>
            </w:r>
          </w:p>
          <w:p w14:paraId="17530DA5" w14:textId="77777777" w:rsidR="006B34A1" w:rsidRPr="008D45EF" w:rsidRDefault="006B34A1" w:rsidP="0081699D">
            <w:pPr>
              <w:rPr>
                <w:sz w:val="24"/>
                <w:szCs w:val="24"/>
              </w:rPr>
            </w:pPr>
            <w:r w:rsidRPr="008D45EF">
              <w:rPr>
                <w:sz w:val="24"/>
                <w:szCs w:val="24"/>
              </w:rPr>
              <w:t>0,72</w:t>
            </w:r>
          </w:p>
        </w:tc>
        <w:tc>
          <w:tcPr>
            <w:tcW w:w="1250" w:type="pct"/>
            <w:tcBorders>
              <w:top w:val="single" w:sz="4" w:space="0" w:color="auto"/>
              <w:left w:val="single" w:sz="4" w:space="0" w:color="auto"/>
              <w:bottom w:val="single" w:sz="4" w:space="0" w:color="auto"/>
              <w:right w:val="single" w:sz="4" w:space="0" w:color="auto"/>
            </w:tcBorders>
          </w:tcPr>
          <w:p w14:paraId="683F2404" w14:textId="77777777" w:rsidR="006B34A1" w:rsidRPr="008D45EF" w:rsidRDefault="006B34A1" w:rsidP="0081699D">
            <w:pPr>
              <w:rPr>
                <w:sz w:val="24"/>
                <w:szCs w:val="24"/>
              </w:rPr>
            </w:pPr>
          </w:p>
          <w:p w14:paraId="5955ACAE" w14:textId="77777777" w:rsidR="006B34A1" w:rsidRPr="008D45EF" w:rsidRDefault="006B34A1" w:rsidP="0081699D">
            <w:pPr>
              <w:rPr>
                <w:sz w:val="24"/>
                <w:szCs w:val="24"/>
              </w:rPr>
            </w:pPr>
            <w:r w:rsidRPr="008D45EF">
              <w:rPr>
                <w:sz w:val="24"/>
                <w:szCs w:val="24"/>
              </w:rPr>
              <w:t>0,40</w:t>
            </w:r>
            <w:r w:rsidRPr="008D45EF">
              <w:rPr>
                <w:sz w:val="24"/>
                <w:szCs w:val="24"/>
              </w:rPr>
              <w:noBreakHyphen/>
              <w:t>1</w:t>
            </w:r>
          </w:p>
          <w:p w14:paraId="46CE7962" w14:textId="77777777" w:rsidR="006B34A1" w:rsidRPr="008D45EF" w:rsidRDefault="006B34A1" w:rsidP="0081699D">
            <w:pPr>
              <w:rPr>
                <w:sz w:val="24"/>
                <w:szCs w:val="24"/>
              </w:rPr>
            </w:pPr>
            <w:r w:rsidRPr="008D45EF">
              <w:rPr>
                <w:sz w:val="24"/>
                <w:szCs w:val="24"/>
              </w:rPr>
              <w:t>0,47</w:t>
            </w:r>
            <w:r w:rsidRPr="008D45EF">
              <w:rPr>
                <w:sz w:val="24"/>
                <w:szCs w:val="24"/>
              </w:rPr>
              <w:noBreakHyphen/>
              <w:t>1,12</w:t>
            </w:r>
          </w:p>
        </w:tc>
      </w:tr>
    </w:tbl>
    <w:p w14:paraId="5B1CCD3E" w14:textId="77777777" w:rsidR="006B34A1" w:rsidRPr="008D45EF" w:rsidRDefault="006B34A1" w:rsidP="0081699D">
      <w:pPr>
        <w:rPr>
          <w:sz w:val="24"/>
          <w:szCs w:val="24"/>
        </w:rPr>
      </w:pPr>
      <w:r w:rsidRPr="008D45EF">
        <w:rPr>
          <w:sz w:val="24"/>
          <w:szCs w:val="24"/>
        </w:rPr>
        <w:t>*Hazard ratio (TAC/FAC) på mindre end 1 indikerer, at der er en sammenhæng mellem TAC og en længere sygdoms-fri overlevelse, sammenlignet med FAC.</w:t>
      </w:r>
    </w:p>
    <w:p w14:paraId="7AFABD21" w14:textId="77777777" w:rsidR="006B34A1" w:rsidRPr="008D45EF" w:rsidRDefault="006B34A1" w:rsidP="0081699D">
      <w:pPr>
        <w:ind w:left="851"/>
        <w:rPr>
          <w:sz w:val="24"/>
          <w:szCs w:val="24"/>
        </w:rPr>
      </w:pPr>
    </w:p>
    <w:p w14:paraId="003693A1" w14:textId="77777777" w:rsidR="006B34A1" w:rsidRPr="008D45EF" w:rsidRDefault="006B34A1" w:rsidP="0081699D">
      <w:pPr>
        <w:ind w:left="851"/>
        <w:rPr>
          <w:sz w:val="24"/>
          <w:szCs w:val="24"/>
        </w:rPr>
      </w:pPr>
      <w:r w:rsidRPr="008D45EF">
        <w:rPr>
          <w:sz w:val="24"/>
          <w:szCs w:val="24"/>
        </w:rPr>
        <w:t xml:space="preserve">Der blev udført eksplorativ undergruppeanalyse af sygdoms-fri overlevelse for patienter, der opfylder kriterierne for kemoterapi ifølge </w:t>
      </w:r>
      <w:smartTag w:uri="urn:schemas-microsoft-com:office:smarttags" w:element="metricconverter">
        <w:smartTagPr>
          <w:attr w:name="ProductID" w:val="2009 St"/>
        </w:smartTagPr>
        <w:r w:rsidRPr="008D45EF">
          <w:rPr>
            <w:sz w:val="24"/>
            <w:szCs w:val="24"/>
          </w:rPr>
          <w:t>2009 St</w:t>
        </w:r>
      </w:smartTag>
      <w:r w:rsidRPr="008D45EF">
        <w:rPr>
          <w:sz w:val="24"/>
          <w:szCs w:val="24"/>
        </w:rPr>
        <w:t>. Gallen-kriterierne – (ITT population). Resultaterne er anført nedenfor.</w:t>
      </w:r>
    </w:p>
    <w:p w14:paraId="48CA25AF" w14:textId="77777777" w:rsidR="006B34A1" w:rsidRPr="008D45EF" w:rsidRDefault="006B34A1" w:rsidP="0081699D">
      <w:pPr>
        <w:ind w:left="851"/>
        <w:rPr>
          <w:sz w:val="24"/>
          <w:szCs w:val="24"/>
        </w:rPr>
      </w:pPr>
    </w:p>
    <w:tbl>
      <w:tblPr>
        <w:tblW w:w="5000" w:type="pct"/>
        <w:tblCellMar>
          <w:left w:w="0" w:type="dxa"/>
          <w:right w:w="0" w:type="dxa"/>
        </w:tblCellMar>
        <w:tblLook w:val="04A0" w:firstRow="1" w:lastRow="0" w:firstColumn="1" w:lastColumn="0" w:noHBand="0" w:noVBand="1"/>
      </w:tblPr>
      <w:tblGrid>
        <w:gridCol w:w="2878"/>
        <w:gridCol w:w="1714"/>
        <w:gridCol w:w="1332"/>
        <w:gridCol w:w="2286"/>
        <w:gridCol w:w="1428"/>
      </w:tblGrid>
      <w:tr w:rsidR="00D22BF6" w:rsidRPr="003D4A39" w14:paraId="4FEE3CB7" w14:textId="77777777" w:rsidTr="00D22BF6">
        <w:trPr>
          <w:trHeight w:val="1022"/>
          <w:tblHeader/>
        </w:trPr>
        <w:tc>
          <w:tcPr>
            <w:tcW w:w="1493" w:type="pct"/>
            <w:tcBorders>
              <w:top w:val="single" w:sz="4" w:space="0" w:color="000000"/>
              <w:left w:val="nil"/>
              <w:bottom w:val="single" w:sz="4" w:space="0" w:color="000000"/>
              <w:right w:val="nil"/>
            </w:tcBorders>
          </w:tcPr>
          <w:p w14:paraId="5C6B75A8" w14:textId="77777777" w:rsidR="00D22BF6" w:rsidRPr="003D4A39" w:rsidRDefault="00D22BF6" w:rsidP="00D22BF6">
            <w:pPr>
              <w:rPr>
                <w:b/>
                <w:bCs/>
                <w:sz w:val="24"/>
                <w:szCs w:val="24"/>
              </w:rPr>
            </w:pPr>
          </w:p>
          <w:p w14:paraId="218D9C54" w14:textId="77777777" w:rsidR="00D22BF6" w:rsidRPr="003D4A39" w:rsidRDefault="00D22BF6" w:rsidP="00D22BF6">
            <w:pPr>
              <w:rPr>
                <w:sz w:val="24"/>
                <w:szCs w:val="24"/>
              </w:rPr>
            </w:pPr>
            <w:r w:rsidRPr="003D4A39">
              <w:rPr>
                <w:b/>
                <w:bCs/>
                <w:sz w:val="24"/>
                <w:szCs w:val="24"/>
              </w:rPr>
              <w:t>Undergruppe</w:t>
            </w:r>
          </w:p>
        </w:tc>
        <w:tc>
          <w:tcPr>
            <w:tcW w:w="889" w:type="pct"/>
            <w:tcBorders>
              <w:top w:val="single" w:sz="4" w:space="0" w:color="000000"/>
              <w:left w:val="nil"/>
              <w:bottom w:val="single" w:sz="4" w:space="0" w:color="000000"/>
              <w:right w:val="nil"/>
            </w:tcBorders>
          </w:tcPr>
          <w:p w14:paraId="50B30460" w14:textId="77777777" w:rsidR="00D22BF6" w:rsidRPr="003D4A39" w:rsidRDefault="00D22BF6" w:rsidP="00D22BF6">
            <w:pPr>
              <w:rPr>
                <w:sz w:val="24"/>
                <w:szCs w:val="24"/>
              </w:rPr>
            </w:pPr>
          </w:p>
          <w:p w14:paraId="7EBBCA1C" w14:textId="77777777" w:rsidR="00D22BF6" w:rsidRPr="003D4A39" w:rsidRDefault="00D22BF6" w:rsidP="00D22BF6">
            <w:pPr>
              <w:rPr>
                <w:sz w:val="24"/>
                <w:szCs w:val="24"/>
              </w:rPr>
            </w:pPr>
            <w:r w:rsidRPr="003D4A39">
              <w:rPr>
                <w:b/>
                <w:bCs/>
                <w:sz w:val="24"/>
                <w:szCs w:val="24"/>
              </w:rPr>
              <w:t>TAC</w:t>
            </w:r>
          </w:p>
          <w:p w14:paraId="0545A251" w14:textId="77777777" w:rsidR="00D22BF6" w:rsidRPr="003D4A39" w:rsidRDefault="00D22BF6" w:rsidP="00D22BF6">
            <w:pPr>
              <w:rPr>
                <w:sz w:val="24"/>
                <w:szCs w:val="24"/>
              </w:rPr>
            </w:pPr>
            <w:r w:rsidRPr="003D4A39">
              <w:rPr>
                <w:b/>
                <w:sz w:val="24"/>
                <w:szCs w:val="24"/>
              </w:rPr>
              <w:t>(n</w:t>
            </w:r>
            <w:r>
              <w:rPr>
                <w:b/>
                <w:sz w:val="24"/>
                <w:szCs w:val="24"/>
              </w:rPr>
              <w:t xml:space="preserve"> </w:t>
            </w:r>
            <w:r w:rsidRPr="003D4A39">
              <w:rPr>
                <w:b/>
                <w:sz w:val="24"/>
                <w:szCs w:val="24"/>
              </w:rPr>
              <w:t>=</w:t>
            </w:r>
            <w:r>
              <w:rPr>
                <w:b/>
                <w:sz w:val="24"/>
                <w:szCs w:val="24"/>
              </w:rPr>
              <w:t xml:space="preserve"> </w:t>
            </w:r>
            <w:r w:rsidRPr="003D4A39">
              <w:rPr>
                <w:b/>
                <w:sz w:val="24"/>
                <w:szCs w:val="24"/>
              </w:rPr>
              <w:t>539)</w:t>
            </w:r>
          </w:p>
        </w:tc>
        <w:tc>
          <w:tcPr>
            <w:tcW w:w="691" w:type="pct"/>
            <w:tcBorders>
              <w:top w:val="single" w:sz="4" w:space="0" w:color="000000"/>
              <w:left w:val="nil"/>
              <w:bottom w:val="single" w:sz="4" w:space="0" w:color="000000"/>
              <w:right w:val="nil"/>
            </w:tcBorders>
          </w:tcPr>
          <w:p w14:paraId="5B70A091" w14:textId="77777777" w:rsidR="00D22BF6" w:rsidRPr="003D4A39" w:rsidRDefault="00D22BF6" w:rsidP="00D22BF6">
            <w:pPr>
              <w:rPr>
                <w:sz w:val="24"/>
                <w:szCs w:val="24"/>
              </w:rPr>
            </w:pPr>
          </w:p>
          <w:p w14:paraId="0ACCBBC9" w14:textId="77777777" w:rsidR="00D22BF6" w:rsidRPr="003D4A39" w:rsidRDefault="00D22BF6" w:rsidP="00D22BF6">
            <w:pPr>
              <w:rPr>
                <w:sz w:val="24"/>
                <w:szCs w:val="24"/>
              </w:rPr>
            </w:pPr>
            <w:r w:rsidRPr="003D4A39">
              <w:rPr>
                <w:b/>
                <w:bCs/>
                <w:sz w:val="24"/>
                <w:szCs w:val="24"/>
              </w:rPr>
              <w:t>FAC</w:t>
            </w:r>
          </w:p>
          <w:p w14:paraId="6B4CD114" w14:textId="77777777" w:rsidR="00D22BF6" w:rsidRPr="003D4A39" w:rsidRDefault="00D22BF6" w:rsidP="00D22BF6">
            <w:pPr>
              <w:rPr>
                <w:sz w:val="24"/>
                <w:szCs w:val="24"/>
              </w:rPr>
            </w:pPr>
            <w:r w:rsidRPr="003D4A39">
              <w:rPr>
                <w:b/>
                <w:sz w:val="24"/>
                <w:szCs w:val="24"/>
              </w:rPr>
              <w:t>(n</w:t>
            </w:r>
            <w:r>
              <w:rPr>
                <w:b/>
                <w:sz w:val="24"/>
                <w:szCs w:val="24"/>
              </w:rPr>
              <w:t xml:space="preserve"> </w:t>
            </w:r>
            <w:r w:rsidRPr="003D4A39">
              <w:rPr>
                <w:b/>
                <w:sz w:val="24"/>
                <w:szCs w:val="24"/>
              </w:rPr>
              <w:t>=</w:t>
            </w:r>
            <w:r>
              <w:rPr>
                <w:b/>
                <w:sz w:val="24"/>
                <w:szCs w:val="24"/>
              </w:rPr>
              <w:t xml:space="preserve"> </w:t>
            </w:r>
            <w:r w:rsidRPr="003D4A39">
              <w:rPr>
                <w:b/>
                <w:sz w:val="24"/>
                <w:szCs w:val="24"/>
              </w:rPr>
              <w:t>521)</w:t>
            </w:r>
          </w:p>
        </w:tc>
        <w:tc>
          <w:tcPr>
            <w:tcW w:w="1186" w:type="pct"/>
            <w:tcBorders>
              <w:top w:val="single" w:sz="4" w:space="0" w:color="000000"/>
              <w:left w:val="nil"/>
              <w:bottom w:val="single" w:sz="4" w:space="0" w:color="000000"/>
              <w:right w:val="nil"/>
            </w:tcBorders>
          </w:tcPr>
          <w:p w14:paraId="7CFDDBE8" w14:textId="77777777" w:rsidR="00D22BF6" w:rsidRPr="00DB67D0" w:rsidRDefault="00D22BF6" w:rsidP="00D22BF6">
            <w:pPr>
              <w:rPr>
                <w:b/>
                <w:bCs/>
                <w:sz w:val="24"/>
                <w:szCs w:val="24"/>
                <w:lang w:val="en-US"/>
              </w:rPr>
            </w:pPr>
          </w:p>
          <w:p w14:paraId="31EA45FF" w14:textId="77777777" w:rsidR="00D22BF6" w:rsidRPr="00DB67D0" w:rsidRDefault="00D22BF6" w:rsidP="00D22BF6">
            <w:pPr>
              <w:rPr>
                <w:sz w:val="24"/>
                <w:szCs w:val="24"/>
                <w:lang w:val="en-US"/>
              </w:rPr>
            </w:pPr>
            <w:r w:rsidRPr="00DB67D0">
              <w:rPr>
                <w:b/>
                <w:bCs/>
                <w:i/>
                <w:iCs/>
                <w:sz w:val="24"/>
                <w:szCs w:val="24"/>
                <w:lang w:val="en-US"/>
              </w:rPr>
              <w:t>Hazard</w:t>
            </w:r>
            <w:r w:rsidRPr="00DB67D0">
              <w:rPr>
                <w:b/>
                <w:bCs/>
                <w:sz w:val="24"/>
                <w:szCs w:val="24"/>
                <w:lang w:val="en-US"/>
              </w:rPr>
              <w:t xml:space="preserve"> ratio (TAC/FAC)</w:t>
            </w:r>
          </w:p>
          <w:p w14:paraId="038C2514" w14:textId="77777777" w:rsidR="00D22BF6" w:rsidRPr="00DB67D0" w:rsidRDefault="00D22BF6" w:rsidP="00D22BF6">
            <w:pPr>
              <w:rPr>
                <w:sz w:val="24"/>
                <w:szCs w:val="24"/>
                <w:lang w:val="en-US"/>
              </w:rPr>
            </w:pPr>
            <w:r w:rsidRPr="00DB67D0">
              <w:rPr>
                <w:b/>
                <w:sz w:val="24"/>
                <w:szCs w:val="24"/>
                <w:lang w:val="en-US"/>
              </w:rPr>
              <w:t>(95 % CI)</w:t>
            </w:r>
          </w:p>
        </w:tc>
        <w:tc>
          <w:tcPr>
            <w:tcW w:w="741" w:type="pct"/>
            <w:tcBorders>
              <w:top w:val="single" w:sz="4" w:space="0" w:color="000000"/>
              <w:left w:val="nil"/>
              <w:bottom w:val="single" w:sz="4" w:space="0" w:color="000000"/>
              <w:right w:val="nil"/>
            </w:tcBorders>
          </w:tcPr>
          <w:p w14:paraId="327710C9" w14:textId="77777777" w:rsidR="00D22BF6" w:rsidRPr="00DB67D0" w:rsidRDefault="00D22BF6" w:rsidP="00D22BF6">
            <w:pPr>
              <w:rPr>
                <w:b/>
                <w:bCs/>
                <w:sz w:val="24"/>
                <w:szCs w:val="24"/>
                <w:lang w:val="en-US"/>
              </w:rPr>
            </w:pPr>
          </w:p>
          <w:p w14:paraId="1CCBC26B" w14:textId="77777777" w:rsidR="00D22BF6" w:rsidRPr="003D4A39" w:rsidRDefault="00D22BF6" w:rsidP="00D22BF6">
            <w:pPr>
              <w:rPr>
                <w:sz w:val="24"/>
                <w:szCs w:val="24"/>
              </w:rPr>
            </w:pPr>
            <w:r w:rsidRPr="003D4A39">
              <w:rPr>
                <w:b/>
                <w:bCs/>
                <w:sz w:val="24"/>
                <w:szCs w:val="24"/>
              </w:rPr>
              <w:t>p-værdi</w:t>
            </w:r>
          </w:p>
        </w:tc>
      </w:tr>
      <w:tr w:rsidR="00D22BF6" w:rsidRPr="003D4A39" w14:paraId="3D907332" w14:textId="77777777" w:rsidTr="00D22BF6">
        <w:trPr>
          <w:trHeight w:val="20"/>
        </w:trPr>
        <w:tc>
          <w:tcPr>
            <w:tcW w:w="1493" w:type="pct"/>
            <w:tcBorders>
              <w:top w:val="single" w:sz="4" w:space="0" w:color="000000"/>
              <w:left w:val="nil"/>
              <w:bottom w:val="nil"/>
              <w:right w:val="nil"/>
            </w:tcBorders>
          </w:tcPr>
          <w:p w14:paraId="019C1B04" w14:textId="77777777" w:rsidR="00D22BF6" w:rsidRPr="003D4A39" w:rsidRDefault="00D22BF6" w:rsidP="00D22BF6">
            <w:pPr>
              <w:rPr>
                <w:sz w:val="24"/>
                <w:szCs w:val="24"/>
              </w:rPr>
            </w:pPr>
          </w:p>
          <w:p w14:paraId="5CC51675" w14:textId="77777777" w:rsidR="00D22BF6" w:rsidRPr="003D4A39" w:rsidRDefault="00D22BF6" w:rsidP="00D22BF6">
            <w:pPr>
              <w:rPr>
                <w:sz w:val="24"/>
                <w:szCs w:val="24"/>
              </w:rPr>
            </w:pPr>
            <w:r w:rsidRPr="003D4A39">
              <w:rPr>
                <w:sz w:val="24"/>
                <w:szCs w:val="24"/>
              </w:rPr>
              <w:t>Opfylder relativ indikation for kemoterapi</w:t>
            </w:r>
            <w:r w:rsidRPr="003D4A39">
              <w:rPr>
                <w:sz w:val="24"/>
                <w:szCs w:val="24"/>
                <w:vertAlign w:val="superscript"/>
              </w:rPr>
              <w:t>a</w:t>
            </w:r>
          </w:p>
        </w:tc>
        <w:tc>
          <w:tcPr>
            <w:tcW w:w="889" w:type="pct"/>
            <w:tcBorders>
              <w:top w:val="single" w:sz="4" w:space="0" w:color="000000"/>
              <w:left w:val="nil"/>
              <w:bottom w:val="nil"/>
              <w:right w:val="nil"/>
            </w:tcBorders>
          </w:tcPr>
          <w:p w14:paraId="0FFB7494" w14:textId="77777777" w:rsidR="00D22BF6" w:rsidRPr="003D4A39" w:rsidRDefault="00D22BF6" w:rsidP="00D22BF6">
            <w:pPr>
              <w:rPr>
                <w:sz w:val="24"/>
                <w:szCs w:val="24"/>
              </w:rPr>
            </w:pPr>
          </w:p>
        </w:tc>
        <w:tc>
          <w:tcPr>
            <w:tcW w:w="691" w:type="pct"/>
            <w:tcBorders>
              <w:top w:val="single" w:sz="4" w:space="0" w:color="000000"/>
              <w:left w:val="nil"/>
              <w:bottom w:val="nil"/>
              <w:right w:val="nil"/>
            </w:tcBorders>
          </w:tcPr>
          <w:p w14:paraId="3CB40A30" w14:textId="77777777" w:rsidR="00D22BF6" w:rsidRPr="003D4A39" w:rsidRDefault="00D22BF6" w:rsidP="00D22BF6">
            <w:pPr>
              <w:rPr>
                <w:sz w:val="24"/>
                <w:szCs w:val="24"/>
              </w:rPr>
            </w:pPr>
          </w:p>
        </w:tc>
        <w:tc>
          <w:tcPr>
            <w:tcW w:w="1186" w:type="pct"/>
            <w:tcBorders>
              <w:top w:val="single" w:sz="4" w:space="0" w:color="000000"/>
              <w:left w:val="nil"/>
              <w:bottom w:val="nil"/>
              <w:right w:val="nil"/>
            </w:tcBorders>
          </w:tcPr>
          <w:p w14:paraId="61F7A4A8" w14:textId="77777777" w:rsidR="00D22BF6" w:rsidRPr="003D4A39" w:rsidRDefault="00D22BF6" w:rsidP="00D22BF6">
            <w:pPr>
              <w:rPr>
                <w:sz w:val="24"/>
                <w:szCs w:val="24"/>
              </w:rPr>
            </w:pPr>
          </w:p>
        </w:tc>
        <w:tc>
          <w:tcPr>
            <w:tcW w:w="741" w:type="pct"/>
            <w:tcBorders>
              <w:top w:val="single" w:sz="4" w:space="0" w:color="000000"/>
              <w:left w:val="nil"/>
              <w:bottom w:val="nil"/>
              <w:right w:val="nil"/>
            </w:tcBorders>
          </w:tcPr>
          <w:p w14:paraId="7474BD56" w14:textId="77777777" w:rsidR="00D22BF6" w:rsidRPr="003D4A39" w:rsidRDefault="00D22BF6" w:rsidP="00D22BF6">
            <w:pPr>
              <w:rPr>
                <w:sz w:val="24"/>
                <w:szCs w:val="24"/>
              </w:rPr>
            </w:pPr>
          </w:p>
        </w:tc>
      </w:tr>
      <w:tr w:rsidR="00D22BF6" w:rsidRPr="003D4A39" w14:paraId="36FC8924" w14:textId="77777777" w:rsidTr="00D22BF6">
        <w:trPr>
          <w:trHeight w:val="20"/>
        </w:trPr>
        <w:tc>
          <w:tcPr>
            <w:tcW w:w="1493" w:type="pct"/>
          </w:tcPr>
          <w:p w14:paraId="69A00ED1" w14:textId="77777777" w:rsidR="00D22BF6" w:rsidRPr="003D4A39" w:rsidRDefault="00D22BF6" w:rsidP="00D22BF6">
            <w:pPr>
              <w:rPr>
                <w:sz w:val="24"/>
                <w:szCs w:val="24"/>
              </w:rPr>
            </w:pPr>
          </w:p>
          <w:p w14:paraId="3C6556F8" w14:textId="77777777" w:rsidR="00D22BF6" w:rsidRPr="003D4A39" w:rsidRDefault="00D22BF6" w:rsidP="00D22BF6">
            <w:pPr>
              <w:rPr>
                <w:sz w:val="24"/>
                <w:szCs w:val="24"/>
              </w:rPr>
            </w:pPr>
            <w:r w:rsidRPr="003D4A39">
              <w:rPr>
                <w:sz w:val="24"/>
                <w:szCs w:val="24"/>
              </w:rPr>
              <w:t>Nej</w:t>
            </w:r>
          </w:p>
        </w:tc>
        <w:tc>
          <w:tcPr>
            <w:tcW w:w="889" w:type="pct"/>
          </w:tcPr>
          <w:p w14:paraId="16C64947" w14:textId="77777777" w:rsidR="00D22BF6" w:rsidRPr="003D4A39" w:rsidRDefault="00D22BF6" w:rsidP="00D22BF6">
            <w:pPr>
              <w:rPr>
                <w:sz w:val="24"/>
                <w:szCs w:val="24"/>
              </w:rPr>
            </w:pPr>
          </w:p>
          <w:p w14:paraId="4FF5F2D2" w14:textId="77777777" w:rsidR="00D22BF6" w:rsidRPr="003D4A39" w:rsidRDefault="00D22BF6" w:rsidP="00D22BF6">
            <w:pPr>
              <w:rPr>
                <w:sz w:val="24"/>
                <w:szCs w:val="24"/>
              </w:rPr>
            </w:pPr>
            <w:r w:rsidRPr="003D4A39">
              <w:rPr>
                <w:sz w:val="24"/>
                <w:szCs w:val="24"/>
              </w:rPr>
              <w:t>18/214</w:t>
            </w:r>
          </w:p>
          <w:p w14:paraId="29714DD0" w14:textId="77777777" w:rsidR="00D22BF6" w:rsidRPr="003D4A39" w:rsidRDefault="00D22BF6" w:rsidP="00D22BF6">
            <w:pPr>
              <w:rPr>
                <w:sz w:val="24"/>
                <w:szCs w:val="24"/>
              </w:rPr>
            </w:pPr>
            <w:r w:rsidRPr="003D4A39">
              <w:rPr>
                <w:sz w:val="24"/>
                <w:szCs w:val="24"/>
              </w:rPr>
              <w:t>(8,4 %)</w:t>
            </w:r>
          </w:p>
        </w:tc>
        <w:tc>
          <w:tcPr>
            <w:tcW w:w="691" w:type="pct"/>
          </w:tcPr>
          <w:p w14:paraId="7AC2F123" w14:textId="77777777" w:rsidR="00D22BF6" w:rsidRPr="003D4A39" w:rsidRDefault="00D22BF6" w:rsidP="00D22BF6">
            <w:pPr>
              <w:rPr>
                <w:sz w:val="24"/>
                <w:szCs w:val="24"/>
              </w:rPr>
            </w:pPr>
          </w:p>
          <w:p w14:paraId="23A9BDFC" w14:textId="77777777" w:rsidR="00D22BF6" w:rsidRPr="003D4A39" w:rsidRDefault="00D22BF6" w:rsidP="00D22BF6">
            <w:pPr>
              <w:rPr>
                <w:sz w:val="24"/>
                <w:szCs w:val="24"/>
              </w:rPr>
            </w:pPr>
            <w:r w:rsidRPr="003D4A39">
              <w:rPr>
                <w:sz w:val="24"/>
                <w:szCs w:val="24"/>
              </w:rPr>
              <w:t>26/227</w:t>
            </w:r>
          </w:p>
          <w:p w14:paraId="41EA202C" w14:textId="77777777" w:rsidR="00D22BF6" w:rsidRPr="003D4A39" w:rsidRDefault="00D22BF6" w:rsidP="00D22BF6">
            <w:pPr>
              <w:rPr>
                <w:sz w:val="24"/>
                <w:szCs w:val="24"/>
              </w:rPr>
            </w:pPr>
            <w:r w:rsidRPr="003D4A39">
              <w:rPr>
                <w:sz w:val="24"/>
                <w:szCs w:val="24"/>
              </w:rPr>
              <w:t>(11,5 %)</w:t>
            </w:r>
          </w:p>
        </w:tc>
        <w:tc>
          <w:tcPr>
            <w:tcW w:w="1186" w:type="pct"/>
          </w:tcPr>
          <w:p w14:paraId="4DE11798" w14:textId="77777777" w:rsidR="00D22BF6" w:rsidRPr="003D4A39" w:rsidRDefault="00D22BF6" w:rsidP="00D22BF6">
            <w:pPr>
              <w:rPr>
                <w:sz w:val="24"/>
                <w:szCs w:val="24"/>
              </w:rPr>
            </w:pPr>
          </w:p>
          <w:p w14:paraId="4F52F35E" w14:textId="77777777" w:rsidR="00D22BF6" w:rsidRPr="003D4A39" w:rsidRDefault="00D22BF6" w:rsidP="00D22BF6">
            <w:pPr>
              <w:rPr>
                <w:sz w:val="24"/>
                <w:szCs w:val="24"/>
              </w:rPr>
            </w:pPr>
            <w:r w:rsidRPr="003D4A39">
              <w:rPr>
                <w:sz w:val="24"/>
                <w:szCs w:val="24"/>
              </w:rPr>
              <w:t>0,796</w:t>
            </w:r>
          </w:p>
          <w:p w14:paraId="3C4F2C20" w14:textId="77777777" w:rsidR="00D22BF6" w:rsidRPr="003D4A39" w:rsidRDefault="00D22BF6" w:rsidP="00D22BF6">
            <w:pPr>
              <w:rPr>
                <w:sz w:val="24"/>
                <w:szCs w:val="24"/>
              </w:rPr>
            </w:pPr>
            <w:r w:rsidRPr="003D4A39">
              <w:rPr>
                <w:sz w:val="24"/>
                <w:szCs w:val="24"/>
              </w:rPr>
              <w:t>(0,434</w:t>
            </w:r>
            <w:r w:rsidRPr="003D4A39">
              <w:rPr>
                <w:sz w:val="24"/>
                <w:szCs w:val="24"/>
              </w:rPr>
              <w:noBreakHyphen/>
              <w:t>1,459)</w:t>
            </w:r>
          </w:p>
        </w:tc>
        <w:tc>
          <w:tcPr>
            <w:tcW w:w="741" w:type="pct"/>
          </w:tcPr>
          <w:p w14:paraId="445C8C56" w14:textId="77777777" w:rsidR="00D22BF6" w:rsidRPr="003D4A39" w:rsidRDefault="00D22BF6" w:rsidP="00D22BF6">
            <w:pPr>
              <w:rPr>
                <w:sz w:val="24"/>
                <w:szCs w:val="24"/>
              </w:rPr>
            </w:pPr>
          </w:p>
          <w:p w14:paraId="2D808860" w14:textId="77777777" w:rsidR="00D22BF6" w:rsidRPr="003D4A39" w:rsidRDefault="00D22BF6" w:rsidP="00D22BF6">
            <w:pPr>
              <w:rPr>
                <w:sz w:val="24"/>
                <w:szCs w:val="24"/>
              </w:rPr>
            </w:pPr>
            <w:r w:rsidRPr="003D4A39">
              <w:rPr>
                <w:sz w:val="24"/>
                <w:szCs w:val="24"/>
              </w:rPr>
              <w:t>0,4593</w:t>
            </w:r>
          </w:p>
        </w:tc>
      </w:tr>
      <w:tr w:rsidR="00D22BF6" w:rsidRPr="003D4A39" w14:paraId="7140CCD8" w14:textId="77777777" w:rsidTr="00D22BF6">
        <w:trPr>
          <w:trHeight w:val="20"/>
        </w:trPr>
        <w:tc>
          <w:tcPr>
            <w:tcW w:w="1493" w:type="pct"/>
            <w:tcBorders>
              <w:top w:val="nil"/>
              <w:left w:val="nil"/>
              <w:bottom w:val="single" w:sz="4" w:space="0" w:color="000000"/>
              <w:right w:val="nil"/>
            </w:tcBorders>
          </w:tcPr>
          <w:p w14:paraId="112601BF" w14:textId="77777777" w:rsidR="00D22BF6" w:rsidRPr="003D4A39" w:rsidRDefault="00D22BF6" w:rsidP="00D22BF6">
            <w:pPr>
              <w:rPr>
                <w:sz w:val="24"/>
                <w:szCs w:val="24"/>
              </w:rPr>
            </w:pPr>
          </w:p>
          <w:p w14:paraId="7A1DC3CA" w14:textId="77777777" w:rsidR="00D22BF6" w:rsidRPr="003D4A39" w:rsidRDefault="00D22BF6" w:rsidP="00D22BF6">
            <w:pPr>
              <w:rPr>
                <w:sz w:val="24"/>
                <w:szCs w:val="24"/>
              </w:rPr>
            </w:pPr>
            <w:r w:rsidRPr="003D4A39">
              <w:rPr>
                <w:sz w:val="24"/>
                <w:szCs w:val="24"/>
              </w:rPr>
              <w:t>Ja</w:t>
            </w:r>
          </w:p>
        </w:tc>
        <w:tc>
          <w:tcPr>
            <w:tcW w:w="889" w:type="pct"/>
            <w:tcBorders>
              <w:top w:val="nil"/>
              <w:left w:val="nil"/>
              <w:bottom w:val="single" w:sz="4" w:space="0" w:color="000000"/>
              <w:right w:val="nil"/>
            </w:tcBorders>
          </w:tcPr>
          <w:p w14:paraId="62ED208E" w14:textId="77777777" w:rsidR="00D22BF6" w:rsidRPr="003D4A39" w:rsidRDefault="00D22BF6" w:rsidP="00D22BF6">
            <w:pPr>
              <w:rPr>
                <w:sz w:val="24"/>
                <w:szCs w:val="24"/>
              </w:rPr>
            </w:pPr>
          </w:p>
          <w:p w14:paraId="3E06D14F" w14:textId="77777777" w:rsidR="00D22BF6" w:rsidRPr="003D4A39" w:rsidRDefault="00D22BF6" w:rsidP="00D22BF6">
            <w:pPr>
              <w:rPr>
                <w:sz w:val="24"/>
                <w:szCs w:val="24"/>
              </w:rPr>
            </w:pPr>
            <w:r w:rsidRPr="003D4A39">
              <w:rPr>
                <w:sz w:val="24"/>
                <w:szCs w:val="24"/>
              </w:rPr>
              <w:t>48/325</w:t>
            </w:r>
          </w:p>
          <w:p w14:paraId="2698A8DB" w14:textId="77777777" w:rsidR="00D22BF6" w:rsidRPr="003D4A39" w:rsidRDefault="00D22BF6" w:rsidP="00D22BF6">
            <w:pPr>
              <w:rPr>
                <w:sz w:val="24"/>
                <w:szCs w:val="24"/>
              </w:rPr>
            </w:pPr>
            <w:r w:rsidRPr="003D4A39">
              <w:rPr>
                <w:sz w:val="24"/>
                <w:szCs w:val="24"/>
              </w:rPr>
              <w:t>(14,8 %)</w:t>
            </w:r>
          </w:p>
        </w:tc>
        <w:tc>
          <w:tcPr>
            <w:tcW w:w="691" w:type="pct"/>
            <w:tcBorders>
              <w:top w:val="nil"/>
              <w:left w:val="nil"/>
              <w:bottom w:val="single" w:sz="4" w:space="0" w:color="000000"/>
              <w:right w:val="nil"/>
            </w:tcBorders>
          </w:tcPr>
          <w:p w14:paraId="49929547" w14:textId="77777777" w:rsidR="00D22BF6" w:rsidRPr="003D4A39" w:rsidRDefault="00D22BF6" w:rsidP="00D22BF6">
            <w:pPr>
              <w:rPr>
                <w:sz w:val="24"/>
                <w:szCs w:val="24"/>
              </w:rPr>
            </w:pPr>
          </w:p>
          <w:p w14:paraId="177595B8" w14:textId="77777777" w:rsidR="00D22BF6" w:rsidRPr="003D4A39" w:rsidRDefault="00D22BF6" w:rsidP="00D22BF6">
            <w:pPr>
              <w:rPr>
                <w:sz w:val="24"/>
                <w:szCs w:val="24"/>
              </w:rPr>
            </w:pPr>
            <w:r w:rsidRPr="003D4A39">
              <w:rPr>
                <w:sz w:val="24"/>
                <w:szCs w:val="24"/>
              </w:rPr>
              <w:t>69/294</w:t>
            </w:r>
          </w:p>
          <w:p w14:paraId="14FD6DEB" w14:textId="77777777" w:rsidR="00D22BF6" w:rsidRPr="003D4A39" w:rsidRDefault="00D22BF6" w:rsidP="00D22BF6">
            <w:pPr>
              <w:rPr>
                <w:sz w:val="24"/>
                <w:szCs w:val="24"/>
              </w:rPr>
            </w:pPr>
            <w:r w:rsidRPr="003D4A39">
              <w:rPr>
                <w:sz w:val="24"/>
                <w:szCs w:val="24"/>
              </w:rPr>
              <w:t>(23,5 %)</w:t>
            </w:r>
          </w:p>
        </w:tc>
        <w:tc>
          <w:tcPr>
            <w:tcW w:w="1186" w:type="pct"/>
            <w:tcBorders>
              <w:top w:val="nil"/>
              <w:left w:val="nil"/>
              <w:bottom w:val="single" w:sz="4" w:space="0" w:color="000000"/>
              <w:right w:val="nil"/>
            </w:tcBorders>
          </w:tcPr>
          <w:p w14:paraId="596E7B14" w14:textId="77777777" w:rsidR="00D22BF6" w:rsidRPr="003D4A39" w:rsidRDefault="00D22BF6" w:rsidP="00D22BF6">
            <w:pPr>
              <w:rPr>
                <w:sz w:val="24"/>
                <w:szCs w:val="24"/>
              </w:rPr>
            </w:pPr>
          </w:p>
          <w:p w14:paraId="7E749CA2" w14:textId="77777777" w:rsidR="00D22BF6" w:rsidRPr="003D4A39" w:rsidRDefault="00D22BF6" w:rsidP="00D22BF6">
            <w:pPr>
              <w:rPr>
                <w:sz w:val="24"/>
                <w:szCs w:val="24"/>
              </w:rPr>
            </w:pPr>
            <w:r w:rsidRPr="003D4A39">
              <w:rPr>
                <w:sz w:val="24"/>
                <w:szCs w:val="24"/>
              </w:rPr>
              <w:t>0,606</w:t>
            </w:r>
          </w:p>
          <w:p w14:paraId="5AA9E20B" w14:textId="77777777" w:rsidR="00D22BF6" w:rsidRPr="003D4A39" w:rsidRDefault="00D22BF6" w:rsidP="00D22BF6">
            <w:pPr>
              <w:rPr>
                <w:sz w:val="24"/>
                <w:szCs w:val="24"/>
              </w:rPr>
            </w:pPr>
            <w:r w:rsidRPr="003D4A39">
              <w:rPr>
                <w:sz w:val="24"/>
                <w:szCs w:val="24"/>
              </w:rPr>
              <w:t>(0,42</w:t>
            </w:r>
            <w:r w:rsidRPr="003D4A39">
              <w:rPr>
                <w:sz w:val="24"/>
                <w:szCs w:val="24"/>
              </w:rPr>
              <w:noBreakHyphen/>
              <w:t>0,877)</w:t>
            </w:r>
          </w:p>
        </w:tc>
        <w:tc>
          <w:tcPr>
            <w:tcW w:w="741" w:type="pct"/>
            <w:tcBorders>
              <w:top w:val="nil"/>
              <w:left w:val="nil"/>
              <w:bottom w:val="single" w:sz="4" w:space="0" w:color="000000"/>
              <w:right w:val="nil"/>
            </w:tcBorders>
          </w:tcPr>
          <w:p w14:paraId="4251AF1D" w14:textId="77777777" w:rsidR="00D22BF6" w:rsidRPr="003D4A39" w:rsidRDefault="00D22BF6" w:rsidP="00D22BF6">
            <w:pPr>
              <w:rPr>
                <w:sz w:val="24"/>
                <w:szCs w:val="24"/>
              </w:rPr>
            </w:pPr>
          </w:p>
          <w:p w14:paraId="52B7D3AF" w14:textId="77777777" w:rsidR="00D22BF6" w:rsidRPr="003D4A39" w:rsidRDefault="00D22BF6" w:rsidP="00D22BF6">
            <w:pPr>
              <w:rPr>
                <w:sz w:val="24"/>
                <w:szCs w:val="24"/>
              </w:rPr>
            </w:pPr>
            <w:r w:rsidRPr="003D4A39">
              <w:rPr>
                <w:sz w:val="24"/>
                <w:szCs w:val="24"/>
              </w:rPr>
              <w:t>0,0072</w:t>
            </w:r>
          </w:p>
        </w:tc>
      </w:tr>
    </w:tbl>
    <w:p w14:paraId="35E1FE36" w14:textId="77777777" w:rsidR="006B34A1" w:rsidRPr="00D73EEE" w:rsidRDefault="006B34A1" w:rsidP="0081699D">
      <w:pPr>
        <w:ind w:left="851"/>
        <w:rPr>
          <w:sz w:val="22"/>
          <w:szCs w:val="22"/>
        </w:rPr>
      </w:pPr>
      <w:r w:rsidRPr="00D73EEE">
        <w:rPr>
          <w:sz w:val="22"/>
          <w:szCs w:val="22"/>
        </w:rPr>
        <w:t>TAC = docetaxel, doxorubicin og cyclophosphamid</w:t>
      </w:r>
    </w:p>
    <w:p w14:paraId="39E2362F" w14:textId="77777777" w:rsidR="006B34A1" w:rsidRPr="00D73EEE" w:rsidRDefault="006B34A1" w:rsidP="0081699D">
      <w:pPr>
        <w:ind w:left="851"/>
        <w:rPr>
          <w:sz w:val="22"/>
          <w:szCs w:val="22"/>
        </w:rPr>
      </w:pPr>
      <w:r w:rsidRPr="00D73EEE">
        <w:rPr>
          <w:sz w:val="22"/>
          <w:szCs w:val="22"/>
        </w:rPr>
        <w:t>FAC = 5</w:t>
      </w:r>
      <w:r w:rsidRPr="00D73EEE">
        <w:rPr>
          <w:sz w:val="22"/>
          <w:szCs w:val="22"/>
        </w:rPr>
        <w:noBreakHyphen/>
        <w:t>fluoruracil, doxorubicin and cyclophosphamid</w:t>
      </w:r>
    </w:p>
    <w:p w14:paraId="36457760" w14:textId="77777777" w:rsidR="006B34A1" w:rsidRPr="00D73EEE" w:rsidRDefault="006B34A1" w:rsidP="0081699D">
      <w:pPr>
        <w:ind w:left="851"/>
        <w:rPr>
          <w:sz w:val="22"/>
          <w:szCs w:val="22"/>
        </w:rPr>
      </w:pPr>
      <w:r w:rsidRPr="00D73EEE">
        <w:rPr>
          <w:sz w:val="22"/>
          <w:szCs w:val="22"/>
        </w:rPr>
        <w:t>CI = Konfidensinterval</w:t>
      </w:r>
    </w:p>
    <w:p w14:paraId="22017099" w14:textId="77777777" w:rsidR="006B34A1" w:rsidRPr="00D73EEE" w:rsidRDefault="006B34A1" w:rsidP="0081699D">
      <w:pPr>
        <w:ind w:left="851"/>
        <w:rPr>
          <w:sz w:val="22"/>
          <w:szCs w:val="22"/>
        </w:rPr>
      </w:pPr>
      <w:r w:rsidRPr="00D73EEE">
        <w:rPr>
          <w:sz w:val="22"/>
          <w:szCs w:val="22"/>
        </w:rPr>
        <w:t>ER = østrogenreceptor</w:t>
      </w:r>
    </w:p>
    <w:p w14:paraId="2C496571" w14:textId="77777777" w:rsidR="006B34A1" w:rsidRPr="00D73EEE" w:rsidRDefault="006B34A1" w:rsidP="0081699D">
      <w:pPr>
        <w:ind w:left="851"/>
        <w:rPr>
          <w:sz w:val="22"/>
          <w:szCs w:val="22"/>
        </w:rPr>
      </w:pPr>
      <w:r w:rsidRPr="00D73EEE">
        <w:rPr>
          <w:sz w:val="22"/>
          <w:szCs w:val="22"/>
        </w:rPr>
        <w:t>PR = progesteronreceptor</w:t>
      </w:r>
    </w:p>
    <w:p w14:paraId="16C55AF2" w14:textId="77777777" w:rsidR="006B34A1" w:rsidRPr="00D73EEE" w:rsidRDefault="006B34A1" w:rsidP="0081699D">
      <w:pPr>
        <w:ind w:left="851"/>
        <w:rPr>
          <w:sz w:val="22"/>
          <w:szCs w:val="22"/>
        </w:rPr>
      </w:pPr>
      <w:r w:rsidRPr="00D73EEE">
        <w:rPr>
          <w:sz w:val="22"/>
          <w:szCs w:val="22"/>
          <w:vertAlign w:val="superscript"/>
        </w:rPr>
        <w:t>a</w:t>
      </w:r>
      <w:r w:rsidRPr="00D73EEE">
        <w:rPr>
          <w:sz w:val="22"/>
          <w:szCs w:val="22"/>
        </w:rPr>
        <w:t>ER/PR-negativ eller grad 3 eller tumorstørrelse &gt; </w:t>
      </w:r>
      <w:smartTag w:uri="urn:schemas-microsoft-com:office:smarttags" w:element="metricconverter">
        <w:smartTagPr>
          <w:attr w:name="ProductID" w:val="5ﾠcm"/>
        </w:smartTagPr>
        <w:r w:rsidRPr="00D73EEE">
          <w:rPr>
            <w:sz w:val="22"/>
            <w:szCs w:val="22"/>
          </w:rPr>
          <w:t>5 cm</w:t>
        </w:r>
      </w:smartTag>
    </w:p>
    <w:p w14:paraId="2C3EC6EA" w14:textId="77777777" w:rsidR="006B34A1" w:rsidRPr="008D45EF" w:rsidRDefault="006B34A1" w:rsidP="0081699D">
      <w:pPr>
        <w:ind w:left="851"/>
        <w:rPr>
          <w:sz w:val="24"/>
          <w:szCs w:val="24"/>
        </w:rPr>
      </w:pPr>
    </w:p>
    <w:p w14:paraId="7F61C00B" w14:textId="77777777" w:rsidR="006B34A1" w:rsidRPr="008D45EF" w:rsidRDefault="006B34A1" w:rsidP="0081699D">
      <w:pPr>
        <w:ind w:left="851"/>
        <w:rPr>
          <w:sz w:val="24"/>
          <w:szCs w:val="24"/>
        </w:rPr>
      </w:pPr>
      <w:r w:rsidRPr="008D45EF">
        <w:rPr>
          <w:sz w:val="24"/>
          <w:szCs w:val="24"/>
        </w:rPr>
        <w:t>Den estimerede hazard ratio blev udregnet ved hjælp af Cox proportional hazard-model med behandlingsgruppen som faktor.</w:t>
      </w:r>
    </w:p>
    <w:p w14:paraId="6411594F" w14:textId="77777777" w:rsidR="006B34A1" w:rsidRPr="008D45EF" w:rsidRDefault="006B34A1" w:rsidP="0081699D">
      <w:pPr>
        <w:ind w:left="851"/>
        <w:rPr>
          <w:sz w:val="24"/>
          <w:szCs w:val="24"/>
        </w:rPr>
      </w:pPr>
    </w:p>
    <w:p w14:paraId="089C1A86" w14:textId="66C6C18D" w:rsidR="006B34A1" w:rsidRPr="00D22BF6" w:rsidRDefault="006B34A1" w:rsidP="0081699D">
      <w:pPr>
        <w:ind w:left="851"/>
        <w:rPr>
          <w:i/>
          <w:iCs/>
          <w:sz w:val="24"/>
          <w:szCs w:val="24"/>
        </w:rPr>
      </w:pPr>
      <w:r w:rsidRPr="00D22BF6">
        <w:rPr>
          <w:i/>
          <w:iCs/>
          <w:sz w:val="24"/>
          <w:szCs w:val="24"/>
        </w:rPr>
        <w:t>Docetaxel som enkeltstof</w:t>
      </w:r>
    </w:p>
    <w:p w14:paraId="71FC1A02" w14:textId="77777777" w:rsidR="00D22BF6" w:rsidRPr="003F7CA6" w:rsidRDefault="00D22BF6" w:rsidP="0081699D">
      <w:pPr>
        <w:ind w:left="851"/>
        <w:rPr>
          <w:sz w:val="24"/>
          <w:szCs w:val="24"/>
          <w:u w:val="single"/>
        </w:rPr>
      </w:pPr>
    </w:p>
    <w:p w14:paraId="2A06ED35" w14:textId="6F7EAC1F" w:rsidR="00D22BF6" w:rsidRPr="003D4A39" w:rsidRDefault="00D22BF6" w:rsidP="00D22BF6">
      <w:pPr>
        <w:ind w:left="851"/>
        <w:rPr>
          <w:sz w:val="24"/>
          <w:szCs w:val="24"/>
        </w:rPr>
      </w:pPr>
      <w:r w:rsidRPr="003D4A39">
        <w:rPr>
          <w:sz w:val="24"/>
          <w:szCs w:val="24"/>
        </w:rPr>
        <w:t>Der er udført to randomiserede, sammenlignende fase III</w:t>
      </w:r>
      <w:r w:rsidRPr="003D4A39">
        <w:rPr>
          <w:sz w:val="24"/>
          <w:szCs w:val="24"/>
        </w:rPr>
        <w:noBreakHyphen/>
        <w:t>studier med docetaxel doseret hver 3. uge i den anbefalede dosis på 100 mg/m² til patienter med metastatisk brystkræft. Der indgik henholdsvis 326 patienter, som tidligere havde fået behandling med alkylerende stoffer uden effekt, og 392 patienter, som tidligere havde fået behandling med antracy</w:t>
      </w:r>
      <w:r>
        <w:rPr>
          <w:sz w:val="24"/>
          <w:szCs w:val="24"/>
        </w:rPr>
        <w:t>k</w:t>
      </w:r>
      <w:r w:rsidRPr="003D4A39">
        <w:rPr>
          <w:sz w:val="24"/>
          <w:szCs w:val="24"/>
        </w:rPr>
        <w:t>lin uden effekt.</w:t>
      </w:r>
    </w:p>
    <w:p w14:paraId="3965999D" w14:textId="77777777" w:rsidR="006B34A1" w:rsidRPr="008D45EF" w:rsidRDefault="006B34A1" w:rsidP="0081699D">
      <w:pPr>
        <w:ind w:left="851"/>
        <w:rPr>
          <w:sz w:val="24"/>
          <w:szCs w:val="24"/>
        </w:rPr>
      </w:pPr>
    </w:p>
    <w:p w14:paraId="09C2E013" w14:textId="77777777" w:rsidR="006B34A1" w:rsidRPr="008D45EF" w:rsidRDefault="006B34A1" w:rsidP="0081699D">
      <w:pPr>
        <w:ind w:left="851"/>
        <w:rPr>
          <w:sz w:val="24"/>
          <w:szCs w:val="24"/>
        </w:rPr>
      </w:pPr>
      <w:r w:rsidRPr="008D45EF">
        <w:rPr>
          <w:sz w:val="24"/>
          <w:szCs w:val="24"/>
        </w:rPr>
        <w:t>Hos de patienter, der tidligere havde fået behandling med alkylerende stoffer uden effekt, blev docetaxel sammenlignet med doxorubicin (75 mg/m² hver 3. uge). Uden at påvirke overlevelsestiden (docetaxel 15 måneder mod doxorubicin 14 måneder, p = 0,38) eller tiden til progression (docetaxel 27 uger mod doxorubicin 23 uger, p = 0,54), øgede docetaxel responsraten (52 % mod 37 %, p = 0,01) og gav hurtigere respons (12 uger mod 23 uger</w:t>
      </w:r>
      <w:r w:rsidRPr="008D45EF">
        <w:rPr>
          <w:i/>
          <w:sz w:val="24"/>
          <w:szCs w:val="24"/>
        </w:rPr>
        <w:t>,</w:t>
      </w:r>
      <w:r w:rsidRPr="008D45EF">
        <w:rPr>
          <w:sz w:val="24"/>
          <w:szCs w:val="24"/>
        </w:rPr>
        <w:t xml:space="preserve"> p = 0,007). 3 patienter (2 %), der fik docetaxel, ophørte med behandlingen grundet væskeretention, hvorimod 15 patienter (9 %), der fik doxorubicin, stoppede behandlingen grundet hjertetoksicitet (3 tilfælde af letal hjerteinsufficiens).</w:t>
      </w:r>
    </w:p>
    <w:p w14:paraId="141AE9AF" w14:textId="77777777" w:rsidR="006B34A1" w:rsidRPr="008D45EF" w:rsidRDefault="006B34A1" w:rsidP="0081699D">
      <w:pPr>
        <w:ind w:left="851"/>
        <w:rPr>
          <w:sz w:val="24"/>
          <w:szCs w:val="24"/>
        </w:rPr>
      </w:pPr>
    </w:p>
    <w:p w14:paraId="6DD65942" w14:textId="1DB86022" w:rsidR="00D22BF6" w:rsidRPr="003D4A39" w:rsidRDefault="00D22BF6" w:rsidP="00D22BF6">
      <w:pPr>
        <w:ind w:left="851"/>
        <w:rPr>
          <w:sz w:val="24"/>
          <w:szCs w:val="24"/>
        </w:rPr>
      </w:pPr>
      <w:r w:rsidRPr="003D4A39">
        <w:rPr>
          <w:sz w:val="24"/>
          <w:szCs w:val="24"/>
        </w:rPr>
        <w:t>Hos de patienter, der tidligere havde fået behandling med antracy</w:t>
      </w:r>
      <w:r>
        <w:rPr>
          <w:sz w:val="24"/>
          <w:szCs w:val="24"/>
        </w:rPr>
        <w:t>k</w:t>
      </w:r>
      <w:r w:rsidRPr="003D4A39">
        <w:rPr>
          <w:sz w:val="24"/>
          <w:szCs w:val="24"/>
        </w:rPr>
        <w:t>lin uden effekt, blev docetaxel sammenlignet med kombinationsbehandling med mitomycin C og vinblastin (12 mg/m² hver 6. uge og 6 mg/m² hver 3. uge). Docetaxel øgede responsraten (33 % mod 12 %, p &lt; 0,0001), forlængede tiden til progression (19 uger mod 11 uger, p = 0,0004), samt forlængede overlevelsen (11 måneder mod 9 måneder, p = 0,01).</w:t>
      </w:r>
    </w:p>
    <w:p w14:paraId="3EF3DDF8" w14:textId="77777777" w:rsidR="006B34A1" w:rsidRPr="008D45EF" w:rsidRDefault="006B34A1" w:rsidP="0081699D">
      <w:pPr>
        <w:ind w:left="851"/>
        <w:rPr>
          <w:sz w:val="24"/>
          <w:szCs w:val="24"/>
        </w:rPr>
      </w:pPr>
    </w:p>
    <w:p w14:paraId="2C975A32" w14:textId="77777777" w:rsidR="006B34A1" w:rsidRPr="008D45EF" w:rsidRDefault="006B34A1" w:rsidP="0081699D">
      <w:pPr>
        <w:ind w:left="851"/>
        <w:rPr>
          <w:sz w:val="24"/>
          <w:szCs w:val="24"/>
        </w:rPr>
      </w:pPr>
      <w:r w:rsidRPr="008D45EF">
        <w:rPr>
          <w:sz w:val="24"/>
          <w:szCs w:val="24"/>
        </w:rPr>
        <w:t>I de 2 her nævnte fase III</w:t>
      </w:r>
      <w:r w:rsidRPr="008D45EF">
        <w:rPr>
          <w:sz w:val="24"/>
          <w:szCs w:val="24"/>
        </w:rPr>
        <w:noBreakHyphen/>
        <w:t>studier viste docetaxel den samme sikkerhedsprofil som tidligere blev set i fase II</w:t>
      </w:r>
      <w:r w:rsidRPr="008D45EF">
        <w:rPr>
          <w:sz w:val="24"/>
          <w:szCs w:val="24"/>
        </w:rPr>
        <w:noBreakHyphen/>
        <w:t>studierne (se pkt. 4.8).</w:t>
      </w:r>
    </w:p>
    <w:p w14:paraId="456C079B" w14:textId="77777777" w:rsidR="006B34A1" w:rsidRPr="008D45EF" w:rsidRDefault="006B34A1" w:rsidP="0081699D">
      <w:pPr>
        <w:ind w:left="851"/>
        <w:rPr>
          <w:sz w:val="24"/>
          <w:szCs w:val="24"/>
        </w:rPr>
      </w:pPr>
    </w:p>
    <w:p w14:paraId="5C6C9E2C" w14:textId="64BBF5C4" w:rsidR="006B34A1" w:rsidRDefault="006B34A1" w:rsidP="0081699D">
      <w:pPr>
        <w:ind w:left="851"/>
        <w:rPr>
          <w:sz w:val="24"/>
          <w:szCs w:val="24"/>
        </w:rPr>
      </w:pPr>
      <w:r w:rsidRPr="008D45EF">
        <w:rPr>
          <w:sz w:val="24"/>
          <w:szCs w:val="24"/>
        </w:rPr>
        <w:t>Et åbent multicenter randomiseret fase III</w:t>
      </w:r>
      <w:r w:rsidRPr="008D45EF">
        <w:rPr>
          <w:sz w:val="24"/>
          <w:szCs w:val="24"/>
        </w:rPr>
        <w:noBreakHyphen/>
        <w:t>studie blev udført for at sammenligne docetaxel monoterapi med paclitaxel i behandlingen af fremskreden brystkræft hos patienter, hvis tidligere behandling havde inkluderet et antracyklin. 449 patienter blev randomiseret til enten at modtage docetaxel monoterapi 100 mg/m² givet som 1 times infusion eller paclitaxel 175 mg/m² givet som en infusion over 3 timer. Begge behandlingsmåder blev administreret hver 3. uge.</w:t>
      </w:r>
    </w:p>
    <w:p w14:paraId="19D051DF" w14:textId="77777777" w:rsidR="00D22BF6" w:rsidRPr="008D45EF" w:rsidRDefault="00D22BF6" w:rsidP="0081699D">
      <w:pPr>
        <w:ind w:left="851"/>
        <w:rPr>
          <w:sz w:val="24"/>
          <w:szCs w:val="24"/>
        </w:rPr>
      </w:pPr>
    </w:p>
    <w:p w14:paraId="5A3A99A8" w14:textId="13C7488C" w:rsidR="00D22BF6" w:rsidRDefault="00D22BF6" w:rsidP="00D22BF6">
      <w:pPr>
        <w:ind w:left="851"/>
        <w:rPr>
          <w:sz w:val="24"/>
          <w:szCs w:val="24"/>
        </w:rPr>
      </w:pPr>
      <w:r w:rsidRPr="003D4A39">
        <w:rPr>
          <w:sz w:val="24"/>
          <w:szCs w:val="24"/>
        </w:rPr>
        <w:t xml:space="preserve">Docetaxel forlængede median-tiden til progression (24,6 uger </w:t>
      </w:r>
      <w:r w:rsidRPr="00973672">
        <w:rPr>
          <w:i/>
          <w:iCs/>
          <w:sz w:val="24"/>
          <w:szCs w:val="24"/>
        </w:rPr>
        <w:t>vs.</w:t>
      </w:r>
      <w:r w:rsidRPr="003D4A39">
        <w:rPr>
          <w:i/>
          <w:iCs/>
          <w:sz w:val="24"/>
          <w:szCs w:val="24"/>
        </w:rPr>
        <w:t xml:space="preserve"> </w:t>
      </w:r>
      <w:r w:rsidRPr="003D4A39">
        <w:rPr>
          <w:sz w:val="24"/>
          <w:szCs w:val="24"/>
        </w:rPr>
        <w:t xml:space="preserve">15,6 uger; p &lt; 0,01) og median- overlevelse (15,3 måneder </w:t>
      </w:r>
      <w:r w:rsidRPr="00973672">
        <w:rPr>
          <w:i/>
          <w:iCs/>
          <w:sz w:val="24"/>
          <w:szCs w:val="24"/>
        </w:rPr>
        <w:t>vs.</w:t>
      </w:r>
      <w:r w:rsidRPr="003D4A39">
        <w:rPr>
          <w:sz w:val="24"/>
          <w:szCs w:val="24"/>
        </w:rPr>
        <w:t xml:space="preserve"> 12,7 måneder; p = 0,03) uden at påvirke det primære endepunkt (32 % </w:t>
      </w:r>
      <w:r w:rsidRPr="00973672">
        <w:rPr>
          <w:i/>
          <w:iCs/>
          <w:sz w:val="24"/>
          <w:szCs w:val="24"/>
        </w:rPr>
        <w:t>vs.</w:t>
      </w:r>
      <w:r w:rsidRPr="003D4A39">
        <w:rPr>
          <w:sz w:val="24"/>
          <w:szCs w:val="24"/>
        </w:rPr>
        <w:t xml:space="preserve">25 %, p = 0,10), samlet respons rate (32 % </w:t>
      </w:r>
      <w:r w:rsidRPr="00973672">
        <w:rPr>
          <w:i/>
          <w:iCs/>
          <w:sz w:val="24"/>
          <w:szCs w:val="24"/>
        </w:rPr>
        <w:t>vs.</w:t>
      </w:r>
      <w:r w:rsidRPr="003D4A39">
        <w:rPr>
          <w:sz w:val="24"/>
          <w:szCs w:val="24"/>
        </w:rPr>
        <w:t>25 %, p = 0,10).</w:t>
      </w:r>
    </w:p>
    <w:p w14:paraId="2CE4A27E" w14:textId="77777777" w:rsidR="00D22BF6" w:rsidRPr="008D45EF" w:rsidRDefault="00D22BF6" w:rsidP="00D22BF6">
      <w:pPr>
        <w:rPr>
          <w:sz w:val="24"/>
          <w:szCs w:val="24"/>
        </w:rPr>
      </w:pPr>
    </w:p>
    <w:p w14:paraId="7A632F21" w14:textId="77777777" w:rsidR="006B34A1" w:rsidRPr="008D45EF" w:rsidRDefault="006B34A1" w:rsidP="0081699D">
      <w:pPr>
        <w:ind w:left="851"/>
        <w:rPr>
          <w:sz w:val="24"/>
          <w:szCs w:val="24"/>
        </w:rPr>
      </w:pPr>
      <w:r w:rsidRPr="008D45EF">
        <w:rPr>
          <w:sz w:val="24"/>
          <w:szCs w:val="24"/>
        </w:rPr>
        <w:t>Flere grad 3/4 bivirkninger blev observeret for docetaxel monoterapi (55,4 %) sammenlignet med paclitaxel (23,0 %).</w:t>
      </w:r>
    </w:p>
    <w:p w14:paraId="4A13F4B5" w14:textId="77777777" w:rsidR="006B34A1" w:rsidRPr="008D45EF" w:rsidRDefault="006B34A1" w:rsidP="0081699D">
      <w:pPr>
        <w:ind w:left="851"/>
        <w:rPr>
          <w:sz w:val="24"/>
          <w:szCs w:val="24"/>
        </w:rPr>
      </w:pPr>
    </w:p>
    <w:p w14:paraId="7A9F96FF" w14:textId="6246443D" w:rsidR="006B34A1" w:rsidRPr="00D22BF6" w:rsidRDefault="006B34A1" w:rsidP="0081699D">
      <w:pPr>
        <w:ind w:left="851"/>
        <w:rPr>
          <w:i/>
          <w:iCs/>
          <w:sz w:val="24"/>
          <w:szCs w:val="24"/>
        </w:rPr>
      </w:pPr>
      <w:r w:rsidRPr="00D22BF6">
        <w:rPr>
          <w:i/>
          <w:iCs/>
          <w:sz w:val="24"/>
          <w:szCs w:val="24"/>
        </w:rPr>
        <w:t>Docetaxel i kombination med doxorubicin</w:t>
      </w:r>
    </w:p>
    <w:p w14:paraId="3CB4BA9E" w14:textId="77777777" w:rsidR="00D22BF6" w:rsidRPr="003F7CA6" w:rsidRDefault="00D22BF6" w:rsidP="0081699D">
      <w:pPr>
        <w:ind w:left="851"/>
        <w:rPr>
          <w:sz w:val="24"/>
          <w:szCs w:val="24"/>
          <w:u w:val="single"/>
        </w:rPr>
      </w:pPr>
    </w:p>
    <w:p w14:paraId="5770AD45" w14:textId="77777777" w:rsidR="006B34A1" w:rsidRPr="008D45EF" w:rsidRDefault="006B34A1" w:rsidP="0081699D">
      <w:pPr>
        <w:ind w:left="851"/>
        <w:rPr>
          <w:sz w:val="24"/>
          <w:szCs w:val="24"/>
        </w:rPr>
      </w:pPr>
      <w:r w:rsidRPr="008D45EF">
        <w:rPr>
          <w:sz w:val="24"/>
          <w:szCs w:val="24"/>
        </w:rPr>
        <w:t>Et stort randomiseret fase III</w:t>
      </w:r>
      <w:r w:rsidRPr="008D45EF">
        <w:rPr>
          <w:sz w:val="24"/>
          <w:szCs w:val="24"/>
        </w:rPr>
        <w:noBreakHyphen/>
        <w:t xml:space="preserve">studie, med 429 tidligere ubehandlede patienter med metastatisk sygdom, er blevet udført med doxorubicin (50 mg/m²) i kombination med docetaxel (75 mg/m²) (AT arm) </w:t>
      </w:r>
      <w:r w:rsidRPr="008D45EF">
        <w:rPr>
          <w:i/>
          <w:iCs/>
          <w:sz w:val="24"/>
          <w:szCs w:val="24"/>
        </w:rPr>
        <w:t xml:space="preserve">versus </w:t>
      </w:r>
      <w:r w:rsidRPr="008D45EF">
        <w:rPr>
          <w:sz w:val="24"/>
          <w:szCs w:val="24"/>
        </w:rPr>
        <w:t>doxorubicin (60 mg/m²) i kombination med cyclophosphamid (600 mg/m²) (AC arm). Begge regimer blev indgivet på dag 1 hver 3. uge.</w:t>
      </w:r>
    </w:p>
    <w:p w14:paraId="18B41AFE" w14:textId="77777777" w:rsidR="006B34A1" w:rsidRPr="008D45EF" w:rsidRDefault="006B34A1" w:rsidP="003F7CA6">
      <w:pPr>
        <w:numPr>
          <w:ilvl w:val="0"/>
          <w:numId w:val="18"/>
        </w:numPr>
        <w:ind w:left="1134" w:hanging="283"/>
        <w:rPr>
          <w:sz w:val="24"/>
          <w:szCs w:val="24"/>
        </w:rPr>
      </w:pPr>
      <w:r w:rsidRPr="008D45EF">
        <w:rPr>
          <w:sz w:val="24"/>
          <w:szCs w:val="24"/>
        </w:rPr>
        <w:t>Tiden til progression (TTP) var signifikant længere i AT-armen i forhold til AC-armen, p = 0,0138. TTP-medianen var 37,3 uger (95 %CI: 33,4</w:t>
      </w:r>
      <w:r w:rsidRPr="008D45EF">
        <w:rPr>
          <w:sz w:val="24"/>
          <w:szCs w:val="24"/>
        </w:rPr>
        <w:noBreakHyphen/>
        <w:t>42,1) i AT-armen og 31,9 uger (95 %CI: 27,4</w:t>
      </w:r>
      <w:r w:rsidRPr="008D45EF">
        <w:rPr>
          <w:sz w:val="24"/>
          <w:szCs w:val="24"/>
        </w:rPr>
        <w:noBreakHyphen/>
        <w:t>36,0) i AC-armen.</w:t>
      </w:r>
    </w:p>
    <w:p w14:paraId="3EBFE04D" w14:textId="77777777" w:rsidR="00D22BF6" w:rsidRPr="003D4A39" w:rsidRDefault="00D22BF6" w:rsidP="00D22BF6">
      <w:pPr>
        <w:numPr>
          <w:ilvl w:val="0"/>
          <w:numId w:val="18"/>
        </w:numPr>
        <w:ind w:left="1276" w:hanging="425"/>
        <w:rPr>
          <w:sz w:val="24"/>
          <w:szCs w:val="24"/>
        </w:rPr>
      </w:pPr>
      <w:r w:rsidRPr="003D4A39">
        <w:rPr>
          <w:sz w:val="24"/>
          <w:szCs w:val="24"/>
        </w:rPr>
        <w:t>Den totale responshyppighed var signifikant højere i AT-armen i forhold til AC-armen, p = 0,009. Total responshyppighed var 59,3 % (95 % CI: 52,8</w:t>
      </w:r>
      <w:r w:rsidRPr="003D4A39">
        <w:rPr>
          <w:sz w:val="24"/>
          <w:szCs w:val="24"/>
        </w:rPr>
        <w:noBreakHyphen/>
        <w:t>65,9) I AT-armen i forhold til 46,5 % (95 % CI: 39,8</w:t>
      </w:r>
      <w:r w:rsidRPr="003D4A39">
        <w:rPr>
          <w:sz w:val="24"/>
          <w:szCs w:val="24"/>
        </w:rPr>
        <w:noBreakHyphen/>
        <w:t>53,2) i AC-armen.</w:t>
      </w:r>
    </w:p>
    <w:p w14:paraId="494EEB1A" w14:textId="77777777" w:rsidR="006B34A1" w:rsidRPr="008D45EF" w:rsidRDefault="006B34A1" w:rsidP="0081699D">
      <w:pPr>
        <w:ind w:left="851"/>
        <w:rPr>
          <w:sz w:val="24"/>
          <w:szCs w:val="24"/>
        </w:rPr>
      </w:pPr>
    </w:p>
    <w:p w14:paraId="739E1B5C" w14:textId="77777777" w:rsidR="006B34A1" w:rsidRPr="008D45EF" w:rsidRDefault="006B34A1" w:rsidP="0081699D">
      <w:pPr>
        <w:ind w:left="851"/>
        <w:rPr>
          <w:sz w:val="24"/>
          <w:szCs w:val="24"/>
        </w:rPr>
      </w:pPr>
      <w:r w:rsidRPr="008D45EF">
        <w:rPr>
          <w:sz w:val="24"/>
          <w:szCs w:val="24"/>
        </w:rPr>
        <w:t xml:space="preserve">I dette studie viste AT-armen en hyppigere forekomst af alvorlig neutropeni (90 % </w:t>
      </w:r>
      <w:r w:rsidRPr="008D45EF">
        <w:rPr>
          <w:i/>
          <w:iCs/>
          <w:sz w:val="24"/>
          <w:szCs w:val="24"/>
        </w:rPr>
        <w:t xml:space="preserve">versus </w:t>
      </w:r>
      <w:r w:rsidRPr="008D45EF">
        <w:rPr>
          <w:sz w:val="24"/>
          <w:szCs w:val="24"/>
        </w:rPr>
        <w:t xml:space="preserve">68,6 %), febril neutropeni (33,3 % </w:t>
      </w:r>
      <w:r w:rsidRPr="008D45EF">
        <w:rPr>
          <w:i/>
          <w:iCs/>
          <w:sz w:val="24"/>
          <w:szCs w:val="24"/>
        </w:rPr>
        <w:t xml:space="preserve">versus </w:t>
      </w:r>
      <w:r w:rsidRPr="008D45EF">
        <w:rPr>
          <w:sz w:val="24"/>
          <w:szCs w:val="24"/>
        </w:rPr>
        <w:t xml:space="preserve">10 %), infektion (8 % </w:t>
      </w:r>
      <w:r w:rsidRPr="008D45EF">
        <w:rPr>
          <w:i/>
          <w:iCs/>
          <w:sz w:val="24"/>
          <w:szCs w:val="24"/>
        </w:rPr>
        <w:t xml:space="preserve">versus </w:t>
      </w:r>
      <w:r w:rsidRPr="008D45EF">
        <w:rPr>
          <w:sz w:val="24"/>
          <w:szCs w:val="24"/>
        </w:rPr>
        <w:t xml:space="preserve">2,4 %), diarré (7,5 % </w:t>
      </w:r>
      <w:r w:rsidRPr="008D45EF">
        <w:rPr>
          <w:i/>
          <w:iCs/>
          <w:sz w:val="24"/>
          <w:szCs w:val="24"/>
        </w:rPr>
        <w:t xml:space="preserve">versus </w:t>
      </w:r>
      <w:r w:rsidRPr="008D45EF">
        <w:rPr>
          <w:sz w:val="24"/>
          <w:szCs w:val="24"/>
        </w:rPr>
        <w:t xml:space="preserve">1,4 %), asteni (8,5 % </w:t>
      </w:r>
      <w:r w:rsidRPr="008D45EF">
        <w:rPr>
          <w:i/>
          <w:iCs/>
          <w:sz w:val="24"/>
          <w:szCs w:val="24"/>
        </w:rPr>
        <w:t xml:space="preserve">versus </w:t>
      </w:r>
      <w:r w:rsidRPr="008D45EF">
        <w:rPr>
          <w:sz w:val="24"/>
          <w:szCs w:val="24"/>
        </w:rPr>
        <w:t xml:space="preserve">2,4 %) og smerter (2,8 % </w:t>
      </w:r>
      <w:r w:rsidRPr="008D45EF">
        <w:rPr>
          <w:i/>
          <w:iCs/>
          <w:sz w:val="24"/>
          <w:szCs w:val="24"/>
        </w:rPr>
        <w:t xml:space="preserve">versus </w:t>
      </w:r>
      <w:r w:rsidRPr="008D45EF">
        <w:rPr>
          <w:sz w:val="24"/>
          <w:szCs w:val="24"/>
        </w:rPr>
        <w:t xml:space="preserve">0 %) end AC-armen. På den anden side viste AC-armen en hyppigere forekomst af alvorlig anæmi (15,8 % </w:t>
      </w:r>
      <w:r w:rsidRPr="008D45EF">
        <w:rPr>
          <w:i/>
          <w:iCs/>
          <w:sz w:val="24"/>
          <w:szCs w:val="24"/>
        </w:rPr>
        <w:t xml:space="preserve">versus </w:t>
      </w:r>
      <w:r w:rsidRPr="008D45EF">
        <w:rPr>
          <w:sz w:val="24"/>
          <w:szCs w:val="24"/>
        </w:rPr>
        <w:t xml:space="preserve">8,5 %) end AT-armen og tillige en hyppigere forekomst af alvorlig hjertetoksicitet: Hjerteinsufficiens (3,8 % </w:t>
      </w:r>
      <w:r w:rsidRPr="008D45EF">
        <w:rPr>
          <w:i/>
          <w:iCs/>
          <w:sz w:val="24"/>
          <w:szCs w:val="24"/>
        </w:rPr>
        <w:t xml:space="preserve">versus </w:t>
      </w:r>
      <w:r w:rsidRPr="008D45EF">
        <w:rPr>
          <w:sz w:val="24"/>
          <w:szCs w:val="24"/>
        </w:rPr>
        <w:t xml:space="preserve">2,8 %), total LVEF-nedsættelse ≥ 20 % (13,1 % </w:t>
      </w:r>
      <w:r w:rsidRPr="008D45EF">
        <w:rPr>
          <w:i/>
          <w:iCs/>
          <w:sz w:val="24"/>
          <w:szCs w:val="24"/>
        </w:rPr>
        <w:t xml:space="preserve">versus </w:t>
      </w:r>
      <w:r w:rsidRPr="008D45EF">
        <w:rPr>
          <w:sz w:val="24"/>
          <w:szCs w:val="24"/>
        </w:rPr>
        <w:t>6,1 %), total LVEF-nedsættelse</w:t>
      </w:r>
      <w:r>
        <w:rPr>
          <w:sz w:val="24"/>
          <w:szCs w:val="24"/>
        </w:rPr>
        <w:t xml:space="preserve"> </w:t>
      </w:r>
      <w:r w:rsidRPr="008D45EF">
        <w:rPr>
          <w:sz w:val="24"/>
          <w:szCs w:val="24"/>
        </w:rPr>
        <w:t xml:space="preserve">≥ 30 % (6,2 % </w:t>
      </w:r>
      <w:r w:rsidRPr="008D45EF">
        <w:rPr>
          <w:i/>
          <w:iCs/>
          <w:sz w:val="24"/>
          <w:szCs w:val="24"/>
        </w:rPr>
        <w:t xml:space="preserve">versus </w:t>
      </w:r>
      <w:r w:rsidRPr="008D45EF">
        <w:rPr>
          <w:sz w:val="24"/>
          <w:szCs w:val="24"/>
        </w:rPr>
        <w:t>1,1 %). Toksisk død forekom hos 1 patient i AT-armen (hjerteinsufficiens) og i 4 patienter i AC-armen (1 på grund af septisk shock og 3 på grund af hjerteinsufficiens). I begge arme var livskvaliteten målt via et EORTC-spørgeskema sammenlignelig og stabil under behandling og opfølgning.</w:t>
      </w:r>
    </w:p>
    <w:p w14:paraId="138C8D3D" w14:textId="77777777" w:rsidR="006B34A1" w:rsidRPr="008D45EF" w:rsidRDefault="006B34A1" w:rsidP="0081699D">
      <w:pPr>
        <w:ind w:left="851"/>
        <w:rPr>
          <w:sz w:val="24"/>
          <w:szCs w:val="24"/>
        </w:rPr>
      </w:pPr>
    </w:p>
    <w:p w14:paraId="12131788" w14:textId="5F36D4D6" w:rsidR="006B34A1" w:rsidRPr="00D22BF6" w:rsidRDefault="006B34A1" w:rsidP="0081699D">
      <w:pPr>
        <w:ind w:left="851"/>
        <w:rPr>
          <w:i/>
          <w:iCs/>
          <w:sz w:val="24"/>
          <w:szCs w:val="24"/>
        </w:rPr>
      </w:pPr>
      <w:r w:rsidRPr="00D22BF6">
        <w:rPr>
          <w:i/>
          <w:iCs/>
          <w:sz w:val="24"/>
          <w:szCs w:val="24"/>
        </w:rPr>
        <w:t>Docetaxel i kombination med trastuzumab</w:t>
      </w:r>
    </w:p>
    <w:p w14:paraId="558FF580" w14:textId="77777777" w:rsidR="00D22BF6" w:rsidRPr="003F7CA6" w:rsidRDefault="00D22BF6" w:rsidP="0081699D">
      <w:pPr>
        <w:ind w:left="851"/>
        <w:rPr>
          <w:sz w:val="24"/>
          <w:szCs w:val="24"/>
          <w:u w:val="single"/>
        </w:rPr>
      </w:pPr>
    </w:p>
    <w:p w14:paraId="789E5739" w14:textId="0C96E6A7" w:rsidR="00D22BF6" w:rsidRPr="003D4A39" w:rsidRDefault="00D22BF6" w:rsidP="00D22BF6">
      <w:pPr>
        <w:ind w:left="851"/>
        <w:rPr>
          <w:sz w:val="24"/>
          <w:szCs w:val="24"/>
        </w:rPr>
      </w:pPr>
      <w:r w:rsidRPr="003D4A39">
        <w:rPr>
          <w:sz w:val="24"/>
          <w:szCs w:val="24"/>
        </w:rPr>
        <w:t>Docetaxel i kombination med trastuzumab blev undersøgt til behandling af patienter med metastatisk brystkræft, hvis tumorer var HER2-positive, og som ikke tidligere havde fået kemoterapi for metastatisk sygdom. 186 patienter blev randomiseret til at få docetaxel (100 mg/m²) med eller uden trastuzumab. 60 % af patienter fik først antracy</w:t>
      </w:r>
      <w:r>
        <w:rPr>
          <w:sz w:val="24"/>
          <w:szCs w:val="24"/>
        </w:rPr>
        <w:t>k</w:t>
      </w:r>
      <w:r w:rsidRPr="003D4A39">
        <w:rPr>
          <w:sz w:val="24"/>
          <w:szCs w:val="24"/>
        </w:rPr>
        <w:t>linbaseret adjuverende kemoterapi. docetaxel + trastuzumab var effektivt til patienterne, uanset om de havde fået adjuverende antracy</w:t>
      </w:r>
      <w:r>
        <w:rPr>
          <w:sz w:val="24"/>
          <w:szCs w:val="24"/>
        </w:rPr>
        <w:t>k</w:t>
      </w:r>
      <w:r w:rsidRPr="003D4A39">
        <w:rPr>
          <w:sz w:val="24"/>
          <w:szCs w:val="24"/>
        </w:rPr>
        <w:t xml:space="preserve">lin eller ikke. Den primære testmetode, som blev anvendt til at bestemme HER2-positivitet i dette pivotalstudie var immunhistokemi (IHC). En mindre del af patienterne blev testet ved hjælp af </w:t>
      </w:r>
      <w:r w:rsidRPr="005D4D80">
        <w:rPr>
          <w:i/>
          <w:iCs/>
          <w:sz w:val="24"/>
          <w:szCs w:val="24"/>
        </w:rPr>
        <w:t xml:space="preserve">fluoroscence in situ hybridization </w:t>
      </w:r>
      <w:r w:rsidRPr="003D4A39">
        <w:rPr>
          <w:sz w:val="24"/>
          <w:szCs w:val="24"/>
        </w:rPr>
        <w:t>(FISH). I dette studium havde 87 % af patienterne sygdom, som var IHC 3+, og 95 % af de inkluderede patienter havde sygdom, som var IHC 3+ og/eller patienterne var FISH positive. Resultaterne af effekten er opsummeret i den følgende tabel:</w:t>
      </w:r>
      <w:r>
        <w:rPr>
          <w:sz w:val="24"/>
          <w:szCs w:val="24"/>
        </w:rPr>
        <w:t xml:space="preserve"> </w:t>
      </w:r>
    </w:p>
    <w:p w14:paraId="540001CB" w14:textId="77777777" w:rsidR="006B34A1" w:rsidRPr="008D45EF" w:rsidRDefault="006B34A1" w:rsidP="0081699D">
      <w:pPr>
        <w:ind w:left="851"/>
        <w:rPr>
          <w:sz w:val="24"/>
          <w:szCs w:val="24"/>
        </w:rPr>
      </w:pPr>
    </w:p>
    <w:tbl>
      <w:tblPr>
        <w:tblW w:w="4556" w:type="pct"/>
        <w:tblInd w:w="856" w:type="dxa"/>
        <w:tblCellMar>
          <w:left w:w="0" w:type="dxa"/>
          <w:right w:w="0" w:type="dxa"/>
        </w:tblCellMar>
        <w:tblLook w:val="04A0" w:firstRow="1" w:lastRow="0" w:firstColumn="1" w:lastColumn="0" w:noHBand="0" w:noVBand="1"/>
      </w:tblPr>
      <w:tblGrid>
        <w:gridCol w:w="3535"/>
        <w:gridCol w:w="2971"/>
        <w:gridCol w:w="2267"/>
      </w:tblGrid>
      <w:tr w:rsidR="00D22BF6" w:rsidRPr="003D4A39" w14:paraId="604F3E71" w14:textId="77777777" w:rsidTr="00D22BF6">
        <w:trPr>
          <w:trHeight w:val="20"/>
        </w:trPr>
        <w:tc>
          <w:tcPr>
            <w:tcW w:w="2015" w:type="pct"/>
            <w:tcBorders>
              <w:top w:val="single" w:sz="4" w:space="0" w:color="000000"/>
              <w:left w:val="single" w:sz="4" w:space="0" w:color="000000"/>
              <w:bottom w:val="single" w:sz="4" w:space="0" w:color="000000"/>
              <w:right w:val="single" w:sz="4" w:space="0" w:color="000000"/>
            </w:tcBorders>
            <w:hideMark/>
          </w:tcPr>
          <w:p w14:paraId="354F4D57" w14:textId="77777777" w:rsidR="00D22BF6" w:rsidRPr="003D4A39" w:rsidRDefault="00D22BF6" w:rsidP="00D22BF6">
            <w:pPr>
              <w:keepNext/>
              <w:ind w:left="142"/>
              <w:rPr>
                <w:sz w:val="24"/>
                <w:szCs w:val="24"/>
              </w:rPr>
            </w:pPr>
            <w:r w:rsidRPr="003D4A39">
              <w:rPr>
                <w:sz w:val="24"/>
                <w:szCs w:val="24"/>
              </w:rPr>
              <w:t>Parameter</w:t>
            </w:r>
          </w:p>
        </w:tc>
        <w:tc>
          <w:tcPr>
            <w:tcW w:w="1693" w:type="pct"/>
            <w:tcBorders>
              <w:top w:val="single" w:sz="4" w:space="0" w:color="000000"/>
              <w:left w:val="single" w:sz="4" w:space="0" w:color="000000"/>
              <w:bottom w:val="single" w:sz="4" w:space="0" w:color="000000"/>
              <w:right w:val="single" w:sz="4" w:space="0" w:color="000000"/>
            </w:tcBorders>
            <w:hideMark/>
          </w:tcPr>
          <w:p w14:paraId="3E56E211" w14:textId="77777777" w:rsidR="00D22BF6" w:rsidRPr="003D4A39" w:rsidRDefault="00D22BF6" w:rsidP="00D22BF6">
            <w:pPr>
              <w:keepNext/>
              <w:ind w:left="142"/>
              <w:rPr>
                <w:sz w:val="24"/>
                <w:szCs w:val="24"/>
              </w:rPr>
            </w:pPr>
            <w:r w:rsidRPr="003D4A39">
              <w:rPr>
                <w:sz w:val="24"/>
                <w:szCs w:val="24"/>
              </w:rPr>
              <w:t>Docetaxel plus trastuzumab</w:t>
            </w:r>
            <w:r w:rsidRPr="003D4A39">
              <w:rPr>
                <w:sz w:val="24"/>
                <w:szCs w:val="24"/>
                <w:vertAlign w:val="superscript"/>
              </w:rPr>
              <w:t>1</w:t>
            </w:r>
          </w:p>
          <w:p w14:paraId="262B6963" w14:textId="3B5D140D" w:rsidR="00D22BF6" w:rsidRPr="003D4A39" w:rsidRDefault="00D22BF6" w:rsidP="00D22BF6">
            <w:pPr>
              <w:keepNext/>
              <w:ind w:left="142"/>
              <w:rPr>
                <w:sz w:val="24"/>
                <w:szCs w:val="24"/>
              </w:rPr>
            </w:pPr>
            <w:r>
              <w:rPr>
                <w:sz w:val="24"/>
                <w:szCs w:val="24"/>
              </w:rPr>
              <w:t xml:space="preserve">n </w:t>
            </w:r>
            <w:r w:rsidRPr="003D4A39">
              <w:rPr>
                <w:sz w:val="24"/>
                <w:szCs w:val="24"/>
              </w:rPr>
              <w:t>=</w:t>
            </w:r>
            <w:r>
              <w:rPr>
                <w:sz w:val="24"/>
                <w:szCs w:val="24"/>
              </w:rPr>
              <w:t xml:space="preserve"> </w:t>
            </w:r>
            <w:r w:rsidRPr="003D4A39">
              <w:rPr>
                <w:sz w:val="24"/>
                <w:szCs w:val="24"/>
              </w:rPr>
              <w:t>92</w:t>
            </w:r>
          </w:p>
        </w:tc>
        <w:tc>
          <w:tcPr>
            <w:tcW w:w="1292" w:type="pct"/>
            <w:tcBorders>
              <w:top w:val="single" w:sz="4" w:space="0" w:color="000000"/>
              <w:left w:val="single" w:sz="4" w:space="0" w:color="000000"/>
              <w:bottom w:val="single" w:sz="4" w:space="0" w:color="000000"/>
              <w:right w:val="single" w:sz="4" w:space="0" w:color="000000"/>
            </w:tcBorders>
            <w:hideMark/>
          </w:tcPr>
          <w:p w14:paraId="6A76D22E" w14:textId="77777777" w:rsidR="00D22BF6" w:rsidRPr="003D4A39" w:rsidRDefault="00D22BF6" w:rsidP="00D22BF6">
            <w:pPr>
              <w:keepNext/>
              <w:ind w:left="142"/>
              <w:rPr>
                <w:sz w:val="24"/>
                <w:szCs w:val="24"/>
              </w:rPr>
            </w:pPr>
            <w:r w:rsidRPr="003D4A39">
              <w:rPr>
                <w:sz w:val="24"/>
                <w:szCs w:val="24"/>
              </w:rPr>
              <w:t>Docetaxel</w:t>
            </w:r>
            <w:r w:rsidRPr="003D4A39">
              <w:rPr>
                <w:sz w:val="24"/>
                <w:szCs w:val="24"/>
                <w:vertAlign w:val="superscript"/>
              </w:rPr>
              <w:t>1</w:t>
            </w:r>
          </w:p>
          <w:p w14:paraId="6B6A1908" w14:textId="621350F0" w:rsidR="00D22BF6" w:rsidRPr="003D4A39" w:rsidRDefault="00D22BF6" w:rsidP="00D22BF6">
            <w:pPr>
              <w:keepNext/>
              <w:ind w:left="142"/>
              <w:rPr>
                <w:sz w:val="24"/>
                <w:szCs w:val="24"/>
              </w:rPr>
            </w:pPr>
            <w:r>
              <w:rPr>
                <w:sz w:val="24"/>
                <w:szCs w:val="24"/>
              </w:rPr>
              <w:t xml:space="preserve">n </w:t>
            </w:r>
            <w:r w:rsidRPr="003D4A39">
              <w:rPr>
                <w:sz w:val="24"/>
                <w:szCs w:val="24"/>
              </w:rPr>
              <w:t>=</w:t>
            </w:r>
            <w:r>
              <w:rPr>
                <w:sz w:val="24"/>
                <w:szCs w:val="24"/>
              </w:rPr>
              <w:t xml:space="preserve"> </w:t>
            </w:r>
            <w:r w:rsidRPr="003D4A39">
              <w:rPr>
                <w:sz w:val="24"/>
                <w:szCs w:val="24"/>
              </w:rPr>
              <w:t>94</w:t>
            </w:r>
          </w:p>
        </w:tc>
      </w:tr>
      <w:tr w:rsidR="00D22BF6" w:rsidRPr="003D4A39" w14:paraId="081D8B5E" w14:textId="77777777" w:rsidTr="00D22BF6">
        <w:trPr>
          <w:trHeight w:val="20"/>
        </w:trPr>
        <w:tc>
          <w:tcPr>
            <w:tcW w:w="2015" w:type="pct"/>
            <w:tcBorders>
              <w:top w:val="single" w:sz="4" w:space="0" w:color="000000"/>
              <w:left w:val="single" w:sz="4" w:space="0" w:color="000000"/>
              <w:bottom w:val="nil"/>
              <w:right w:val="single" w:sz="4" w:space="0" w:color="000000"/>
            </w:tcBorders>
            <w:hideMark/>
          </w:tcPr>
          <w:p w14:paraId="5B1B5CAD" w14:textId="1A14FFC0" w:rsidR="00D22BF6" w:rsidRPr="003D4A39" w:rsidRDefault="00D22BF6" w:rsidP="00D22BF6">
            <w:pPr>
              <w:keepNext/>
              <w:ind w:left="142"/>
              <w:rPr>
                <w:sz w:val="24"/>
                <w:szCs w:val="24"/>
              </w:rPr>
            </w:pPr>
            <w:r w:rsidRPr="003D4A39">
              <w:rPr>
                <w:sz w:val="24"/>
                <w:szCs w:val="24"/>
              </w:rPr>
              <w:t>Responsrate</w:t>
            </w:r>
          </w:p>
        </w:tc>
        <w:tc>
          <w:tcPr>
            <w:tcW w:w="1693" w:type="pct"/>
            <w:tcBorders>
              <w:top w:val="single" w:sz="4" w:space="0" w:color="000000"/>
              <w:left w:val="single" w:sz="4" w:space="0" w:color="000000"/>
              <w:bottom w:val="nil"/>
              <w:right w:val="single" w:sz="4" w:space="0" w:color="000000"/>
            </w:tcBorders>
            <w:hideMark/>
          </w:tcPr>
          <w:p w14:paraId="43BF3AB4" w14:textId="77777777" w:rsidR="00D22BF6" w:rsidRPr="003D4A39" w:rsidRDefault="00D22BF6" w:rsidP="00D22BF6">
            <w:pPr>
              <w:keepNext/>
              <w:ind w:left="142"/>
              <w:rPr>
                <w:sz w:val="24"/>
                <w:szCs w:val="24"/>
              </w:rPr>
            </w:pPr>
            <w:r w:rsidRPr="003D4A39">
              <w:rPr>
                <w:sz w:val="24"/>
                <w:szCs w:val="24"/>
              </w:rPr>
              <w:t>61 %</w:t>
            </w:r>
          </w:p>
        </w:tc>
        <w:tc>
          <w:tcPr>
            <w:tcW w:w="1292" w:type="pct"/>
            <w:tcBorders>
              <w:top w:val="single" w:sz="4" w:space="0" w:color="000000"/>
              <w:left w:val="single" w:sz="4" w:space="0" w:color="000000"/>
              <w:bottom w:val="nil"/>
              <w:right w:val="single" w:sz="4" w:space="0" w:color="000000"/>
            </w:tcBorders>
            <w:hideMark/>
          </w:tcPr>
          <w:p w14:paraId="1A3BEDC6" w14:textId="77777777" w:rsidR="00D22BF6" w:rsidRPr="003D4A39" w:rsidRDefault="00D22BF6" w:rsidP="00D22BF6">
            <w:pPr>
              <w:keepNext/>
              <w:ind w:left="142"/>
              <w:rPr>
                <w:sz w:val="24"/>
                <w:szCs w:val="24"/>
              </w:rPr>
            </w:pPr>
            <w:r w:rsidRPr="003D4A39">
              <w:rPr>
                <w:sz w:val="24"/>
                <w:szCs w:val="24"/>
              </w:rPr>
              <w:t>34 %</w:t>
            </w:r>
          </w:p>
        </w:tc>
      </w:tr>
      <w:tr w:rsidR="00D22BF6" w:rsidRPr="003D4A39" w14:paraId="29D00BB4" w14:textId="77777777" w:rsidTr="00D22BF6">
        <w:trPr>
          <w:trHeight w:val="20"/>
        </w:trPr>
        <w:tc>
          <w:tcPr>
            <w:tcW w:w="2015" w:type="pct"/>
            <w:tcBorders>
              <w:top w:val="nil"/>
              <w:left w:val="single" w:sz="4" w:space="0" w:color="000000"/>
              <w:bottom w:val="single" w:sz="4" w:space="0" w:color="000000"/>
              <w:right w:val="single" w:sz="4" w:space="0" w:color="000000"/>
            </w:tcBorders>
            <w:hideMark/>
          </w:tcPr>
          <w:p w14:paraId="70783EBB" w14:textId="77777777" w:rsidR="00D22BF6" w:rsidRPr="003D4A39" w:rsidRDefault="00D22BF6" w:rsidP="00D22BF6">
            <w:pPr>
              <w:keepNext/>
              <w:ind w:left="142"/>
              <w:rPr>
                <w:sz w:val="24"/>
                <w:szCs w:val="24"/>
              </w:rPr>
            </w:pPr>
            <w:r w:rsidRPr="003D4A39">
              <w:rPr>
                <w:sz w:val="24"/>
                <w:szCs w:val="24"/>
              </w:rPr>
              <w:t>(95 % CI)</w:t>
            </w:r>
          </w:p>
        </w:tc>
        <w:tc>
          <w:tcPr>
            <w:tcW w:w="1693" w:type="pct"/>
            <w:tcBorders>
              <w:top w:val="nil"/>
              <w:left w:val="single" w:sz="4" w:space="0" w:color="000000"/>
              <w:bottom w:val="single" w:sz="4" w:space="0" w:color="000000"/>
              <w:right w:val="single" w:sz="4" w:space="0" w:color="000000"/>
            </w:tcBorders>
            <w:hideMark/>
          </w:tcPr>
          <w:p w14:paraId="500B84DE" w14:textId="77777777" w:rsidR="00D22BF6" w:rsidRPr="003D4A39" w:rsidRDefault="00D22BF6" w:rsidP="00D22BF6">
            <w:pPr>
              <w:keepNext/>
              <w:ind w:left="142"/>
              <w:rPr>
                <w:sz w:val="24"/>
                <w:szCs w:val="24"/>
              </w:rPr>
            </w:pPr>
            <w:r w:rsidRPr="003D4A39">
              <w:rPr>
                <w:sz w:val="24"/>
                <w:szCs w:val="24"/>
              </w:rPr>
              <w:t>(50</w:t>
            </w:r>
            <w:r w:rsidRPr="003D4A39">
              <w:rPr>
                <w:sz w:val="24"/>
                <w:szCs w:val="24"/>
              </w:rPr>
              <w:noBreakHyphen/>
              <w:t>71)</w:t>
            </w:r>
          </w:p>
        </w:tc>
        <w:tc>
          <w:tcPr>
            <w:tcW w:w="1292" w:type="pct"/>
            <w:tcBorders>
              <w:top w:val="nil"/>
              <w:left w:val="single" w:sz="4" w:space="0" w:color="000000"/>
              <w:bottom w:val="single" w:sz="4" w:space="0" w:color="000000"/>
              <w:right w:val="single" w:sz="4" w:space="0" w:color="000000"/>
            </w:tcBorders>
            <w:hideMark/>
          </w:tcPr>
          <w:p w14:paraId="64F51914" w14:textId="77777777" w:rsidR="00D22BF6" w:rsidRPr="003D4A39" w:rsidRDefault="00D22BF6" w:rsidP="00D22BF6">
            <w:pPr>
              <w:keepNext/>
              <w:ind w:left="142"/>
              <w:rPr>
                <w:sz w:val="24"/>
                <w:szCs w:val="24"/>
              </w:rPr>
            </w:pPr>
            <w:r w:rsidRPr="003D4A39">
              <w:rPr>
                <w:sz w:val="24"/>
                <w:szCs w:val="24"/>
              </w:rPr>
              <w:t>(25</w:t>
            </w:r>
            <w:r w:rsidRPr="003D4A39">
              <w:rPr>
                <w:sz w:val="24"/>
                <w:szCs w:val="24"/>
              </w:rPr>
              <w:noBreakHyphen/>
              <w:t>45)</w:t>
            </w:r>
          </w:p>
        </w:tc>
      </w:tr>
      <w:tr w:rsidR="00D22BF6" w:rsidRPr="003D4A39" w14:paraId="555BF227" w14:textId="77777777" w:rsidTr="00D22BF6">
        <w:trPr>
          <w:trHeight w:val="20"/>
        </w:trPr>
        <w:tc>
          <w:tcPr>
            <w:tcW w:w="2015" w:type="pct"/>
            <w:tcBorders>
              <w:top w:val="single" w:sz="4" w:space="0" w:color="000000"/>
              <w:left w:val="single" w:sz="4" w:space="0" w:color="000000"/>
              <w:bottom w:val="nil"/>
              <w:right w:val="single" w:sz="4" w:space="0" w:color="000000"/>
            </w:tcBorders>
            <w:hideMark/>
          </w:tcPr>
          <w:p w14:paraId="2D5DC066" w14:textId="77777777" w:rsidR="00D22BF6" w:rsidRPr="003D4A39" w:rsidRDefault="00D22BF6" w:rsidP="00D22BF6">
            <w:pPr>
              <w:keepNext/>
              <w:ind w:left="142"/>
              <w:rPr>
                <w:sz w:val="24"/>
                <w:szCs w:val="24"/>
              </w:rPr>
            </w:pPr>
            <w:r w:rsidRPr="003D4A39">
              <w:rPr>
                <w:sz w:val="24"/>
                <w:szCs w:val="24"/>
              </w:rPr>
              <w:t>Gennemsnitlig varighed af respons</w:t>
            </w:r>
          </w:p>
        </w:tc>
        <w:tc>
          <w:tcPr>
            <w:tcW w:w="1693" w:type="pct"/>
            <w:vMerge w:val="restart"/>
            <w:tcBorders>
              <w:top w:val="single" w:sz="4" w:space="0" w:color="000000"/>
              <w:left w:val="single" w:sz="4" w:space="0" w:color="000000"/>
              <w:bottom w:val="nil"/>
              <w:right w:val="single" w:sz="4" w:space="0" w:color="000000"/>
            </w:tcBorders>
          </w:tcPr>
          <w:p w14:paraId="00AAD1E4" w14:textId="77777777" w:rsidR="00D22BF6" w:rsidRPr="003D4A39" w:rsidRDefault="00D22BF6" w:rsidP="00D22BF6">
            <w:pPr>
              <w:keepNext/>
              <w:ind w:left="142"/>
              <w:rPr>
                <w:sz w:val="24"/>
                <w:szCs w:val="24"/>
              </w:rPr>
            </w:pPr>
          </w:p>
          <w:p w14:paraId="3442BA39" w14:textId="77777777" w:rsidR="00D22BF6" w:rsidRPr="003D4A39" w:rsidRDefault="00D22BF6" w:rsidP="00D22BF6">
            <w:pPr>
              <w:keepNext/>
              <w:ind w:left="142"/>
              <w:rPr>
                <w:sz w:val="24"/>
                <w:szCs w:val="24"/>
              </w:rPr>
            </w:pPr>
            <w:r w:rsidRPr="003D4A39">
              <w:rPr>
                <w:sz w:val="24"/>
                <w:szCs w:val="24"/>
              </w:rPr>
              <w:t>11,4</w:t>
            </w:r>
          </w:p>
        </w:tc>
        <w:tc>
          <w:tcPr>
            <w:tcW w:w="1292" w:type="pct"/>
            <w:vMerge w:val="restart"/>
            <w:tcBorders>
              <w:top w:val="single" w:sz="4" w:space="0" w:color="000000"/>
              <w:left w:val="single" w:sz="4" w:space="0" w:color="000000"/>
              <w:bottom w:val="nil"/>
              <w:right w:val="single" w:sz="4" w:space="0" w:color="000000"/>
            </w:tcBorders>
          </w:tcPr>
          <w:p w14:paraId="7EEEDE7E" w14:textId="77777777" w:rsidR="00D22BF6" w:rsidRPr="003D4A39" w:rsidRDefault="00D22BF6" w:rsidP="00D22BF6">
            <w:pPr>
              <w:keepNext/>
              <w:ind w:left="142"/>
              <w:rPr>
                <w:sz w:val="24"/>
                <w:szCs w:val="24"/>
              </w:rPr>
            </w:pPr>
          </w:p>
          <w:p w14:paraId="2CDA7F8C" w14:textId="77777777" w:rsidR="00D22BF6" w:rsidRPr="003D4A39" w:rsidRDefault="00D22BF6" w:rsidP="00D22BF6">
            <w:pPr>
              <w:keepNext/>
              <w:ind w:left="142"/>
              <w:rPr>
                <w:sz w:val="24"/>
                <w:szCs w:val="24"/>
              </w:rPr>
            </w:pPr>
            <w:r w:rsidRPr="003D4A39">
              <w:rPr>
                <w:sz w:val="24"/>
                <w:szCs w:val="24"/>
              </w:rPr>
              <w:t>5,1</w:t>
            </w:r>
          </w:p>
        </w:tc>
      </w:tr>
      <w:tr w:rsidR="00D22BF6" w:rsidRPr="003D4A39" w14:paraId="7E744B86" w14:textId="77777777" w:rsidTr="00D22BF6">
        <w:trPr>
          <w:trHeight w:val="20"/>
        </w:trPr>
        <w:tc>
          <w:tcPr>
            <w:tcW w:w="2015" w:type="pct"/>
            <w:tcBorders>
              <w:top w:val="nil"/>
              <w:left w:val="single" w:sz="4" w:space="0" w:color="000000"/>
              <w:bottom w:val="nil"/>
              <w:right w:val="single" w:sz="4" w:space="0" w:color="000000"/>
            </w:tcBorders>
            <w:hideMark/>
          </w:tcPr>
          <w:p w14:paraId="4365A945" w14:textId="77777777" w:rsidR="00D22BF6" w:rsidRPr="003D4A39" w:rsidRDefault="00D22BF6" w:rsidP="00D22BF6">
            <w:pPr>
              <w:keepNext/>
              <w:ind w:left="142"/>
              <w:rPr>
                <w:sz w:val="24"/>
                <w:szCs w:val="24"/>
              </w:rPr>
            </w:pPr>
            <w:r w:rsidRPr="003D4A39">
              <w:rPr>
                <w:sz w:val="24"/>
                <w:szCs w:val="24"/>
              </w:rPr>
              <w:t>(måneder)</w:t>
            </w:r>
          </w:p>
        </w:tc>
        <w:tc>
          <w:tcPr>
            <w:tcW w:w="1693" w:type="pct"/>
            <w:vMerge/>
            <w:tcBorders>
              <w:top w:val="single" w:sz="4" w:space="0" w:color="000000"/>
              <w:left w:val="single" w:sz="4" w:space="0" w:color="000000"/>
              <w:bottom w:val="nil"/>
              <w:right w:val="single" w:sz="4" w:space="0" w:color="000000"/>
            </w:tcBorders>
            <w:vAlign w:val="center"/>
            <w:hideMark/>
          </w:tcPr>
          <w:p w14:paraId="2E1B9382" w14:textId="77777777" w:rsidR="00D22BF6" w:rsidRPr="003D4A39" w:rsidRDefault="00D22BF6" w:rsidP="00D22BF6">
            <w:pPr>
              <w:keepNext/>
              <w:ind w:left="142"/>
              <w:rPr>
                <w:sz w:val="24"/>
                <w:szCs w:val="24"/>
              </w:rPr>
            </w:pPr>
          </w:p>
        </w:tc>
        <w:tc>
          <w:tcPr>
            <w:tcW w:w="1292" w:type="pct"/>
            <w:vMerge/>
            <w:tcBorders>
              <w:top w:val="single" w:sz="4" w:space="0" w:color="000000"/>
              <w:left w:val="single" w:sz="4" w:space="0" w:color="000000"/>
              <w:bottom w:val="nil"/>
              <w:right w:val="single" w:sz="4" w:space="0" w:color="000000"/>
            </w:tcBorders>
            <w:vAlign w:val="center"/>
            <w:hideMark/>
          </w:tcPr>
          <w:p w14:paraId="72F6BB17" w14:textId="77777777" w:rsidR="00D22BF6" w:rsidRPr="003D4A39" w:rsidRDefault="00D22BF6" w:rsidP="00D22BF6">
            <w:pPr>
              <w:keepNext/>
              <w:ind w:left="142"/>
              <w:rPr>
                <w:sz w:val="24"/>
                <w:szCs w:val="24"/>
              </w:rPr>
            </w:pPr>
          </w:p>
        </w:tc>
      </w:tr>
      <w:tr w:rsidR="00D22BF6" w:rsidRPr="003D4A39" w14:paraId="66D3E10D" w14:textId="77777777" w:rsidTr="00D22BF6">
        <w:trPr>
          <w:trHeight w:val="20"/>
        </w:trPr>
        <w:tc>
          <w:tcPr>
            <w:tcW w:w="2015" w:type="pct"/>
            <w:tcBorders>
              <w:top w:val="nil"/>
              <w:left w:val="single" w:sz="4" w:space="0" w:color="000000"/>
              <w:bottom w:val="single" w:sz="4" w:space="0" w:color="000000"/>
              <w:right w:val="single" w:sz="4" w:space="0" w:color="000000"/>
            </w:tcBorders>
            <w:hideMark/>
          </w:tcPr>
          <w:p w14:paraId="4E8262B8" w14:textId="77777777" w:rsidR="00D22BF6" w:rsidRPr="003D4A39" w:rsidRDefault="00D22BF6" w:rsidP="00D22BF6">
            <w:pPr>
              <w:keepNext/>
              <w:ind w:left="142"/>
              <w:rPr>
                <w:sz w:val="24"/>
                <w:szCs w:val="24"/>
              </w:rPr>
            </w:pPr>
            <w:r w:rsidRPr="003D4A39">
              <w:rPr>
                <w:sz w:val="24"/>
                <w:szCs w:val="24"/>
              </w:rPr>
              <w:t>(95 % CI)</w:t>
            </w:r>
          </w:p>
        </w:tc>
        <w:tc>
          <w:tcPr>
            <w:tcW w:w="1693" w:type="pct"/>
            <w:tcBorders>
              <w:top w:val="nil"/>
              <w:left w:val="single" w:sz="4" w:space="0" w:color="000000"/>
              <w:bottom w:val="single" w:sz="4" w:space="0" w:color="000000"/>
              <w:right w:val="single" w:sz="4" w:space="0" w:color="000000"/>
            </w:tcBorders>
            <w:hideMark/>
          </w:tcPr>
          <w:p w14:paraId="7B11FD3D" w14:textId="77777777" w:rsidR="00D22BF6" w:rsidRPr="003D4A39" w:rsidRDefault="00D22BF6" w:rsidP="00D22BF6">
            <w:pPr>
              <w:keepNext/>
              <w:ind w:left="142"/>
              <w:rPr>
                <w:sz w:val="24"/>
                <w:szCs w:val="24"/>
              </w:rPr>
            </w:pPr>
            <w:r w:rsidRPr="003D4A39">
              <w:rPr>
                <w:sz w:val="24"/>
                <w:szCs w:val="24"/>
              </w:rPr>
              <w:t>(9,2</w:t>
            </w:r>
            <w:r w:rsidRPr="003D4A39">
              <w:rPr>
                <w:sz w:val="24"/>
                <w:szCs w:val="24"/>
              </w:rPr>
              <w:noBreakHyphen/>
              <w:t>15,0)</w:t>
            </w:r>
          </w:p>
        </w:tc>
        <w:tc>
          <w:tcPr>
            <w:tcW w:w="1292" w:type="pct"/>
            <w:tcBorders>
              <w:top w:val="nil"/>
              <w:left w:val="single" w:sz="4" w:space="0" w:color="000000"/>
              <w:bottom w:val="single" w:sz="4" w:space="0" w:color="000000"/>
              <w:right w:val="single" w:sz="4" w:space="0" w:color="000000"/>
            </w:tcBorders>
            <w:hideMark/>
          </w:tcPr>
          <w:p w14:paraId="7C2D098A" w14:textId="77777777" w:rsidR="00D22BF6" w:rsidRPr="003D4A39" w:rsidRDefault="00D22BF6" w:rsidP="00D22BF6">
            <w:pPr>
              <w:keepNext/>
              <w:ind w:left="142"/>
              <w:rPr>
                <w:sz w:val="24"/>
                <w:szCs w:val="24"/>
              </w:rPr>
            </w:pPr>
            <w:r w:rsidRPr="003D4A39">
              <w:rPr>
                <w:sz w:val="24"/>
                <w:szCs w:val="24"/>
              </w:rPr>
              <w:t>(4,4</w:t>
            </w:r>
            <w:r w:rsidRPr="003D4A39">
              <w:rPr>
                <w:sz w:val="24"/>
                <w:szCs w:val="24"/>
              </w:rPr>
              <w:noBreakHyphen/>
              <w:t>6,2)</w:t>
            </w:r>
          </w:p>
        </w:tc>
      </w:tr>
      <w:tr w:rsidR="00D22BF6" w:rsidRPr="003D4A39" w14:paraId="32049C14" w14:textId="77777777" w:rsidTr="00D22BF6">
        <w:trPr>
          <w:trHeight w:val="20"/>
        </w:trPr>
        <w:tc>
          <w:tcPr>
            <w:tcW w:w="2015" w:type="pct"/>
            <w:tcBorders>
              <w:top w:val="single" w:sz="4" w:space="0" w:color="000000"/>
              <w:left w:val="single" w:sz="4" w:space="0" w:color="000000"/>
              <w:bottom w:val="nil"/>
              <w:right w:val="single" w:sz="4" w:space="0" w:color="000000"/>
            </w:tcBorders>
            <w:hideMark/>
          </w:tcPr>
          <w:p w14:paraId="696D9B8B" w14:textId="77777777" w:rsidR="00D22BF6" w:rsidRPr="003D4A39" w:rsidRDefault="00D22BF6" w:rsidP="00D22BF6">
            <w:pPr>
              <w:keepNext/>
              <w:ind w:left="142"/>
              <w:rPr>
                <w:sz w:val="24"/>
                <w:szCs w:val="24"/>
              </w:rPr>
            </w:pPr>
            <w:r w:rsidRPr="003D4A39">
              <w:rPr>
                <w:sz w:val="24"/>
                <w:szCs w:val="24"/>
              </w:rPr>
              <w:t>Gennemsnitlig TTP (måneder)</w:t>
            </w:r>
          </w:p>
        </w:tc>
        <w:tc>
          <w:tcPr>
            <w:tcW w:w="1693" w:type="pct"/>
            <w:tcBorders>
              <w:top w:val="single" w:sz="4" w:space="0" w:color="000000"/>
              <w:left w:val="single" w:sz="4" w:space="0" w:color="000000"/>
              <w:bottom w:val="nil"/>
              <w:right w:val="single" w:sz="4" w:space="0" w:color="000000"/>
            </w:tcBorders>
            <w:hideMark/>
          </w:tcPr>
          <w:p w14:paraId="2CF50BF3" w14:textId="77777777" w:rsidR="00D22BF6" w:rsidRPr="003D4A39" w:rsidRDefault="00D22BF6" w:rsidP="00D22BF6">
            <w:pPr>
              <w:keepNext/>
              <w:ind w:left="142"/>
              <w:rPr>
                <w:sz w:val="24"/>
                <w:szCs w:val="24"/>
              </w:rPr>
            </w:pPr>
            <w:r w:rsidRPr="003D4A39">
              <w:rPr>
                <w:sz w:val="24"/>
                <w:szCs w:val="24"/>
              </w:rPr>
              <w:t>10,6</w:t>
            </w:r>
          </w:p>
        </w:tc>
        <w:tc>
          <w:tcPr>
            <w:tcW w:w="1292" w:type="pct"/>
            <w:tcBorders>
              <w:top w:val="single" w:sz="4" w:space="0" w:color="000000"/>
              <w:left w:val="single" w:sz="4" w:space="0" w:color="000000"/>
              <w:bottom w:val="nil"/>
              <w:right w:val="single" w:sz="4" w:space="0" w:color="000000"/>
            </w:tcBorders>
            <w:hideMark/>
          </w:tcPr>
          <w:p w14:paraId="4FD824B2" w14:textId="77777777" w:rsidR="00D22BF6" w:rsidRPr="003D4A39" w:rsidRDefault="00D22BF6" w:rsidP="00D22BF6">
            <w:pPr>
              <w:keepNext/>
              <w:ind w:left="142"/>
              <w:rPr>
                <w:sz w:val="24"/>
                <w:szCs w:val="24"/>
              </w:rPr>
            </w:pPr>
            <w:r w:rsidRPr="003D4A39">
              <w:rPr>
                <w:sz w:val="24"/>
                <w:szCs w:val="24"/>
              </w:rPr>
              <w:t>5,7</w:t>
            </w:r>
          </w:p>
        </w:tc>
      </w:tr>
      <w:tr w:rsidR="00D22BF6" w:rsidRPr="003D4A39" w14:paraId="0417C382" w14:textId="77777777" w:rsidTr="00D22BF6">
        <w:trPr>
          <w:trHeight w:val="20"/>
        </w:trPr>
        <w:tc>
          <w:tcPr>
            <w:tcW w:w="2015" w:type="pct"/>
            <w:tcBorders>
              <w:top w:val="nil"/>
              <w:left w:val="single" w:sz="4" w:space="0" w:color="000000"/>
              <w:bottom w:val="single" w:sz="4" w:space="0" w:color="000000"/>
              <w:right w:val="single" w:sz="4" w:space="0" w:color="000000"/>
            </w:tcBorders>
            <w:hideMark/>
          </w:tcPr>
          <w:p w14:paraId="75E475D1" w14:textId="77777777" w:rsidR="00D22BF6" w:rsidRPr="003D4A39" w:rsidRDefault="00D22BF6" w:rsidP="00D22BF6">
            <w:pPr>
              <w:keepNext/>
              <w:ind w:left="142"/>
              <w:rPr>
                <w:sz w:val="24"/>
                <w:szCs w:val="24"/>
              </w:rPr>
            </w:pPr>
            <w:r w:rsidRPr="003D4A39">
              <w:rPr>
                <w:sz w:val="24"/>
                <w:szCs w:val="24"/>
              </w:rPr>
              <w:t>(95 % CI)</w:t>
            </w:r>
          </w:p>
        </w:tc>
        <w:tc>
          <w:tcPr>
            <w:tcW w:w="1693" w:type="pct"/>
            <w:tcBorders>
              <w:top w:val="nil"/>
              <w:left w:val="single" w:sz="4" w:space="0" w:color="000000"/>
              <w:bottom w:val="single" w:sz="4" w:space="0" w:color="000000"/>
              <w:right w:val="single" w:sz="4" w:space="0" w:color="000000"/>
            </w:tcBorders>
            <w:hideMark/>
          </w:tcPr>
          <w:p w14:paraId="5888C8DD" w14:textId="77777777" w:rsidR="00D22BF6" w:rsidRPr="003D4A39" w:rsidRDefault="00D22BF6" w:rsidP="00D22BF6">
            <w:pPr>
              <w:keepNext/>
              <w:ind w:left="142"/>
              <w:rPr>
                <w:sz w:val="24"/>
                <w:szCs w:val="24"/>
              </w:rPr>
            </w:pPr>
            <w:r w:rsidRPr="003D4A39">
              <w:rPr>
                <w:sz w:val="24"/>
                <w:szCs w:val="24"/>
              </w:rPr>
              <w:t>(7,6</w:t>
            </w:r>
            <w:r w:rsidRPr="003D4A39">
              <w:rPr>
                <w:sz w:val="24"/>
                <w:szCs w:val="24"/>
              </w:rPr>
              <w:noBreakHyphen/>
              <w:t>12,9)</w:t>
            </w:r>
          </w:p>
        </w:tc>
        <w:tc>
          <w:tcPr>
            <w:tcW w:w="1292" w:type="pct"/>
            <w:tcBorders>
              <w:top w:val="nil"/>
              <w:left w:val="single" w:sz="4" w:space="0" w:color="000000"/>
              <w:bottom w:val="single" w:sz="4" w:space="0" w:color="000000"/>
              <w:right w:val="single" w:sz="4" w:space="0" w:color="000000"/>
            </w:tcBorders>
            <w:hideMark/>
          </w:tcPr>
          <w:p w14:paraId="128E9C88" w14:textId="77777777" w:rsidR="00D22BF6" w:rsidRPr="003D4A39" w:rsidRDefault="00D22BF6" w:rsidP="00D22BF6">
            <w:pPr>
              <w:keepNext/>
              <w:ind w:left="142"/>
              <w:rPr>
                <w:sz w:val="24"/>
                <w:szCs w:val="24"/>
              </w:rPr>
            </w:pPr>
            <w:r w:rsidRPr="003D4A39">
              <w:rPr>
                <w:sz w:val="24"/>
                <w:szCs w:val="24"/>
              </w:rPr>
              <w:t>(5,0</w:t>
            </w:r>
            <w:r w:rsidRPr="003D4A39">
              <w:rPr>
                <w:sz w:val="24"/>
                <w:szCs w:val="24"/>
              </w:rPr>
              <w:noBreakHyphen/>
              <w:t>6,5)</w:t>
            </w:r>
          </w:p>
        </w:tc>
      </w:tr>
      <w:tr w:rsidR="00D22BF6" w:rsidRPr="003D4A39" w14:paraId="2B912732" w14:textId="77777777" w:rsidTr="00D22BF6">
        <w:trPr>
          <w:trHeight w:val="20"/>
        </w:trPr>
        <w:tc>
          <w:tcPr>
            <w:tcW w:w="2015" w:type="pct"/>
            <w:tcBorders>
              <w:top w:val="single" w:sz="4" w:space="0" w:color="000000"/>
              <w:left w:val="single" w:sz="4" w:space="0" w:color="000000"/>
              <w:bottom w:val="nil"/>
              <w:right w:val="single" w:sz="4" w:space="0" w:color="000000"/>
            </w:tcBorders>
            <w:hideMark/>
          </w:tcPr>
          <w:p w14:paraId="1EB40B40" w14:textId="77777777" w:rsidR="00D22BF6" w:rsidRPr="003D4A39" w:rsidRDefault="00D22BF6" w:rsidP="00D22BF6">
            <w:pPr>
              <w:keepNext/>
              <w:ind w:left="142"/>
              <w:rPr>
                <w:sz w:val="24"/>
                <w:szCs w:val="24"/>
              </w:rPr>
            </w:pPr>
            <w:r w:rsidRPr="003D4A39">
              <w:rPr>
                <w:sz w:val="24"/>
                <w:szCs w:val="24"/>
              </w:rPr>
              <w:t>Gennemsnitlig overlevelse</w:t>
            </w:r>
          </w:p>
        </w:tc>
        <w:tc>
          <w:tcPr>
            <w:tcW w:w="1693" w:type="pct"/>
            <w:tcBorders>
              <w:top w:val="single" w:sz="4" w:space="0" w:color="000000"/>
              <w:left w:val="single" w:sz="4" w:space="0" w:color="000000"/>
              <w:bottom w:val="nil"/>
              <w:right w:val="single" w:sz="4" w:space="0" w:color="000000"/>
            </w:tcBorders>
            <w:hideMark/>
          </w:tcPr>
          <w:p w14:paraId="7C20527D" w14:textId="77777777" w:rsidR="00D22BF6" w:rsidRPr="003D4A39" w:rsidRDefault="00D22BF6" w:rsidP="00D22BF6">
            <w:pPr>
              <w:keepNext/>
              <w:ind w:left="142"/>
              <w:rPr>
                <w:sz w:val="24"/>
                <w:szCs w:val="24"/>
              </w:rPr>
            </w:pPr>
            <w:r w:rsidRPr="003D4A39">
              <w:rPr>
                <w:sz w:val="24"/>
                <w:szCs w:val="24"/>
              </w:rPr>
              <w:t>30,5</w:t>
            </w:r>
            <w:r w:rsidRPr="003D4A39">
              <w:rPr>
                <w:sz w:val="24"/>
                <w:szCs w:val="24"/>
                <w:vertAlign w:val="superscript"/>
              </w:rPr>
              <w:t>2</w:t>
            </w:r>
          </w:p>
        </w:tc>
        <w:tc>
          <w:tcPr>
            <w:tcW w:w="1292" w:type="pct"/>
            <w:tcBorders>
              <w:top w:val="single" w:sz="4" w:space="0" w:color="000000"/>
              <w:left w:val="single" w:sz="4" w:space="0" w:color="000000"/>
              <w:bottom w:val="nil"/>
              <w:right w:val="single" w:sz="4" w:space="0" w:color="000000"/>
            </w:tcBorders>
            <w:hideMark/>
          </w:tcPr>
          <w:p w14:paraId="7F09871C" w14:textId="77777777" w:rsidR="00D22BF6" w:rsidRPr="003D4A39" w:rsidRDefault="00D22BF6" w:rsidP="00D22BF6">
            <w:pPr>
              <w:keepNext/>
              <w:ind w:left="142"/>
              <w:rPr>
                <w:sz w:val="24"/>
                <w:szCs w:val="24"/>
              </w:rPr>
            </w:pPr>
            <w:r w:rsidRPr="003D4A39">
              <w:rPr>
                <w:sz w:val="24"/>
                <w:szCs w:val="24"/>
              </w:rPr>
              <w:t>22,1</w:t>
            </w:r>
            <w:r w:rsidRPr="003D4A39">
              <w:rPr>
                <w:sz w:val="24"/>
                <w:szCs w:val="24"/>
                <w:vertAlign w:val="superscript"/>
              </w:rPr>
              <w:t>2</w:t>
            </w:r>
          </w:p>
        </w:tc>
      </w:tr>
      <w:tr w:rsidR="00D22BF6" w:rsidRPr="003D4A39" w14:paraId="3F07261B" w14:textId="77777777" w:rsidTr="00D22BF6">
        <w:trPr>
          <w:trHeight w:val="20"/>
        </w:trPr>
        <w:tc>
          <w:tcPr>
            <w:tcW w:w="2015" w:type="pct"/>
            <w:tcBorders>
              <w:top w:val="nil"/>
              <w:left w:val="single" w:sz="4" w:space="0" w:color="000000"/>
              <w:bottom w:val="nil"/>
              <w:right w:val="single" w:sz="4" w:space="0" w:color="000000"/>
            </w:tcBorders>
            <w:hideMark/>
          </w:tcPr>
          <w:p w14:paraId="7A9983E6" w14:textId="77777777" w:rsidR="00D22BF6" w:rsidRPr="003D4A39" w:rsidRDefault="00D22BF6" w:rsidP="00D22BF6">
            <w:pPr>
              <w:keepNext/>
              <w:ind w:left="142"/>
              <w:rPr>
                <w:sz w:val="24"/>
                <w:szCs w:val="24"/>
              </w:rPr>
            </w:pPr>
            <w:r w:rsidRPr="003D4A39">
              <w:rPr>
                <w:sz w:val="24"/>
                <w:szCs w:val="24"/>
              </w:rPr>
              <w:t>(måneder)</w:t>
            </w:r>
          </w:p>
        </w:tc>
        <w:tc>
          <w:tcPr>
            <w:tcW w:w="1693" w:type="pct"/>
            <w:vMerge w:val="restart"/>
            <w:tcBorders>
              <w:top w:val="nil"/>
              <w:left w:val="single" w:sz="4" w:space="0" w:color="000000"/>
              <w:bottom w:val="single" w:sz="4" w:space="0" w:color="000000"/>
              <w:right w:val="single" w:sz="4" w:space="0" w:color="000000"/>
            </w:tcBorders>
          </w:tcPr>
          <w:p w14:paraId="6E660D7B" w14:textId="77777777" w:rsidR="00D22BF6" w:rsidRPr="003D4A39" w:rsidRDefault="00D22BF6" w:rsidP="00D22BF6">
            <w:pPr>
              <w:keepNext/>
              <w:ind w:left="142"/>
              <w:rPr>
                <w:sz w:val="24"/>
                <w:szCs w:val="24"/>
              </w:rPr>
            </w:pPr>
          </w:p>
          <w:p w14:paraId="5C201C7F" w14:textId="77777777" w:rsidR="00D22BF6" w:rsidRPr="003D4A39" w:rsidRDefault="00D22BF6" w:rsidP="00D22BF6">
            <w:pPr>
              <w:keepNext/>
              <w:ind w:left="142"/>
              <w:rPr>
                <w:sz w:val="24"/>
                <w:szCs w:val="24"/>
              </w:rPr>
            </w:pPr>
            <w:r w:rsidRPr="003D4A39">
              <w:rPr>
                <w:sz w:val="24"/>
                <w:szCs w:val="24"/>
              </w:rPr>
              <w:t>(26,8</w:t>
            </w:r>
            <w:r w:rsidRPr="003D4A39">
              <w:rPr>
                <w:sz w:val="24"/>
                <w:szCs w:val="24"/>
              </w:rPr>
              <w:noBreakHyphen/>
              <w:t>ne)</w:t>
            </w:r>
          </w:p>
        </w:tc>
        <w:tc>
          <w:tcPr>
            <w:tcW w:w="1292" w:type="pct"/>
            <w:vMerge w:val="restart"/>
            <w:tcBorders>
              <w:top w:val="nil"/>
              <w:left w:val="single" w:sz="4" w:space="0" w:color="000000"/>
              <w:bottom w:val="single" w:sz="4" w:space="0" w:color="000000"/>
              <w:right w:val="single" w:sz="4" w:space="0" w:color="000000"/>
            </w:tcBorders>
          </w:tcPr>
          <w:p w14:paraId="56F214DE" w14:textId="77777777" w:rsidR="00D22BF6" w:rsidRPr="003D4A39" w:rsidRDefault="00D22BF6" w:rsidP="00D22BF6">
            <w:pPr>
              <w:keepNext/>
              <w:ind w:left="142"/>
              <w:rPr>
                <w:sz w:val="24"/>
                <w:szCs w:val="24"/>
              </w:rPr>
            </w:pPr>
          </w:p>
          <w:p w14:paraId="20177599" w14:textId="77777777" w:rsidR="00D22BF6" w:rsidRPr="003D4A39" w:rsidRDefault="00D22BF6" w:rsidP="00D22BF6">
            <w:pPr>
              <w:keepNext/>
              <w:ind w:left="142"/>
              <w:rPr>
                <w:sz w:val="24"/>
                <w:szCs w:val="24"/>
              </w:rPr>
            </w:pPr>
            <w:r w:rsidRPr="003D4A39">
              <w:rPr>
                <w:sz w:val="24"/>
                <w:szCs w:val="24"/>
              </w:rPr>
              <w:t>(17,6</w:t>
            </w:r>
            <w:r w:rsidRPr="003D4A39">
              <w:rPr>
                <w:sz w:val="24"/>
                <w:szCs w:val="24"/>
              </w:rPr>
              <w:noBreakHyphen/>
              <w:t>28,9)</w:t>
            </w:r>
          </w:p>
        </w:tc>
      </w:tr>
      <w:tr w:rsidR="00D22BF6" w:rsidRPr="003D4A39" w14:paraId="0B2893E0" w14:textId="77777777" w:rsidTr="00D22BF6">
        <w:trPr>
          <w:trHeight w:val="20"/>
        </w:trPr>
        <w:tc>
          <w:tcPr>
            <w:tcW w:w="2015" w:type="pct"/>
            <w:tcBorders>
              <w:top w:val="nil"/>
              <w:left w:val="single" w:sz="4" w:space="0" w:color="000000"/>
              <w:bottom w:val="single" w:sz="4" w:space="0" w:color="000000"/>
              <w:right w:val="single" w:sz="4" w:space="0" w:color="000000"/>
            </w:tcBorders>
            <w:hideMark/>
          </w:tcPr>
          <w:p w14:paraId="104DA424" w14:textId="77777777" w:rsidR="00D22BF6" w:rsidRPr="003D4A39" w:rsidRDefault="00D22BF6" w:rsidP="00D22BF6">
            <w:pPr>
              <w:keepNext/>
              <w:ind w:left="142"/>
              <w:rPr>
                <w:sz w:val="24"/>
                <w:szCs w:val="24"/>
              </w:rPr>
            </w:pPr>
            <w:r w:rsidRPr="003D4A39">
              <w:rPr>
                <w:sz w:val="24"/>
                <w:szCs w:val="24"/>
              </w:rPr>
              <w:t>(95 % CI)</w:t>
            </w:r>
          </w:p>
        </w:tc>
        <w:tc>
          <w:tcPr>
            <w:tcW w:w="1693" w:type="pct"/>
            <w:vMerge/>
            <w:tcBorders>
              <w:top w:val="nil"/>
              <w:left w:val="single" w:sz="4" w:space="0" w:color="000000"/>
              <w:bottom w:val="single" w:sz="4" w:space="0" w:color="000000"/>
              <w:right w:val="single" w:sz="4" w:space="0" w:color="000000"/>
            </w:tcBorders>
            <w:vAlign w:val="center"/>
            <w:hideMark/>
          </w:tcPr>
          <w:p w14:paraId="0D9EB3C0" w14:textId="77777777" w:rsidR="00D22BF6" w:rsidRPr="003D4A39" w:rsidRDefault="00D22BF6" w:rsidP="00D22BF6">
            <w:pPr>
              <w:ind w:left="851" w:hanging="851"/>
              <w:rPr>
                <w:sz w:val="24"/>
                <w:szCs w:val="24"/>
              </w:rPr>
            </w:pPr>
          </w:p>
        </w:tc>
        <w:tc>
          <w:tcPr>
            <w:tcW w:w="1292" w:type="pct"/>
            <w:vMerge/>
            <w:tcBorders>
              <w:top w:val="nil"/>
              <w:left w:val="single" w:sz="4" w:space="0" w:color="000000"/>
              <w:bottom w:val="single" w:sz="4" w:space="0" w:color="000000"/>
              <w:right w:val="single" w:sz="4" w:space="0" w:color="000000"/>
            </w:tcBorders>
            <w:vAlign w:val="center"/>
            <w:hideMark/>
          </w:tcPr>
          <w:p w14:paraId="1C6288D8" w14:textId="77777777" w:rsidR="00D22BF6" w:rsidRPr="003D4A39" w:rsidRDefault="00D22BF6" w:rsidP="00D22BF6">
            <w:pPr>
              <w:ind w:left="851" w:hanging="851"/>
              <w:rPr>
                <w:sz w:val="24"/>
                <w:szCs w:val="24"/>
              </w:rPr>
            </w:pPr>
          </w:p>
        </w:tc>
      </w:tr>
    </w:tbl>
    <w:p w14:paraId="70264E59" w14:textId="77777777" w:rsidR="006B34A1" w:rsidRPr="008D45EF" w:rsidRDefault="006B34A1" w:rsidP="0081699D">
      <w:pPr>
        <w:ind w:left="851"/>
        <w:rPr>
          <w:sz w:val="24"/>
          <w:szCs w:val="24"/>
        </w:rPr>
      </w:pPr>
      <w:r w:rsidRPr="008D45EF">
        <w:rPr>
          <w:sz w:val="24"/>
          <w:szCs w:val="24"/>
        </w:rPr>
        <w:t>TTP = tid til progression. ”ne” indikerer at dette ikke kunne estimeres eller ikke blev nået.</w:t>
      </w:r>
    </w:p>
    <w:p w14:paraId="08989BD4" w14:textId="77777777" w:rsidR="006B34A1" w:rsidRPr="008D45EF" w:rsidRDefault="006B34A1" w:rsidP="0081699D">
      <w:pPr>
        <w:ind w:left="851"/>
        <w:rPr>
          <w:sz w:val="24"/>
          <w:szCs w:val="24"/>
        </w:rPr>
      </w:pPr>
      <w:r w:rsidRPr="008D45EF">
        <w:rPr>
          <w:sz w:val="24"/>
          <w:szCs w:val="24"/>
          <w:vertAlign w:val="superscript"/>
        </w:rPr>
        <w:t>1</w:t>
      </w:r>
      <w:r w:rsidRPr="008D45EF">
        <w:rPr>
          <w:sz w:val="24"/>
          <w:szCs w:val="24"/>
        </w:rPr>
        <w:t>Fuldt analysesæt (intent to treat)</w:t>
      </w:r>
    </w:p>
    <w:p w14:paraId="619ED248" w14:textId="77777777" w:rsidR="006B34A1" w:rsidRPr="008D45EF" w:rsidRDefault="006B34A1" w:rsidP="0081699D">
      <w:pPr>
        <w:ind w:left="851"/>
        <w:rPr>
          <w:sz w:val="24"/>
          <w:szCs w:val="24"/>
        </w:rPr>
      </w:pPr>
      <w:r w:rsidRPr="008D45EF">
        <w:rPr>
          <w:sz w:val="24"/>
          <w:szCs w:val="24"/>
          <w:vertAlign w:val="superscript"/>
        </w:rPr>
        <w:t>2</w:t>
      </w:r>
      <w:r w:rsidRPr="008D45EF">
        <w:rPr>
          <w:sz w:val="24"/>
          <w:szCs w:val="24"/>
        </w:rPr>
        <w:t>Estimeret median overlevelse.</w:t>
      </w:r>
    </w:p>
    <w:p w14:paraId="24F5EBD3" w14:textId="77777777" w:rsidR="006B34A1" w:rsidRPr="008D45EF" w:rsidRDefault="006B34A1" w:rsidP="0081699D">
      <w:pPr>
        <w:ind w:left="851"/>
        <w:rPr>
          <w:sz w:val="24"/>
          <w:szCs w:val="24"/>
        </w:rPr>
      </w:pPr>
    </w:p>
    <w:p w14:paraId="0964C510" w14:textId="3D608BDF" w:rsidR="006B34A1" w:rsidRPr="00D22BF6" w:rsidRDefault="006B34A1" w:rsidP="0081699D">
      <w:pPr>
        <w:ind w:left="851"/>
        <w:rPr>
          <w:i/>
          <w:iCs/>
          <w:sz w:val="24"/>
          <w:szCs w:val="24"/>
        </w:rPr>
      </w:pPr>
      <w:r w:rsidRPr="00D22BF6">
        <w:rPr>
          <w:i/>
          <w:iCs/>
          <w:sz w:val="24"/>
          <w:szCs w:val="24"/>
        </w:rPr>
        <w:t>Docetaxel i kombination med capecitabin</w:t>
      </w:r>
    </w:p>
    <w:p w14:paraId="3BE2C3B4" w14:textId="77777777" w:rsidR="00D22BF6" w:rsidRPr="003F7CA6" w:rsidRDefault="00D22BF6" w:rsidP="0081699D">
      <w:pPr>
        <w:ind w:left="851"/>
        <w:rPr>
          <w:sz w:val="24"/>
          <w:szCs w:val="24"/>
          <w:u w:val="single"/>
        </w:rPr>
      </w:pPr>
    </w:p>
    <w:p w14:paraId="057A9421" w14:textId="0C413AF1" w:rsidR="00D22BF6" w:rsidRPr="003D4A39" w:rsidRDefault="00D22BF6" w:rsidP="00D22BF6">
      <w:pPr>
        <w:ind w:left="851"/>
        <w:rPr>
          <w:sz w:val="24"/>
          <w:szCs w:val="24"/>
        </w:rPr>
      </w:pPr>
      <w:r w:rsidRPr="003D4A39">
        <w:rPr>
          <w:sz w:val="24"/>
          <w:szCs w:val="24"/>
        </w:rPr>
        <w:t>Data fra et randomiseret, kontrolleret, klinisk fase 3</w:t>
      </w:r>
      <w:r w:rsidRPr="003D4A39">
        <w:rPr>
          <w:sz w:val="24"/>
          <w:szCs w:val="24"/>
        </w:rPr>
        <w:noBreakHyphen/>
        <w:t>multicenterstudie understøtter anvendelsen af capecitabin i kombination med docetaxel til behandling af patienter med lokal fremskreden eller metastatisk brystkræft hos hvem cytotoksisk kemoterapi med et antracyklin, har været uden effekt. I dette kliniske studium randomiseredes 255 patienter til behandling med docetaxel (75 mg/m² som en 1</w:t>
      </w:r>
      <w:r w:rsidRPr="003D4A39">
        <w:rPr>
          <w:sz w:val="24"/>
          <w:szCs w:val="24"/>
        </w:rPr>
        <w:noBreakHyphen/>
        <w:t>times intravenøs infusion hver 3. uge) og capecitabin (1.250 mg/m² to gange daglig i 2 uger efterfulgt af en uges pause).</w:t>
      </w:r>
    </w:p>
    <w:p w14:paraId="4A917142" w14:textId="38F814EE" w:rsidR="00D22BF6" w:rsidRPr="003D4A39" w:rsidRDefault="00D22BF6" w:rsidP="00D22BF6">
      <w:pPr>
        <w:ind w:left="851"/>
        <w:rPr>
          <w:sz w:val="24"/>
          <w:szCs w:val="24"/>
        </w:rPr>
      </w:pPr>
      <w:r w:rsidRPr="003D4A39">
        <w:rPr>
          <w:sz w:val="24"/>
          <w:szCs w:val="24"/>
        </w:rPr>
        <w:t>256 patienter blev randomiseret til behandling med docetaxel alene (100 mg/ m² som 1 times intrav</w:t>
      </w:r>
      <w:r>
        <w:rPr>
          <w:sz w:val="24"/>
          <w:szCs w:val="24"/>
        </w:rPr>
        <w:t>en</w:t>
      </w:r>
      <w:r w:rsidRPr="003D4A39">
        <w:rPr>
          <w:sz w:val="24"/>
          <w:szCs w:val="24"/>
        </w:rPr>
        <w:t>øs infusion hver 3. uge). Overlevelsen var bedre i kombinationsarmen med docetaxel + capecitabin (p = 0,0126). Den mediane overlevelse var 442 dage (docetaxel +</w:t>
      </w:r>
      <w:r>
        <w:rPr>
          <w:sz w:val="24"/>
          <w:szCs w:val="24"/>
        </w:rPr>
        <w:t> </w:t>
      </w:r>
      <w:r w:rsidRPr="003D4A39">
        <w:rPr>
          <w:sz w:val="24"/>
          <w:szCs w:val="24"/>
        </w:rPr>
        <w:t xml:space="preserve">capecitabin) </w:t>
      </w:r>
      <w:r w:rsidRPr="003115F7">
        <w:rPr>
          <w:i/>
          <w:iCs/>
          <w:sz w:val="24"/>
          <w:szCs w:val="24"/>
        </w:rPr>
        <w:t>vs.</w:t>
      </w:r>
      <w:r w:rsidRPr="003D4A39">
        <w:rPr>
          <w:sz w:val="24"/>
          <w:szCs w:val="24"/>
        </w:rPr>
        <w:t xml:space="preserve"> 352 dage (docetaxel alene). De objektive responsrater i den randomiserede population (investigators vurdering) var 41,6 % (docetaxel + capecitabin) </w:t>
      </w:r>
      <w:r w:rsidRPr="003115F7">
        <w:rPr>
          <w:i/>
          <w:iCs/>
          <w:sz w:val="24"/>
          <w:szCs w:val="24"/>
        </w:rPr>
        <w:t>vs.</w:t>
      </w:r>
      <w:r w:rsidRPr="003D4A39">
        <w:rPr>
          <w:sz w:val="24"/>
          <w:szCs w:val="24"/>
        </w:rPr>
        <w:t xml:space="preserve"> 29,7 % (docetaxel alene); p = 0,0058. Tid indtil progressiv sygdom var længere i kombinationsarmen med docetaxel + capecitabin (p &lt; 0,0001). Den mediane tid indtil progression var 186 dage (docetaxel + capecitabin) </w:t>
      </w:r>
      <w:r w:rsidRPr="003115F7">
        <w:rPr>
          <w:i/>
          <w:iCs/>
          <w:sz w:val="24"/>
          <w:szCs w:val="24"/>
        </w:rPr>
        <w:t>vs.</w:t>
      </w:r>
      <w:r w:rsidRPr="003D4A39">
        <w:rPr>
          <w:sz w:val="24"/>
          <w:szCs w:val="24"/>
        </w:rPr>
        <w:t xml:space="preserve"> 128 dage (docetaxel alene).</w:t>
      </w:r>
    </w:p>
    <w:p w14:paraId="2704CF42" w14:textId="77777777" w:rsidR="006B34A1" w:rsidRDefault="006B34A1" w:rsidP="0081699D">
      <w:pPr>
        <w:ind w:left="851"/>
        <w:rPr>
          <w:sz w:val="24"/>
          <w:szCs w:val="24"/>
        </w:rPr>
      </w:pPr>
    </w:p>
    <w:p w14:paraId="7E8FD9BC" w14:textId="77777777" w:rsidR="006B34A1" w:rsidRPr="000A7B44" w:rsidRDefault="006B34A1" w:rsidP="0081699D">
      <w:pPr>
        <w:ind w:left="851"/>
        <w:rPr>
          <w:sz w:val="24"/>
          <w:szCs w:val="24"/>
        </w:rPr>
      </w:pPr>
      <w:r w:rsidRPr="000A7B44">
        <w:rPr>
          <w:iCs/>
          <w:sz w:val="24"/>
          <w:szCs w:val="24"/>
          <w:u w:val="single"/>
        </w:rPr>
        <w:t>Ikke-småcellet lungekræft</w:t>
      </w:r>
    </w:p>
    <w:p w14:paraId="6FA0FB6D" w14:textId="77777777" w:rsidR="006B34A1" w:rsidRPr="008D45EF" w:rsidRDefault="006B34A1" w:rsidP="0081699D">
      <w:pPr>
        <w:ind w:left="851"/>
        <w:rPr>
          <w:sz w:val="24"/>
          <w:szCs w:val="24"/>
        </w:rPr>
      </w:pPr>
    </w:p>
    <w:p w14:paraId="0DDA87CD" w14:textId="2047CD3F" w:rsidR="006B34A1" w:rsidRDefault="006B34A1" w:rsidP="0081699D">
      <w:pPr>
        <w:ind w:left="851"/>
        <w:rPr>
          <w:i/>
          <w:iCs/>
          <w:sz w:val="24"/>
          <w:szCs w:val="24"/>
        </w:rPr>
      </w:pPr>
      <w:r w:rsidRPr="008D45EF">
        <w:rPr>
          <w:i/>
          <w:iCs/>
          <w:sz w:val="24"/>
          <w:szCs w:val="24"/>
        </w:rPr>
        <w:t>Patienter, der tidligere har fået behandling med kemoterapi med eller uden strålebehandling.</w:t>
      </w:r>
    </w:p>
    <w:p w14:paraId="7D99BB1B" w14:textId="77777777" w:rsidR="00D22BF6" w:rsidRPr="008D45EF" w:rsidRDefault="00D22BF6" w:rsidP="0081699D">
      <w:pPr>
        <w:ind w:left="851"/>
        <w:rPr>
          <w:sz w:val="24"/>
          <w:szCs w:val="24"/>
        </w:rPr>
      </w:pPr>
    </w:p>
    <w:p w14:paraId="1398790D" w14:textId="0DABF71E" w:rsidR="006B34A1" w:rsidRDefault="006B34A1" w:rsidP="0081699D">
      <w:pPr>
        <w:ind w:left="851"/>
        <w:rPr>
          <w:sz w:val="24"/>
          <w:szCs w:val="24"/>
        </w:rPr>
      </w:pPr>
      <w:r w:rsidRPr="008D45EF">
        <w:rPr>
          <w:sz w:val="24"/>
          <w:szCs w:val="24"/>
        </w:rPr>
        <w:t>I et fase III</w:t>
      </w:r>
      <w:r w:rsidRPr="008D45EF">
        <w:rPr>
          <w:sz w:val="24"/>
          <w:szCs w:val="24"/>
        </w:rPr>
        <w:noBreakHyphen/>
        <w:t>studie med tidligere behandlede patienter var tid til progression (12,3 uger vs. 7 uger) og den samlede overlevelse signifikant længere for docetaxel ved doseringen 75 mg/m² end for bedste palliative behandling. Den 1</w:t>
      </w:r>
      <w:r w:rsidRPr="008D45EF">
        <w:rPr>
          <w:sz w:val="24"/>
          <w:szCs w:val="24"/>
        </w:rPr>
        <w:noBreakHyphen/>
        <w:t>årige overlevelsesrate var signifikant længere med docetaxel (40 %) end for bedste palliative behandling (16 %). Der var mindre brug af smertestillende morfika (p &lt; 0,01), smertestillende ikke-morfika (p &lt; 0,01), anden ikke-sygdomsrelateret medicin (p = 0,06) og strålebehandling (p &lt; 0,01) hos de patienter, der fik behandling med docetaxel ved doseringen 75 mg/m² end hos patienterne, der fik bedste palliative behandling.</w:t>
      </w:r>
    </w:p>
    <w:p w14:paraId="1933FA90" w14:textId="77777777" w:rsidR="00D22BF6" w:rsidRPr="008D45EF" w:rsidRDefault="00D22BF6" w:rsidP="0081699D">
      <w:pPr>
        <w:ind w:left="851"/>
        <w:rPr>
          <w:sz w:val="24"/>
          <w:szCs w:val="24"/>
        </w:rPr>
      </w:pPr>
    </w:p>
    <w:p w14:paraId="5B689654" w14:textId="77777777" w:rsidR="006B34A1" w:rsidRPr="008D45EF" w:rsidRDefault="006B34A1" w:rsidP="0081699D">
      <w:pPr>
        <w:ind w:left="851"/>
        <w:rPr>
          <w:sz w:val="24"/>
          <w:szCs w:val="24"/>
        </w:rPr>
      </w:pPr>
      <w:r w:rsidRPr="008D45EF">
        <w:rPr>
          <w:sz w:val="24"/>
          <w:szCs w:val="24"/>
        </w:rPr>
        <w:t>Den samlede overlevelsesrate var 6,8 % i de evaluerbare patienter, og median-varigheden for respons var 26,1 uge.</w:t>
      </w:r>
    </w:p>
    <w:p w14:paraId="1FB72C07" w14:textId="77777777" w:rsidR="006B34A1" w:rsidRPr="008D45EF" w:rsidRDefault="006B34A1" w:rsidP="0081699D">
      <w:pPr>
        <w:ind w:left="851"/>
        <w:rPr>
          <w:sz w:val="24"/>
          <w:szCs w:val="24"/>
        </w:rPr>
      </w:pPr>
    </w:p>
    <w:p w14:paraId="5120BE6A" w14:textId="7A2036C8" w:rsidR="006B34A1" w:rsidRDefault="006B34A1" w:rsidP="0081699D">
      <w:pPr>
        <w:ind w:left="851"/>
        <w:rPr>
          <w:i/>
          <w:iCs/>
          <w:sz w:val="24"/>
          <w:szCs w:val="24"/>
        </w:rPr>
      </w:pPr>
      <w:r w:rsidRPr="008D45EF">
        <w:rPr>
          <w:i/>
          <w:iCs/>
          <w:sz w:val="24"/>
          <w:szCs w:val="24"/>
        </w:rPr>
        <w:t>Docetaxel i kombination med platinmidler hos patienter der ikke tidligere er behandlet med kemoterapi</w:t>
      </w:r>
    </w:p>
    <w:p w14:paraId="40E29A01" w14:textId="77777777" w:rsidR="00D22BF6" w:rsidRPr="008D45EF" w:rsidRDefault="00D22BF6" w:rsidP="0081699D">
      <w:pPr>
        <w:ind w:left="851"/>
        <w:rPr>
          <w:sz w:val="24"/>
          <w:szCs w:val="24"/>
        </w:rPr>
      </w:pPr>
    </w:p>
    <w:p w14:paraId="7035D959" w14:textId="77777777" w:rsidR="006B34A1" w:rsidRPr="008D45EF" w:rsidRDefault="006B34A1" w:rsidP="0081699D">
      <w:pPr>
        <w:ind w:left="851"/>
        <w:rPr>
          <w:sz w:val="24"/>
          <w:szCs w:val="24"/>
        </w:rPr>
      </w:pPr>
      <w:r w:rsidRPr="008D45EF">
        <w:rPr>
          <w:sz w:val="24"/>
          <w:szCs w:val="24"/>
        </w:rPr>
        <w:t>1.218 patienter med inoperabel ikke-småcellet lungekræft stadium IIIB eller IV med KPS på 70 % eller mere og som ikke tidligere havde fået kemoterapi mod denne tilstand, blev i et fase III</w:t>
      </w:r>
      <w:r w:rsidRPr="008D45EF">
        <w:rPr>
          <w:sz w:val="24"/>
          <w:szCs w:val="24"/>
        </w:rPr>
        <w:noBreakHyphen/>
        <w:t>studie randomiseret til enten docetaxel (T) 75 mg/m² administreret som 1</w:t>
      </w:r>
      <w:r w:rsidRPr="008D45EF">
        <w:rPr>
          <w:sz w:val="24"/>
          <w:szCs w:val="24"/>
        </w:rPr>
        <w:noBreakHyphen/>
        <w:t>times infusion umiddelbart efterfulgt af cisplatin (Cis) 75 mg/m² administreret i løbet af 30-60 minutter hver 3. uge (TCis), docetaxel 75 mg/m² som en 1</w:t>
      </w:r>
      <w:r w:rsidRPr="008D45EF">
        <w:rPr>
          <w:sz w:val="24"/>
          <w:szCs w:val="24"/>
        </w:rPr>
        <w:noBreakHyphen/>
        <w:t>times infusion i kombination med carboplatin (AUC 6 mg/ml per min) administreret i løbet af 30</w:t>
      </w:r>
      <w:r w:rsidRPr="008D45EF">
        <w:rPr>
          <w:sz w:val="24"/>
          <w:szCs w:val="24"/>
        </w:rPr>
        <w:noBreakHyphen/>
        <w:t>60 minutter hver 3. uge, vinorelbin (V) 25 mg/ m² administreret i løbet af 6 til 10 minutter på dag 1, 8, 15, 22 efterfulgt af cisplatin 100 mg/m² administreret på dag 1 af cyklusser gentaget hver 4. uge (VCis).</w:t>
      </w:r>
    </w:p>
    <w:p w14:paraId="5CE01A4D" w14:textId="77777777" w:rsidR="006B34A1" w:rsidRPr="008D45EF" w:rsidRDefault="006B34A1" w:rsidP="0081699D">
      <w:pPr>
        <w:ind w:left="851"/>
        <w:rPr>
          <w:sz w:val="24"/>
          <w:szCs w:val="24"/>
        </w:rPr>
      </w:pPr>
    </w:p>
    <w:p w14:paraId="1C5DD644" w14:textId="77777777" w:rsidR="006B34A1" w:rsidRPr="008D45EF" w:rsidRDefault="006B34A1" w:rsidP="0081699D">
      <w:pPr>
        <w:ind w:left="851"/>
        <w:rPr>
          <w:sz w:val="24"/>
          <w:szCs w:val="24"/>
        </w:rPr>
      </w:pPr>
      <w:r w:rsidRPr="008D45EF">
        <w:rPr>
          <w:sz w:val="24"/>
          <w:szCs w:val="24"/>
        </w:rPr>
        <w:t>Overlevelsesdata, median progressionstid og responsrater for studiets to arme er illustreret i nedenstående tabel:</w:t>
      </w:r>
    </w:p>
    <w:p w14:paraId="56F19D75" w14:textId="77777777" w:rsidR="006B34A1" w:rsidRPr="008D45EF" w:rsidRDefault="006B34A1" w:rsidP="0081699D">
      <w:pPr>
        <w:ind w:left="851"/>
        <w:rPr>
          <w:sz w:val="24"/>
          <w:szCs w:val="24"/>
        </w:rPr>
      </w:pPr>
    </w:p>
    <w:tbl>
      <w:tblPr>
        <w:tblW w:w="5000" w:type="pct"/>
        <w:tblCellMar>
          <w:left w:w="0" w:type="dxa"/>
          <w:right w:w="0" w:type="dxa"/>
        </w:tblCellMar>
        <w:tblLook w:val="04A0" w:firstRow="1" w:lastRow="0" w:firstColumn="1" w:lastColumn="0" w:noHBand="0" w:noVBand="1"/>
      </w:tblPr>
      <w:tblGrid>
        <w:gridCol w:w="3493"/>
        <w:gridCol w:w="1321"/>
        <w:gridCol w:w="1323"/>
        <w:gridCol w:w="3491"/>
      </w:tblGrid>
      <w:tr w:rsidR="00D22BF6" w:rsidRPr="003D4A39" w14:paraId="02CEF0C3" w14:textId="77777777" w:rsidTr="00D22BF6">
        <w:trPr>
          <w:trHeight w:val="20"/>
          <w:tblHeader/>
        </w:trPr>
        <w:tc>
          <w:tcPr>
            <w:tcW w:w="1814" w:type="pct"/>
            <w:tcBorders>
              <w:top w:val="single" w:sz="4" w:space="0" w:color="000000"/>
              <w:left w:val="single" w:sz="4" w:space="0" w:color="000000"/>
              <w:bottom w:val="single" w:sz="4" w:space="0" w:color="000000"/>
              <w:right w:val="single" w:sz="4" w:space="0" w:color="000000"/>
            </w:tcBorders>
          </w:tcPr>
          <w:p w14:paraId="53673457" w14:textId="77777777" w:rsidR="00D22BF6" w:rsidRPr="003D4A39" w:rsidRDefault="00D22BF6" w:rsidP="00D22BF6">
            <w:pPr>
              <w:ind w:left="142"/>
              <w:rPr>
                <w:sz w:val="24"/>
                <w:szCs w:val="24"/>
              </w:rPr>
            </w:pPr>
          </w:p>
        </w:tc>
        <w:tc>
          <w:tcPr>
            <w:tcW w:w="686" w:type="pct"/>
            <w:tcBorders>
              <w:top w:val="single" w:sz="4" w:space="0" w:color="000000"/>
              <w:left w:val="single" w:sz="4" w:space="0" w:color="000000"/>
              <w:bottom w:val="single" w:sz="4" w:space="0" w:color="000000"/>
              <w:right w:val="single" w:sz="4" w:space="0" w:color="000000"/>
            </w:tcBorders>
            <w:hideMark/>
          </w:tcPr>
          <w:p w14:paraId="394FDDB3" w14:textId="77777777" w:rsidR="00D22BF6" w:rsidRPr="003D4A39" w:rsidRDefault="00D22BF6" w:rsidP="00D22BF6">
            <w:pPr>
              <w:ind w:left="142"/>
              <w:rPr>
                <w:sz w:val="24"/>
                <w:szCs w:val="24"/>
              </w:rPr>
            </w:pPr>
            <w:r w:rsidRPr="003D4A39">
              <w:rPr>
                <w:sz w:val="24"/>
                <w:szCs w:val="24"/>
              </w:rPr>
              <w:t>TCis</w:t>
            </w:r>
          </w:p>
          <w:p w14:paraId="47F8EBAD" w14:textId="5E3ED86A" w:rsidR="00D22BF6" w:rsidRPr="003D4A39" w:rsidRDefault="00D22BF6" w:rsidP="00D22BF6">
            <w:pPr>
              <w:ind w:left="142"/>
              <w:rPr>
                <w:sz w:val="24"/>
                <w:szCs w:val="24"/>
              </w:rPr>
            </w:pPr>
            <w:r w:rsidRPr="003D4A39">
              <w:rPr>
                <w:sz w:val="24"/>
                <w:szCs w:val="24"/>
              </w:rPr>
              <w:t>n = 408</w:t>
            </w:r>
          </w:p>
        </w:tc>
        <w:tc>
          <w:tcPr>
            <w:tcW w:w="687" w:type="pct"/>
            <w:tcBorders>
              <w:top w:val="single" w:sz="4" w:space="0" w:color="000000"/>
              <w:left w:val="single" w:sz="4" w:space="0" w:color="000000"/>
              <w:bottom w:val="single" w:sz="4" w:space="0" w:color="000000"/>
              <w:right w:val="single" w:sz="4" w:space="0" w:color="000000"/>
            </w:tcBorders>
            <w:hideMark/>
          </w:tcPr>
          <w:p w14:paraId="337628E9" w14:textId="77777777" w:rsidR="00D22BF6" w:rsidRPr="003D4A39" w:rsidRDefault="00D22BF6" w:rsidP="00D22BF6">
            <w:pPr>
              <w:ind w:left="142"/>
              <w:rPr>
                <w:sz w:val="24"/>
                <w:szCs w:val="24"/>
              </w:rPr>
            </w:pPr>
            <w:r w:rsidRPr="003D4A39">
              <w:rPr>
                <w:sz w:val="24"/>
                <w:szCs w:val="24"/>
              </w:rPr>
              <w:t>VCis</w:t>
            </w:r>
          </w:p>
          <w:p w14:paraId="570C3D0C" w14:textId="77777777" w:rsidR="00D22BF6" w:rsidRPr="003D4A39" w:rsidRDefault="00D22BF6" w:rsidP="00D22BF6">
            <w:pPr>
              <w:ind w:left="142"/>
              <w:rPr>
                <w:sz w:val="24"/>
                <w:szCs w:val="24"/>
              </w:rPr>
            </w:pPr>
            <w:r w:rsidRPr="003D4A39">
              <w:rPr>
                <w:sz w:val="24"/>
                <w:szCs w:val="24"/>
              </w:rPr>
              <w:t>n = 404</w:t>
            </w:r>
          </w:p>
        </w:tc>
        <w:tc>
          <w:tcPr>
            <w:tcW w:w="1813" w:type="pct"/>
            <w:tcBorders>
              <w:top w:val="single" w:sz="4" w:space="0" w:color="000000"/>
              <w:left w:val="single" w:sz="4" w:space="0" w:color="000000"/>
              <w:bottom w:val="single" w:sz="4" w:space="0" w:color="000000"/>
              <w:right w:val="single" w:sz="4" w:space="0" w:color="000000"/>
            </w:tcBorders>
            <w:hideMark/>
          </w:tcPr>
          <w:p w14:paraId="0B8EDD5D" w14:textId="77777777" w:rsidR="00D22BF6" w:rsidRPr="003D4A39" w:rsidRDefault="00D22BF6" w:rsidP="00D22BF6">
            <w:pPr>
              <w:ind w:left="142"/>
              <w:rPr>
                <w:sz w:val="24"/>
                <w:szCs w:val="24"/>
              </w:rPr>
            </w:pPr>
            <w:r w:rsidRPr="003D4A39">
              <w:rPr>
                <w:sz w:val="24"/>
                <w:szCs w:val="24"/>
              </w:rPr>
              <w:t>Statistisk analyse</w:t>
            </w:r>
          </w:p>
        </w:tc>
      </w:tr>
      <w:tr w:rsidR="00D22BF6" w:rsidRPr="003D4A39" w14:paraId="2AF04E60" w14:textId="77777777" w:rsidTr="00D22BF6">
        <w:trPr>
          <w:trHeight w:val="20"/>
        </w:trPr>
        <w:tc>
          <w:tcPr>
            <w:tcW w:w="1814" w:type="pct"/>
            <w:tcBorders>
              <w:top w:val="single" w:sz="4" w:space="0" w:color="000000"/>
              <w:left w:val="single" w:sz="4" w:space="0" w:color="000000"/>
              <w:bottom w:val="single" w:sz="4" w:space="0" w:color="000000"/>
              <w:right w:val="single" w:sz="4" w:space="0" w:color="000000"/>
            </w:tcBorders>
          </w:tcPr>
          <w:p w14:paraId="57F71040" w14:textId="77777777" w:rsidR="00D22BF6" w:rsidRPr="003D4A39" w:rsidRDefault="00D22BF6" w:rsidP="00D22BF6">
            <w:pPr>
              <w:ind w:left="142"/>
              <w:rPr>
                <w:sz w:val="24"/>
                <w:szCs w:val="24"/>
              </w:rPr>
            </w:pPr>
            <w:r w:rsidRPr="003D4A39">
              <w:rPr>
                <w:sz w:val="24"/>
                <w:szCs w:val="24"/>
              </w:rPr>
              <w:t xml:space="preserve">Total overlevelse </w:t>
            </w:r>
          </w:p>
          <w:p w14:paraId="3C3755EC" w14:textId="77777777" w:rsidR="00D22BF6" w:rsidRPr="003D4A39" w:rsidRDefault="00D22BF6" w:rsidP="00D22BF6">
            <w:pPr>
              <w:ind w:left="142"/>
              <w:rPr>
                <w:sz w:val="24"/>
                <w:szCs w:val="24"/>
              </w:rPr>
            </w:pPr>
            <w:r w:rsidRPr="003D4A39">
              <w:rPr>
                <w:sz w:val="24"/>
                <w:szCs w:val="24"/>
              </w:rPr>
              <w:t>(Primær endepunkt)</w:t>
            </w:r>
          </w:p>
          <w:p w14:paraId="31E81414" w14:textId="77777777" w:rsidR="00D22BF6" w:rsidRPr="003D4A39" w:rsidRDefault="00D22BF6" w:rsidP="00D22BF6">
            <w:pPr>
              <w:ind w:left="142"/>
              <w:rPr>
                <w:sz w:val="24"/>
                <w:szCs w:val="24"/>
              </w:rPr>
            </w:pPr>
            <w:r w:rsidRPr="003D4A39">
              <w:rPr>
                <w:sz w:val="24"/>
                <w:szCs w:val="24"/>
              </w:rPr>
              <w:t>Median overlevelsestid (måneder)</w:t>
            </w:r>
          </w:p>
          <w:p w14:paraId="2F5718D6" w14:textId="77777777" w:rsidR="00D22BF6" w:rsidRPr="003D4A39" w:rsidRDefault="00D22BF6" w:rsidP="00D22BF6">
            <w:pPr>
              <w:ind w:left="142"/>
              <w:rPr>
                <w:sz w:val="24"/>
                <w:szCs w:val="24"/>
              </w:rPr>
            </w:pPr>
          </w:p>
          <w:p w14:paraId="3B608DDA" w14:textId="77777777" w:rsidR="00D22BF6" w:rsidRPr="003D4A39" w:rsidRDefault="00D22BF6" w:rsidP="00D22BF6">
            <w:pPr>
              <w:ind w:left="142"/>
              <w:rPr>
                <w:sz w:val="24"/>
                <w:szCs w:val="24"/>
              </w:rPr>
            </w:pPr>
            <w:r w:rsidRPr="003D4A39">
              <w:rPr>
                <w:sz w:val="24"/>
                <w:szCs w:val="24"/>
              </w:rPr>
              <w:t>1</w:t>
            </w:r>
            <w:r w:rsidRPr="003D4A39">
              <w:rPr>
                <w:sz w:val="24"/>
                <w:szCs w:val="24"/>
              </w:rPr>
              <w:noBreakHyphen/>
              <w:t>års overlevelse (%)</w:t>
            </w:r>
          </w:p>
          <w:p w14:paraId="022EC24F" w14:textId="77777777" w:rsidR="00D22BF6" w:rsidRPr="003D4A39" w:rsidRDefault="00D22BF6" w:rsidP="00D22BF6">
            <w:pPr>
              <w:ind w:left="142"/>
              <w:rPr>
                <w:sz w:val="24"/>
                <w:szCs w:val="24"/>
              </w:rPr>
            </w:pPr>
          </w:p>
          <w:p w14:paraId="56E10992" w14:textId="77777777" w:rsidR="00D22BF6" w:rsidRPr="003D4A39" w:rsidRDefault="00D22BF6" w:rsidP="00D22BF6">
            <w:pPr>
              <w:ind w:left="142"/>
              <w:rPr>
                <w:sz w:val="24"/>
                <w:szCs w:val="24"/>
              </w:rPr>
            </w:pPr>
            <w:r w:rsidRPr="003D4A39">
              <w:rPr>
                <w:sz w:val="24"/>
                <w:szCs w:val="24"/>
              </w:rPr>
              <w:t>2</w:t>
            </w:r>
            <w:r w:rsidRPr="003D4A39">
              <w:rPr>
                <w:sz w:val="24"/>
                <w:szCs w:val="24"/>
              </w:rPr>
              <w:noBreakHyphen/>
              <w:t>års overlevelse (%)</w:t>
            </w:r>
          </w:p>
        </w:tc>
        <w:tc>
          <w:tcPr>
            <w:tcW w:w="686" w:type="pct"/>
            <w:tcBorders>
              <w:top w:val="single" w:sz="4" w:space="0" w:color="000000"/>
              <w:left w:val="single" w:sz="4" w:space="0" w:color="000000"/>
              <w:bottom w:val="single" w:sz="4" w:space="0" w:color="000000"/>
              <w:right w:val="single" w:sz="4" w:space="0" w:color="000000"/>
            </w:tcBorders>
          </w:tcPr>
          <w:p w14:paraId="1238FAB7" w14:textId="77777777" w:rsidR="00D22BF6" w:rsidRPr="003D4A39" w:rsidRDefault="00D22BF6" w:rsidP="00D22BF6">
            <w:pPr>
              <w:ind w:left="142"/>
              <w:rPr>
                <w:sz w:val="24"/>
                <w:szCs w:val="24"/>
              </w:rPr>
            </w:pPr>
          </w:p>
          <w:p w14:paraId="2EF6EC57" w14:textId="77777777" w:rsidR="00D22BF6" w:rsidRPr="003D4A39" w:rsidRDefault="00D22BF6" w:rsidP="00D22BF6">
            <w:pPr>
              <w:ind w:left="142"/>
              <w:rPr>
                <w:sz w:val="24"/>
                <w:szCs w:val="24"/>
              </w:rPr>
            </w:pPr>
          </w:p>
          <w:p w14:paraId="51D57F60" w14:textId="77777777" w:rsidR="00D22BF6" w:rsidRPr="003D4A39" w:rsidRDefault="00D22BF6" w:rsidP="00D22BF6">
            <w:pPr>
              <w:ind w:left="142"/>
              <w:rPr>
                <w:sz w:val="24"/>
                <w:szCs w:val="24"/>
              </w:rPr>
            </w:pPr>
            <w:r w:rsidRPr="003D4A39">
              <w:rPr>
                <w:sz w:val="24"/>
                <w:szCs w:val="24"/>
              </w:rPr>
              <w:t>11,3</w:t>
            </w:r>
          </w:p>
          <w:p w14:paraId="06846171" w14:textId="77777777" w:rsidR="00D22BF6" w:rsidRPr="003D4A39" w:rsidRDefault="00D22BF6" w:rsidP="00D22BF6">
            <w:pPr>
              <w:ind w:left="142"/>
              <w:rPr>
                <w:sz w:val="24"/>
                <w:szCs w:val="24"/>
              </w:rPr>
            </w:pPr>
          </w:p>
          <w:p w14:paraId="1F9ADE2E" w14:textId="77777777" w:rsidR="00D22BF6" w:rsidRPr="003D4A39" w:rsidRDefault="00D22BF6" w:rsidP="00D22BF6">
            <w:pPr>
              <w:ind w:left="142"/>
              <w:rPr>
                <w:sz w:val="24"/>
                <w:szCs w:val="24"/>
              </w:rPr>
            </w:pPr>
            <w:r w:rsidRPr="003D4A39">
              <w:rPr>
                <w:sz w:val="24"/>
                <w:szCs w:val="24"/>
              </w:rPr>
              <w:t>46</w:t>
            </w:r>
          </w:p>
          <w:p w14:paraId="134A520C" w14:textId="77777777" w:rsidR="00D22BF6" w:rsidRPr="003D4A39" w:rsidRDefault="00D22BF6" w:rsidP="00D22BF6">
            <w:pPr>
              <w:ind w:left="142"/>
              <w:rPr>
                <w:sz w:val="24"/>
                <w:szCs w:val="24"/>
              </w:rPr>
            </w:pPr>
          </w:p>
          <w:p w14:paraId="253A46D7" w14:textId="77777777" w:rsidR="00D22BF6" w:rsidRPr="003D4A39" w:rsidRDefault="00D22BF6" w:rsidP="00D22BF6">
            <w:pPr>
              <w:ind w:left="142"/>
              <w:rPr>
                <w:sz w:val="24"/>
                <w:szCs w:val="24"/>
              </w:rPr>
            </w:pPr>
            <w:r w:rsidRPr="003D4A39">
              <w:rPr>
                <w:sz w:val="24"/>
                <w:szCs w:val="24"/>
              </w:rPr>
              <w:t>21</w:t>
            </w:r>
          </w:p>
        </w:tc>
        <w:tc>
          <w:tcPr>
            <w:tcW w:w="687" w:type="pct"/>
            <w:tcBorders>
              <w:top w:val="single" w:sz="4" w:space="0" w:color="000000"/>
              <w:left w:val="single" w:sz="4" w:space="0" w:color="000000"/>
              <w:bottom w:val="single" w:sz="4" w:space="0" w:color="000000"/>
              <w:right w:val="single" w:sz="4" w:space="0" w:color="000000"/>
            </w:tcBorders>
          </w:tcPr>
          <w:p w14:paraId="47BC6D96" w14:textId="77777777" w:rsidR="00D22BF6" w:rsidRPr="003D4A39" w:rsidRDefault="00D22BF6" w:rsidP="00D22BF6">
            <w:pPr>
              <w:ind w:left="142"/>
              <w:rPr>
                <w:sz w:val="24"/>
                <w:szCs w:val="24"/>
              </w:rPr>
            </w:pPr>
          </w:p>
          <w:p w14:paraId="22C4F846" w14:textId="77777777" w:rsidR="00D22BF6" w:rsidRPr="003D4A39" w:rsidRDefault="00D22BF6" w:rsidP="00D22BF6">
            <w:pPr>
              <w:ind w:left="142"/>
              <w:rPr>
                <w:sz w:val="24"/>
                <w:szCs w:val="24"/>
              </w:rPr>
            </w:pPr>
          </w:p>
          <w:p w14:paraId="797554AA" w14:textId="77777777" w:rsidR="00D22BF6" w:rsidRPr="003D4A39" w:rsidRDefault="00D22BF6" w:rsidP="00D22BF6">
            <w:pPr>
              <w:ind w:left="142"/>
              <w:rPr>
                <w:sz w:val="24"/>
                <w:szCs w:val="24"/>
              </w:rPr>
            </w:pPr>
            <w:r w:rsidRPr="003D4A39">
              <w:rPr>
                <w:sz w:val="24"/>
                <w:szCs w:val="24"/>
              </w:rPr>
              <w:t>10,1</w:t>
            </w:r>
          </w:p>
          <w:p w14:paraId="253E09A7" w14:textId="77777777" w:rsidR="00D22BF6" w:rsidRPr="003D4A39" w:rsidRDefault="00D22BF6" w:rsidP="00D22BF6">
            <w:pPr>
              <w:ind w:left="142"/>
              <w:rPr>
                <w:sz w:val="24"/>
                <w:szCs w:val="24"/>
              </w:rPr>
            </w:pPr>
          </w:p>
          <w:p w14:paraId="580503F0" w14:textId="77777777" w:rsidR="00D22BF6" w:rsidRPr="003D4A39" w:rsidRDefault="00D22BF6" w:rsidP="00D22BF6">
            <w:pPr>
              <w:ind w:left="142"/>
              <w:rPr>
                <w:sz w:val="24"/>
                <w:szCs w:val="24"/>
              </w:rPr>
            </w:pPr>
            <w:r w:rsidRPr="003D4A39">
              <w:rPr>
                <w:sz w:val="24"/>
                <w:szCs w:val="24"/>
              </w:rPr>
              <w:t>41</w:t>
            </w:r>
          </w:p>
          <w:p w14:paraId="5374F7D6" w14:textId="77777777" w:rsidR="00D22BF6" w:rsidRPr="003D4A39" w:rsidRDefault="00D22BF6" w:rsidP="00D22BF6">
            <w:pPr>
              <w:ind w:left="142"/>
              <w:rPr>
                <w:sz w:val="24"/>
                <w:szCs w:val="24"/>
              </w:rPr>
            </w:pPr>
          </w:p>
          <w:p w14:paraId="4954AAED" w14:textId="77777777" w:rsidR="00D22BF6" w:rsidRPr="003D4A39" w:rsidRDefault="00D22BF6" w:rsidP="00D22BF6">
            <w:pPr>
              <w:ind w:left="142"/>
              <w:rPr>
                <w:sz w:val="24"/>
                <w:szCs w:val="24"/>
              </w:rPr>
            </w:pPr>
            <w:r w:rsidRPr="003D4A39">
              <w:rPr>
                <w:sz w:val="24"/>
                <w:szCs w:val="24"/>
              </w:rPr>
              <w:t>14</w:t>
            </w:r>
          </w:p>
        </w:tc>
        <w:tc>
          <w:tcPr>
            <w:tcW w:w="1813" w:type="pct"/>
            <w:tcBorders>
              <w:top w:val="single" w:sz="4" w:space="0" w:color="000000"/>
              <w:left w:val="single" w:sz="4" w:space="0" w:color="000000"/>
              <w:bottom w:val="single" w:sz="4" w:space="0" w:color="000000"/>
              <w:right w:val="single" w:sz="4" w:space="0" w:color="000000"/>
            </w:tcBorders>
          </w:tcPr>
          <w:p w14:paraId="502E2C4D" w14:textId="77777777" w:rsidR="00D22BF6" w:rsidRPr="003D4A39" w:rsidRDefault="00D22BF6" w:rsidP="00D22BF6">
            <w:pPr>
              <w:ind w:left="142"/>
              <w:rPr>
                <w:sz w:val="24"/>
                <w:szCs w:val="24"/>
              </w:rPr>
            </w:pPr>
          </w:p>
          <w:p w14:paraId="16665686" w14:textId="77777777" w:rsidR="00D22BF6" w:rsidRPr="003D4A39" w:rsidRDefault="00D22BF6" w:rsidP="00D22BF6">
            <w:pPr>
              <w:ind w:left="142"/>
              <w:rPr>
                <w:sz w:val="24"/>
                <w:szCs w:val="24"/>
              </w:rPr>
            </w:pPr>
          </w:p>
          <w:p w14:paraId="6F121045" w14:textId="77777777" w:rsidR="00D22BF6" w:rsidRPr="003D4A39" w:rsidRDefault="00D22BF6" w:rsidP="00D22BF6">
            <w:pPr>
              <w:ind w:left="142"/>
              <w:rPr>
                <w:sz w:val="24"/>
                <w:szCs w:val="24"/>
              </w:rPr>
            </w:pPr>
            <w:r w:rsidRPr="005D4D80">
              <w:rPr>
                <w:i/>
                <w:iCs/>
                <w:sz w:val="24"/>
                <w:szCs w:val="24"/>
              </w:rPr>
              <w:t>Hazard</w:t>
            </w:r>
            <w:r w:rsidRPr="003D4A39">
              <w:rPr>
                <w:sz w:val="24"/>
                <w:szCs w:val="24"/>
              </w:rPr>
              <w:t xml:space="preserve"> ratio: 1,122</w:t>
            </w:r>
          </w:p>
          <w:p w14:paraId="23070CBF" w14:textId="77777777" w:rsidR="00D22BF6" w:rsidRPr="003D4A39" w:rsidRDefault="00D22BF6" w:rsidP="00D22BF6">
            <w:pPr>
              <w:ind w:left="142"/>
              <w:rPr>
                <w:sz w:val="24"/>
                <w:szCs w:val="24"/>
              </w:rPr>
            </w:pPr>
            <w:r w:rsidRPr="003D4A39">
              <w:rPr>
                <w:sz w:val="24"/>
                <w:szCs w:val="24"/>
              </w:rPr>
              <w:t xml:space="preserve">(97,2 % CI: 0.937; </w:t>
            </w:r>
            <w:proofErr w:type="gramStart"/>
            <w:r w:rsidRPr="003D4A39">
              <w:rPr>
                <w:sz w:val="24"/>
                <w:szCs w:val="24"/>
              </w:rPr>
              <w:t>1,342)*</w:t>
            </w:r>
            <w:proofErr w:type="gramEnd"/>
          </w:p>
          <w:p w14:paraId="6080C198" w14:textId="77777777" w:rsidR="00D22BF6" w:rsidRPr="003D4A39" w:rsidRDefault="00D22BF6" w:rsidP="00D22BF6">
            <w:pPr>
              <w:ind w:left="142"/>
              <w:rPr>
                <w:sz w:val="24"/>
                <w:szCs w:val="24"/>
              </w:rPr>
            </w:pPr>
            <w:r w:rsidRPr="003D4A39">
              <w:rPr>
                <w:sz w:val="24"/>
                <w:szCs w:val="24"/>
              </w:rPr>
              <w:t>Behandlingsforskel 5,4 %</w:t>
            </w:r>
          </w:p>
          <w:p w14:paraId="468FC5A0" w14:textId="77777777" w:rsidR="00D22BF6" w:rsidRPr="003D4A39" w:rsidRDefault="00D22BF6" w:rsidP="00D22BF6">
            <w:pPr>
              <w:ind w:left="142"/>
              <w:rPr>
                <w:sz w:val="24"/>
                <w:szCs w:val="24"/>
              </w:rPr>
            </w:pPr>
            <w:r w:rsidRPr="003D4A39">
              <w:rPr>
                <w:sz w:val="24"/>
                <w:szCs w:val="24"/>
              </w:rPr>
              <w:t>(95 % CI: -1,1; 12,0)</w:t>
            </w:r>
          </w:p>
          <w:p w14:paraId="149D6A10" w14:textId="77777777" w:rsidR="00D22BF6" w:rsidRPr="003D4A39" w:rsidRDefault="00D22BF6" w:rsidP="00D22BF6">
            <w:pPr>
              <w:ind w:left="142"/>
              <w:rPr>
                <w:sz w:val="24"/>
                <w:szCs w:val="24"/>
              </w:rPr>
            </w:pPr>
            <w:r w:rsidRPr="003D4A39">
              <w:rPr>
                <w:sz w:val="24"/>
                <w:szCs w:val="24"/>
              </w:rPr>
              <w:t>Behandlingsforskel 6,2 %</w:t>
            </w:r>
          </w:p>
          <w:p w14:paraId="75FAA09B" w14:textId="77777777" w:rsidR="00D22BF6" w:rsidRPr="003D4A39" w:rsidRDefault="00D22BF6" w:rsidP="00D22BF6">
            <w:pPr>
              <w:ind w:left="142"/>
              <w:rPr>
                <w:sz w:val="24"/>
                <w:szCs w:val="24"/>
              </w:rPr>
            </w:pPr>
            <w:r w:rsidRPr="003D4A39">
              <w:rPr>
                <w:sz w:val="24"/>
                <w:szCs w:val="24"/>
              </w:rPr>
              <w:t>(95 % CI: 0,2; 12,3)</w:t>
            </w:r>
          </w:p>
        </w:tc>
      </w:tr>
      <w:tr w:rsidR="00D22BF6" w:rsidRPr="003D4A39" w14:paraId="3361AF4B" w14:textId="77777777" w:rsidTr="00D22BF6">
        <w:trPr>
          <w:trHeight w:val="20"/>
        </w:trPr>
        <w:tc>
          <w:tcPr>
            <w:tcW w:w="1814" w:type="pct"/>
            <w:tcBorders>
              <w:top w:val="single" w:sz="4" w:space="0" w:color="000000"/>
              <w:left w:val="single" w:sz="4" w:space="0" w:color="000000"/>
              <w:bottom w:val="single" w:sz="4" w:space="0" w:color="000000"/>
              <w:right w:val="single" w:sz="4" w:space="0" w:color="000000"/>
            </w:tcBorders>
            <w:hideMark/>
          </w:tcPr>
          <w:p w14:paraId="5FFB7A49" w14:textId="77777777" w:rsidR="00D22BF6" w:rsidRPr="003D4A39" w:rsidRDefault="00D22BF6" w:rsidP="00D22BF6">
            <w:pPr>
              <w:ind w:left="142"/>
              <w:rPr>
                <w:sz w:val="24"/>
                <w:szCs w:val="24"/>
              </w:rPr>
            </w:pPr>
            <w:r w:rsidRPr="003D4A39">
              <w:rPr>
                <w:sz w:val="24"/>
                <w:szCs w:val="24"/>
              </w:rPr>
              <w:t>Gennemsnitlig tid til progression (uger)</w:t>
            </w:r>
          </w:p>
        </w:tc>
        <w:tc>
          <w:tcPr>
            <w:tcW w:w="686" w:type="pct"/>
            <w:tcBorders>
              <w:top w:val="single" w:sz="4" w:space="0" w:color="000000"/>
              <w:left w:val="single" w:sz="4" w:space="0" w:color="000000"/>
              <w:bottom w:val="single" w:sz="4" w:space="0" w:color="000000"/>
              <w:right w:val="single" w:sz="4" w:space="0" w:color="000000"/>
            </w:tcBorders>
          </w:tcPr>
          <w:p w14:paraId="4D8F3250" w14:textId="77777777" w:rsidR="00D22BF6" w:rsidRPr="003D4A39" w:rsidRDefault="00D22BF6" w:rsidP="00D22BF6">
            <w:pPr>
              <w:ind w:left="142"/>
              <w:rPr>
                <w:sz w:val="24"/>
                <w:szCs w:val="24"/>
              </w:rPr>
            </w:pPr>
          </w:p>
          <w:p w14:paraId="098A0134" w14:textId="77777777" w:rsidR="00D22BF6" w:rsidRPr="003D4A39" w:rsidRDefault="00D22BF6" w:rsidP="00D22BF6">
            <w:pPr>
              <w:ind w:left="142"/>
              <w:rPr>
                <w:sz w:val="24"/>
                <w:szCs w:val="24"/>
              </w:rPr>
            </w:pPr>
            <w:r w:rsidRPr="003D4A39">
              <w:rPr>
                <w:sz w:val="24"/>
                <w:szCs w:val="24"/>
              </w:rPr>
              <w:t>22,0</w:t>
            </w:r>
          </w:p>
        </w:tc>
        <w:tc>
          <w:tcPr>
            <w:tcW w:w="687" w:type="pct"/>
            <w:tcBorders>
              <w:top w:val="single" w:sz="4" w:space="0" w:color="000000"/>
              <w:left w:val="single" w:sz="4" w:space="0" w:color="000000"/>
              <w:bottom w:val="single" w:sz="4" w:space="0" w:color="000000"/>
              <w:right w:val="single" w:sz="4" w:space="0" w:color="000000"/>
            </w:tcBorders>
          </w:tcPr>
          <w:p w14:paraId="0E5CEF13" w14:textId="77777777" w:rsidR="00D22BF6" w:rsidRPr="003D4A39" w:rsidRDefault="00D22BF6" w:rsidP="00D22BF6">
            <w:pPr>
              <w:ind w:left="142"/>
              <w:rPr>
                <w:sz w:val="24"/>
                <w:szCs w:val="24"/>
              </w:rPr>
            </w:pPr>
          </w:p>
          <w:p w14:paraId="1E4C74CF" w14:textId="77777777" w:rsidR="00D22BF6" w:rsidRPr="003D4A39" w:rsidRDefault="00D22BF6" w:rsidP="00D22BF6">
            <w:pPr>
              <w:ind w:left="142"/>
              <w:rPr>
                <w:sz w:val="24"/>
                <w:szCs w:val="24"/>
              </w:rPr>
            </w:pPr>
            <w:r w:rsidRPr="003D4A39">
              <w:rPr>
                <w:sz w:val="24"/>
                <w:szCs w:val="24"/>
              </w:rPr>
              <w:t>23,0</w:t>
            </w:r>
          </w:p>
        </w:tc>
        <w:tc>
          <w:tcPr>
            <w:tcW w:w="1813" w:type="pct"/>
            <w:tcBorders>
              <w:top w:val="single" w:sz="4" w:space="0" w:color="000000"/>
              <w:left w:val="single" w:sz="4" w:space="0" w:color="000000"/>
              <w:bottom w:val="single" w:sz="4" w:space="0" w:color="000000"/>
              <w:right w:val="single" w:sz="4" w:space="0" w:color="000000"/>
            </w:tcBorders>
          </w:tcPr>
          <w:p w14:paraId="7629F8EC" w14:textId="77777777" w:rsidR="00D22BF6" w:rsidRPr="003D4A39" w:rsidRDefault="00D22BF6" w:rsidP="00D22BF6">
            <w:pPr>
              <w:ind w:left="142"/>
              <w:rPr>
                <w:sz w:val="24"/>
                <w:szCs w:val="24"/>
              </w:rPr>
            </w:pPr>
          </w:p>
          <w:p w14:paraId="433F59C4" w14:textId="77777777" w:rsidR="00D22BF6" w:rsidRPr="003D4A39" w:rsidRDefault="00D22BF6" w:rsidP="00D22BF6">
            <w:pPr>
              <w:ind w:left="142"/>
              <w:rPr>
                <w:sz w:val="24"/>
                <w:szCs w:val="24"/>
              </w:rPr>
            </w:pPr>
            <w:r w:rsidRPr="005D4D80">
              <w:rPr>
                <w:i/>
                <w:iCs/>
                <w:sz w:val="24"/>
                <w:szCs w:val="24"/>
              </w:rPr>
              <w:t>Hazard</w:t>
            </w:r>
            <w:r w:rsidRPr="003D4A39">
              <w:rPr>
                <w:sz w:val="24"/>
                <w:szCs w:val="24"/>
              </w:rPr>
              <w:t xml:space="preserve"> ratio: 1,032</w:t>
            </w:r>
          </w:p>
          <w:p w14:paraId="70637A8F" w14:textId="77777777" w:rsidR="00D22BF6" w:rsidRPr="003D4A39" w:rsidRDefault="00D22BF6" w:rsidP="00D22BF6">
            <w:pPr>
              <w:ind w:left="142"/>
              <w:rPr>
                <w:sz w:val="24"/>
                <w:szCs w:val="24"/>
              </w:rPr>
            </w:pPr>
            <w:r w:rsidRPr="003D4A39">
              <w:rPr>
                <w:sz w:val="24"/>
                <w:szCs w:val="24"/>
              </w:rPr>
              <w:t>(95 % CI: 0,876; 1,216)</w:t>
            </w:r>
          </w:p>
        </w:tc>
      </w:tr>
      <w:tr w:rsidR="00D22BF6" w:rsidRPr="003D4A39" w14:paraId="68511F1D" w14:textId="77777777" w:rsidTr="00D22BF6">
        <w:trPr>
          <w:trHeight w:val="20"/>
        </w:trPr>
        <w:tc>
          <w:tcPr>
            <w:tcW w:w="1814" w:type="pct"/>
            <w:tcBorders>
              <w:top w:val="single" w:sz="4" w:space="0" w:color="000000"/>
              <w:left w:val="single" w:sz="4" w:space="0" w:color="000000"/>
              <w:bottom w:val="single" w:sz="4" w:space="0" w:color="000000"/>
              <w:right w:val="single" w:sz="4" w:space="0" w:color="000000"/>
            </w:tcBorders>
            <w:hideMark/>
          </w:tcPr>
          <w:p w14:paraId="458EA717" w14:textId="2C014D99" w:rsidR="00D22BF6" w:rsidRPr="003D4A39" w:rsidRDefault="00D22BF6" w:rsidP="00D22BF6">
            <w:pPr>
              <w:ind w:left="142"/>
              <w:rPr>
                <w:sz w:val="24"/>
                <w:szCs w:val="24"/>
              </w:rPr>
            </w:pPr>
            <w:r w:rsidRPr="003D4A39">
              <w:rPr>
                <w:sz w:val="24"/>
                <w:szCs w:val="24"/>
              </w:rPr>
              <w:t>Total responsrate (%)</w:t>
            </w:r>
          </w:p>
        </w:tc>
        <w:tc>
          <w:tcPr>
            <w:tcW w:w="686" w:type="pct"/>
            <w:tcBorders>
              <w:top w:val="single" w:sz="4" w:space="0" w:color="000000"/>
              <w:left w:val="single" w:sz="4" w:space="0" w:color="000000"/>
              <w:bottom w:val="single" w:sz="4" w:space="0" w:color="000000"/>
              <w:right w:val="single" w:sz="4" w:space="0" w:color="000000"/>
            </w:tcBorders>
            <w:hideMark/>
          </w:tcPr>
          <w:p w14:paraId="0CACE4D7" w14:textId="77777777" w:rsidR="00D22BF6" w:rsidRPr="003D4A39" w:rsidRDefault="00D22BF6" w:rsidP="00D22BF6">
            <w:pPr>
              <w:ind w:left="142"/>
              <w:rPr>
                <w:sz w:val="24"/>
                <w:szCs w:val="24"/>
              </w:rPr>
            </w:pPr>
            <w:r w:rsidRPr="003D4A39">
              <w:rPr>
                <w:sz w:val="24"/>
                <w:szCs w:val="24"/>
              </w:rPr>
              <w:t>31,6</w:t>
            </w:r>
          </w:p>
        </w:tc>
        <w:tc>
          <w:tcPr>
            <w:tcW w:w="687" w:type="pct"/>
            <w:tcBorders>
              <w:top w:val="single" w:sz="4" w:space="0" w:color="000000"/>
              <w:left w:val="single" w:sz="4" w:space="0" w:color="000000"/>
              <w:bottom w:val="single" w:sz="4" w:space="0" w:color="000000"/>
              <w:right w:val="single" w:sz="4" w:space="0" w:color="000000"/>
            </w:tcBorders>
            <w:hideMark/>
          </w:tcPr>
          <w:p w14:paraId="5FD3CA85" w14:textId="77777777" w:rsidR="00D22BF6" w:rsidRPr="003D4A39" w:rsidRDefault="00D22BF6" w:rsidP="00D22BF6">
            <w:pPr>
              <w:ind w:left="142"/>
              <w:rPr>
                <w:sz w:val="24"/>
                <w:szCs w:val="24"/>
              </w:rPr>
            </w:pPr>
            <w:r w:rsidRPr="003D4A39">
              <w:rPr>
                <w:sz w:val="24"/>
                <w:szCs w:val="24"/>
              </w:rPr>
              <w:t>24,5</w:t>
            </w:r>
          </w:p>
        </w:tc>
        <w:tc>
          <w:tcPr>
            <w:tcW w:w="1813" w:type="pct"/>
            <w:tcBorders>
              <w:top w:val="single" w:sz="4" w:space="0" w:color="000000"/>
              <w:left w:val="single" w:sz="4" w:space="0" w:color="000000"/>
              <w:bottom w:val="single" w:sz="4" w:space="0" w:color="000000"/>
              <w:right w:val="single" w:sz="4" w:space="0" w:color="000000"/>
            </w:tcBorders>
            <w:hideMark/>
          </w:tcPr>
          <w:p w14:paraId="5B0D35EB" w14:textId="77777777" w:rsidR="00D22BF6" w:rsidRPr="003D4A39" w:rsidRDefault="00D22BF6" w:rsidP="00D22BF6">
            <w:pPr>
              <w:ind w:left="142"/>
              <w:rPr>
                <w:sz w:val="24"/>
                <w:szCs w:val="24"/>
              </w:rPr>
            </w:pPr>
            <w:r w:rsidRPr="003D4A39">
              <w:rPr>
                <w:sz w:val="24"/>
                <w:szCs w:val="24"/>
              </w:rPr>
              <w:t>Behandlingsforskel 7,1 %</w:t>
            </w:r>
          </w:p>
          <w:p w14:paraId="24DA5DE7" w14:textId="77777777" w:rsidR="00D22BF6" w:rsidRPr="003D4A39" w:rsidRDefault="00D22BF6" w:rsidP="00D22BF6">
            <w:pPr>
              <w:ind w:left="142"/>
              <w:rPr>
                <w:sz w:val="24"/>
                <w:szCs w:val="24"/>
              </w:rPr>
            </w:pPr>
            <w:r w:rsidRPr="003D4A39">
              <w:rPr>
                <w:sz w:val="24"/>
                <w:szCs w:val="24"/>
              </w:rPr>
              <w:t>(95 % CI:0,7; 13,5)</w:t>
            </w:r>
          </w:p>
        </w:tc>
      </w:tr>
    </w:tbl>
    <w:p w14:paraId="490AC06C" w14:textId="14071645" w:rsidR="00D22BF6" w:rsidRPr="003D4A39" w:rsidRDefault="00D22BF6" w:rsidP="00D22BF6">
      <w:pPr>
        <w:rPr>
          <w:sz w:val="24"/>
          <w:szCs w:val="24"/>
        </w:rPr>
      </w:pPr>
      <w:r w:rsidRPr="003D4A39">
        <w:rPr>
          <w:sz w:val="24"/>
          <w:szCs w:val="24"/>
        </w:rPr>
        <w:t>*: rettet for multi</w:t>
      </w:r>
      <w:r>
        <w:rPr>
          <w:sz w:val="24"/>
          <w:szCs w:val="24"/>
        </w:rPr>
        <w:t>p</w:t>
      </w:r>
      <w:r w:rsidRPr="003D4A39">
        <w:rPr>
          <w:sz w:val="24"/>
          <w:szCs w:val="24"/>
        </w:rPr>
        <w:t>le sammenligninger og justeret for stratifi</w:t>
      </w:r>
      <w:r>
        <w:rPr>
          <w:sz w:val="24"/>
          <w:szCs w:val="24"/>
        </w:rPr>
        <w:t>k</w:t>
      </w:r>
      <w:r w:rsidRPr="003D4A39">
        <w:rPr>
          <w:sz w:val="24"/>
          <w:szCs w:val="24"/>
        </w:rPr>
        <w:t>ation faktorer (stadie af sygdommen og behandlingsregion), baseret på beregnelig patientpopulation.</w:t>
      </w:r>
    </w:p>
    <w:p w14:paraId="3C84C0E8" w14:textId="77777777" w:rsidR="00D22BF6" w:rsidRPr="003D4A39" w:rsidRDefault="00D22BF6" w:rsidP="00D22BF6">
      <w:pPr>
        <w:ind w:left="851" w:hanging="851"/>
        <w:rPr>
          <w:sz w:val="24"/>
          <w:szCs w:val="24"/>
        </w:rPr>
      </w:pPr>
    </w:p>
    <w:p w14:paraId="4BE95DAC" w14:textId="3D49087A" w:rsidR="00D22BF6" w:rsidRPr="003D4A39" w:rsidRDefault="00D22BF6" w:rsidP="00D22BF6">
      <w:pPr>
        <w:ind w:left="851"/>
        <w:rPr>
          <w:sz w:val="24"/>
          <w:szCs w:val="24"/>
        </w:rPr>
      </w:pPr>
      <w:r w:rsidRPr="003D4A39">
        <w:rPr>
          <w:sz w:val="24"/>
          <w:szCs w:val="24"/>
        </w:rPr>
        <w:t>Sekundære endepunkter inkluderede forandring i smerter, global rating af livskvalitet med EuroQoL</w:t>
      </w:r>
      <w:r w:rsidRPr="003D4A39">
        <w:rPr>
          <w:sz w:val="24"/>
          <w:szCs w:val="24"/>
        </w:rPr>
        <w:noBreakHyphen/>
        <w:t xml:space="preserve">5D, lungekræft-symptom skala, og forandringer i </w:t>
      </w:r>
      <w:r w:rsidRPr="005D4D80">
        <w:rPr>
          <w:i/>
          <w:iCs/>
          <w:sz w:val="24"/>
          <w:szCs w:val="24"/>
        </w:rPr>
        <w:t>Karnofsky performance status</w:t>
      </w:r>
      <w:r w:rsidRPr="003D4A39">
        <w:rPr>
          <w:sz w:val="24"/>
          <w:szCs w:val="24"/>
        </w:rPr>
        <w:t>. Resultater på disse endepunkter understøttede de primære endepunkter-resultater.</w:t>
      </w:r>
    </w:p>
    <w:p w14:paraId="52BB5DB5" w14:textId="77777777" w:rsidR="00D22BF6" w:rsidRPr="003D4A39" w:rsidRDefault="00D22BF6" w:rsidP="00D22BF6">
      <w:pPr>
        <w:ind w:left="851" w:hanging="851"/>
        <w:rPr>
          <w:sz w:val="24"/>
          <w:szCs w:val="24"/>
        </w:rPr>
      </w:pPr>
    </w:p>
    <w:p w14:paraId="7906DADE" w14:textId="6FA611F9" w:rsidR="00D22BF6" w:rsidRPr="003D4A39" w:rsidRDefault="00D22BF6" w:rsidP="00D22BF6">
      <w:pPr>
        <w:ind w:left="851"/>
        <w:rPr>
          <w:sz w:val="24"/>
          <w:szCs w:val="24"/>
        </w:rPr>
      </w:pPr>
      <w:r w:rsidRPr="003D4A39">
        <w:rPr>
          <w:sz w:val="24"/>
          <w:szCs w:val="24"/>
        </w:rPr>
        <w:t xml:space="preserve">For docetaxel/carboplatin-kombinationen kunne der hverken bevises </w:t>
      </w:r>
      <w:r>
        <w:rPr>
          <w:sz w:val="24"/>
          <w:szCs w:val="24"/>
        </w:rPr>
        <w:t>æ</w:t>
      </w:r>
      <w:r w:rsidRPr="003D4A39">
        <w:rPr>
          <w:sz w:val="24"/>
          <w:szCs w:val="24"/>
        </w:rPr>
        <w:t>kvivalent eller non-inferi</w:t>
      </w:r>
      <w:r>
        <w:rPr>
          <w:sz w:val="24"/>
          <w:szCs w:val="24"/>
        </w:rPr>
        <w:t>ø</w:t>
      </w:r>
      <w:r w:rsidRPr="003D4A39">
        <w:rPr>
          <w:sz w:val="24"/>
          <w:szCs w:val="24"/>
        </w:rPr>
        <w:t>r effekt sammenlignet med referencebehandlingen kombination VCis.</w:t>
      </w:r>
    </w:p>
    <w:p w14:paraId="170768FE" w14:textId="77777777" w:rsidR="00D22BF6" w:rsidRPr="003D4A39" w:rsidRDefault="00D22BF6" w:rsidP="00D22BF6">
      <w:pPr>
        <w:ind w:left="851" w:hanging="851"/>
        <w:rPr>
          <w:sz w:val="24"/>
          <w:szCs w:val="24"/>
        </w:rPr>
      </w:pPr>
    </w:p>
    <w:p w14:paraId="125392F2" w14:textId="77777777" w:rsidR="00D22BF6" w:rsidRPr="003D4A39" w:rsidRDefault="00D22BF6" w:rsidP="00D22BF6">
      <w:pPr>
        <w:ind w:left="851"/>
        <w:rPr>
          <w:i/>
          <w:iCs/>
          <w:sz w:val="24"/>
          <w:szCs w:val="24"/>
          <w:u w:val="single"/>
        </w:rPr>
      </w:pPr>
      <w:r w:rsidRPr="003D4A39">
        <w:rPr>
          <w:i/>
          <w:iCs/>
          <w:sz w:val="24"/>
          <w:szCs w:val="24"/>
          <w:u w:val="single"/>
        </w:rPr>
        <w:t>Prostatakræft</w:t>
      </w:r>
    </w:p>
    <w:p w14:paraId="2B390A02" w14:textId="77777777" w:rsidR="00D22BF6" w:rsidRPr="003D4A39" w:rsidRDefault="00D22BF6" w:rsidP="00D22BF6">
      <w:pPr>
        <w:ind w:left="851"/>
        <w:rPr>
          <w:i/>
          <w:iCs/>
          <w:sz w:val="24"/>
          <w:szCs w:val="24"/>
          <w:u w:val="single"/>
        </w:rPr>
      </w:pPr>
    </w:p>
    <w:p w14:paraId="4641BC21" w14:textId="77777777" w:rsidR="00D22BF6" w:rsidRPr="005D4D80" w:rsidRDefault="00D22BF6" w:rsidP="00D22BF6">
      <w:pPr>
        <w:ind w:left="851"/>
        <w:rPr>
          <w:sz w:val="24"/>
          <w:szCs w:val="24"/>
          <w:u w:val="single"/>
        </w:rPr>
      </w:pPr>
      <w:r w:rsidRPr="005D4D80">
        <w:rPr>
          <w:sz w:val="24"/>
          <w:szCs w:val="24"/>
          <w:u w:val="single"/>
        </w:rPr>
        <w:t>Metastatisk kastrationsresistent prostatakræft</w:t>
      </w:r>
    </w:p>
    <w:p w14:paraId="62DB09D0" w14:textId="510C835A" w:rsidR="00D22BF6" w:rsidRPr="003D4A39" w:rsidRDefault="00D22BF6" w:rsidP="00D22BF6">
      <w:pPr>
        <w:ind w:left="851"/>
        <w:rPr>
          <w:sz w:val="24"/>
          <w:szCs w:val="24"/>
        </w:rPr>
      </w:pPr>
      <w:r w:rsidRPr="003D4A39">
        <w:rPr>
          <w:sz w:val="24"/>
          <w:szCs w:val="24"/>
        </w:rPr>
        <w:t>Sikkerheden og effekten af docetaxel i kombination med prednison eller prednisolon hos patienter med metastatisk kastrationsresistent prostatakræft blev undersøgt i et randomiseret multicenter fase III</w:t>
      </w:r>
      <w:r w:rsidRPr="003D4A39">
        <w:rPr>
          <w:sz w:val="24"/>
          <w:szCs w:val="24"/>
        </w:rPr>
        <w:noBreakHyphen/>
        <w:t>studium. I alt 1.006 patienter med KPS ≥ 60 blev randomiseret i følgende behandlingsgrupper:</w:t>
      </w:r>
    </w:p>
    <w:p w14:paraId="081469E0" w14:textId="77777777" w:rsidR="00D22BF6" w:rsidRPr="003D4A39" w:rsidRDefault="00D22BF6" w:rsidP="00D22BF6">
      <w:pPr>
        <w:numPr>
          <w:ilvl w:val="0"/>
          <w:numId w:val="18"/>
        </w:numPr>
        <w:ind w:left="1276" w:hanging="425"/>
        <w:rPr>
          <w:sz w:val="24"/>
          <w:szCs w:val="24"/>
        </w:rPr>
      </w:pPr>
      <w:r w:rsidRPr="003D4A39">
        <w:rPr>
          <w:sz w:val="24"/>
          <w:szCs w:val="24"/>
        </w:rPr>
        <w:t>Docetaxel 75 mg/m² hver 3. uge i 10 behandlingsrunder.</w:t>
      </w:r>
    </w:p>
    <w:p w14:paraId="122E6CC7" w14:textId="77777777" w:rsidR="00D22BF6" w:rsidRPr="003D4A39" w:rsidRDefault="00D22BF6" w:rsidP="00D22BF6">
      <w:pPr>
        <w:numPr>
          <w:ilvl w:val="0"/>
          <w:numId w:val="18"/>
        </w:numPr>
        <w:ind w:left="1276" w:hanging="425"/>
        <w:rPr>
          <w:sz w:val="24"/>
          <w:szCs w:val="24"/>
        </w:rPr>
      </w:pPr>
      <w:r w:rsidRPr="003D4A39">
        <w:rPr>
          <w:sz w:val="24"/>
          <w:szCs w:val="24"/>
        </w:rPr>
        <w:t>Docetaxel 30 mg/m² administreret ugentlig i de første 5 uger i en 6 ugers behandlingsrunde i 5 behandlingsrunder.</w:t>
      </w:r>
    </w:p>
    <w:p w14:paraId="1A0FBCD3" w14:textId="6818044F" w:rsidR="00D22BF6" w:rsidRPr="003D4A39" w:rsidRDefault="00D22BF6" w:rsidP="00D22BF6">
      <w:pPr>
        <w:numPr>
          <w:ilvl w:val="0"/>
          <w:numId w:val="18"/>
        </w:numPr>
        <w:ind w:left="1276" w:hanging="425"/>
        <w:rPr>
          <w:sz w:val="24"/>
          <w:szCs w:val="24"/>
        </w:rPr>
      </w:pPr>
      <w:r w:rsidRPr="003D4A39">
        <w:rPr>
          <w:sz w:val="24"/>
          <w:szCs w:val="24"/>
        </w:rPr>
        <w:t>Mitoxantron 12 mg/m² hver 3. uge i 10 behandlingsrunder.</w:t>
      </w:r>
    </w:p>
    <w:p w14:paraId="6B15D4C3" w14:textId="77777777" w:rsidR="00D22BF6" w:rsidRDefault="00D22BF6" w:rsidP="0081699D">
      <w:pPr>
        <w:ind w:left="851"/>
        <w:rPr>
          <w:sz w:val="24"/>
          <w:szCs w:val="24"/>
        </w:rPr>
      </w:pPr>
    </w:p>
    <w:p w14:paraId="1C606B2D" w14:textId="68CBBCC6" w:rsidR="006B34A1" w:rsidRPr="008D45EF" w:rsidRDefault="006B34A1" w:rsidP="0081699D">
      <w:pPr>
        <w:ind w:left="851"/>
        <w:rPr>
          <w:sz w:val="24"/>
          <w:szCs w:val="24"/>
        </w:rPr>
      </w:pPr>
      <w:r w:rsidRPr="008D45EF">
        <w:rPr>
          <w:sz w:val="24"/>
          <w:szCs w:val="24"/>
        </w:rPr>
        <w:t>Alle 3 behandlingsregimer blev administreret i kombination med prednison eller prednisolon 5 mg to gange daglig, kontinuerligt.</w:t>
      </w:r>
    </w:p>
    <w:p w14:paraId="39FC4E5A" w14:textId="77777777" w:rsidR="006B34A1" w:rsidRPr="008D45EF" w:rsidRDefault="006B34A1" w:rsidP="0081699D">
      <w:pPr>
        <w:ind w:left="851"/>
        <w:rPr>
          <w:sz w:val="24"/>
          <w:szCs w:val="24"/>
        </w:rPr>
      </w:pPr>
    </w:p>
    <w:p w14:paraId="1F56A498" w14:textId="77777777" w:rsidR="006B34A1" w:rsidRPr="008D45EF" w:rsidRDefault="006B34A1" w:rsidP="0081699D">
      <w:pPr>
        <w:ind w:left="851"/>
        <w:rPr>
          <w:sz w:val="24"/>
          <w:szCs w:val="24"/>
        </w:rPr>
      </w:pPr>
      <w:r w:rsidRPr="008D45EF">
        <w:rPr>
          <w:sz w:val="24"/>
          <w:szCs w:val="24"/>
        </w:rPr>
        <w:t xml:space="preserve">De patienter, der fik docetaxel hver 3. uge, viste signifikant længere total overlevelse sammenlignet med dem, der fik mitoxantron. Stigningen i overlevelse set i armen med ugentlig docetaxel var ikke statistisk signifikant sammenlignet med mitoxantron-kontrol-armen. Effekt-endepunkter for docetaxel- armene </w:t>
      </w:r>
      <w:r w:rsidRPr="008D45EF">
        <w:rPr>
          <w:i/>
          <w:iCs/>
          <w:sz w:val="24"/>
          <w:szCs w:val="24"/>
        </w:rPr>
        <w:t xml:space="preserve">versus </w:t>
      </w:r>
      <w:r w:rsidRPr="008D45EF">
        <w:rPr>
          <w:sz w:val="24"/>
          <w:szCs w:val="24"/>
        </w:rPr>
        <w:t>kontrol-armen er vist i nedenstående tabel:</w:t>
      </w:r>
    </w:p>
    <w:p w14:paraId="59F52326" w14:textId="77777777" w:rsidR="006B34A1" w:rsidRPr="008D45EF" w:rsidRDefault="006B34A1" w:rsidP="0081699D">
      <w:pPr>
        <w:ind w:left="851"/>
        <w:rPr>
          <w:sz w:val="24"/>
          <w:szCs w:val="24"/>
        </w:rPr>
      </w:pPr>
    </w:p>
    <w:tbl>
      <w:tblPr>
        <w:tblW w:w="5000" w:type="pct"/>
        <w:tblCellMar>
          <w:left w:w="0" w:type="dxa"/>
          <w:right w:w="0" w:type="dxa"/>
        </w:tblCellMar>
        <w:tblLook w:val="04A0" w:firstRow="1" w:lastRow="0" w:firstColumn="1" w:lastColumn="0" w:noHBand="0" w:noVBand="1"/>
      </w:tblPr>
      <w:tblGrid>
        <w:gridCol w:w="3565"/>
        <w:gridCol w:w="2012"/>
        <w:gridCol w:w="1856"/>
        <w:gridCol w:w="2195"/>
      </w:tblGrid>
      <w:tr w:rsidR="00D22BF6" w:rsidRPr="003D4A39" w14:paraId="0F87C223" w14:textId="77777777" w:rsidTr="00D22BF6">
        <w:trPr>
          <w:trHeight w:val="20"/>
          <w:tblHeader/>
        </w:trPr>
        <w:tc>
          <w:tcPr>
            <w:tcW w:w="1851" w:type="pct"/>
            <w:tcBorders>
              <w:top w:val="single" w:sz="4" w:space="0" w:color="000000"/>
              <w:left w:val="single" w:sz="4" w:space="0" w:color="auto"/>
              <w:bottom w:val="single" w:sz="4" w:space="0" w:color="000000"/>
              <w:right w:val="single" w:sz="4" w:space="0" w:color="000000"/>
            </w:tcBorders>
            <w:hideMark/>
          </w:tcPr>
          <w:p w14:paraId="20981886" w14:textId="77777777" w:rsidR="00D22BF6" w:rsidRPr="003D4A39" w:rsidRDefault="00D22BF6" w:rsidP="00D22BF6">
            <w:pPr>
              <w:ind w:left="147" w:firstLine="5"/>
              <w:rPr>
                <w:iCs/>
                <w:sz w:val="24"/>
                <w:szCs w:val="24"/>
              </w:rPr>
            </w:pPr>
            <w:r w:rsidRPr="003D4A39">
              <w:rPr>
                <w:iCs/>
                <w:sz w:val="24"/>
                <w:szCs w:val="24"/>
              </w:rPr>
              <w:t>Endepunkt</w:t>
            </w:r>
          </w:p>
        </w:tc>
        <w:tc>
          <w:tcPr>
            <w:tcW w:w="1045" w:type="pct"/>
            <w:tcBorders>
              <w:top w:val="single" w:sz="4" w:space="0" w:color="000000"/>
              <w:left w:val="single" w:sz="4" w:space="0" w:color="000000"/>
              <w:bottom w:val="single" w:sz="4" w:space="0" w:color="000000"/>
              <w:right w:val="single" w:sz="4" w:space="0" w:color="000000"/>
            </w:tcBorders>
            <w:hideMark/>
          </w:tcPr>
          <w:p w14:paraId="05F199EF" w14:textId="77777777" w:rsidR="00D22BF6" w:rsidRPr="003D4A39" w:rsidRDefault="00D22BF6" w:rsidP="00D22BF6">
            <w:pPr>
              <w:ind w:left="147" w:firstLine="5"/>
              <w:rPr>
                <w:sz w:val="24"/>
                <w:szCs w:val="24"/>
              </w:rPr>
            </w:pPr>
            <w:r w:rsidRPr="003D4A39">
              <w:rPr>
                <w:iCs/>
                <w:sz w:val="24"/>
                <w:szCs w:val="24"/>
              </w:rPr>
              <w:t>Docetaxel hver 3. uge</w:t>
            </w:r>
          </w:p>
        </w:tc>
        <w:tc>
          <w:tcPr>
            <w:tcW w:w="964" w:type="pct"/>
            <w:tcBorders>
              <w:top w:val="single" w:sz="4" w:space="0" w:color="000000"/>
              <w:left w:val="single" w:sz="4" w:space="0" w:color="000000"/>
              <w:bottom w:val="single" w:sz="4" w:space="0" w:color="000000"/>
              <w:right w:val="single" w:sz="4" w:space="0" w:color="000000"/>
            </w:tcBorders>
            <w:hideMark/>
          </w:tcPr>
          <w:p w14:paraId="20AB23B8" w14:textId="77777777" w:rsidR="00D22BF6" w:rsidRPr="003D4A39" w:rsidRDefault="00D22BF6" w:rsidP="00D22BF6">
            <w:pPr>
              <w:ind w:left="147" w:firstLine="5"/>
              <w:rPr>
                <w:sz w:val="24"/>
                <w:szCs w:val="24"/>
              </w:rPr>
            </w:pPr>
            <w:r w:rsidRPr="003D4A39">
              <w:rPr>
                <w:iCs/>
                <w:sz w:val="24"/>
                <w:szCs w:val="24"/>
              </w:rPr>
              <w:t>Docetaxel hver uge</w:t>
            </w:r>
          </w:p>
        </w:tc>
        <w:tc>
          <w:tcPr>
            <w:tcW w:w="1140" w:type="pct"/>
            <w:tcBorders>
              <w:top w:val="single" w:sz="4" w:space="0" w:color="000000"/>
              <w:left w:val="single" w:sz="4" w:space="0" w:color="000000"/>
              <w:bottom w:val="single" w:sz="4" w:space="0" w:color="000000"/>
              <w:right w:val="single" w:sz="4" w:space="0" w:color="auto"/>
            </w:tcBorders>
            <w:hideMark/>
          </w:tcPr>
          <w:p w14:paraId="6085FEAB" w14:textId="7C6A4B1F" w:rsidR="00D22BF6" w:rsidRPr="003D4A39" w:rsidRDefault="00D22BF6" w:rsidP="00D22BF6">
            <w:pPr>
              <w:ind w:left="147" w:firstLine="5"/>
              <w:rPr>
                <w:sz w:val="24"/>
                <w:szCs w:val="24"/>
              </w:rPr>
            </w:pPr>
            <w:r w:rsidRPr="003D4A39">
              <w:rPr>
                <w:sz w:val="24"/>
                <w:szCs w:val="24"/>
              </w:rPr>
              <w:t xml:space="preserve">Mitoxantron </w:t>
            </w:r>
            <w:r w:rsidRPr="003D4A39">
              <w:rPr>
                <w:iCs/>
                <w:sz w:val="24"/>
                <w:szCs w:val="24"/>
              </w:rPr>
              <w:t>hver 3. uge</w:t>
            </w:r>
          </w:p>
        </w:tc>
      </w:tr>
      <w:tr w:rsidR="00D22BF6" w:rsidRPr="003D4A39" w14:paraId="11CAE809" w14:textId="77777777" w:rsidTr="00D22BF6">
        <w:trPr>
          <w:trHeight w:val="20"/>
        </w:trPr>
        <w:tc>
          <w:tcPr>
            <w:tcW w:w="1851" w:type="pct"/>
            <w:tcBorders>
              <w:top w:val="single" w:sz="4" w:space="0" w:color="000000"/>
              <w:left w:val="single" w:sz="4" w:space="0" w:color="auto"/>
              <w:bottom w:val="nil"/>
              <w:right w:val="single" w:sz="4" w:space="0" w:color="000000"/>
            </w:tcBorders>
            <w:hideMark/>
          </w:tcPr>
          <w:p w14:paraId="662F6E49" w14:textId="77777777" w:rsidR="00D22BF6" w:rsidRPr="003D4A39" w:rsidRDefault="00D22BF6" w:rsidP="00D22BF6">
            <w:pPr>
              <w:ind w:left="147" w:firstLine="5"/>
              <w:rPr>
                <w:iCs/>
                <w:sz w:val="24"/>
                <w:szCs w:val="24"/>
              </w:rPr>
            </w:pPr>
            <w:r w:rsidRPr="003D4A39">
              <w:rPr>
                <w:iCs/>
                <w:sz w:val="24"/>
                <w:szCs w:val="24"/>
              </w:rPr>
              <w:t>Antal patienter</w:t>
            </w:r>
          </w:p>
        </w:tc>
        <w:tc>
          <w:tcPr>
            <w:tcW w:w="1045" w:type="pct"/>
            <w:tcBorders>
              <w:top w:val="single" w:sz="4" w:space="0" w:color="000000"/>
              <w:left w:val="single" w:sz="4" w:space="0" w:color="000000"/>
              <w:bottom w:val="nil"/>
              <w:right w:val="single" w:sz="4" w:space="0" w:color="000000"/>
            </w:tcBorders>
            <w:hideMark/>
          </w:tcPr>
          <w:p w14:paraId="44A6E1DA" w14:textId="77777777" w:rsidR="00D22BF6" w:rsidRPr="003D4A39" w:rsidRDefault="00D22BF6" w:rsidP="00D22BF6">
            <w:pPr>
              <w:ind w:left="147" w:firstLine="5"/>
              <w:rPr>
                <w:sz w:val="24"/>
                <w:szCs w:val="24"/>
              </w:rPr>
            </w:pPr>
            <w:r w:rsidRPr="003D4A39">
              <w:rPr>
                <w:iCs/>
                <w:sz w:val="24"/>
                <w:szCs w:val="24"/>
              </w:rPr>
              <w:t>335</w:t>
            </w:r>
          </w:p>
        </w:tc>
        <w:tc>
          <w:tcPr>
            <w:tcW w:w="964" w:type="pct"/>
            <w:tcBorders>
              <w:top w:val="single" w:sz="4" w:space="0" w:color="000000"/>
              <w:left w:val="single" w:sz="4" w:space="0" w:color="000000"/>
              <w:bottom w:val="nil"/>
              <w:right w:val="single" w:sz="4" w:space="0" w:color="000000"/>
            </w:tcBorders>
            <w:hideMark/>
          </w:tcPr>
          <w:p w14:paraId="51334149" w14:textId="77777777" w:rsidR="00D22BF6" w:rsidRPr="003D4A39" w:rsidRDefault="00D22BF6" w:rsidP="00D22BF6">
            <w:pPr>
              <w:ind w:left="147" w:firstLine="5"/>
              <w:rPr>
                <w:sz w:val="24"/>
                <w:szCs w:val="24"/>
              </w:rPr>
            </w:pPr>
            <w:r w:rsidRPr="003D4A39">
              <w:rPr>
                <w:iCs/>
                <w:sz w:val="24"/>
                <w:szCs w:val="24"/>
              </w:rPr>
              <w:t>334</w:t>
            </w:r>
          </w:p>
        </w:tc>
        <w:tc>
          <w:tcPr>
            <w:tcW w:w="1140" w:type="pct"/>
            <w:tcBorders>
              <w:top w:val="single" w:sz="4" w:space="0" w:color="000000"/>
              <w:left w:val="single" w:sz="4" w:space="0" w:color="000000"/>
              <w:bottom w:val="nil"/>
              <w:right w:val="single" w:sz="4" w:space="0" w:color="auto"/>
            </w:tcBorders>
            <w:hideMark/>
          </w:tcPr>
          <w:p w14:paraId="365C663C" w14:textId="77777777" w:rsidR="00D22BF6" w:rsidRPr="003D4A39" w:rsidRDefault="00D22BF6" w:rsidP="00D22BF6">
            <w:pPr>
              <w:ind w:left="147" w:firstLine="5"/>
              <w:rPr>
                <w:sz w:val="24"/>
                <w:szCs w:val="24"/>
              </w:rPr>
            </w:pPr>
            <w:r w:rsidRPr="003D4A39">
              <w:rPr>
                <w:iCs/>
                <w:sz w:val="24"/>
                <w:szCs w:val="24"/>
              </w:rPr>
              <w:t>337</w:t>
            </w:r>
          </w:p>
        </w:tc>
      </w:tr>
      <w:tr w:rsidR="00D22BF6" w:rsidRPr="003D4A39" w14:paraId="5B689DE9" w14:textId="77777777" w:rsidTr="00D22BF6">
        <w:trPr>
          <w:trHeight w:val="20"/>
        </w:trPr>
        <w:tc>
          <w:tcPr>
            <w:tcW w:w="1851" w:type="pct"/>
            <w:tcBorders>
              <w:top w:val="nil"/>
              <w:left w:val="single" w:sz="4" w:space="0" w:color="auto"/>
              <w:bottom w:val="nil"/>
              <w:right w:val="single" w:sz="4" w:space="0" w:color="000000"/>
            </w:tcBorders>
            <w:hideMark/>
          </w:tcPr>
          <w:p w14:paraId="30346BC0" w14:textId="77777777" w:rsidR="00D22BF6" w:rsidRPr="003D4A39" w:rsidRDefault="00D22BF6" w:rsidP="00D22BF6">
            <w:pPr>
              <w:ind w:left="147" w:firstLine="5"/>
              <w:rPr>
                <w:iCs/>
                <w:sz w:val="24"/>
                <w:szCs w:val="24"/>
              </w:rPr>
            </w:pPr>
            <w:r w:rsidRPr="003D4A39">
              <w:rPr>
                <w:iCs/>
                <w:sz w:val="24"/>
                <w:szCs w:val="24"/>
              </w:rPr>
              <w:t>Median overlevelsestid (måneder)</w:t>
            </w:r>
          </w:p>
        </w:tc>
        <w:tc>
          <w:tcPr>
            <w:tcW w:w="1045" w:type="pct"/>
            <w:tcBorders>
              <w:top w:val="nil"/>
              <w:left w:val="single" w:sz="4" w:space="0" w:color="000000"/>
              <w:bottom w:val="nil"/>
              <w:right w:val="single" w:sz="4" w:space="0" w:color="000000"/>
            </w:tcBorders>
            <w:hideMark/>
          </w:tcPr>
          <w:p w14:paraId="66166D5B" w14:textId="77777777" w:rsidR="00D22BF6" w:rsidRPr="003D4A39" w:rsidRDefault="00D22BF6" w:rsidP="00D22BF6">
            <w:pPr>
              <w:ind w:left="147" w:firstLine="5"/>
              <w:rPr>
                <w:sz w:val="24"/>
                <w:szCs w:val="24"/>
              </w:rPr>
            </w:pPr>
            <w:r w:rsidRPr="003D4A39">
              <w:rPr>
                <w:iCs/>
                <w:sz w:val="24"/>
                <w:szCs w:val="24"/>
              </w:rPr>
              <w:t>18,9</w:t>
            </w:r>
          </w:p>
        </w:tc>
        <w:tc>
          <w:tcPr>
            <w:tcW w:w="964" w:type="pct"/>
            <w:tcBorders>
              <w:top w:val="nil"/>
              <w:left w:val="single" w:sz="4" w:space="0" w:color="000000"/>
              <w:bottom w:val="nil"/>
              <w:right w:val="single" w:sz="4" w:space="0" w:color="000000"/>
            </w:tcBorders>
            <w:hideMark/>
          </w:tcPr>
          <w:p w14:paraId="056E1647" w14:textId="77777777" w:rsidR="00D22BF6" w:rsidRPr="003D4A39" w:rsidRDefault="00D22BF6" w:rsidP="00D22BF6">
            <w:pPr>
              <w:ind w:left="147" w:firstLine="5"/>
              <w:rPr>
                <w:sz w:val="24"/>
                <w:szCs w:val="24"/>
              </w:rPr>
            </w:pPr>
            <w:r w:rsidRPr="003D4A39">
              <w:rPr>
                <w:iCs/>
                <w:sz w:val="24"/>
                <w:szCs w:val="24"/>
              </w:rPr>
              <w:t>17,4</w:t>
            </w:r>
          </w:p>
        </w:tc>
        <w:tc>
          <w:tcPr>
            <w:tcW w:w="1140" w:type="pct"/>
            <w:tcBorders>
              <w:top w:val="nil"/>
              <w:left w:val="single" w:sz="4" w:space="0" w:color="000000"/>
              <w:bottom w:val="nil"/>
              <w:right w:val="single" w:sz="4" w:space="0" w:color="auto"/>
            </w:tcBorders>
            <w:hideMark/>
          </w:tcPr>
          <w:p w14:paraId="6B594994" w14:textId="77777777" w:rsidR="00D22BF6" w:rsidRPr="003D4A39" w:rsidRDefault="00D22BF6" w:rsidP="00D22BF6">
            <w:pPr>
              <w:ind w:left="147" w:firstLine="5"/>
              <w:rPr>
                <w:sz w:val="24"/>
                <w:szCs w:val="24"/>
              </w:rPr>
            </w:pPr>
            <w:r w:rsidRPr="003D4A39">
              <w:rPr>
                <w:iCs/>
                <w:sz w:val="24"/>
                <w:szCs w:val="24"/>
              </w:rPr>
              <w:t>16,5</w:t>
            </w:r>
          </w:p>
        </w:tc>
      </w:tr>
      <w:tr w:rsidR="00D22BF6" w:rsidRPr="003D4A39" w14:paraId="124A02A1" w14:textId="77777777" w:rsidTr="00D22BF6">
        <w:trPr>
          <w:trHeight w:val="20"/>
        </w:trPr>
        <w:tc>
          <w:tcPr>
            <w:tcW w:w="1851" w:type="pct"/>
            <w:tcBorders>
              <w:top w:val="nil"/>
              <w:left w:val="single" w:sz="4" w:space="0" w:color="auto"/>
              <w:bottom w:val="nil"/>
              <w:right w:val="single" w:sz="4" w:space="0" w:color="000000"/>
            </w:tcBorders>
            <w:hideMark/>
          </w:tcPr>
          <w:p w14:paraId="577EEA41" w14:textId="77777777" w:rsidR="00D22BF6" w:rsidRPr="003D4A39" w:rsidRDefault="00D22BF6" w:rsidP="00D22BF6">
            <w:pPr>
              <w:ind w:left="147" w:firstLine="5"/>
              <w:rPr>
                <w:iCs/>
                <w:sz w:val="24"/>
                <w:szCs w:val="24"/>
              </w:rPr>
            </w:pPr>
            <w:r w:rsidRPr="003D4A39">
              <w:rPr>
                <w:iCs/>
                <w:sz w:val="24"/>
                <w:szCs w:val="24"/>
              </w:rPr>
              <w:t>95 %CI</w:t>
            </w:r>
          </w:p>
        </w:tc>
        <w:tc>
          <w:tcPr>
            <w:tcW w:w="1045" w:type="pct"/>
            <w:tcBorders>
              <w:top w:val="nil"/>
              <w:left w:val="single" w:sz="4" w:space="0" w:color="000000"/>
              <w:bottom w:val="nil"/>
              <w:right w:val="single" w:sz="4" w:space="0" w:color="000000"/>
            </w:tcBorders>
            <w:hideMark/>
          </w:tcPr>
          <w:p w14:paraId="3AEDAE0F" w14:textId="77777777" w:rsidR="00D22BF6" w:rsidRPr="003D4A39" w:rsidRDefault="00D22BF6" w:rsidP="00D22BF6">
            <w:pPr>
              <w:ind w:left="147" w:firstLine="5"/>
              <w:rPr>
                <w:sz w:val="24"/>
                <w:szCs w:val="24"/>
              </w:rPr>
            </w:pPr>
            <w:r w:rsidRPr="003D4A39">
              <w:rPr>
                <w:iCs/>
                <w:sz w:val="24"/>
                <w:szCs w:val="24"/>
              </w:rPr>
              <w:t>(17,0</w:t>
            </w:r>
            <w:r w:rsidRPr="003D4A39">
              <w:rPr>
                <w:iCs/>
                <w:sz w:val="24"/>
                <w:szCs w:val="24"/>
              </w:rPr>
              <w:noBreakHyphen/>
              <w:t>21,2)</w:t>
            </w:r>
          </w:p>
        </w:tc>
        <w:tc>
          <w:tcPr>
            <w:tcW w:w="964" w:type="pct"/>
            <w:tcBorders>
              <w:top w:val="nil"/>
              <w:left w:val="single" w:sz="4" w:space="0" w:color="000000"/>
              <w:bottom w:val="nil"/>
              <w:right w:val="single" w:sz="4" w:space="0" w:color="000000"/>
            </w:tcBorders>
            <w:hideMark/>
          </w:tcPr>
          <w:p w14:paraId="4B3B453F" w14:textId="77777777" w:rsidR="00D22BF6" w:rsidRPr="003D4A39" w:rsidRDefault="00D22BF6" w:rsidP="00D22BF6">
            <w:pPr>
              <w:ind w:left="147" w:firstLine="5"/>
              <w:rPr>
                <w:sz w:val="24"/>
                <w:szCs w:val="24"/>
              </w:rPr>
            </w:pPr>
            <w:r w:rsidRPr="003D4A39">
              <w:rPr>
                <w:iCs/>
                <w:sz w:val="24"/>
                <w:szCs w:val="24"/>
              </w:rPr>
              <w:t>(15,7</w:t>
            </w:r>
            <w:r w:rsidRPr="003D4A39">
              <w:rPr>
                <w:iCs/>
                <w:sz w:val="24"/>
                <w:szCs w:val="24"/>
              </w:rPr>
              <w:noBreakHyphen/>
              <w:t>19,0)</w:t>
            </w:r>
          </w:p>
        </w:tc>
        <w:tc>
          <w:tcPr>
            <w:tcW w:w="1140" w:type="pct"/>
            <w:tcBorders>
              <w:top w:val="nil"/>
              <w:left w:val="single" w:sz="4" w:space="0" w:color="000000"/>
              <w:bottom w:val="nil"/>
              <w:right w:val="single" w:sz="4" w:space="0" w:color="auto"/>
            </w:tcBorders>
            <w:hideMark/>
          </w:tcPr>
          <w:p w14:paraId="3BDC6CE3" w14:textId="77777777" w:rsidR="00D22BF6" w:rsidRPr="003D4A39" w:rsidRDefault="00D22BF6" w:rsidP="00D22BF6">
            <w:pPr>
              <w:ind w:left="147" w:firstLine="5"/>
              <w:rPr>
                <w:sz w:val="24"/>
                <w:szCs w:val="24"/>
              </w:rPr>
            </w:pPr>
            <w:r w:rsidRPr="003D4A39">
              <w:rPr>
                <w:iCs/>
                <w:sz w:val="24"/>
                <w:szCs w:val="24"/>
              </w:rPr>
              <w:t>(14,4</w:t>
            </w:r>
            <w:r w:rsidRPr="003D4A39">
              <w:rPr>
                <w:iCs/>
                <w:sz w:val="24"/>
                <w:szCs w:val="24"/>
              </w:rPr>
              <w:noBreakHyphen/>
              <w:t>18,6)</w:t>
            </w:r>
          </w:p>
        </w:tc>
      </w:tr>
      <w:tr w:rsidR="00D22BF6" w:rsidRPr="003D4A39" w14:paraId="081100C9" w14:textId="77777777" w:rsidTr="00D22BF6">
        <w:trPr>
          <w:trHeight w:val="20"/>
        </w:trPr>
        <w:tc>
          <w:tcPr>
            <w:tcW w:w="1851" w:type="pct"/>
            <w:tcBorders>
              <w:top w:val="nil"/>
              <w:left w:val="single" w:sz="4" w:space="0" w:color="auto"/>
              <w:bottom w:val="nil"/>
              <w:right w:val="single" w:sz="4" w:space="0" w:color="000000"/>
            </w:tcBorders>
            <w:hideMark/>
          </w:tcPr>
          <w:p w14:paraId="3C539CE0" w14:textId="77777777" w:rsidR="00D22BF6" w:rsidRPr="003D4A39" w:rsidRDefault="00D22BF6" w:rsidP="00D22BF6">
            <w:pPr>
              <w:ind w:left="147" w:firstLine="5"/>
              <w:rPr>
                <w:iCs/>
                <w:sz w:val="24"/>
                <w:szCs w:val="24"/>
              </w:rPr>
            </w:pPr>
            <w:r w:rsidRPr="00E45332">
              <w:rPr>
                <w:i/>
                <w:sz w:val="24"/>
                <w:szCs w:val="24"/>
              </w:rPr>
              <w:t>Hazard</w:t>
            </w:r>
            <w:r w:rsidRPr="003D4A39">
              <w:rPr>
                <w:iCs/>
                <w:sz w:val="24"/>
                <w:szCs w:val="24"/>
              </w:rPr>
              <w:t xml:space="preserve"> ratio</w:t>
            </w:r>
          </w:p>
        </w:tc>
        <w:tc>
          <w:tcPr>
            <w:tcW w:w="1045" w:type="pct"/>
            <w:tcBorders>
              <w:top w:val="nil"/>
              <w:left w:val="single" w:sz="4" w:space="0" w:color="000000"/>
              <w:bottom w:val="nil"/>
              <w:right w:val="single" w:sz="4" w:space="0" w:color="000000"/>
            </w:tcBorders>
            <w:hideMark/>
          </w:tcPr>
          <w:p w14:paraId="6EB614AA" w14:textId="77777777" w:rsidR="00D22BF6" w:rsidRPr="003D4A39" w:rsidRDefault="00D22BF6" w:rsidP="00D22BF6">
            <w:pPr>
              <w:ind w:left="147" w:firstLine="5"/>
              <w:rPr>
                <w:sz w:val="24"/>
                <w:szCs w:val="24"/>
              </w:rPr>
            </w:pPr>
            <w:r w:rsidRPr="003D4A39">
              <w:rPr>
                <w:iCs/>
                <w:sz w:val="24"/>
                <w:szCs w:val="24"/>
              </w:rPr>
              <w:t>0,761</w:t>
            </w:r>
          </w:p>
        </w:tc>
        <w:tc>
          <w:tcPr>
            <w:tcW w:w="964" w:type="pct"/>
            <w:tcBorders>
              <w:top w:val="nil"/>
              <w:left w:val="single" w:sz="4" w:space="0" w:color="000000"/>
              <w:bottom w:val="nil"/>
              <w:right w:val="single" w:sz="4" w:space="0" w:color="000000"/>
            </w:tcBorders>
            <w:hideMark/>
          </w:tcPr>
          <w:p w14:paraId="5A43AF0C" w14:textId="77777777" w:rsidR="00D22BF6" w:rsidRPr="003D4A39" w:rsidRDefault="00D22BF6" w:rsidP="00D22BF6">
            <w:pPr>
              <w:ind w:left="147" w:firstLine="5"/>
              <w:rPr>
                <w:sz w:val="24"/>
                <w:szCs w:val="24"/>
              </w:rPr>
            </w:pPr>
            <w:r w:rsidRPr="003D4A39">
              <w:rPr>
                <w:iCs/>
                <w:sz w:val="24"/>
                <w:szCs w:val="24"/>
              </w:rPr>
              <w:t>0,912</w:t>
            </w:r>
          </w:p>
        </w:tc>
        <w:tc>
          <w:tcPr>
            <w:tcW w:w="1140" w:type="pct"/>
            <w:tcBorders>
              <w:top w:val="nil"/>
              <w:left w:val="single" w:sz="4" w:space="0" w:color="000000"/>
              <w:bottom w:val="nil"/>
              <w:right w:val="single" w:sz="4" w:space="0" w:color="auto"/>
            </w:tcBorders>
            <w:hideMark/>
          </w:tcPr>
          <w:p w14:paraId="719F51C6" w14:textId="77777777" w:rsidR="00D22BF6" w:rsidRPr="003D4A39" w:rsidRDefault="00D22BF6" w:rsidP="00D22BF6">
            <w:pPr>
              <w:ind w:left="147" w:firstLine="5"/>
              <w:rPr>
                <w:sz w:val="24"/>
                <w:szCs w:val="24"/>
              </w:rPr>
            </w:pPr>
            <w:r w:rsidRPr="003D4A39">
              <w:rPr>
                <w:iCs/>
                <w:sz w:val="24"/>
                <w:szCs w:val="24"/>
              </w:rPr>
              <w:t>--</w:t>
            </w:r>
          </w:p>
        </w:tc>
      </w:tr>
      <w:tr w:rsidR="00D22BF6" w:rsidRPr="003D4A39" w14:paraId="3E2FEFA0" w14:textId="77777777" w:rsidTr="00D22BF6">
        <w:trPr>
          <w:trHeight w:val="20"/>
        </w:trPr>
        <w:tc>
          <w:tcPr>
            <w:tcW w:w="1851" w:type="pct"/>
            <w:tcBorders>
              <w:top w:val="nil"/>
              <w:left w:val="single" w:sz="4" w:space="0" w:color="auto"/>
              <w:bottom w:val="nil"/>
              <w:right w:val="single" w:sz="4" w:space="0" w:color="000000"/>
            </w:tcBorders>
            <w:hideMark/>
          </w:tcPr>
          <w:p w14:paraId="0F57C935" w14:textId="77777777" w:rsidR="00D22BF6" w:rsidRPr="003D4A39" w:rsidRDefault="00D22BF6" w:rsidP="00D22BF6">
            <w:pPr>
              <w:ind w:left="147" w:firstLine="5"/>
              <w:rPr>
                <w:iCs/>
                <w:sz w:val="24"/>
                <w:szCs w:val="24"/>
              </w:rPr>
            </w:pPr>
            <w:r w:rsidRPr="003D4A39">
              <w:rPr>
                <w:iCs/>
                <w:sz w:val="24"/>
                <w:szCs w:val="24"/>
              </w:rPr>
              <w:t>95 %CI</w:t>
            </w:r>
          </w:p>
        </w:tc>
        <w:tc>
          <w:tcPr>
            <w:tcW w:w="1045" w:type="pct"/>
            <w:tcBorders>
              <w:top w:val="nil"/>
              <w:left w:val="single" w:sz="4" w:space="0" w:color="000000"/>
              <w:bottom w:val="nil"/>
              <w:right w:val="single" w:sz="4" w:space="0" w:color="000000"/>
            </w:tcBorders>
            <w:hideMark/>
          </w:tcPr>
          <w:p w14:paraId="35CEB3D9" w14:textId="77777777" w:rsidR="00D22BF6" w:rsidRPr="003D4A39" w:rsidRDefault="00D22BF6" w:rsidP="00D22BF6">
            <w:pPr>
              <w:ind w:left="147" w:firstLine="5"/>
              <w:rPr>
                <w:sz w:val="24"/>
                <w:szCs w:val="24"/>
              </w:rPr>
            </w:pPr>
            <w:r w:rsidRPr="003D4A39">
              <w:rPr>
                <w:iCs/>
                <w:sz w:val="24"/>
                <w:szCs w:val="24"/>
              </w:rPr>
              <w:t>(0,619</w:t>
            </w:r>
            <w:r w:rsidRPr="003D4A39">
              <w:rPr>
                <w:iCs/>
                <w:sz w:val="24"/>
                <w:szCs w:val="24"/>
              </w:rPr>
              <w:noBreakHyphen/>
              <w:t>0,936)</w:t>
            </w:r>
          </w:p>
        </w:tc>
        <w:tc>
          <w:tcPr>
            <w:tcW w:w="964" w:type="pct"/>
            <w:tcBorders>
              <w:top w:val="nil"/>
              <w:left w:val="single" w:sz="4" w:space="0" w:color="000000"/>
              <w:bottom w:val="nil"/>
              <w:right w:val="single" w:sz="4" w:space="0" w:color="000000"/>
            </w:tcBorders>
            <w:hideMark/>
          </w:tcPr>
          <w:p w14:paraId="55D64B25" w14:textId="77777777" w:rsidR="00D22BF6" w:rsidRPr="003D4A39" w:rsidRDefault="00D22BF6" w:rsidP="00D22BF6">
            <w:pPr>
              <w:ind w:left="147" w:firstLine="5"/>
              <w:rPr>
                <w:sz w:val="24"/>
                <w:szCs w:val="24"/>
              </w:rPr>
            </w:pPr>
            <w:r w:rsidRPr="003D4A39">
              <w:rPr>
                <w:iCs/>
                <w:sz w:val="24"/>
                <w:szCs w:val="24"/>
              </w:rPr>
              <w:t>(0,747</w:t>
            </w:r>
            <w:r w:rsidRPr="003D4A39">
              <w:rPr>
                <w:iCs/>
                <w:sz w:val="24"/>
                <w:szCs w:val="24"/>
              </w:rPr>
              <w:noBreakHyphen/>
              <w:t>1,113)</w:t>
            </w:r>
          </w:p>
        </w:tc>
        <w:tc>
          <w:tcPr>
            <w:tcW w:w="1140" w:type="pct"/>
            <w:tcBorders>
              <w:top w:val="nil"/>
              <w:left w:val="single" w:sz="4" w:space="0" w:color="000000"/>
              <w:bottom w:val="nil"/>
              <w:right w:val="single" w:sz="4" w:space="0" w:color="auto"/>
            </w:tcBorders>
            <w:hideMark/>
          </w:tcPr>
          <w:p w14:paraId="190DB6F1" w14:textId="77777777" w:rsidR="00D22BF6" w:rsidRPr="003D4A39" w:rsidRDefault="00D22BF6" w:rsidP="00D22BF6">
            <w:pPr>
              <w:ind w:left="147" w:firstLine="5"/>
              <w:rPr>
                <w:sz w:val="24"/>
                <w:szCs w:val="24"/>
              </w:rPr>
            </w:pPr>
            <w:r w:rsidRPr="003D4A39">
              <w:rPr>
                <w:iCs/>
                <w:sz w:val="24"/>
                <w:szCs w:val="24"/>
              </w:rPr>
              <w:t>--</w:t>
            </w:r>
          </w:p>
        </w:tc>
      </w:tr>
      <w:tr w:rsidR="00D22BF6" w:rsidRPr="003D4A39" w14:paraId="243979D0" w14:textId="77777777" w:rsidTr="00D22BF6">
        <w:trPr>
          <w:trHeight w:val="20"/>
        </w:trPr>
        <w:tc>
          <w:tcPr>
            <w:tcW w:w="1851" w:type="pct"/>
            <w:tcBorders>
              <w:top w:val="nil"/>
              <w:left w:val="single" w:sz="4" w:space="0" w:color="auto"/>
              <w:bottom w:val="single" w:sz="4" w:space="0" w:color="000000"/>
              <w:right w:val="single" w:sz="4" w:space="0" w:color="000000"/>
            </w:tcBorders>
            <w:hideMark/>
          </w:tcPr>
          <w:p w14:paraId="5008B02E" w14:textId="77777777" w:rsidR="00D22BF6" w:rsidRPr="003D4A39" w:rsidRDefault="00D22BF6" w:rsidP="00D22BF6">
            <w:pPr>
              <w:ind w:left="147" w:firstLine="5"/>
              <w:rPr>
                <w:iCs/>
                <w:sz w:val="24"/>
                <w:szCs w:val="24"/>
              </w:rPr>
            </w:pPr>
            <w:r w:rsidRPr="003D4A39">
              <w:rPr>
                <w:iCs/>
                <w:sz w:val="24"/>
                <w:szCs w:val="24"/>
              </w:rPr>
              <w:t>p</w:t>
            </w:r>
            <w:r w:rsidRPr="003D4A39">
              <w:rPr>
                <w:iCs/>
                <w:sz w:val="24"/>
                <w:szCs w:val="24"/>
              </w:rPr>
              <w:noBreakHyphen/>
              <w:t>værdi†*</w:t>
            </w:r>
          </w:p>
        </w:tc>
        <w:tc>
          <w:tcPr>
            <w:tcW w:w="1045" w:type="pct"/>
            <w:tcBorders>
              <w:top w:val="nil"/>
              <w:left w:val="single" w:sz="4" w:space="0" w:color="000000"/>
              <w:bottom w:val="single" w:sz="4" w:space="0" w:color="000000"/>
              <w:right w:val="single" w:sz="4" w:space="0" w:color="000000"/>
            </w:tcBorders>
            <w:hideMark/>
          </w:tcPr>
          <w:p w14:paraId="785BB37E" w14:textId="77777777" w:rsidR="00D22BF6" w:rsidRPr="003D4A39" w:rsidRDefault="00D22BF6" w:rsidP="00D22BF6">
            <w:pPr>
              <w:ind w:left="147" w:firstLine="5"/>
              <w:rPr>
                <w:sz w:val="24"/>
                <w:szCs w:val="24"/>
              </w:rPr>
            </w:pPr>
            <w:r w:rsidRPr="003D4A39">
              <w:rPr>
                <w:iCs/>
                <w:sz w:val="24"/>
                <w:szCs w:val="24"/>
              </w:rPr>
              <w:t>0,0094</w:t>
            </w:r>
          </w:p>
        </w:tc>
        <w:tc>
          <w:tcPr>
            <w:tcW w:w="964" w:type="pct"/>
            <w:tcBorders>
              <w:top w:val="nil"/>
              <w:left w:val="single" w:sz="4" w:space="0" w:color="000000"/>
              <w:bottom w:val="single" w:sz="4" w:space="0" w:color="000000"/>
              <w:right w:val="single" w:sz="4" w:space="0" w:color="000000"/>
            </w:tcBorders>
            <w:hideMark/>
          </w:tcPr>
          <w:p w14:paraId="7101E05B" w14:textId="77777777" w:rsidR="00D22BF6" w:rsidRPr="003D4A39" w:rsidRDefault="00D22BF6" w:rsidP="00D22BF6">
            <w:pPr>
              <w:ind w:left="147" w:firstLine="5"/>
              <w:rPr>
                <w:sz w:val="24"/>
                <w:szCs w:val="24"/>
              </w:rPr>
            </w:pPr>
            <w:r w:rsidRPr="003D4A39">
              <w:rPr>
                <w:iCs/>
                <w:sz w:val="24"/>
                <w:szCs w:val="24"/>
              </w:rPr>
              <w:t>0,3624</w:t>
            </w:r>
          </w:p>
        </w:tc>
        <w:tc>
          <w:tcPr>
            <w:tcW w:w="1140" w:type="pct"/>
            <w:tcBorders>
              <w:top w:val="nil"/>
              <w:left w:val="single" w:sz="4" w:space="0" w:color="000000"/>
              <w:bottom w:val="single" w:sz="4" w:space="0" w:color="000000"/>
              <w:right w:val="single" w:sz="4" w:space="0" w:color="auto"/>
            </w:tcBorders>
            <w:hideMark/>
          </w:tcPr>
          <w:p w14:paraId="7008FF5D" w14:textId="77777777" w:rsidR="00D22BF6" w:rsidRPr="003D4A39" w:rsidRDefault="00D22BF6" w:rsidP="00D22BF6">
            <w:pPr>
              <w:ind w:left="147" w:firstLine="5"/>
              <w:rPr>
                <w:sz w:val="24"/>
                <w:szCs w:val="24"/>
              </w:rPr>
            </w:pPr>
            <w:r w:rsidRPr="003D4A39">
              <w:rPr>
                <w:iCs/>
                <w:sz w:val="24"/>
                <w:szCs w:val="24"/>
              </w:rPr>
              <w:t>--</w:t>
            </w:r>
          </w:p>
        </w:tc>
      </w:tr>
      <w:tr w:rsidR="00D22BF6" w:rsidRPr="003D4A39" w14:paraId="53F9DC08" w14:textId="77777777" w:rsidTr="00D22BF6">
        <w:trPr>
          <w:trHeight w:val="20"/>
        </w:trPr>
        <w:tc>
          <w:tcPr>
            <w:tcW w:w="1851" w:type="pct"/>
            <w:tcBorders>
              <w:top w:val="single" w:sz="4" w:space="0" w:color="000000"/>
              <w:left w:val="single" w:sz="4" w:space="0" w:color="auto"/>
              <w:bottom w:val="nil"/>
              <w:right w:val="single" w:sz="4" w:space="0" w:color="000000"/>
            </w:tcBorders>
            <w:hideMark/>
          </w:tcPr>
          <w:p w14:paraId="4C02F11C" w14:textId="77777777" w:rsidR="00D22BF6" w:rsidRPr="003D4A39" w:rsidRDefault="00D22BF6" w:rsidP="00D22BF6">
            <w:pPr>
              <w:ind w:left="147" w:firstLine="5"/>
              <w:rPr>
                <w:iCs/>
                <w:sz w:val="24"/>
                <w:szCs w:val="24"/>
              </w:rPr>
            </w:pPr>
            <w:r w:rsidRPr="003D4A39">
              <w:rPr>
                <w:iCs/>
                <w:sz w:val="24"/>
                <w:szCs w:val="24"/>
              </w:rPr>
              <w:t>Antal patienter</w:t>
            </w:r>
          </w:p>
        </w:tc>
        <w:tc>
          <w:tcPr>
            <w:tcW w:w="1045" w:type="pct"/>
            <w:tcBorders>
              <w:top w:val="single" w:sz="4" w:space="0" w:color="000000"/>
              <w:left w:val="single" w:sz="4" w:space="0" w:color="000000"/>
              <w:bottom w:val="nil"/>
              <w:right w:val="single" w:sz="4" w:space="0" w:color="000000"/>
            </w:tcBorders>
            <w:hideMark/>
          </w:tcPr>
          <w:p w14:paraId="27E8A321" w14:textId="77777777" w:rsidR="00D22BF6" w:rsidRPr="003D4A39" w:rsidRDefault="00D22BF6" w:rsidP="00D22BF6">
            <w:pPr>
              <w:ind w:left="147" w:firstLine="5"/>
              <w:rPr>
                <w:sz w:val="24"/>
                <w:szCs w:val="24"/>
              </w:rPr>
            </w:pPr>
            <w:r w:rsidRPr="003D4A39">
              <w:rPr>
                <w:iCs/>
                <w:sz w:val="24"/>
                <w:szCs w:val="24"/>
              </w:rPr>
              <w:t>291</w:t>
            </w:r>
          </w:p>
        </w:tc>
        <w:tc>
          <w:tcPr>
            <w:tcW w:w="964" w:type="pct"/>
            <w:tcBorders>
              <w:top w:val="single" w:sz="4" w:space="0" w:color="000000"/>
              <w:left w:val="single" w:sz="4" w:space="0" w:color="000000"/>
              <w:bottom w:val="nil"/>
              <w:right w:val="single" w:sz="4" w:space="0" w:color="000000"/>
            </w:tcBorders>
            <w:hideMark/>
          </w:tcPr>
          <w:p w14:paraId="22C6E84E" w14:textId="77777777" w:rsidR="00D22BF6" w:rsidRPr="003D4A39" w:rsidRDefault="00D22BF6" w:rsidP="00D22BF6">
            <w:pPr>
              <w:ind w:left="147" w:firstLine="5"/>
              <w:rPr>
                <w:sz w:val="24"/>
                <w:szCs w:val="24"/>
              </w:rPr>
            </w:pPr>
            <w:r w:rsidRPr="003D4A39">
              <w:rPr>
                <w:iCs/>
                <w:sz w:val="24"/>
                <w:szCs w:val="24"/>
              </w:rPr>
              <w:t>282</w:t>
            </w:r>
          </w:p>
        </w:tc>
        <w:tc>
          <w:tcPr>
            <w:tcW w:w="1140" w:type="pct"/>
            <w:tcBorders>
              <w:top w:val="single" w:sz="4" w:space="0" w:color="000000"/>
              <w:left w:val="single" w:sz="4" w:space="0" w:color="000000"/>
              <w:bottom w:val="nil"/>
              <w:right w:val="single" w:sz="4" w:space="0" w:color="auto"/>
            </w:tcBorders>
            <w:hideMark/>
          </w:tcPr>
          <w:p w14:paraId="43CABE78" w14:textId="77777777" w:rsidR="00D22BF6" w:rsidRPr="003D4A39" w:rsidRDefault="00D22BF6" w:rsidP="00D22BF6">
            <w:pPr>
              <w:ind w:left="147" w:firstLine="5"/>
              <w:rPr>
                <w:sz w:val="24"/>
                <w:szCs w:val="24"/>
              </w:rPr>
            </w:pPr>
            <w:r w:rsidRPr="003D4A39">
              <w:rPr>
                <w:iCs/>
                <w:sz w:val="24"/>
                <w:szCs w:val="24"/>
              </w:rPr>
              <w:t>300</w:t>
            </w:r>
          </w:p>
        </w:tc>
      </w:tr>
      <w:tr w:rsidR="00D22BF6" w:rsidRPr="003D4A39" w14:paraId="3075B605" w14:textId="77777777" w:rsidTr="00D22BF6">
        <w:trPr>
          <w:trHeight w:val="20"/>
        </w:trPr>
        <w:tc>
          <w:tcPr>
            <w:tcW w:w="1851" w:type="pct"/>
            <w:tcBorders>
              <w:top w:val="nil"/>
              <w:left w:val="single" w:sz="4" w:space="0" w:color="auto"/>
              <w:bottom w:val="nil"/>
              <w:right w:val="single" w:sz="4" w:space="0" w:color="000000"/>
            </w:tcBorders>
            <w:hideMark/>
          </w:tcPr>
          <w:p w14:paraId="337B01F6" w14:textId="14D0F134" w:rsidR="00D22BF6" w:rsidRPr="003D4A39" w:rsidRDefault="00D22BF6" w:rsidP="00D22BF6">
            <w:pPr>
              <w:ind w:left="147" w:firstLine="5"/>
              <w:rPr>
                <w:iCs/>
                <w:sz w:val="24"/>
                <w:szCs w:val="24"/>
              </w:rPr>
            </w:pPr>
            <w:r w:rsidRPr="003D4A39">
              <w:rPr>
                <w:iCs/>
                <w:sz w:val="24"/>
                <w:szCs w:val="24"/>
              </w:rPr>
              <w:t>PSA**-responsrate (%)</w:t>
            </w:r>
          </w:p>
        </w:tc>
        <w:tc>
          <w:tcPr>
            <w:tcW w:w="1045" w:type="pct"/>
            <w:tcBorders>
              <w:top w:val="nil"/>
              <w:left w:val="single" w:sz="4" w:space="0" w:color="000000"/>
              <w:bottom w:val="nil"/>
              <w:right w:val="single" w:sz="4" w:space="0" w:color="000000"/>
            </w:tcBorders>
            <w:hideMark/>
          </w:tcPr>
          <w:p w14:paraId="11071928" w14:textId="77777777" w:rsidR="00D22BF6" w:rsidRPr="003D4A39" w:rsidRDefault="00D22BF6" w:rsidP="00D22BF6">
            <w:pPr>
              <w:ind w:left="147" w:firstLine="5"/>
              <w:rPr>
                <w:sz w:val="24"/>
                <w:szCs w:val="24"/>
              </w:rPr>
            </w:pPr>
            <w:r w:rsidRPr="003D4A39">
              <w:rPr>
                <w:iCs/>
                <w:sz w:val="24"/>
                <w:szCs w:val="24"/>
              </w:rPr>
              <w:t>45,4</w:t>
            </w:r>
          </w:p>
        </w:tc>
        <w:tc>
          <w:tcPr>
            <w:tcW w:w="964" w:type="pct"/>
            <w:tcBorders>
              <w:top w:val="nil"/>
              <w:left w:val="single" w:sz="4" w:space="0" w:color="000000"/>
              <w:bottom w:val="nil"/>
              <w:right w:val="single" w:sz="4" w:space="0" w:color="000000"/>
            </w:tcBorders>
            <w:hideMark/>
          </w:tcPr>
          <w:p w14:paraId="585CBE64" w14:textId="77777777" w:rsidR="00D22BF6" w:rsidRPr="003D4A39" w:rsidRDefault="00D22BF6" w:rsidP="00D22BF6">
            <w:pPr>
              <w:ind w:left="147" w:firstLine="5"/>
              <w:rPr>
                <w:sz w:val="24"/>
                <w:szCs w:val="24"/>
              </w:rPr>
            </w:pPr>
            <w:r w:rsidRPr="003D4A39">
              <w:rPr>
                <w:iCs/>
                <w:sz w:val="24"/>
                <w:szCs w:val="24"/>
              </w:rPr>
              <w:t>47,9</w:t>
            </w:r>
          </w:p>
        </w:tc>
        <w:tc>
          <w:tcPr>
            <w:tcW w:w="1140" w:type="pct"/>
            <w:tcBorders>
              <w:top w:val="nil"/>
              <w:left w:val="single" w:sz="4" w:space="0" w:color="000000"/>
              <w:bottom w:val="nil"/>
              <w:right w:val="single" w:sz="4" w:space="0" w:color="auto"/>
            </w:tcBorders>
            <w:hideMark/>
          </w:tcPr>
          <w:p w14:paraId="7900D845" w14:textId="77777777" w:rsidR="00D22BF6" w:rsidRPr="003D4A39" w:rsidRDefault="00D22BF6" w:rsidP="00D22BF6">
            <w:pPr>
              <w:ind w:left="147" w:firstLine="5"/>
              <w:rPr>
                <w:sz w:val="24"/>
                <w:szCs w:val="24"/>
              </w:rPr>
            </w:pPr>
            <w:r w:rsidRPr="003D4A39">
              <w:rPr>
                <w:iCs/>
                <w:sz w:val="24"/>
                <w:szCs w:val="24"/>
              </w:rPr>
              <w:t>31,7</w:t>
            </w:r>
          </w:p>
        </w:tc>
      </w:tr>
      <w:tr w:rsidR="00D22BF6" w:rsidRPr="003D4A39" w14:paraId="632D1F26" w14:textId="77777777" w:rsidTr="00D22BF6">
        <w:trPr>
          <w:trHeight w:val="20"/>
        </w:trPr>
        <w:tc>
          <w:tcPr>
            <w:tcW w:w="1851" w:type="pct"/>
            <w:tcBorders>
              <w:top w:val="nil"/>
              <w:left w:val="single" w:sz="4" w:space="0" w:color="auto"/>
              <w:bottom w:val="nil"/>
              <w:right w:val="single" w:sz="4" w:space="0" w:color="000000"/>
            </w:tcBorders>
            <w:hideMark/>
          </w:tcPr>
          <w:p w14:paraId="2ED4A779" w14:textId="77777777" w:rsidR="00D22BF6" w:rsidRPr="003D4A39" w:rsidRDefault="00D22BF6" w:rsidP="00D22BF6">
            <w:pPr>
              <w:ind w:left="147" w:firstLine="5"/>
              <w:rPr>
                <w:iCs/>
                <w:sz w:val="24"/>
                <w:szCs w:val="24"/>
              </w:rPr>
            </w:pPr>
            <w:r w:rsidRPr="003D4A39">
              <w:rPr>
                <w:iCs/>
                <w:sz w:val="24"/>
                <w:szCs w:val="24"/>
              </w:rPr>
              <w:t>95 %CI</w:t>
            </w:r>
          </w:p>
        </w:tc>
        <w:tc>
          <w:tcPr>
            <w:tcW w:w="1045" w:type="pct"/>
            <w:tcBorders>
              <w:top w:val="nil"/>
              <w:left w:val="single" w:sz="4" w:space="0" w:color="000000"/>
              <w:bottom w:val="nil"/>
              <w:right w:val="single" w:sz="4" w:space="0" w:color="000000"/>
            </w:tcBorders>
            <w:hideMark/>
          </w:tcPr>
          <w:p w14:paraId="2F2995A4" w14:textId="77777777" w:rsidR="00D22BF6" w:rsidRPr="003D4A39" w:rsidRDefault="00D22BF6" w:rsidP="00D22BF6">
            <w:pPr>
              <w:ind w:left="147" w:firstLine="5"/>
              <w:rPr>
                <w:sz w:val="24"/>
                <w:szCs w:val="24"/>
              </w:rPr>
            </w:pPr>
            <w:r w:rsidRPr="003D4A39">
              <w:rPr>
                <w:iCs/>
                <w:sz w:val="24"/>
                <w:szCs w:val="24"/>
              </w:rPr>
              <w:t>(39,5</w:t>
            </w:r>
            <w:r w:rsidRPr="003D4A39">
              <w:rPr>
                <w:iCs/>
                <w:sz w:val="24"/>
                <w:szCs w:val="24"/>
              </w:rPr>
              <w:noBreakHyphen/>
              <w:t>51,3)</w:t>
            </w:r>
          </w:p>
        </w:tc>
        <w:tc>
          <w:tcPr>
            <w:tcW w:w="964" w:type="pct"/>
            <w:tcBorders>
              <w:top w:val="nil"/>
              <w:left w:val="single" w:sz="4" w:space="0" w:color="000000"/>
              <w:bottom w:val="nil"/>
              <w:right w:val="single" w:sz="4" w:space="0" w:color="000000"/>
            </w:tcBorders>
            <w:hideMark/>
          </w:tcPr>
          <w:p w14:paraId="695E6F65" w14:textId="77777777" w:rsidR="00D22BF6" w:rsidRPr="003D4A39" w:rsidRDefault="00D22BF6" w:rsidP="00D22BF6">
            <w:pPr>
              <w:ind w:left="147" w:firstLine="5"/>
              <w:rPr>
                <w:sz w:val="24"/>
                <w:szCs w:val="24"/>
              </w:rPr>
            </w:pPr>
            <w:r w:rsidRPr="003D4A39">
              <w:rPr>
                <w:iCs/>
                <w:sz w:val="24"/>
                <w:szCs w:val="24"/>
              </w:rPr>
              <w:t>(41,9</w:t>
            </w:r>
            <w:r w:rsidRPr="003D4A39">
              <w:rPr>
                <w:iCs/>
                <w:sz w:val="24"/>
                <w:szCs w:val="24"/>
              </w:rPr>
              <w:noBreakHyphen/>
              <w:t>53,9)</w:t>
            </w:r>
          </w:p>
        </w:tc>
        <w:tc>
          <w:tcPr>
            <w:tcW w:w="1140" w:type="pct"/>
            <w:tcBorders>
              <w:top w:val="nil"/>
              <w:left w:val="single" w:sz="4" w:space="0" w:color="000000"/>
              <w:bottom w:val="nil"/>
              <w:right w:val="single" w:sz="4" w:space="0" w:color="auto"/>
            </w:tcBorders>
            <w:hideMark/>
          </w:tcPr>
          <w:p w14:paraId="66E46615" w14:textId="77777777" w:rsidR="00D22BF6" w:rsidRPr="003D4A39" w:rsidRDefault="00D22BF6" w:rsidP="00D22BF6">
            <w:pPr>
              <w:ind w:left="147" w:firstLine="5"/>
              <w:rPr>
                <w:sz w:val="24"/>
                <w:szCs w:val="24"/>
              </w:rPr>
            </w:pPr>
            <w:r w:rsidRPr="003D4A39">
              <w:rPr>
                <w:iCs/>
                <w:sz w:val="24"/>
                <w:szCs w:val="24"/>
              </w:rPr>
              <w:t>(26,4</w:t>
            </w:r>
            <w:r w:rsidRPr="003D4A39">
              <w:rPr>
                <w:iCs/>
                <w:sz w:val="24"/>
                <w:szCs w:val="24"/>
              </w:rPr>
              <w:noBreakHyphen/>
              <w:t>37,3)</w:t>
            </w:r>
          </w:p>
        </w:tc>
      </w:tr>
      <w:tr w:rsidR="00D22BF6" w:rsidRPr="003D4A39" w14:paraId="21CB3B05" w14:textId="77777777" w:rsidTr="00D22BF6">
        <w:trPr>
          <w:trHeight w:val="20"/>
        </w:trPr>
        <w:tc>
          <w:tcPr>
            <w:tcW w:w="1851" w:type="pct"/>
            <w:tcBorders>
              <w:top w:val="nil"/>
              <w:left w:val="single" w:sz="4" w:space="0" w:color="auto"/>
              <w:bottom w:val="single" w:sz="4" w:space="0" w:color="000000"/>
              <w:right w:val="single" w:sz="4" w:space="0" w:color="000000"/>
            </w:tcBorders>
            <w:hideMark/>
          </w:tcPr>
          <w:p w14:paraId="5510E7BE" w14:textId="77777777" w:rsidR="00D22BF6" w:rsidRPr="003D4A39" w:rsidRDefault="00D22BF6" w:rsidP="00D22BF6">
            <w:pPr>
              <w:ind w:left="147" w:firstLine="5"/>
              <w:rPr>
                <w:iCs/>
                <w:sz w:val="24"/>
                <w:szCs w:val="24"/>
              </w:rPr>
            </w:pPr>
            <w:r w:rsidRPr="003D4A39">
              <w:rPr>
                <w:iCs/>
                <w:sz w:val="24"/>
                <w:szCs w:val="24"/>
              </w:rPr>
              <w:t>p</w:t>
            </w:r>
            <w:r w:rsidRPr="003D4A39">
              <w:rPr>
                <w:iCs/>
                <w:sz w:val="24"/>
                <w:szCs w:val="24"/>
              </w:rPr>
              <w:noBreakHyphen/>
              <w:t>værdi*</w:t>
            </w:r>
          </w:p>
        </w:tc>
        <w:tc>
          <w:tcPr>
            <w:tcW w:w="1045" w:type="pct"/>
            <w:tcBorders>
              <w:top w:val="nil"/>
              <w:left w:val="single" w:sz="4" w:space="0" w:color="000000"/>
              <w:bottom w:val="single" w:sz="4" w:space="0" w:color="000000"/>
              <w:right w:val="single" w:sz="4" w:space="0" w:color="000000"/>
            </w:tcBorders>
            <w:hideMark/>
          </w:tcPr>
          <w:p w14:paraId="0497564B" w14:textId="77777777" w:rsidR="00D22BF6" w:rsidRPr="003D4A39" w:rsidRDefault="00D22BF6" w:rsidP="00D22BF6">
            <w:pPr>
              <w:ind w:left="147" w:firstLine="5"/>
              <w:rPr>
                <w:sz w:val="24"/>
                <w:szCs w:val="24"/>
              </w:rPr>
            </w:pPr>
            <w:r w:rsidRPr="003D4A39">
              <w:rPr>
                <w:iCs/>
                <w:sz w:val="24"/>
                <w:szCs w:val="24"/>
              </w:rPr>
              <w:t>0,0005</w:t>
            </w:r>
          </w:p>
        </w:tc>
        <w:tc>
          <w:tcPr>
            <w:tcW w:w="964" w:type="pct"/>
            <w:tcBorders>
              <w:top w:val="nil"/>
              <w:left w:val="single" w:sz="4" w:space="0" w:color="000000"/>
              <w:bottom w:val="single" w:sz="4" w:space="0" w:color="000000"/>
              <w:right w:val="single" w:sz="4" w:space="0" w:color="000000"/>
            </w:tcBorders>
            <w:hideMark/>
          </w:tcPr>
          <w:p w14:paraId="3CD62ECC" w14:textId="77777777" w:rsidR="00D22BF6" w:rsidRPr="003D4A39" w:rsidRDefault="00D22BF6" w:rsidP="00D22BF6">
            <w:pPr>
              <w:ind w:left="147" w:firstLine="5"/>
              <w:rPr>
                <w:sz w:val="24"/>
                <w:szCs w:val="24"/>
              </w:rPr>
            </w:pPr>
            <w:r w:rsidRPr="003D4A39">
              <w:rPr>
                <w:iCs/>
                <w:sz w:val="24"/>
                <w:szCs w:val="24"/>
              </w:rPr>
              <w:t>&lt; 0,0001</w:t>
            </w:r>
          </w:p>
        </w:tc>
        <w:tc>
          <w:tcPr>
            <w:tcW w:w="1140" w:type="pct"/>
            <w:tcBorders>
              <w:top w:val="nil"/>
              <w:left w:val="single" w:sz="4" w:space="0" w:color="000000"/>
              <w:bottom w:val="single" w:sz="4" w:space="0" w:color="000000"/>
              <w:right w:val="single" w:sz="4" w:space="0" w:color="auto"/>
            </w:tcBorders>
            <w:hideMark/>
          </w:tcPr>
          <w:p w14:paraId="7FCE20BF" w14:textId="77777777" w:rsidR="00D22BF6" w:rsidRPr="003D4A39" w:rsidRDefault="00D22BF6" w:rsidP="00D22BF6">
            <w:pPr>
              <w:ind w:left="147" w:firstLine="5"/>
              <w:rPr>
                <w:sz w:val="24"/>
                <w:szCs w:val="24"/>
              </w:rPr>
            </w:pPr>
            <w:r w:rsidRPr="003D4A39">
              <w:rPr>
                <w:iCs/>
                <w:sz w:val="24"/>
                <w:szCs w:val="24"/>
              </w:rPr>
              <w:t>--</w:t>
            </w:r>
          </w:p>
        </w:tc>
      </w:tr>
      <w:tr w:rsidR="00D22BF6" w:rsidRPr="003D4A39" w14:paraId="45BE753E" w14:textId="77777777" w:rsidTr="00D22BF6">
        <w:trPr>
          <w:trHeight w:val="20"/>
        </w:trPr>
        <w:tc>
          <w:tcPr>
            <w:tcW w:w="1851" w:type="pct"/>
            <w:tcBorders>
              <w:top w:val="single" w:sz="4" w:space="0" w:color="000000"/>
              <w:left w:val="single" w:sz="4" w:space="0" w:color="auto"/>
              <w:bottom w:val="nil"/>
              <w:right w:val="single" w:sz="4" w:space="0" w:color="000000"/>
            </w:tcBorders>
            <w:hideMark/>
          </w:tcPr>
          <w:p w14:paraId="0CA3FD92" w14:textId="77777777" w:rsidR="00D22BF6" w:rsidRPr="003D4A39" w:rsidRDefault="00D22BF6" w:rsidP="00D22BF6">
            <w:pPr>
              <w:ind w:left="147" w:firstLine="5"/>
              <w:rPr>
                <w:iCs/>
                <w:sz w:val="24"/>
                <w:szCs w:val="24"/>
              </w:rPr>
            </w:pPr>
            <w:r w:rsidRPr="003D4A39">
              <w:rPr>
                <w:iCs/>
                <w:sz w:val="24"/>
                <w:szCs w:val="24"/>
              </w:rPr>
              <w:t>Antal patienter</w:t>
            </w:r>
          </w:p>
        </w:tc>
        <w:tc>
          <w:tcPr>
            <w:tcW w:w="1045" w:type="pct"/>
            <w:tcBorders>
              <w:top w:val="single" w:sz="4" w:space="0" w:color="000000"/>
              <w:left w:val="single" w:sz="4" w:space="0" w:color="000000"/>
              <w:bottom w:val="nil"/>
              <w:right w:val="single" w:sz="4" w:space="0" w:color="000000"/>
            </w:tcBorders>
            <w:hideMark/>
          </w:tcPr>
          <w:p w14:paraId="0A4379D9" w14:textId="77777777" w:rsidR="00D22BF6" w:rsidRPr="003D4A39" w:rsidRDefault="00D22BF6" w:rsidP="00D22BF6">
            <w:pPr>
              <w:ind w:left="147" w:firstLine="5"/>
              <w:rPr>
                <w:sz w:val="24"/>
                <w:szCs w:val="24"/>
              </w:rPr>
            </w:pPr>
            <w:r w:rsidRPr="003D4A39">
              <w:rPr>
                <w:iCs/>
                <w:sz w:val="24"/>
                <w:szCs w:val="24"/>
              </w:rPr>
              <w:t>153</w:t>
            </w:r>
          </w:p>
        </w:tc>
        <w:tc>
          <w:tcPr>
            <w:tcW w:w="964" w:type="pct"/>
            <w:tcBorders>
              <w:top w:val="single" w:sz="4" w:space="0" w:color="000000"/>
              <w:left w:val="single" w:sz="4" w:space="0" w:color="000000"/>
              <w:bottom w:val="nil"/>
              <w:right w:val="single" w:sz="4" w:space="0" w:color="000000"/>
            </w:tcBorders>
            <w:hideMark/>
          </w:tcPr>
          <w:p w14:paraId="59A628F6" w14:textId="77777777" w:rsidR="00D22BF6" w:rsidRPr="003D4A39" w:rsidRDefault="00D22BF6" w:rsidP="00D22BF6">
            <w:pPr>
              <w:ind w:left="147" w:firstLine="5"/>
              <w:rPr>
                <w:sz w:val="24"/>
                <w:szCs w:val="24"/>
              </w:rPr>
            </w:pPr>
            <w:r w:rsidRPr="003D4A39">
              <w:rPr>
                <w:iCs/>
                <w:sz w:val="24"/>
                <w:szCs w:val="24"/>
              </w:rPr>
              <w:t>154</w:t>
            </w:r>
          </w:p>
        </w:tc>
        <w:tc>
          <w:tcPr>
            <w:tcW w:w="1140" w:type="pct"/>
            <w:tcBorders>
              <w:top w:val="single" w:sz="4" w:space="0" w:color="000000"/>
              <w:left w:val="single" w:sz="4" w:space="0" w:color="000000"/>
              <w:bottom w:val="nil"/>
              <w:right w:val="single" w:sz="4" w:space="0" w:color="auto"/>
            </w:tcBorders>
            <w:hideMark/>
          </w:tcPr>
          <w:p w14:paraId="567E48DF" w14:textId="77777777" w:rsidR="00D22BF6" w:rsidRPr="003D4A39" w:rsidRDefault="00D22BF6" w:rsidP="00D22BF6">
            <w:pPr>
              <w:ind w:left="147" w:firstLine="5"/>
              <w:rPr>
                <w:sz w:val="24"/>
                <w:szCs w:val="24"/>
              </w:rPr>
            </w:pPr>
            <w:r w:rsidRPr="003D4A39">
              <w:rPr>
                <w:iCs/>
                <w:sz w:val="24"/>
                <w:szCs w:val="24"/>
              </w:rPr>
              <w:t>157</w:t>
            </w:r>
          </w:p>
        </w:tc>
      </w:tr>
      <w:tr w:rsidR="00D22BF6" w:rsidRPr="003D4A39" w14:paraId="49801859" w14:textId="77777777" w:rsidTr="00D22BF6">
        <w:trPr>
          <w:trHeight w:val="20"/>
        </w:trPr>
        <w:tc>
          <w:tcPr>
            <w:tcW w:w="1851" w:type="pct"/>
            <w:tcBorders>
              <w:top w:val="nil"/>
              <w:left w:val="single" w:sz="4" w:space="0" w:color="auto"/>
              <w:bottom w:val="nil"/>
              <w:right w:val="single" w:sz="4" w:space="0" w:color="000000"/>
            </w:tcBorders>
            <w:hideMark/>
          </w:tcPr>
          <w:p w14:paraId="36A4AA62" w14:textId="2EC224FE" w:rsidR="00D22BF6" w:rsidRPr="003D4A39" w:rsidRDefault="00D22BF6" w:rsidP="00D22BF6">
            <w:pPr>
              <w:ind w:left="147" w:firstLine="5"/>
              <w:rPr>
                <w:iCs/>
                <w:sz w:val="24"/>
                <w:szCs w:val="24"/>
              </w:rPr>
            </w:pPr>
            <w:r w:rsidRPr="003D4A39">
              <w:rPr>
                <w:iCs/>
                <w:sz w:val="24"/>
                <w:szCs w:val="24"/>
              </w:rPr>
              <w:t>Smerte-responsrate (%)</w:t>
            </w:r>
          </w:p>
        </w:tc>
        <w:tc>
          <w:tcPr>
            <w:tcW w:w="1045" w:type="pct"/>
            <w:tcBorders>
              <w:top w:val="nil"/>
              <w:left w:val="single" w:sz="4" w:space="0" w:color="000000"/>
              <w:bottom w:val="nil"/>
              <w:right w:val="single" w:sz="4" w:space="0" w:color="000000"/>
            </w:tcBorders>
            <w:hideMark/>
          </w:tcPr>
          <w:p w14:paraId="662949CA" w14:textId="77777777" w:rsidR="00D22BF6" w:rsidRPr="003D4A39" w:rsidRDefault="00D22BF6" w:rsidP="00D22BF6">
            <w:pPr>
              <w:ind w:left="147" w:firstLine="5"/>
              <w:rPr>
                <w:sz w:val="24"/>
                <w:szCs w:val="24"/>
              </w:rPr>
            </w:pPr>
            <w:r w:rsidRPr="003D4A39">
              <w:rPr>
                <w:iCs/>
                <w:sz w:val="24"/>
                <w:szCs w:val="24"/>
              </w:rPr>
              <w:t>34,6</w:t>
            </w:r>
          </w:p>
        </w:tc>
        <w:tc>
          <w:tcPr>
            <w:tcW w:w="964" w:type="pct"/>
            <w:tcBorders>
              <w:top w:val="nil"/>
              <w:left w:val="single" w:sz="4" w:space="0" w:color="000000"/>
              <w:bottom w:val="nil"/>
              <w:right w:val="single" w:sz="4" w:space="0" w:color="000000"/>
            </w:tcBorders>
            <w:hideMark/>
          </w:tcPr>
          <w:p w14:paraId="5900C291" w14:textId="77777777" w:rsidR="00D22BF6" w:rsidRPr="003D4A39" w:rsidRDefault="00D22BF6" w:rsidP="00D22BF6">
            <w:pPr>
              <w:ind w:left="147" w:firstLine="5"/>
              <w:rPr>
                <w:sz w:val="24"/>
                <w:szCs w:val="24"/>
              </w:rPr>
            </w:pPr>
            <w:r w:rsidRPr="003D4A39">
              <w:rPr>
                <w:iCs/>
                <w:sz w:val="24"/>
                <w:szCs w:val="24"/>
              </w:rPr>
              <w:t>31,2</w:t>
            </w:r>
          </w:p>
        </w:tc>
        <w:tc>
          <w:tcPr>
            <w:tcW w:w="1140" w:type="pct"/>
            <w:tcBorders>
              <w:top w:val="nil"/>
              <w:left w:val="single" w:sz="4" w:space="0" w:color="000000"/>
              <w:bottom w:val="nil"/>
              <w:right w:val="single" w:sz="4" w:space="0" w:color="auto"/>
            </w:tcBorders>
            <w:hideMark/>
          </w:tcPr>
          <w:p w14:paraId="0D351C01" w14:textId="77777777" w:rsidR="00D22BF6" w:rsidRPr="003D4A39" w:rsidRDefault="00D22BF6" w:rsidP="00D22BF6">
            <w:pPr>
              <w:ind w:left="147" w:firstLine="5"/>
              <w:rPr>
                <w:sz w:val="24"/>
                <w:szCs w:val="24"/>
              </w:rPr>
            </w:pPr>
            <w:r w:rsidRPr="003D4A39">
              <w:rPr>
                <w:iCs/>
                <w:sz w:val="24"/>
                <w:szCs w:val="24"/>
              </w:rPr>
              <w:t>21,7</w:t>
            </w:r>
          </w:p>
        </w:tc>
      </w:tr>
      <w:tr w:rsidR="00D22BF6" w:rsidRPr="003D4A39" w14:paraId="56F7CEF0" w14:textId="77777777" w:rsidTr="00D22BF6">
        <w:trPr>
          <w:trHeight w:val="20"/>
        </w:trPr>
        <w:tc>
          <w:tcPr>
            <w:tcW w:w="1851" w:type="pct"/>
            <w:tcBorders>
              <w:top w:val="nil"/>
              <w:left w:val="single" w:sz="4" w:space="0" w:color="auto"/>
              <w:bottom w:val="nil"/>
              <w:right w:val="single" w:sz="4" w:space="0" w:color="000000"/>
            </w:tcBorders>
            <w:hideMark/>
          </w:tcPr>
          <w:p w14:paraId="5232DAD5" w14:textId="77777777" w:rsidR="00D22BF6" w:rsidRPr="003D4A39" w:rsidRDefault="00D22BF6" w:rsidP="00D22BF6">
            <w:pPr>
              <w:ind w:left="147" w:firstLine="5"/>
              <w:rPr>
                <w:iCs/>
                <w:sz w:val="24"/>
                <w:szCs w:val="24"/>
              </w:rPr>
            </w:pPr>
            <w:r w:rsidRPr="003D4A39">
              <w:rPr>
                <w:iCs/>
                <w:sz w:val="24"/>
                <w:szCs w:val="24"/>
              </w:rPr>
              <w:t>95 %CI</w:t>
            </w:r>
          </w:p>
        </w:tc>
        <w:tc>
          <w:tcPr>
            <w:tcW w:w="1045" w:type="pct"/>
            <w:tcBorders>
              <w:top w:val="nil"/>
              <w:left w:val="single" w:sz="4" w:space="0" w:color="000000"/>
              <w:bottom w:val="nil"/>
              <w:right w:val="single" w:sz="4" w:space="0" w:color="000000"/>
            </w:tcBorders>
            <w:hideMark/>
          </w:tcPr>
          <w:p w14:paraId="040208AE" w14:textId="77777777" w:rsidR="00D22BF6" w:rsidRPr="003D4A39" w:rsidRDefault="00D22BF6" w:rsidP="00D22BF6">
            <w:pPr>
              <w:ind w:left="147" w:firstLine="5"/>
              <w:rPr>
                <w:sz w:val="24"/>
                <w:szCs w:val="24"/>
              </w:rPr>
            </w:pPr>
            <w:r w:rsidRPr="003D4A39">
              <w:rPr>
                <w:iCs/>
                <w:sz w:val="24"/>
                <w:szCs w:val="24"/>
              </w:rPr>
              <w:t>(27,1</w:t>
            </w:r>
            <w:r w:rsidRPr="003D4A39">
              <w:rPr>
                <w:iCs/>
                <w:sz w:val="24"/>
                <w:szCs w:val="24"/>
              </w:rPr>
              <w:noBreakHyphen/>
              <w:t>42,7)</w:t>
            </w:r>
          </w:p>
        </w:tc>
        <w:tc>
          <w:tcPr>
            <w:tcW w:w="964" w:type="pct"/>
            <w:tcBorders>
              <w:top w:val="nil"/>
              <w:left w:val="single" w:sz="4" w:space="0" w:color="000000"/>
              <w:bottom w:val="nil"/>
              <w:right w:val="single" w:sz="4" w:space="0" w:color="000000"/>
            </w:tcBorders>
            <w:hideMark/>
          </w:tcPr>
          <w:p w14:paraId="5D13B2E2" w14:textId="77777777" w:rsidR="00D22BF6" w:rsidRPr="003D4A39" w:rsidRDefault="00D22BF6" w:rsidP="00D22BF6">
            <w:pPr>
              <w:ind w:left="147" w:firstLine="5"/>
              <w:rPr>
                <w:sz w:val="24"/>
                <w:szCs w:val="24"/>
              </w:rPr>
            </w:pPr>
            <w:r w:rsidRPr="003D4A39">
              <w:rPr>
                <w:iCs/>
                <w:sz w:val="24"/>
                <w:szCs w:val="24"/>
              </w:rPr>
              <w:t>(24,0</w:t>
            </w:r>
            <w:r w:rsidRPr="003D4A39">
              <w:rPr>
                <w:iCs/>
                <w:sz w:val="24"/>
                <w:szCs w:val="24"/>
              </w:rPr>
              <w:noBreakHyphen/>
              <w:t>39,1)</w:t>
            </w:r>
          </w:p>
        </w:tc>
        <w:tc>
          <w:tcPr>
            <w:tcW w:w="1140" w:type="pct"/>
            <w:tcBorders>
              <w:top w:val="nil"/>
              <w:left w:val="single" w:sz="4" w:space="0" w:color="000000"/>
              <w:bottom w:val="nil"/>
              <w:right w:val="single" w:sz="4" w:space="0" w:color="auto"/>
            </w:tcBorders>
            <w:hideMark/>
          </w:tcPr>
          <w:p w14:paraId="57C2605E" w14:textId="77777777" w:rsidR="00D22BF6" w:rsidRPr="003D4A39" w:rsidRDefault="00D22BF6" w:rsidP="00D22BF6">
            <w:pPr>
              <w:ind w:left="147" w:firstLine="5"/>
              <w:rPr>
                <w:sz w:val="24"/>
                <w:szCs w:val="24"/>
              </w:rPr>
            </w:pPr>
            <w:r w:rsidRPr="003D4A39">
              <w:rPr>
                <w:iCs/>
                <w:sz w:val="24"/>
                <w:szCs w:val="24"/>
              </w:rPr>
              <w:t>(15,5</w:t>
            </w:r>
            <w:r w:rsidRPr="003D4A39">
              <w:rPr>
                <w:iCs/>
                <w:sz w:val="24"/>
                <w:szCs w:val="24"/>
              </w:rPr>
              <w:noBreakHyphen/>
              <w:t>28,9)</w:t>
            </w:r>
          </w:p>
        </w:tc>
      </w:tr>
      <w:tr w:rsidR="00D22BF6" w:rsidRPr="003D4A39" w14:paraId="712A0F6D" w14:textId="77777777" w:rsidTr="00D22BF6">
        <w:trPr>
          <w:trHeight w:val="20"/>
        </w:trPr>
        <w:tc>
          <w:tcPr>
            <w:tcW w:w="1851" w:type="pct"/>
            <w:tcBorders>
              <w:top w:val="nil"/>
              <w:left w:val="single" w:sz="4" w:space="0" w:color="auto"/>
              <w:bottom w:val="single" w:sz="4" w:space="0" w:color="000000"/>
              <w:right w:val="single" w:sz="4" w:space="0" w:color="000000"/>
            </w:tcBorders>
            <w:hideMark/>
          </w:tcPr>
          <w:p w14:paraId="7BCAB064" w14:textId="77777777" w:rsidR="00D22BF6" w:rsidRPr="003D4A39" w:rsidRDefault="00D22BF6" w:rsidP="00D22BF6">
            <w:pPr>
              <w:ind w:left="147" w:firstLine="5"/>
              <w:rPr>
                <w:iCs/>
                <w:sz w:val="24"/>
                <w:szCs w:val="24"/>
              </w:rPr>
            </w:pPr>
            <w:r w:rsidRPr="003D4A39">
              <w:rPr>
                <w:iCs/>
                <w:sz w:val="24"/>
                <w:szCs w:val="24"/>
              </w:rPr>
              <w:t>p</w:t>
            </w:r>
            <w:r w:rsidRPr="003D4A39">
              <w:rPr>
                <w:iCs/>
                <w:sz w:val="24"/>
                <w:szCs w:val="24"/>
              </w:rPr>
              <w:noBreakHyphen/>
              <w:t>værdi*</w:t>
            </w:r>
          </w:p>
        </w:tc>
        <w:tc>
          <w:tcPr>
            <w:tcW w:w="1045" w:type="pct"/>
            <w:tcBorders>
              <w:top w:val="nil"/>
              <w:left w:val="single" w:sz="4" w:space="0" w:color="000000"/>
              <w:bottom w:val="single" w:sz="4" w:space="0" w:color="000000"/>
              <w:right w:val="single" w:sz="4" w:space="0" w:color="000000"/>
            </w:tcBorders>
            <w:hideMark/>
          </w:tcPr>
          <w:p w14:paraId="29DDD90D" w14:textId="77777777" w:rsidR="00D22BF6" w:rsidRPr="003D4A39" w:rsidRDefault="00D22BF6" w:rsidP="00D22BF6">
            <w:pPr>
              <w:ind w:left="147" w:firstLine="5"/>
              <w:rPr>
                <w:sz w:val="24"/>
                <w:szCs w:val="24"/>
              </w:rPr>
            </w:pPr>
            <w:r w:rsidRPr="003D4A39">
              <w:rPr>
                <w:iCs/>
                <w:sz w:val="24"/>
                <w:szCs w:val="24"/>
              </w:rPr>
              <w:t>0,0107</w:t>
            </w:r>
          </w:p>
        </w:tc>
        <w:tc>
          <w:tcPr>
            <w:tcW w:w="964" w:type="pct"/>
            <w:tcBorders>
              <w:top w:val="nil"/>
              <w:left w:val="single" w:sz="4" w:space="0" w:color="000000"/>
              <w:bottom w:val="single" w:sz="4" w:space="0" w:color="000000"/>
              <w:right w:val="single" w:sz="4" w:space="0" w:color="000000"/>
            </w:tcBorders>
            <w:hideMark/>
          </w:tcPr>
          <w:p w14:paraId="3EDC90C7" w14:textId="77777777" w:rsidR="00D22BF6" w:rsidRPr="003D4A39" w:rsidRDefault="00D22BF6" w:rsidP="00D22BF6">
            <w:pPr>
              <w:ind w:left="147" w:firstLine="5"/>
              <w:rPr>
                <w:sz w:val="24"/>
                <w:szCs w:val="24"/>
              </w:rPr>
            </w:pPr>
            <w:r w:rsidRPr="003D4A39">
              <w:rPr>
                <w:iCs/>
                <w:sz w:val="24"/>
                <w:szCs w:val="24"/>
              </w:rPr>
              <w:t>0,0798</w:t>
            </w:r>
          </w:p>
        </w:tc>
        <w:tc>
          <w:tcPr>
            <w:tcW w:w="1140" w:type="pct"/>
            <w:tcBorders>
              <w:top w:val="nil"/>
              <w:left w:val="single" w:sz="4" w:space="0" w:color="000000"/>
              <w:bottom w:val="single" w:sz="4" w:space="0" w:color="000000"/>
              <w:right w:val="single" w:sz="4" w:space="0" w:color="auto"/>
            </w:tcBorders>
            <w:hideMark/>
          </w:tcPr>
          <w:p w14:paraId="2EAAFFF4" w14:textId="77777777" w:rsidR="00D22BF6" w:rsidRPr="003D4A39" w:rsidRDefault="00D22BF6" w:rsidP="00D22BF6">
            <w:pPr>
              <w:ind w:left="147" w:firstLine="5"/>
              <w:rPr>
                <w:sz w:val="24"/>
                <w:szCs w:val="24"/>
              </w:rPr>
            </w:pPr>
            <w:r w:rsidRPr="003D4A39">
              <w:rPr>
                <w:iCs/>
                <w:sz w:val="24"/>
                <w:szCs w:val="24"/>
              </w:rPr>
              <w:t>--</w:t>
            </w:r>
          </w:p>
        </w:tc>
      </w:tr>
      <w:tr w:rsidR="00D22BF6" w:rsidRPr="003D4A39" w14:paraId="3073F956" w14:textId="77777777" w:rsidTr="00D22BF6">
        <w:trPr>
          <w:trHeight w:val="20"/>
        </w:trPr>
        <w:tc>
          <w:tcPr>
            <w:tcW w:w="1851" w:type="pct"/>
            <w:tcBorders>
              <w:top w:val="single" w:sz="4" w:space="0" w:color="000000"/>
              <w:left w:val="single" w:sz="4" w:space="0" w:color="auto"/>
              <w:bottom w:val="nil"/>
              <w:right w:val="single" w:sz="4" w:space="0" w:color="000000"/>
            </w:tcBorders>
            <w:hideMark/>
          </w:tcPr>
          <w:p w14:paraId="759EB5FD" w14:textId="77777777" w:rsidR="00D22BF6" w:rsidRPr="003D4A39" w:rsidRDefault="00D22BF6" w:rsidP="00D22BF6">
            <w:pPr>
              <w:ind w:left="147" w:firstLine="5"/>
              <w:rPr>
                <w:iCs/>
                <w:sz w:val="24"/>
                <w:szCs w:val="24"/>
              </w:rPr>
            </w:pPr>
            <w:r w:rsidRPr="003D4A39">
              <w:rPr>
                <w:iCs/>
                <w:sz w:val="24"/>
                <w:szCs w:val="24"/>
              </w:rPr>
              <w:t>Antal patienter</w:t>
            </w:r>
          </w:p>
        </w:tc>
        <w:tc>
          <w:tcPr>
            <w:tcW w:w="1045" w:type="pct"/>
            <w:tcBorders>
              <w:top w:val="single" w:sz="4" w:space="0" w:color="000000"/>
              <w:left w:val="single" w:sz="4" w:space="0" w:color="000000"/>
              <w:bottom w:val="nil"/>
              <w:right w:val="single" w:sz="4" w:space="0" w:color="000000"/>
            </w:tcBorders>
            <w:hideMark/>
          </w:tcPr>
          <w:p w14:paraId="64B8B29A" w14:textId="77777777" w:rsidR="00D22BF6" w:rsidRPr="003D4A39" w:rsidRDefault="00D22BF6" w:rsidP="00D22BF6">
            <w:pPr>
              <w:ind w:left="147" w:firstLine="5"/>
              <w:rPr>
                <w:sz w:val="24"/>
                <w:szCs w:val="24"/>
              </w:rPr>
            </w:pPr>
            <w:r w:rsidRPr="003D4A39">
              <w:rPr>
                <w:iCs/>
                <w:sz w:val="24"/>
                <w:szCs w:val="24"/>
              </w:rPr>
              <w:t>141</w:t>
            </w:r>
          </w:p>
        </w:tc>
        <w:tc>
          <w:tcPr>
            <w:tcW w:w="964" w:type="pct"/>
            <w:tcBorders>
              <w:top w:val="single" w:sz="4" w:space="0" w:color="000000"/>
              <w:left w:val="single" w:sz="4" w:space="0" w:color="000000"/>
              <w:bottom w:val="nil"/>
              <w:right w:val="single" w:sz="4" w:space="0" w:color="000000"/>
            </w:tcBorders>
            <w:hideMark/>
          </w:tcPr>
          <w:p w14:paraId="1CA8BC5A" w14:textId="77777777" w:rsidR="00D22BF6" w:rsidRPr="003D4A39" w:rsidRDefault="00D22BF6" w:rsidP="00D22BF6">
            <w:pPr>
              <w:ind w:left="147" w:firstLine="5"/>
              <w:rPr>
                <w:sz w:val="24"/>
                <w:szCs w:val="24"/>
              </w:rPr>
            </w:pPr>
            <w:r w:rsidRPr="003D4A39">
              <w:rPr>
                <w:iCs/>
                <w:sz w:val="24"/>
                <w:szCs w:val="24"/>
              </w:rPr>
              <w:t>134</w:t>
            </w:r>
          </w:p>
        </w:tc>
        <w:tc>
          <w:tcPr>
            <w:tcW w:w="1140" w:type="pct"/>
            <w:tcBorders>
              <w:top w:val="single" w:sz="4" w:space="0" w:color="000000"/>
              <w:left w:val="single" w:sz="4" w:space="0" w:color="000000"/>
              <w:bottom w:val="nil"/>
              <w:right w:val="single" w:sz="4" w:space="0" w:color="auto"/>
            </w:tcBorders>
            <w:hideMark/>
          </w:tcPr>
          <w:p w14:paraId="104E8C95" w14:textId="77777777" w:rsidR="00D22BF6" w:rsidRPr="003D4A39" w:rsidRDefault="00D22BF6" w:rsidP="00D22BF6">
            <w:pPr>
              <w:ind w:left="147" w:firstLine="5"/>
              <w:rPr>
                <w:sz w:val="24"/>
                <w:szCs w:val="24"/>
              </w:rPr>
            </w:pPr>
            <w:r w:rsidRPr="003D4A39">
              <w:rPr>
                <w:iCs/>
                <w:sz w:val="24"/>
                <w:szCs w:val="24"/>
              </w:rPr>
              <w:t>137</w:t>
            </w:r>
          </w:p>
        </w:tc>
      </w:tr>
      <w:tr w:rsidR="00D22BF6" w:rsidRPr="003D4A39" w14:paraId="5443B468" w14:textId="77777777" w:rsidTr="00D22BF6">
        <w:trPr>
          <w:trHeight w:val="20"/>
        </w:trPr>
        <w:tc>
          <w:tcPr>
            <w:tcW w:w="1851" w:type="pct"/>
            <w:tcBorders>
              <w:top w:val="nil"/>
              <w:left w:val="single" w:sz="4" w:space="0" w:color="auto"/>
              <w:bottom w:val="nil"/>
              <w:right w:val="single" w:sz="4" w:space="0" w:color="000000"/>
            </w:tcBorders>
            <w:hideMark/>
          </w:tcPr>
          <w:p w14:paraId="6C311D79" w14:textId="6911FA97" w:rsidR="00D22BF6" w:rsidRPr="003D4A39" w:rsidRDefault="00D22BF6" w:rsidP="00D22BF6">
            <w:pPr>
              <w:ind w:left="147" w:firstLine="5"/>
              <w:rPr>
                <w:iCs/>
                <w:sz w:val="24"/>
                <w:szCs w:val="24"/>
              </w:rPr>
            </w:pPr>
            <w:r w:rsidRPr="003D4A39">
              <w:rPr>
                <w:iCs/>
                <w:sz w:val="24"/>
                <w:szCs w:val="24"/>
              </w:rPr>
              <w:t>Tumor-responsrate (%)</w:t>
            </w:r>
          </w:p>
        </w:tc>
        <w:tc>
          <w:tcPr>
            <w:tcW w:w="1045" w:type="pct"/>
            <w:tcBorders>
              <w:top w:val="nil"/>
              <w:left w:val="single" w:sz="4" w:space="0" w:color="000000"/>
              <w:bottom w:val="nil"/>
              <w:right w:val="single" w:sz="4" w:space="0" w:color="000000"/>
            </w:tcBorders>
            <w:hideMark/>
          </w:tcPr>
          <w:p w14:paraId="3344A4DE" w14:textId="77777777" w:rsidR="00D22BF6" w:rsidRPr="003D4A39" w:rsidRDefault="00D22BF6" w:rsidP="00D22BF6">
            <w:pPr>
              <w:ind w:left="147" w:firstLine="5"/>
              <w:rPr>
                <w:sz w:val="24"/>
                <w:szCs w:val="24"/>
              </w:rPr>
            </w:pPr>
            <w:r w:rsidRPr="003D4A39">
              <w:rPr>
                <w:iCs/>
                <w:sz w:val="24"/>
                <w:szCs w:val="24"/>
              </w:rPr>
              <w:t>12,1</w:t>
            </w:r>
          </w:p>
        </w:tc>
        <w:tc>
          <w:tcPr>
            <w:tcW w:w="964" w:type="pct"/>
            <w:tcBorders>
              <w:top w:val="nil"/>
              <w:left w:val="single" w:sz="4" w:space="0" w:color="000000"/>
              <w:bottom w:val="nil"/>
              <w:right w:val="single" w:sz="4" w:space="0" w:color="000000"/>
            </w:tcBorders>
            <w:hideMark/>
          </w:tcPr>
          <w:p w14:paraId="6B75A081" w14:textId="77777777" w:rsidR="00D22BF6" w:rsidRPr="003D4A39" w:rsidRDefault="00D22BF6" w:rsidP="00D22BF6">
            <w:pPr>
              <w:ind w:left="147" w:firstLine="5"/>
              <w:rPr>
                <w:sz w:val="24"/>
                <w:szCs w:val="24"/>
              </w:rPr>
            </w:pPr>
            <w:r w:rsidRPr="003D4A39">
              <w:rPr>
                <w:iCs/>
                <w:sz w:val="24"/>
                <w:szCs w:val="24"/>
              </w:rPr>
              <w:t>8,2</w:t>
            </w:r>
          </w:p>
        </w:tc>
        <w:tc>
          <w:tcPr>
            <w:tcW w:w="1140" w:type="pct"/>
            <w:tcBorders>
              <w:top w:val="nil"/>
              <w:left w:val="single" w:sz="4" w:space="0" w:color="000000"/>
              <w:bottom w:val="nil"/>
              <w:right w:val="single" w:sz="4" w:space="0" w:color="auto"/>
            </w:tcBorders>
            <w:hideMark/>
          </w:tcPr>
          <w:p w14:paraId="1A9B561F" w14:textId="77777777" w:rsidR="00D22BF6" w:rsidRPr="003D4A39" w:rsidRDefault="00D22BF6" w:rsidP="00D22BF6">
            <w:pPr>
              <w:ind w:left="147" w:firstLine="5"/>
              <w:rPr>
                <w:sz w:val="24"/>
                <w:szCs w:val="24"/>
              </w:rPr>
            </w:pPr>
            <w:r w:rsidRPr="003D4A39">
              <w:rPr>
                <w:iCs/>
                <w:sz w:val="24"/>
                <w:szCs w:val="24"/>
              </w:rPr>
              <w:t>6,6</w:t>
            </w:r>
          </w:p>
        </w:tc>
      </w:tr>
      <w:tr w:rsidR="00D22BF6" w:rsidRPr="003D4A39" w14:paraId="7246CD00" w14:textId="77777777" w:rsidTr="00D22BF6">
        <w:trPr>
          <w:trHeight w:val="20"/>
        </w:trPr>
        <w:tc>
          <w:tcPr>
            <w:tcW w:w="1851" w:type="pct"/>
            <w:tcBorders>
              <w:top w:val="nil"/>
              <w:left w:val="single" w:sz="4" w:space="0" w:color="auto"/>
              <w:bottom w:val="nil"/>
              <w:right w:val="single" w:sz="4" w:space="0" w:color="000000"/>
            </w:tcBorders>
            <w:hideMark/>
          </w:tcPr>
          <w:p w14:paraId="446CEF1E" w14:textId="77777777" w:rsidR="00D22BF6" w:rsidRPr="003D4A39" w:rsidRDefault="00D22BF6" w:rsidP="00D22BF6">
            <w:pPr>
              <w:ind w:left="147" w:firstLine="5"/>
              <w:rPr>
                <w:iCs/>
                <w:sz w:val="24"/>
                <w:szCs w:val="24"/>
              </w:rPr>
            </w:pPr>
            <w:r w:rsidRPr="003D4A39">
              <w:rPr>
                <w:iCs/>
                <w:sz w:val="24"/>
                <w:szCs w:val="24"/>
              </w:rPr>
              <w:t>95 %CI</w:t>
            </w:r>
          </w:p>
        </w:tc>
        <w:tc>
          <w:tcPr>
            <w:tcW w:w="1045" w:type="pct"/>
            <w:tcBorders>
              <w:top w:val="nil"/>
              <w:left w:val="single" w:sz="4" w:space="0" w:color="000000"/>
              <w:bottom w:val="nil"/>
              <w:right w:val="single" w:sz="4" w:space="0" w:color="000000"/>
            </w:tcBorders>
            <w:hideMark/>
          </w:tcPr>
          <w:p w14:paraId="221E3CF9" w14:textId="77777777" w:rsidR="00D22BF6" w:rsidRPr="003D4A39" w:rsidRDefault="00D22BF6" w:rsidP="00D22BF6">
            <w:pPr>
              <w:ind w:left="147" w:firstLine="5"/>
              <w:rPr>
                <w:sz w:val="24"/>
                <w:szCs w:val="24"/>
              </w:rPr>
            </w:pPr>
            <w:r w:rsidRPr="003D4A39">
              <w:rPr>
                <w:iCs/>
                <w:sz w:val="24"/>
                <w:szCs w:val="24"/>
              </w:rPr>
              <w:t>(7,2</w:t>
            </w:r>
            <w:r w:rsidRPr="003D4A39">
              <w:rPr>
                <w:iCs/>
                <w:sz w:val="24"/>
                <w:szCs w:val="24"/>
              </w:rPr>
              <w:noBreakHyphen/>
              <w:t>18,6)</w:t>
            </w:r>
          </w:p>
        </w:tc>
        <w:tc>
          <w:tcPr>
            <w:tcW w:w="964" w:type="pct"/>
            <w:tcBorders>
              <w:top w:val="nil"/>
              <w:left w:val="single" w:sz="4" w:space="0" w:color="000000"/>
              <w:bottom w:val="nil"/>
              <w:right w:val="single" w:sz="4" w:space="0" w:color="000000"/>
            </w:tcBorders>
            <w:hideMark/>
          </w:tcPr>
          <w:p w14:paraId="7D15E595" w14:textId="77777777" w:rsidR="00D22BF6" w:rsidRPr="003D4A39" w:rsidRDefault="00D22BF6" w:rsidP="00D22BF6">
            <w:pPr>
              <w:ind w:left="147" w:firstLine="5"/>
              <w:rPr>
                <w:sz w:val="24"/>
                <w:szCs w:val="24"/>
              </w:rPr>
            </w:pPr>
            <w:r w:rsidRPr="003D4A39">
              <w:rPr>
                <w:iCs/>
                <w:sz w:val="24"/>
                <w:szCs w:val="24"/>
              </w:rPr>
              <w:t>(4,2</w:t>
            </w:r>
            <w:r w:rsidRPr="003D4A39">
              <w:rPr>
                <w:iCs/>
                <w:sz w:val="24"/>
                <w:szCs w:val="24"/>
              </w:rPr>
              <w:noBreakHyphen/>
              <w:t>14,2)</w:t>
            </w:r>
          </w:p>
        </w:tc>
        <w:tc>
          <w:tcPr>
            <w:tcW w:w="1140" w:type="pct"/>
            <w:tcBorders>
              <w:top w:val="nil"/>
              <w:left w:val="single" w:sz="4" w:space="0" w:color="000000"/>
              <w:bottom w:val="nil"/>
              <w:right w:val="single" w:sz="4" w:space="0" w:color="auto"/>
            </w:tcBorders>
            <w:hideMark/>
          </w:tcPr>
          <w:p w14:paraId="4C15901F" w14:textId="77777777" w:rsidR="00D22BF6" w:rsidRPr="003D4A39" w:rsidRDefault="00D22BF6" w:rsidP="00D22BF6">
            <w:pPr>
              <w:ind w:left="147" w:firstLine="5"/>
              <w:rPr>
                <w:sz w:val="24"/>
                <w:szCs w:val="24"/>
              </w:rPr>
            </w:pPr>
            <w:r w:rsidRPr="003D4A39">
              <w:rPr>
                <w:iCs/>
                <w:sz w:val="24"/>
                <w:szCs w:val="24"/>
              </w:rPr>
              <w:t>(3,0</w:t>
            </w:r>
            <w:r w:rsidRPr="003D4A39">
              <w:rPr>
                <w:iCs/>
                <w:sz w:val="24"/>
                <w:szCs w:val="24"/>
              </w:rPr>
              <w:noBreakHyphen/>
              <w:t>12,1)</w:t>
            </w:r>
          </w:p>
        </w:tc>
      </w:tr>
      <w:tr w:rsidR="00D22BF6" w:rsidRPr="003D4A39" w14:paraId="2216172D" w14:textId="77777777" w:rsidTr="00D22BF6">
        <w:trPr>
          <w:trHeight w:val="20"/>
        </w:trPr>
        <w:tc>
          <w:tcPr>
            <w:tcW w:w="1851" w:type="pct"/>
            <w:tcBorders>
              <w:top w:val="nil"/>
              <w:left w:val="single" w:sz="4" w:space="0" w:color="auto"/>
              <w:bottom w:val="single" w:sz="4" w:space="0" w:color="000000"/>
              <w:right w:val="single" w:sz="4" w:space="0" w:color="000000"/>
            </w:tcBorders>
            <w:hideMark/>
          </w:tcPr>
          <w:p w14:paraId="21336DBE" w14:textId="77777777" w:rsidR="00D22BF6" w:rsidRPr="003D4A39" w:rsidRDefault="00D22BF6" w:rsidP="00D22BF6">
            <w:pPr>
              <w:ind w:left="147" w:firstLine="5"/>
              <w:rPr>
                <w:iCs/>
                <w:sz w:val="24"/>
                <w:szCs w:val="24"/>
              </w:rPr>
            </w:pPr>
            <w:r w:rsidRPr="003D4A39">
              <w:rPr>
                <w:iCs/>
                <w:sz w:val="24"/>
                <w:szCs w:val="24"/>
              </w:rPr>
              <w:t>p</w:t>
            </w:r>
            <w:r w:rsidRPr="003D4A39">
              <w:rPr>
                <w:iCs/>
                <w:sz w:val="24"/>
                <w:szCs w:val="24"/>
              </w:rPr>
              <w:noBreakHyphen/>
              <w:t>værdi*</w:t>
            </w:r>
          </w:p>
        </w:tc>
        <w:tc>
          <w:tcPr>
            <w:tcW w:w="1045" w:type="pct"/>
            <w:tcBorders>
              <w:top w:val="nil"/>
              <w:left w:val="single" w:sz="4" w:space="0" w:color="000000"/>
              <w:bottom w:val="single" w:sz="4" w:space="0" w:color="000000"/>
              <w:right w:val="single" w:sz="4" w:space="0" w:color="000000"/>
            </w:tcBorders>
            <w:hideMark/>
          </w:tcPr>
          <w:p w14:paraId="4D05C580" w14:textId="77777777" w:rsidR="00D22BF6" w:rsidRPr="003D4A39" w:rsidRDefault="00D22BF6" w:rsidP="00D22BF6">
            <w:pPr>
              <w:ind w:left="147" w:firstLine="5"/>
              <w:rPr>
                <w:sz w:val="24"/>
                <w:szCs w:val="24"/>
              </w:rPr>
            </w:pPr>
            <w:r w:rsidRPr="003D4A39">
              <w:rPr>
                <w:iCs/>
                <w:sz w:val="24"/>
                <w:szCs w:val="24"/>
              </w:rPr>
              <w:t>0,1112</w:t>
            </w:r>
          </w:p>
        </w:tc>
        <w:tc>
          <w:tcPr>
            <w:tcW w:w="964" w:type="pct"/>
            <w:tcBorders>
              <w:top w:val="nil"/>
              <w:left w:val="single" w:sz="4" w:space="0" w:color="000000"/>
              <w:bottom w:val="single" w:sz="4" w:space="0" w:color="000000"/>
              <w:right w:val="single" w:sz="4" w:space="0" w:color="000000"/>
            </w:tcBorders>
            <w:hideMark/>
          </w:tcPr>
          <w:p w14:paraId="7176912B" w14:textId="77777777" w:rsidR="00D22BF6" w:rsidRPr="003D4A39" w:rsidRDefault="00D22BF6" w:rsidP="00D22BF6">
            <w:pPr>
              <w:ind w:left="147" w:firstLine="5"/>
              <w:rPr>
                <w:sz w:val="24"/>
                <w:szCs w:val="24"/>
              </w:rPr>
            </w:pPr>
            <w:r w:rsidRPr="003D4A39">
              <w:rPr>
                <w:iCs/>
                <w:sz w:val="24"/>
                <w:szCs w:val="24"/>
              </w:rPr>
              <w:t>0,5853</w:t>
            </w:r>
          </w:p>
        </w:tc>
        <w:tc>
          <w:tcPr>
            <w:tcW w:w="1140" w:type="pct"/>
            <w:tcBorders>
              <w:top w:val="nil"/>
              <w:left w:val="single" w:sz="4" w:space="0" w:color="000000"/>
              <w:bottom w:val="single" w:sz="4" w:space="0" w:color="000000"/>
              <w:right w:val="single" w:sz="4" w:space="0" w:color="auto"/>
            </w:tcBorders>
            <w:hideMark/>
          </w:tcPr>
          <w:p w14:paraId="6CAC1E5F" w14:textId="77777777" w:rsidR="00D22BF6" w:rsidRPr="003D4A39" w:rsidRDefault="00D22BF6" w:rsidP="00D22BF6">
            <w:pPr>
              <w:ind w:left="147" w:firstLine="5"/>
              <w:rPr>
                <w:sz w:val="24"/>
                <w:szCs w:val="24"/>
              </w:rPr>
            </w:pPr>
            <w:r w:rsidRPr="003D4A39">
              <w:rPr>
                <w:iCs/>
                <w:sz w:val="24"/>
                <w:szCs w:val="24"/>
              </w:rPr>
              <w:t>--</w:t>
            </w:r>
          </w:p>
        </w:tc>
      </w:tr>
    </w:tbl>
    <w:p w14:paraId="413EAA06" w14:textId="77777777" w:rsidR="00D22BF6" w:rsidRPr="003D4A39" w:rsidRDefault="00D22BF6" w:rsidP="00D22BF6">
      <w:pPr>
        <w:ind w:left="851" w:hanging="851"/>
        <w:rPr>
          <w:sz w:val="24"/>
          <w:szCs w:val="24"/>
        </w:rPr>
      </w:pPr>
      <w:r w:rsidRPr="003D4A39">
        <w:rPr>
          <w:iCs/>
          <w:sz w:val="24"/>
          <w:szCs w:val="24"/>
        </w:rPr>
        <w:t>†Stratificeret log rank test</w:t>
      </w:r>
    </w:p>
    <w:p w14:paraId="1C0D7176" w14:textId="72C5E3DC" w:rsidR="00D22BF6" w:rsidRPr="003D4A39" w:rsidRDefault="00D22BF6" w:rsidP="00D22BF6">
      <w:pPr>
        <w:ind w:left="851" w:hanging="851"/>
        <w:rPr>
          <w:sz w:val="24"/>
          <w:szCs w:val="24"/>
        </w:rPr>
      </w:pPr>
      <w:r w:rsidRPr="003D4A39">
        <w:rPr>
          <w:iCs/>
          <w:sz w:val="24"/>
          <w:szCs w:val="24"/>
        </w:rPr>
        <w:t>*Tærskel for statistisk signifikans = 0,0175</w:t>
      </w:r>
    </w:p>
    <w:p w14:paraId="4AC68812" w14:textId="2CC35CC5" w:rsidR="00D22BF6" w:rsidRPr="003D4A39" w:rsidRDefault="00D22BF6" w:rsidP="00D22BF6">
      <w:pPr>
        <w:ind w:left="851" w:hanging="851"/>
        <w:rPr>
          <w:sz w:val="24"/>
          <w:szCs w:val="24"/>
        </w:rPr>
      </w:pPr>
      <w:r w:rsidRPr="003D4A39">
        <w:rPr>
          <w:iCs/>
          <w:sz w:val="24"/>
          <w:szCs w:val="24"/>
        </w:rPr>
        <w:t xml:space="preserve">**PSA: </w:t>
      </w:r>
      <w:r w:rsidRPr="00677957">
        <w:rPr>
          <w:iCs/>
          <w:sz w:val="24"/>
          <w:szCs w:val="24"/>
        </w:rPr>
        <w:t>Prostata-</w:t>
      </w:r>
      <w:proofErr w:type="gramStart"/>
      <w:r w:rsidRPr="00677957">
        <w:rPr>
          <w:iCs/>
          <w:sz w:val="24"/>
          <w:szCs w:val="24"/>
        </w:rPr>
        <w:t>specifik antigen</w:t>
      </w:r>
      <w:proofErr w:type="gramEnd"/>
    </w:p>
    <w:p w14:paraId="3D5EE9F7" w14:textId="77777777" w:rsidR="00D22BF6" w:rsidRPr="003D4A39" w:rsidRDefault="00D22BF6" w:rsidP="00D22BF6">
      <w:pPr>
        <w:ind w:left="851"/>
        <w:rPr>
          <w:sz w:val="24"/>
          <w:szCs w:val="24"/>
        </w:rPr>
      </w:pPr>
    </w:p>
    <w:p w14:paraId="7D4270E2" w14:textId="5DCAB021" w:rsidR="00D22BF6" w:rsidRPr="003D4A39" w:rsidRDefault="00D22BF6" w:rsidP="00D22BF6">
      <w:pPr>
        <w:ind w:left="851"/>
        <w:rPr>
          <w:sz w:val="24"/>
          <w:szCs w:val="24"/>
        </w:rPr>
      </w:pPr>
      <w:r w:rsidRPr="003D4A39">
        <w:rPr>
          <w:sz w:val="24"/>
          <w:szCs w:val="24"/>
        </w:rPr>
        <w:t>Taget i betragtning af, at docetaxel givet hver uge gav en lidt bedre sikkerhedsprofil end docetaxel administreret hver 3. uge, er det en mulighed, at nogle patienter kan have fordel af docetaxel administreret hver uge.</w:t>
      </w:r>
    </w:p>
    <w:p w14:paraId="78F18B3B" w14:textId="77777777" w:rsidR="00D22BF6" w:rsidRPr="003D4A39" w:rsidRDefault="00D22BF6" w:rsidP="00D22BF6">
      <w:pPr>
        <w:ind w:left="851"/>
        <w:rPr>
          <w:sz w:val="24"/>
          <w:szCs w:val="24"/>
        </w:rPr>
      </w:pPr>
    </w:p>
    <w:p w14:paraId="65773D75" w14:textId="77777777" w:rsidR="00D22BF6" w:rsidRPr="003D4A39" w:rsidRDefault="00D22BF6" w:rsidP="00D22BF6">
      <w:pPr>
        <w:ind w:left="851"/>
        <w:rPr>
          <w:sz w:val="24"/>
          <w:szCs w:val="24"/>
        </w:rPr>
      </w:pPr>
      <w:r w:rsidRPr="003D4A39">
        <w:rPr>
          <w:sz w:val="24"/>
          <w:szCs w:val="24"/>
        </w:rPr>
        <w:t>Ingen statistiske forskelle blev observeret mellem behandlingsgrupperne i Global-livskvalitet.</w:t>
      </w:r>
    </w:p>
    <w:p w14:paraId="2A7DA86B" w14:textId="77777777" w:rsidR="00D22BF6" w:rsidRPr="003D4A39" w:rsidRDefault="00D22BF6" w:rsidP="00D22BF6">
      <w:pPr>
        <w:ind w:left="851"/>
        <w:rPr>
          <w:sz w:val="24"/>
          <w:szCs w:val="24"/>
        </w:rPr>
      </w:pPr>
    </w:p>
    <w:p w14:paraId="31B2CE77" w14:textId="77777777" w:rsidR="00D22BF6" w:rsidRPr="005D4D80" w:rsidRDefault="00D22BF6" w:rsidP="001E7DF2">
      <w:pPr>
        <w:keepNext/>
        <w:ind w:left="851"/>
        <w:rPr>
          <w:sz w:val="24"/>
          <w:szCs w:val="24"/>
          <w:u w:val="single"/>
        </w:rPr>
      </w:pPr>
      <w:r w:rsidRPr="005D4D80">
        <w:rPr>
          <w:sz w:val="24"/>
          <w:szCs w:val="24"/>
          <w:u w:val="single"/>
        </w:rPr>
        <w:t xml:space="preserve">Metastatisk hormonfølsom prostatakræft </w:t>
      </w:r>
    </w:p>
    <w:p w14:paraId="33A76A8C" w14:textId="77777777" w:rsidR="00D22BF6" w:rsidRPr="003D4A39" w:rsidRDefault="00D22BF6" w:rsidP="001E7DF2">
      <w:pPr>
        <w:keepNext/>
        <w:ind w:left="851"/>
        <w:rPr>
          <w:i/>
          <w:iCs/>
          <w:sz w:val="24"/>
          <w:szCs w:val="24"/>
        </w:rPr>
      </w:pPr>
    </w:p>
    <w:p w14:paraId="38AF42FE" w14:textId="77777777" w:rsidR="00D22BF6" w:rsidRPr="005D4D80" w:rsidRDefault="00D22BF6" w:rsidP="001E7DF2">
      <w:pPr>
        <w:keepNext/>
        <w:ind w:left="851"/>
        <w:rPr>
          <w:i/>
          <w:iCs/>
          <w:sz w:val="24"/>
          <w:szCs w:val="24"/>
        </w:rPr>
      </w:pPr>
      <w:r w:rsidRPr="005D4D80">
        <w:rPr>
          <w:i/>
          <w:iCs/>
          <w:sz w:val="24"/>
          <w:szCs w:val="24"/>
        </w:rPr>
        <w:t xml:space="preserve">STAMPEDE studie </w:t>
      </w:r>
    </w:p>
    <w:p w14:paraId="36A9E4B6" w14:textId="77777777" w:rsidR="00D22BF6" w:rsidRPr="003D4A39" w:rsidRDefault="00D22BF6" w:rsidP="00D22BF6">
      <w:pPr>
        <w:ind w:left="851"/>
        <w:rPr>
          <w:sz w:val="24"/>
          <w:szCs w:val="24"/>
        </w:rPr>
      </w:pPr>
      <w:r w:rsidRPr="003D4A39">
        <w:rPr>
          <w:sz w:val="24"/>
          <w:szCs w:val="24"/>
        </w:rPr>
        <w:t>Sikkerheden og effekten af docetaxel administreret samtidig med standardpleje (androgen deprivationsbehandling) hos patienter med højrisiko lokalt avanceret eller metastatisk hormonfølsom prostatakræft, blev evalueret i et randomiseret multicenter, multiarm, multi-stage (MAMS) studie, med et gnidningsfrit fase II/III design (STAMPEDE - MRC PR08). I alt blev 1776 mandlige patienter tildelt behandlingsarmen af interesse:</w:t>
      </w:r>
    </w:p>
    <w:p w14:paraId="2EB7FD2C" w14:textId="77777777" w:rsidR="00D22BF6" w:rsidRPr="003D4A39" w:rsidRDefault="00D22BF6" w:rsidP="00D22BF6">
      <w:pPr>
        <w:numPr>
          <w:ilvl w:val="0"/>
          <w:numId w:val="18"/>
        </w:numPr>
        <w:ind w:left="1276" w:hanging="425"/>
        <w:rPr>
          <w:sz w:val="24"/>
          <w:szCs w:val="24"/>
        </w:rPr>
      </w:pPr>
      <w:r w:rsidRPr="003D4A39">
        <w:rPr>
          <w:sz w:val="24"/>
          <w:szCs w:val="24"/>
        </w:rPr>
        <w:t>Standardpleje + docetaxel 75 mg/m², administreret hver 3. uge i 6 perioder</w:t>
      </w:r>
    </w:p>
    <w:p w14:paraId="63785FC4" w14:textId="77777777" w:rsidR="00D22BF6" w:rsidRPr="003D4A39" w:rsidRDefault="00D22BF6" w:rsidP="00D22BF6">
      <w:pPr>
        <w:numPr>
          <w:ilvl w:val="0"/>
          <w:numId w:val="18"/>
        </w:numPr>
        <w:ind w:left="1276" w:hanging="425"/>
        <w:rPr>
          <w:sz w:val="24"/>
          <w:szCs w:val="24"/>
        </w:rPr>
      </w:pPr>
      <w:r w:rsidRPr="003D4A39">
        <w:rPr>
          <w:sz w:val="24"/>
          <w:szCs w:val="24"/>
        </w:rPr>
        <w:t>Standardpleje alene</w:t>
      </w:r>
    </w:p>
    <w:p w14:paraId="1BFED9CB" w14:textId="77777777" w:rsidR="00D22BF6" w:rsidRPr="003D4A39" w:rsidRDefault="00D22BF6" w:rsidP="00D22BF6">
      <w:pPr>
        <w:ind w:left="851"/>
        <w:rPr>
          <w:sz w:val="24"/>
          <w:szCs w:val="24"/>
        </w:rPr>
      </w:pPr>
    </w:p>
    <w:p w14:paraId="1AF5F054" w14:textId="77777777" w:rsidR="00D22BF6" w:rsidRPr="003D4A39" w:rsidRDefault="00D22BF6" w:rsidP="00D22BF6">
      <w:pPr>
        <w:ind w:left="851"/>
        <w:rPr>
          <w:sz w:val="24"/>
          <w:szCs w:val="24"/>
        </w:rPr>
      </w:pPr>
      <w:r w:rsidRPr="003D4A39">
        <w:rPr>
          <w:sz w:val="24"/>
          <w:szCs w:val="24"/>
        </w:rPr>
        <w:t xml:space="preserve">Docetaxel behandlingen blev administreret i kombination med prednison eller prednisolon 5 mg 2 gange dagligt kontinuerligt.  </w:t>
      </w:r>
    </w:p>
    <w:p w14:paraId="6811871A" w14:textId="77777777" w:rsidR="00D22BF6" w:rsidRPr="003D4A39" w:rsidRDefault="00D22BF6" w:rsidP="00D22BF6">
      <w:pPr>
        <w:ind w:left="851"/>
        <w:rPr>
          <w:sz w:val="24"/>
          <w:szCs w:val="24"/>
        </w:rPr>
      </w:pPr>
    </w:p>
    <w:p w14:paraId="0378E051" w14:textId="77777777" w:rsidR="00D22BF6" w:rsidRPr="003D4A39" w:rsidRDefault="00D22BF6" w:rsidP="00D22BF6">
      <w:pPr>
        <w:ind w:left="851"/>
        <w:rPr>
          <w:sz w:val="24"/>
          <w:szCs w:val="24"/>
        </w:rPr>
      </w:pPr>
      <w:r w:rsidRPr="003D4A39">
        <w:rPr>
          <w:sz w:val="24"/>
          <w:szCs w:val="24"/>
        </w:rPr>
        <w:t xml:space="preserve">Blandt de 1776 randomiserede patienter, havde 1086 (61 %), metastatisk sygdom, 362 var randomiseret til docetaxel i kombination med standardpleje, 724 modtog standardpleje alene. </w:t>
      </w:r>
    </w:p>
    <w:p w14:paraId="4F423E2B" w14:textId="77777777" w:rsidR="00D22BF6" w:rsidRPr="003D4A39" w:rsidRDefault="00D22BF6" w:rsidP="00D22BF6">
      <w:pPr>
        <w:ind w:left="851"/>
        <w:rPr>
          <w:sz w:val="24"/>
          <w:szCs w:val="24"/>
        </w:rPr>
      </w:pPr>
    </w:p>
    <w:p w14:paraId="3B57E10C" w14:textId="77777777" w:rsidR="00D22BF6" w:rsidRPr="003D4A39" w:rsidRDefault="00D22BF6" w:rsidP="00D22BF6">
      <w:pPr>
        <w:ind w:left="851"/>
        <w:rPr>
          <w:sz w:val="24"/>
          <w:szCs w:val="24"/>
        </w:rPr>
      </w:pPr>
      <w:r w:rsidRPr="003D4A39">
        <w:rPr>
          <w:sz w:val="24"/>
          <w:szCs w:val="24"/>
        </w:rPr>
        <w:t xml:space="preserve">Hos disse metastatiske prostatakræft patienter, var medianen for den samlede overlevelse signifikant længere i den docetaxel behandlede gruppe i forhold til standardpleje alene gruppen. Den samlede median overlevelse var 19 måneder længere med tilføjelse af docetaxel til standardplejen (HR = 0,76, 95 % CI = 0,62 -0,92 p=0,005). </w:t>
      </w:r>
    </w:p>
    <w:p w14:paraId="356152A4" w14:textId="77777777" w:rsidR="00D22BF6" w:rsidRPr="003D4A39" w:rsidRDefault="00D22BF6" w:rsidP="00D22BF6">
      <w:pPr>
        <w:ind w:left="851"/>
        <w:rPr>
          <w:sz w:val="24"/>
          <w:szCs w:val="24"/>
        </w:rPr>
      </w:pPr>
    </w:p>
    <w:p w14:paraId="71AC29C7" w14:textId="77777777" w:rsidR="00D22BF6" w:rsidRPr="003D4A39" w:rsidRDefault="00D22BF6" w:rsidP="00D22BF6">
      <w:pPr>
        <w:ind w:left="851"/>
        <w:rPr>
          <w:sz w:val="24"/>
          <w:szCs w:val="24"/>
        </w:rPr>
      </w:pPr>
      <w:r w:rsidRPr="003D4A39">
        <w:rPr>
          <w:sz w:val="24"/>
          <w:szCs w:val="24"/>
        </w:rPr>
        <w:t xml:space="preserve">Effekten af docetaxel-armen </w:t>
      </w:r>
      <w:r w:rsidRPr="005D4D80">
        <w:rPr>
          <w:i/>
          <w:iCs/>
          <w:sz w:val="24"/>
          <w:szCs w:val="24"/>
        </w:rPr>
        <w:t>versus</w:t>
      </w:r>
      <w:r w:rsidRPr="003D4A39">
        <w:rPr>
          <w:sz w:val="24"/>
          <w:szCs w:val="24"/>
        </w:rPr>
        <w:t xml:space="preserve"> kontrol-armen hos metastatiske prostatakræft patienter er opsummeret i nedenstående tabel: </w:t>
      </w:r>
    </w:p>
    <w:p w14:paraId="74CBAD14" w14:textId="77777777" w:rsidR="00D22BF6" w:rsidRPr="003D4A39" w:rsidRDefault="00D22BF6" w:rsidP="00D22BF6">
      <w:pPr>
        <w:ind w:left="851"/>
        <w:rPr>
          <w:sz w:val="24"/>
          <w:szCs w:val="24"/>
        </w:rPr>
      </w:pPr>
    </w:p>
    <w:p w14:paraId="44BBC6C9" w14:textId="77777777" w:rsidR="00D22BF6" w:rsidRPr="003D4A39" w:rsidRDefault="00D22BF6" w:rsidP="00D22BF6">
      <w:pPr>
        <w:rPr>
          <w:sz w:val="24"/>
          <w:szCs w:val="24"/>
          <w:u w:val="single"/>
        </w:rPr>
      </w:pPr>
      <w:r w:rsidRPr="005D4D80">
        <w:rPr>
          <w:sz w:val="24"/>
          <w:szCs w:val="24"/>
          <w:u w:val="single"/>
        </w:rPr>
        <w:t>Effekten af docetaxel i kombination med prednison eller prednisolon og standardpleje til behandling</w:t>
      </w:r>
      <w:r w:rsidRPr="003D4A39">
        <w:rPr>
          <w:sz w:val="24"/>
          <w:szCs w:val="24"/>
          <w:u w:val="single"/>
        </w:rPr>
        <w:t xml:space="preserve"> </w:t>
      </w:r>
      <w:r w:rsidRPr="005D4D80">
        <w:rPr>
          <w:sz w:val="24"/>
          <w:szCs w:val="24"/>
          <w:u w:val="single"/>
        </w:rPr>
        <w:t>af patienter med metastatisk hormonfølsom prostatakræft (STAMPEDE)</w:t>
      </w:r>
    </w:p>
    <w:p w14:paraId="1AAB5D50" w14:textId="43D3D587" w:rsidR="006B34A1" w:rsidRDefault="006B34A1" w:rsidP="0081699D">
      <w:pPr>
        <w:ind w:left="851"/>
        <w:rPr>
          <w:sz w:val="24"/>
          <w:szCs w:val="24"/>
        </w:rPr>
      </w:pPr>
    </w:p>
    <w:tbl>
      <w:tblPr>
        <w:tblW w:w="9720" w:type="dxa"/>
        <w:tblInd w:w="5" w:type="dxa"/>
        <w:tblLayout w:type="fixed"/>
        <w:tblCellMar>
          <w:left w:w="0" w:type="dxa"/>
          <w:right w:w="0" w:type="dxa"/>
        </w:tblCellMar>
        <w:tblLook w:val="0000" w:firstRow="0" w:lastRow="0" w:firstColumn="0" w:lastColumn="0" w:noHBand="0" w:noVBand="0"/>
      </w:tblPr>
      <w:tblGrid>
        <w:gridCol w:w="3362"/>
        <w:gridCol w:w="3179"/>
        <w:gridCol w:w="3179"/>
      </w:tblGrid>
      <w:tr w:rsidR="00D22BF6" w:rsidRPr="003D4A39" w14:paraId="2578E34C" w14:textId="77777777" w:rsidTr="00D22BF6">
        <w:trPr>
          <w:trHeight w:val="318"/>
        </w:trPr>
        <w:tc>
          <w:tcPr>
            <w:tcW w:w="3362" w:type="dxa"/>
            <w:tcBorders>
              <w:top w:val="single" w:sz="4" w:space="0" w:color="000000"/>
              <w:left w:val="single" w:sz="4" w:space="0" w:color="000000"/>
              <w:bottom w:val="single" w:sz="4" w:space="0" w:color="000000"/>
              <w:right w:val="single" w:sz="4" w:space="0" w:color="000000"/>
            </w:tcBorders>
          </w:tcPr>
          <w:p w14:paraId="20EE242B" w14:textId="77777777" w:rsidR="00D22BF6" w:rsidRPr="005D4D80" w:rsidRDefault="00D22BF6" w:rsidP="00D22BF6">
            <w:pPr>
              <w:ind w:left="142"/>
              <w:rPr>
                <w:b/>
                <w:bCs/>
                <w:sz w:val="24"/>
                <w:szCs w:val="24"/>
              </w:rPr>
            </w:pPr>
            <w:r w:rsidRPr="005D4D80">
              <w:rPr>
                <w:b/>
                <w:bCs/>
                <w:sz w:val="24"/>
                <w:szCs w:val="24"/>
              </w:rPr>
              <w:t>Endepunkt</w:t>
            </w:r>
          </w:p>
        </w:tc>
        <w:tc>
          <w:tcPr>
            <w:tcW w:w="3179" w:type="dxa"/>
            <w:tcBorders>
              <w:top w:val="single" w:sz="4" w:space="0" w:color="000000"/>
              <w:left w:val="single" w:sz="4" w:space="0" w:color="000000"/>
              <w:bottom w:val="single" w:sz="4" w:space="0" w:color="000000"/>
              <w:right w:val="single" w:sz="4" w:space="0" w:color="000000"/>
            </w:tcBorders>
          </w:tcPr>
          <w:p w14:paraId="6AEE52A5" w14:textId="77777777" w:rsidR="00D22BF6" w:rsidRPr="005D4D80" w:rsidRDefault="00D22BF6" w:rsidP="00D22BF6">
            <w:pPr>
              <w:ind w:left="142"/>
              <w:jc w:val="center"/>
              <w:rPr>
                <w:b/>
                <w:bCs/>
                <w:sz w:val="24"/>
                <w:szCs w:val="24"/>
              </w:rPr>
            </w:pPr>
            <w:r w:rsidRPr="005D4D80">
              <w:rPr>
                <w:b/>
                <w:bCs/>
                <w:sz w:val="24"/>
                <w:szCs w:val="24"/>
              </w:rPr>
              <w:t>Docetaxel</w:t>
            </w:r>
            <w:r w:rsidRPr="003D4A39">
              <w:rPr>
                <w:b/>
                <w:bCs/>
                <w:sz w:val="24"/>
                <w:szCs w:val="24"/>
              </w:rPr>
              <w:t xml:space="preserve"> </w:t>
            </w:r>
            <w:r w:rsidRPr="005D4D80">
              <w:rPr>
                <w:b/>
                <w:bCs/>
                <w:sz w:val="24"/>
                <w:szCs w:val="24"/>
              </w:rPr>
              <w:t>+</w:t>
            </w:r>
            <w:r w:rsidRPr="003D4A39">
              <w:rPr>
                <w:b/>
                <w:bCs/>
                <w:sz w:val="24"/>
                <w:szCs w:val="24"/>
              </w:rPr>
              <w:t xml:space="preserve"> </w:t>
            </w:r>
            <w:r w:rsidRPr="005D4D80">
              <w:rPr>
                <w:b/>
                <w:bCs/>
                <w:sz w:val="24"/>
                <w:szCs w:val="24"/>
              </w:rPr>
              <w:t>standardpleje</w:t>
            </w:r>
          </w:p>
        </w:tc>
        <w:tc>
          <w:tcPr>
            <w:tcW w:w="3179" w:type="dxa"/>
            <w:tcBorders>
              <w:top w:val="single" w:sz="4" w:space="0" w:color="000000"/>
              <w:left w:val="single" w:sz="4" w:space="0" w:color="000000"/>
              <w:bottom w:val="single" w:sz="4" w:space="0" w:color="000000"/>
              <w:right w:val="single" w:sz="4" w:space="0" w:color="000000"/>
            </w:tcBorders>
          </w:tcPr>
          <w:p w14:paraId="53E579A7" w14:textId="77777777" w:rsidR="00D22BF6" w:rsidRPr="005D4D80" w:rsidRDefault="00D22BF6" w:rsidP="00D22BF6">
            <w:pPr>
              <w:ind w:left="142"/>
              <w:jc w:val="center"/>
              <w:rPr>
                <w:b/>
                <w:bCs/>
                <w:sz w:val="24"/>
                <w:szCs w:val="24"/>
              </w:rPr>
            </w:pPr>
            <w:r w:rsidRPr="005D4D80">
              <w:rPr>
                <w:b/>
                <w:bCs/>
                <w:sz w:val="24"/>
                <w:szCs w:val="24"/>
              </w:rPr>
              <w:t>Standardpleje alene</w:t>
            </w:r>
          </w:p>
        </w:tc>
      </w:tr>
      <w:tr w:rsidR="00D22BF6" w:rsidRPr="003D4A39" w14:paraId="3ABCB7BA" w14:textId="77777777" w:rsidTr="00D22BF6">
        <w:trPr>
          <w:trHeight w:val="256"/>
        </w:trPr>
        <w:tc>
          <w:tcPr>
            <w:tcW w:w="3362" w:type="dxa"/>
            <w:tcBorders>
              <w:top w:val="single" w:sz="4" w:space="0" w:color="000000"/>
              <w:left w:val="single" w:sz="4" w:space="0" w:color="000000"/>
              <w:bottom w:val="none" w:sz="6" w:space="0" w:color="auto"/>
              <w:right w:val="single" w:sz="4" w:space="0" w:color="000000"/>
            </w:tcBorders>
          </w:tcPr>
          <w:p w14:paraId="29B4961B" w14:textId="11619A83" w:rsidR="00D22BF6" w:rsidRPr="005D4D80" w:rsidRDefault="00D22BF6" w:rsidP="00D22BF6">
            <w:pPr>
              <w:ind w:left="142"/>
              <w:rPr>
                <w:sz w:val="24"/>
                <w:szCs w:val="24"/>
              </w:rPr>
            </w:pPr>
            <w:r w:rsidRPr="005D4D80">
              <w:rPr>
                <w:sz w:val="24"/>
                <w:szCs w:val="24"/>
              </w:rPr>
              <w:t>Antallet af metastatiske prostat</w:t>
            </w:r>
            <w:r w:rsidRPr="003D4A39">
              <w:rPr>
                <w:sz w:val="24"/>
                <w:szCs w:val="24"/>
              </w:rPr>
              <w:t>a</w:t>
            </w:r>
            <w:r w:rsidRPr="005D4D80">
              <w:rPr>
                <w:sz w:val="24"/>
                <w:szCs w:val="24"/>
              </w:rPr>
              <w:t xml:space="preserve">kræftpatienter </w:t>
            </w:r>
          </w:p>
        </w:tc>
        <w:tc>
          <w:tcPr>
            <w:tcW w:w="3179" w:type="dxa"/>
            <w:tcBorders>
              <w:top w:val="single" w:sz="4" w:space="0" w:color="000000"/>
              <w:left w:val="single" w:sz="4" w:space="0" w:color="000000"/>
              <w:bottom w:val="none" w:sz="6" w:space="0" w:color="auto"/>
              <w:right w:val="single" w:sz="4" w:space="0" w:color="000000"/>
            </w:tcBorders>
          </w:tcPr>
          <w:p w14:paraId="0FEF45D4" w14:textId="77777777" w:rsidR="00D22BF6" w:rsidRPr="005D4D80" w:rsidRDefault="00D22BF6" w:rsidP="00D22BF6">
            <w:pPr>
              <w:pStyle w:val="TableParagraph"/>
              <w:kinsoku w:val="0"/>
              <w:overflowPunct w:val="0"/>
              <w:spacing w:line="236" w:lineRule="exact"/>
              <w:ind w:right="127"/>
              <w:jc w:val="center"/>
              <w:rPr>
                <w:lang w:val="da-DK"/>
              </w:rPr>
            </w:pPr>
            <w:r w:rsidRPr="00DB45E4">
              <w:rPr>
                <w:lang w:val="da-DK"/>
              </w:rPr>
              <w:t>362</w:t>
            </w:r>
          </w:p>
        </w:tc>
        <w:tc>
          <w:tcPr>
            <w:tcW w:w="3179" w:type="dxa"/>
            <w:tcBorders>
              <w:top w:val="single" w:sz="4" w:space="0" w:color="000000"/>
              <w:left w:val="single" w:sz="4" w:space="0" w:color="000000"/>
              <w:bottom w:val="none" w:sz="6" w:space="0" w:color="auto"/>
              <w:right w:val="single" w:sz="4" w:space="0" w:color="000000"/>
            </w:tcBorders>
          </w:tcPr>
          <w:p w14:paraId="69569C72" w14:textId="77777777" w:rsidR="00D22BF6" w:rsidRPr="005D4D80" w:rsidRDefault="00D22BF6" w:rsidP="00D22BF6">
            <w:pPr>
              <w:pStyle w:val="TableParagraph"/>
              <w:kinsoku w:val="0"/>
              <w:overflowPunct w:val="0"/>
              <w:spacing w:line="236" w:lineRule="exact"/>
              <w:ind w:right="238"/>
              <w:jc w:val="center"/>
              <w:rPr>
                <w:lang w:val="da-DK"/>
              </w:rPr>
            </w:pPr>
            <w:r w:rsidRPr="005D4D80">
              <w:rPr>
                <w:lang w:val="da-DK"/>
              </w:rPr>
              <w:t>724</w:t>
            </w:r>
          </w:p>
        </w:tc>
      </w:tr>
      <w:tr w:rsidR="00D22BF6" w:rsidRPr="003D4A39" w14:paraId="6E28C5ED" w14:textId="77777777" w:rsidTr="00D22BF6">
        <w:trPr>
          <w:trHeight w:val="252"/>
        </w:trPr>
        <w:tc>
          <w:tcPr>
            <w:tcW w:w="3362" w:type="dxa"/>
            <w:tcBorders>
              <w:top w:val="none" w:sz="6" w:space="0" w:color="auto"/>
              <w:left w:val="single" w:sz="4" w:space="0" w:color="000000"/>
              <w:bottom w:val="none" w:sz="6" w:space="0" w:color="auto"/>
              <w:right w:val="single" w:sz="4" w:space="0" w:color="000000"/>
            </w:tcBorders>
          </w:tcPr>
          <w:p w14:paraId="74E12D23" w14:textId="77777777" w:rsidR="00D22BF6" w:rsidRPr="005D4D80" w:rsidRDefault="00D22BF6" w:rsidP="00D22BF6">
            <w:pPr>
              <w:ind w:left="142"/>
              <w:rPr>
                <w:sz w:val="24"/>
                <w:szCs w:val="24"/>
              </w:rPr>
            </w:pPr>
            <w:r w:rsidRPr="005D4D80">
              <w:rPr>
                <w:sz w:val="24"/>
                <w:szCs w:val="24"/>
              </w:rPr>
              <w:t>Median samlede overlevelse (måneder)</w:t>
            </w:r>
          </w:p>
        </w:tc>
        <w:tc>
          <w:tcPr>
            <w:tcW w:w="3179" w:type="dxa"/>
            <w:tcBorders>
              <w:top w:val="none" w:sz="6" w:space="0" w:color="auto"/>
              <w:left w:val="single" w:sz="4" w:space="0" w:color="000000"/>
              <w:bottom w:val="none" w:sz="6" w:space="0" w:color="auto"/>
              <w:right w:val="single" w:sz="4" w:space="0" w:color="000000"/>
            </w:tcBorders>
          </w:tcPr>
          <w:p w14:paraId="7D8D9E5C" w14:textId="77777777" w:rsidR="00D22BF6" w:rsidRPr="005D4D80" w:rsidRDefault="00D22BF6" w:rsidP="00D22BF6">
            <w:pPr>
              <w:pStyle w:val="TableParagraph"/>
              <w:kinsoku w:val="0"/>
              <w:overflowPunct w:val="0"/>
              <w:spacing w:line="232" w:lineRule="exact"/>
              <w:ind w:right="127"/>
              <w:jc w:val="center"/>
              <w:rPr>
                <w:lang w:val="da-DK"/>
              </w:rPr>
            </w:pPr>
            <w:r w:rsidRPr="00DB45E4">
              <w:rPr>
                <w:lang w:val="da-DK"/>
              </w:rPr>
              <w:t>62</w:t>
            </w:r>
          </w:p>
        </w:tc>
        <w:tc>
          <w:tcPr>
            <w:tcW w:w="3179" w:type="dxa"/>
            <w:tcBorders>
              <w:top w:val="none" w:sz="6" w:space="0" w:color="auto"/>
              <w:left w:val="single" w:sz="4" w:space="0" w:color="000000"/>
              <w:bottom w:val="none" w:sz="6" w:space="0" w:color="auto"/>
              <w:right w:val="single" w:sz="4" w:space="0" w:color="000000"/>
            </w:tcBorders>
          </w:tcPr>
          <w:p w14:paraId="3D0118FF" w14:textId="77777777" w:rsidR="00D22BF6" w:rsidRPr="005D4D80" w:rsidRDefault="00D22BF6" w:rsidP="00D22BF6">
            <w:pPr>
              <w:pStyle w:val="TableParagraph"/>
              <w:kinsoku w:val="0"/>
              <w:overflowPunct w:val="0"/>
              <w:spacing w:line="232" w:lineRule="exact"/>
              <w:ind w:right="238"/>
              <w:jc w:val="center"/>
              <w:rPr>
                <w:lang w:val="da-DK"/>
              </w:rPr>
            </w:pPr>
            <w:r w:rsidRPr="005D4D80">
              <w:rPr>
                <w:lang w:val="da-DK"/>
              </w:rPr>
              <w:t>43</w:t>
            </w:r>
          </w:p>
        </w:tc>
      </w:tr>
      <w:tr w:rsidR="00D22BF6" w:rsidRPr="003D4A39" w14:paraId="532C75C1" w14:textId="77777777" w:rsidTr="00D22BF6">
        <w:trPr>
          <w:trHeight w:val="421"/>
        </w:trPr>
        <w:tc>
          <w:tcPr>
            <w:tcW w:w="3362" w:type="dxa"/>
            <w:tcBorders>
              <w:top w:val="none" w:sz="6" w:space="0" w:color="auto"/>
              <w:left w:val="single" w:sz="4" w:space="0" w:color="000000"/>
              <w:bottom w:val="none" w:sz="6" w:space="0" w:color="auto"/>
              <w:right w:val="single" w:sz="4" w:space="0" w:color="000000"/>
            </w:tcBorders>
          </w:tcPr>
          <w:p w14:paraId="2D3E0664" w14:textId="77777777" w:rsidR="00D22BF6" w:rsidRPr="005D4D80" w:rsidRDefault="00D22BF6" w:rsidP="00D22BF6">
            <w:pPr>
              <w:ind w:left="142"/>
              <w:rPr>
                <w:sz w:val="24"/>
                <w:szCs w:val="24"/>
              </w:rPr>
            </w:pPr>
            <w:r w:rsidRPr="005D4D80">
              <w:rPr>
                <w:sz w:val="24"/>
                <w:szCs w:val="24"/>
              </w:rPr>
              <w:t>95% CI</w:t>
            </w:r>
          </w:p>
        </w:tc>
        <w:tc>
          <w:tcPr>
            <w:tcW w:w="3179" w:type="dxa"/>
            <w:tcBorders>
              <w:top w:val="none" w:sz="6" w:space="0" w:color="auto"/>
              <w:left w:val="single" w:sz="4" w:space="0" w:color="000000"/>
              <w:bottom w:val="none" w:sz="6" w:space="0" w:color="auto"/>
              <w:right w:val="single" w:sz="4" w:space="0" w:color="000000"/>
            </w:tcBorders>
          </w:tcPr>
          <w:p w14:paraId="3F87F661" w14:textId="77777777" w:rsidR="00D22BF6" w:rsidRPr="005D4D80" w:rsidRDefault="00D22BF6" w:rsidP="00D22BF6">
            <w:pPr>
              <w:pStyle w:val="TableParagraph"/>
              <w:kinsoku w:val="0"/>
              <w:overflowPunct w:val="0"/>
              <w:spacing w:line="248" w:lineRule="exact"/>
              <w:ind w:right="127"/>
              <w:jc w:val="center"/>
              <w:rPr>
                <w:lang w:val="da-DK"/>
              </w:rPr>
            </w:pPr>
            <w:r w:rsidRPr="00DB45E4">
              <w:rPr>
                <w:lang w:val="da-DK"/>
              </w:rPr>
              <w:t>51-73</w:t>
            </w:r>
          </w:p>
        </w:tc>
        <w:tc>
          <w:tcPr>
            <w:tcW w:w="3179" w:type="dxa"/>
            <w:tcBorders>
              <w:top w:val="none" w:sz="6" w:space="0" w:color="auto"/>
              <w:left w:val="single" w:sz="4" w:space="0" w:color="000000"/>
              <w:bottom w:val="none" w:sz="6" w:space="0" w:color="auto"/>
              <w:right w:val="single" w:sz="4" w:space="0" w:color="000000"/>
            </w:tcBorders>
          </w:tcPr>
          <w:p w14:paraId="5E03CF16" w14:textId="77777777" w:rsidR="00D22BF6" w:rsidRPr="005D4D80" w:rsidRDefault="00D22BF6" w:rsidP="00D22BF6">
            <w:pPr>
              <w:pStyle w:val="TableParagraph"/>
              <w:kinsoku w:val="0"/>
              <w:overflowPunct w:val="0"/>
              <w:spacing w:line="248" w:lineRule="exact"/>
              <w:ind w:right="238"/>
              <w:jc w:val="center"/>
              <w:rPr>
                <w:lang w:val="da-DK"/>
              </w:rPr>
            </w:pPr>
            <w:r w:rsidRPr="005D4D80">
              <w:rPr>
                <w:lang w:val="da-DK"/>
              </w:rPr>
              <w:t>40-48</w:t>
            </w:r>
          </w:p>
        </w:tc>
      </w:tr>
      <w:tr w:rsidR="00D22BF6" w:rsidRPr="003D4A39" w14:paraId="48114E1A" w14:textId="77777777" w:rsidTr="00D22BF6">
        <w:trPr>
          <w:trHeight w:val="267"/>
        </w:trPr>
        <w:tc>
          <w:tcPr>
            <w:tcW w:w="3362" w:type="dxa"/>
            <w:tcBorders>
              <w:top w:val="none" w:sz="6" w:space="0" w:color="auto"/>
              <w:left w:val="single" w:sz="4" w:space="0" w:color="000000"/>
              <w:bottom w:val="none" w:sz="6" w:space="0" w:color="auto"/>
              <w:right w:val="single" w:sz="4" w:space="0" w:color="000000"/>
            </w:tcBorders>
          </w:tcPr>
          <w:p w14:paraId="6BAE4321" w14:textId="77777777" w:rsidR="00D22BF6" w:rsidRPr="005D4D80" w:rsidRDefault="00D22BF6" w:rsidP="00D22BF6">
            <w:pPr>
              <w:ind w:left="142"/>
              <w:rPr>
                <w:sz w:val="24"/>
                <w:szCs w:val="24"/>
              </w:rPr>
            </w:pPr>
            <w:r w:rsidRPr="005D4D80">
              <w:rPr>
                <w:sz w:val="24"/>
                <w:szCs w:val="24"/>
              </w:rPr>
              <w:t>Justeret</w:t>
            </w:r>
            <w:r w:rsidRPr="003D4A39">
              <w:rPr>
                <w:sz w:val="24"/>
                <w:szCs w:val="24"/>
              </w:rPr>
              <w:t xml:space="preserve"> </w:t>
            </w:r>
            <w:r w:rsidRPr="005D4D80">
              <w:rPr>
                <w:i/>
                <w:iCs/>
                <w:sz w:val="24"/>
                <w:szCs w:val="24"/>
              </w:rPr>
              <w:t>hazard</w:t>
            </w:r>
            <w:r w:rsidRPr="005D4D80">
              <w:rPr>
                <w:sz w:val="24"/>
                <w:szCs w:val="24"/>
              </w:rPr>
              <w:t xml:space="preserve"> ratio</w:t>
            </w:r>
          </w:p>
        </w:tc>
        <w:tc>
          <w:tcPr>
            <w:tcW w:w="6358" w:type="dxa"/>
            <w:gridSpan w:val="2"/>
            <w:tcBorders>
              <w:top w:val="none" w:sz="6" w:space="0" w:color="auto"/>
              <w:left w:val="single" w:sz="4" w:space="0" w:color="000000"/>
              <w:bottom w:val="none" w:sz="6" w:space="0" w:color="auto"/>
              <w:right w:val="single" w:sz="4" w:space="0" w:color="000000"/>
            </w:tcBorders>
          </w:tcPr>
          <w:p w14:paraId="175236E9" w14:textId="77777777" w:rsidR="00D22BF6" w:rsidRPr="005D4D80" w:rsidRDefault="00D22BF6" w:rsidP="00D22BF6">
            <w:pPr>
              <w:pStyle w:val="TableParagraph"/>
              <w:kinsoku w:val="0"/>
              <w:overflowPunct w:val="0"/>
              <w:spacing w:line="247" w:lineRule="exact"/>
              <w:jc w:val="center"/>
              <w:rPr>
                <w:lang w:val="da-DK"/>
              </w:rPr>
            </w:pPr>
            <w:r w:rsidRPr="005D4D80">
              <w:rPr>
                <w:lang w:val="da-DK"/>
              </w:rPr>
              <w:t>0</w:t>
            </w:r>
            <w:r w:rsidRPr="003D4A39">
              <w:rPr>
                <w:lang w:val="da-DK"/>
              </w:rPr>
              <w:t>,</w:t>
            </w:r>
            <w:r w:rsidRPr="005D4D80">
              <w:rPr>
                <w:lang w:val="da-DK"/>
              </w:rPr>
              <w:t>76</w:t>
            </w:r>
          </w:p>
        </w:tc>
      </w:tr>
      <w:tr w:rsidR="00D22BF6" w:rsidRPr="003D4A39" w14:paraId="4E93D0DE" w14:textId="77777777" w:rsidTr="00D22BF6">
        <w:trPr>
          <w:trHeight w:val="252"/>
        </w:trPr>
        <w:tc>
          <w:tcPr>
            <w:tcW w:w="3362" w:type="dxa"/>
            <w:tcBorders>
              <w:top w:val="none" w:sz="6" w:space="0" w:color="auto"/>
              <w:left w:val="single" w:sz="4" w:space="0" w:color="000000"/>
              <w:bottom w:val="none" w:sz="6" w:space="0" w:color="auto"/>
              <w:right w:val="single" w:sz="4" w:space="0" w:color="000000"/>
            </w:tcBorders>
          </w:tcPr>
          <w:p w14:paraId="5AEE23E5" w14:textId="77777777" w:rsidR="00D22BF6" w:rsidRPr="005D4D80" w:rsidRDefault="00D22BF6" w:rsidP="00D22BF6">
            <w:pPr>
              <w:ind w:left="142"/>
              <w:rPr>
                <w:sz w:val="24"/>
                <w:szCs w:val="24"/>
              </w:rPr>
            </w:pPr>
            <w:r w:rsidRPr="005D4D80">
              <w:rPr>
                <w:sz w:val="24"/>
                <w:szCs w:val="24"/>
              </w:rPr>
              <w:t>95% CI</w:t>
            </w:r>
          </w:p>
        </w:tc>
        <w:tc>
          <w:tcPr>
            <w:tcW w:w="6358" w:type="dxa"/>
            <w:gridSpan w:val="2"/>
            <w:tcBorders>
              <w:top w:val="none" w:sz="6" w:space="0" w:color="auto"/>
              <w:left w:val="single" w:sz="4" w:space="0" w:color="000000"/>
              <w:bottom w:val="none" w:sz="6" w:space="0" w:color="auto"/>
              <w:right w:val="single" w:sz="4" w:space="0" w:color="000000"/>
            </w:tcBorders>
          </w:tcPr>
          <w:p w14:paraId="7CE3E9F8" w14:textId="77777777" w:rsidR="00D22BF6" w:rsidRPr="005D4D80" w:rsidRDefault="00D22BF6" w:rsidP="00D22BF6">
            <w:pPr>
              <w:pStyle w:val="TableParagraph"/>
              <w:kinsoku w:val="0"/>
              <w:overflowPunct w:val="0"/>
              <w:spacing w:line="247" w:lineRule="exact"/>
              <w:jc w:val="center"/>
              <w:rPr>
                <w:lang w:val="da-DK"/>
              </w:rPr>
            </w:pPr>
            <w:r w:rsidRPr="005D4D80">
              <w:rPr>
                <w:lang w:val="da-DK"/>
              </w:rPr>
              <w:t>(0</w:t>
            </w:r>
            <w:r w:rsidRPr="003D4A39">
              <w:rPr>
                <w:lang w:val="da-DK"/>
              </w:rPr>
              <w:t>,</w:t>
            </w:r>
            <w:r w:rsidRPr="005D4D80">
              <w:rPr>
                <w:lang w:val="da-DK"/>
              </w:rPr>
              <w:t>62-0</w:t>
            </w:r>
            <w:r w:rsidRPr="003D4A39">
              <w:rPr>
                <w:lang w:val="da-DK"/>
              </w:rPr>
              <w:t>,</w:t>
            </w:r>
            <w:r w:rsidRPr="005D4D80">
              <w:rPr>
                <w:lang w:val="da-DK"/>
              </w:rPr>
              <w:t>92)</w:t>
            </w:r>
          </w:p>
        </w:tc>
      </w:tr>
      <w:tr w:rsidR="00D22BF6" w:rsidRPr="003D4A39" w14:paraId="09EA3C59" w14:textId="77777777" w:rsidTr="00D22BF6">
        <w:trPr>
          <w:trHeight w:val="320"/>
        </w:trPr>
        <w:tc>
          <w:tcPr>
            <w:tcW w:w="3362" w:type="dxa"/>
            <w:tcBorders>
              <w:top w:val="none" w:sz="6" w:space="0" w:color="auto"/>
              <w:left w:val="single" w:sz="4" w:space="0" w:color="000000"/>
              <w:bottom w:val="single" w:sz="4" w:space="0" w:color="000000"/>
              <w:right w:val="single" w:sz="4" w:space="0" w:color="000000"/>
            </w:tcBorders>
          </w:tcPr>
          <w:p w14:paraId="17C0C591" w14:textId="28FDF399" w:rsidR="00D22BF6" w:rsidRPr="005D4D80" w:rsidRDefault="009B0C24" w:rsidP="00D22BF6">
            <w:pPr>
              <w:ind w:left="142"/>
              <w:rPr>
                <w:sz w:val="24"/>
                <w:szCs w:val="24"/>
              </w:rPr>
            </w:pPr>
            <w:r w:rsidRPr="005D4D80">
              <w:rPr>
                <w:sz w:val="24"/>
                <w:szCs w:val="24"/>
              </w:rPr>
              <w:t>p- værdi</w:t>
            </w:r>
            <w:r w:rsidRPr="005D4D80">
              <w:rPr>
                <w:sz w:val="24"/>
                <w:szCs w:val="24"/>
                <w:vertAlign w:val="superscript"/>
              </w:rPr>
              <w:t>a</w:t>
            </w:r>
          </w:p>
        </w:tc>
        <w:tc>
          <w:tcPr>
            <w:tcW w:w="6358" w:type="dxa"/>
            <w:gridSpan w:val="2"/>
            <w:tcBorders>
              <w:top w:val="none" w:sz="6" w:space="0" w:color="auto"/>
              <w:left w:val="single" w:sz="4" w:space="0" w:color="000000"/>
              <w:bottom w:val="single" w:sz="4" w:space="0" w:color="000000"/>
              <w:right w:val="single" w:sz="4" w:space="0" w:color="000000"/>
            </w:tcBorders>
          </w:tcPr>
          <w:p w14:paraId="59681B40" w14:textId="77777777" w:rsidR="00D22BF6" w:rsidRPr="005D4D80" w:rsidRDefault="00D22BF6" w:rsidP="00D22BF6">
            <w:pPr>
              <w:pStyle w:val="TableParagraph"/>
              <w:kinsoku w:val="0"/>
              <w:overflowPunct w:val="0"/>
              <w:spacing w:line="247" w:lineRule="exact"/>
              <w:jc w:val="center"/>
              <w:rPr>
                <w:lang w:val="da-DK"/>
              </w:rPr>
            </w:pPr>
            <w:r w:rsidRPr="005D4D80">
              <w:rPr>
                <w:lang w:val="da-DK"/>
              </w:rPr>
              <w:t>0</w:t>
            </w:r>
            <w:r w:rsidRPr="003D4A39">
              <w:rPr>
                <w:lang w:val="da-DK"/>
              </w:rPr>
              <w:t>,</w:t>
            </w:r>
            <w:r w:rsidRPr="005D4D80">
              <w:rPr>
                <w:lang w:val="da-DK"/>
              </w:rPr>
              <w:t>005</w:t>
            </w:r>
          </w:p>
        </w:tc>
      </w:tr>
      <w:tr w:rsidR="00D22BF6" w:rsidRPr="003D4A39" w14:paraId="6354B1E5" w14:textId="77777777" w:rsidTr="00D22BF6">
        <w:trPr>
          <w:trHeight w:val="317"/>
        </w:trPr>
        <w:tc>
          <w:tcPr>
            <w:tcW w:w="3362" w:type="dxa"/>
            <w:tcBorders>
              <w:top w:val="single" w:sz="4" w:space="0" w:color="000000"/>
              <w:left w:val="single" w:sz="4" w:space="0" w:color="000000"/>
              <w:bottom w:val="none" w:sz="6" w:space="0" w:color="auto"/>
              <w:right w:val="single" w:sz="4" w:space="0" w:color="000000"/>
            </w:tcBorders>
          </w:tcPr>
          <w:p w14:paraId="7A19CA7E" w14:textId="77777777" w:rsidR="00D22BF6" w:rsidRPr="005D4D80" w:rsidRDefault="00D22BF6" w:rsidP="00D22BF6">
            <w:pPr>
              <w:ind w:left="142"/>
              <w:rPr>
                <w:sz w:val="24"/>
                <w:szCs w:val="24"/>
              </w:rPr>
            </w:pPr>
            <w:r w:rsidRPr="005D4D80">
              <w:rPr>
                <w:sz w:val="24"/>
                <w:szCs w:val="24"/>
              </w:rPr>
              <w:t>Fejlfri overlevelse</w:t>
            </w:r>
            <w:r w:rsidRPr="005D4D80">
              <w:rPr>
                <w:sz w:val="24"/>
                <w:szCs w:val="24"/>
                <w:vertAlign w:val="superscript"/>
              </w:rPr>
              <w:t>b</w:t>
            </w:r>
          </w:p>
        </w:tc>
        <w:tc>
          <w:tcPr>
            <w:tcW w:w="3179" w:type="dxa"/>
            <w:tcBorders>
              <w:top w:val="single" w:sz="4" w:space="0" w:color="000000"/>
              <w:left w:val="single" w:sz="4" w:space="0" w:color="000000"/>
              <w:bottom w:val="none" w:sz="6" w:space="0" w:color="auto"/>
              <w:right w:val="single" w:sz="4" w:space="0" w:color="000000"/>
            </w:tcBorders>
          </w:tcPr>
          <w:p w14:paraId="4A7A2B66" w14:textId="77777777" w:rsidR="00D22BF6" w:rsidRPr="005D4D80" w:rsidRDefault="00D22BF6" w:rsidP="00D22BF6">
            <w:pPr>
              <w:pStyle w:val="TableParagraph"/>
              <w:kinsoku w:val="0"/>
              <w:overflowPunct w:val="0"/>
              <w:rPr>
                <w:lang w:val="da-DK"/>
              </w:rPr>
            </w:pPr>
          </w:p>
        </w:tc>
        <w:tc>
          <w:tcPr>
            <w:tcW w:w="3179" w:type="dxa"/>
            <w:tcBorders>
              <w:top w:val="single" w:sz="4" w:space="0" w:color="000000"/>
              <w:left w:val="single" w:sz="4" w:space="0" w:color="000000"/>
              <w:bottom w:val="none" w:sz="6" w:space="0" w:color="auto"/>
              <w:right w:val="single" w:sz="4" w:space="0" w:color="000000"/>
            </w:tcBorders>
          </w:tcPr>
          <w:p w14:paraId="4BDFC9FC" w14:textId="77777777" w:rsidR="00D22BF6" w:rsidRPr="005D4D80" w:rsidRDefault="00D22BF6" w:rsidP="00D22BF6">
            <w:pPr>
              <w:pStyle w:val="TableParagraph"/>
              <w:kinsoku w:val="0"/>
              <w:overflowPunct w:val="0"/>
              <w:rPr>
                <w:lang w:val="da-DK"/>
              </w:rPr>
            </w:pPr>
          </w:p>
        </w:tc>
      </w:tr>
      <w:tr w:rsidR="00D22BF6" w:rsidRPr="003D4A39" w14:paraId="67B0DBE7" w14:textId="77777777" w:rsidTr="00D22BF6">
        <w:trPr>
          <w:trHeight w:val="252"/>
        </w:trPr>
        <w:tc>
          <w:tcPr>
            <w:tcW w:w="3362" w:type="dxa"/>
            <w:tcBorders>
              <w:top w:val="none" w:sz="6" w:space="0" w:color="auto"/>
              <w:left w:val="single" w:sz="4" w:space="0" w:color="000000"/>
              <w:bottom w:val="none" w:sz="6" w:space="0" w:color="auto"/>
              <w:right w:val="single" w:sz="4" w:space="0" w:color="000000"/>
            </w:tcBorders>
          </w:tcPr>
          <w:p w14:paraId="433986DE" w14:textId="77777777" w:rsidR="00D22BF6" w:rsidRPr="005D4D80" w:rsidRDefault="00D22BF6" w:rsidP="00D22BF6">
            <w:pPr>
              <w:ind w:left="142"/>
              <w:rPr>
                <w:sz w:val="24"/>
                <w:szCs w:val="24"/>
              </w:rPr>
            </w:pPr>
            <w:r w:rsidRPr="005D4D80">
              <w:rPr>
                <w:sz w:val="24"/>
                <w:szCs w:val="24"/>
              </w:rPr>
              <w:t>Median (måneder)</w:t>
            </w:r>
          </w:p>
        </w:tc>
        <w:tc>
          <w:tcPr>
            <w:tcW w:w="3179" w:type="dxa"/>
            <w:tcBorders>
              <w:top w:val="none" w:sz="6" w:space="0" w:color="auto"/>
              <w:left w:val="single" w:sz="4" w:space="0" w:color="000000"/>
              <w:bottom w:val="none" w:sz="6" w:space="0" w:color="auto"/>
              <w:right w:val="single" w:sz="4" w:space="0" w:color="000000"/>
            </w:tcBorders>
          </w:tcPr>
          <w:p w14:paraId="10F7C2FA" w14:textId="77777777" w:rsidR="00D22BF6" w:rsidRPr="005D4D80" w:rsidRDefault="00D22BF6" w:rsidP="00D22BF6">
            <w:pPr>
              <w:pStyle w:val="TableParagraph"/>
              <w:kinsoku w:val="0"/>
              <w:overflowPunct w:val="0"/>
              <w:spacing w:line="232" w:lineRule="exact"/>
              <w:ind w:right="125"/>
              <w:jc w:val="center"/>
              <w:rPr>
                <w:lang w:val="da-DK"/>
              </w:rPr>
            </w:pPr>
            <w:r w:rsidRPr="00DB45E4">
              <w:rPr>
                <w:lang w:val="da-DK"/>
              </w:rPr>
              <w:t>20</w:t>
            </w:r>
            <w:r w:rsidRPr="003D4A39">
              <w:rPr>
                <w:lang w:val="da-DK"/>
              </w:rPr>
              <w:t>,</w:t>
            </w:r>
            <w:r w:rsidRPr="00DB45E4">
              <w:rPr>
                <w:lang w:val="da-DK"/>
              </w:rPr>
              <w:t>4</w:t>
            </w:r>
          </w:p>
        </w:tc>
        <w:tc>
          <w:tcPr>
            <w:tcW w:w="3179" w:type="dxa"/>
            <w:tcBorders>
              <w:top w:val="none" w:sz="6" w:space="0" w:color="auto"/>
              <w:left w:val="single" w:sz="4" w:space="0" w:color="000000"/>
              <w:bottom w:val="none" w:sz="6" w:space="0" w:color="auto"/>
              <w:right w:val="single" w:sz="4" w:space="0" w:color="000000"/>
            </w:tcBorders>
          </w:tcPr>
          <w:p w14:paraId="0BFF9983" w14:textId="77777777" w:rsidR="00D22BF6" w:rsidRPr="005D4D80" w:rsidRDefault="00D22BF6" w:rsidP="00D22BF6">
            <w:pPr>
              <w:pStyle w:val="TableParagraph"/>
              <w:kinsoku w:val="0"/>
              <w:overflowPunct w:val="0"/>
              <w:spacing w:line="232" w:lineRule="exact"/>
              <w:ind w:right="238"/>
              <w:jc w:val="center"/>
              <w:rPr>
                <w:lang w:val="da-DK"/>
              </w:rPr>
            </w:pPr>
            <w:r w:rsidRPr="005D4D80">
              <w:rPr>
                <w:lang w:val="da-DK"/>
              </w:rPr>
              <w:t>12</w:t>
            </w:r>
          </w:p>
        </w:tc>
      </w:tr>
      <w:tr w:rsidR="00D22BF6" w:rsidRPr="003D4A39" w14:paraId="73D13CD5" w14:textId="77777777" w:rsidTr="00D22BF6">
        <w:trPr>
          <w:trHeight w:val="502"/>
        </w:trPr>
        <w:tc>
          <w:tcPr>
            <w:tcW w:w="3362" w:type="dxa"/>
            <w:tcBorders>
              <w:top w:val="none" w:sz="6" w:space="0" w:color="auto"/>
              <w:left w:val="single" w:sz="4" w:space="0" w:color="000000"/>
              <w:bottom w:val="none" w:sz="6" w:space="0" w:color="auto"/>
              <w:right w:val="single" w:sz="4" w:space="0" w:color="000000"/>
            </w:tcBorders>
          </w:tcPr>
          <w:p w14:paraId="06F1184B" w14:textId="77777777" w:rsidR="00D22BF6" w:rsidRPr="005D4D80" w:rsidRDefault="00D22BF6" w:rsidP="00D22BF6">
            <w:pPr>
              <w:ind w:left="142"/>
              <w:rPr>
                <w:sz w:val="24"/>
                <w:szCs w:val="24"/>
              </w:rPr>
            </w:pPr>
            <w:r w:rsidRPr="005D4D80">
              <w:rPr>
                <w:sz w:val="24"/>
                <w:szCs w:val="24"/>
              </w:rPr>
              <w:t>95% CI</w:t>
            </w:r>
          </w:p>
        </w:tc>
        <w:tc>
          <w:tcPr>
            <w:tcW w:w="3179" w:type="dxa"/>
            <w:tcBorders>
              <w:top w:val="none" w:sz="6" w:space="0" w:color="auto"/>
              <w:left w:val="single" w:sz="4" w:space="0" w:color="000000"/>
              <w:bottom w:val="none" w:sz="6" w:space="0" w:color="auto"/>
              <w:right w:val="single" w:sz="4" w:space="0" w:color="000000"/>
            </w:tcBorders>
          </w:tcPr>
          <w:p w14:paraId="6A3DB3E2" w14:textId="77777777" w:rsidR="00D22BF6" w:rsidRPr="005D4D80" w:rsidRDefault="00D22BF6" w:rsidP="00D22BF6">
            <w:pPr>
              <w:pStyle w:val="TableParagraph"/>
              <w:kinsoku w:val="0"/>
              <w:overflowPunct w:val="0"/>
              <w:spacing w:line="248" w:lineRule="exact"/>
              <w:ind w:right="124"/>
              <w:jc w:val="center"/>
              <w:rPr>
                <w:lang w:val="da-DK"/>
              </w:rPr>
            </w:pPr>
            <w:r w:rsidRPr="00DB45E4">
              <w:rPr>
                <w:lang w:val="da-DK"/>
              </w:rPr>
              <w:t>16</w:t>
            </w:r>
            <w:r w:rsidRPr="003D4A39">
              <w:rPr>
                <w:lang w:val="da-DK"/>
              </w:rPr>
              <w:t>,</w:t>
            </w:r>
            <w:r w:rsidRPr="00DB45E4">
              <w:rPr>
                <w:lang w:val="da-DK"/>
              </w:rPr>
              <w:t>8-25</w:t>
            </w:r>
            <w:r w:rsidRPr="003D4A39">
              <w:rPr>
                <w:lang w:val="da-DK"/>
              </w:rPr>
              <w:t>,</w:t>
            </w:r>
            <w:r w:rsidRPr="00DB45E4">
              <w:rPr>
                <w:lang w:val="da-DK"/>
              </w:rPr>
              <w:t>2</w:t>
            </w:r>
          </w:p>
        </w:tc>
        <w:tc>
          <w:tcPr>
            <w:tcW w:w="3179" w:type="dxa"/>
            <w:tcBorders>
              <w:top w:val="none" w:sz="6" w:space="0" w:color="auto"/>
              <w:left w:val="single" w:sz="4" w:space="0" w:color="000000"/>
              <w:bottom w:val="none" w:sz="6" w:space="0" w:color="auto"/>
              <w:right w:val="single" w:sz="4" w:space="0" w:color="000000"/>
            </w:tcBorders>
          </w:tcPr>
          <w:p w14:paraId="5C2ADF9C" w14:textId="77777777" w:rsidR="00D22BF6" w:rsidRPr="00DB45E4" w:rsidRDefault="00D22BF6" w:rsidP="00D22BF6">
            <w:pPr>
              <w:pStyle w:val="TableParagraph"/>
              <w:kinsoku w:val="0"/>
              <w:overflowPunct w:val="0"/>
              <w:spacing w:line="248" w:lineRule="exact"/>
              <w:ind w:right="238"/>
              <w:jc w:val="center"/>
              <w:rPr>
                <w:lang w:val="da-DK"/>
              </w:rPr>
            </w:pPr>
            <w:r w:rsidRPr="005D4D80">
              <w:rPr>
                <w:lang w:val="da-DK"/>
              </w:rPr>
              <w:t>9</w:t>
            </w:r>
            <w:r w:rsidRPr="003D4A39">
              <w:rPr>
                <w:lang w:val="da-DK"/>
              </w:rPr>
              <w:t>,</w:t>
            </w:r>
            <w:r w:rsidRPr="00DB45E4">
              <w:rPr>
                <w:lang w:val="da-DK"/>
              </w:rPr>
              <w:t>6-12</w:t>
            </w:r>
          </w:p>
        </w:tc>
      </w:tr>
      <w:tr w:rsidR="00D22BF6" w:rsidRPr="003D4A39" w14:paraId="4A9ED534" w14:textId="77777777" w:rsidTr="00D22BF6">
        <w:trPr>
          <w:trHeight w:val="256"/>
        </w:trPr>
        <w:tc>
          <w:tcPr>
            <w:tcW w:w="3362" w:type="dxa"/>
            <w:tcBorders>
              <w:top w:val="none" w:sz="6" w:space="0" w:color="auto"/>
              <w:left w:val="single" w:sz="4" w:space="0" w:color="000000"/>
              <w:bottom w:val="none" w:sz="6" w:space="0" w:color="auto"/>
              <w:right w:val="single" w:sz="4" w:space="0" w:color="000000"/>
            </w:tcBorders>
          </w:tcPr>
          <w:p w14:paraId="3D17BD6D" w14:textId="77777777" w:rsidR="00D22BF6" w:rsidRPr="005D4D80" w:rsidRDefault="00D22BF6" w:rsidP="00D22BF6">
            <w:pPr>
              <w:ind w:left="142"/>
              <w:rPr>
                <w:sz w:val="24"/>
                <w:szCs w:val="24"/>
              </w:rPr>
            </w:pPr>
            <w:r w:rsidRPr="005D4D80">
              <w:rPr>
                <w:sz w:val="24"/>
                <w:szCs w:val="24"/>
              </w:rPr>
              <w:t xml:space="preserve">Justeret </w:t>
            </w:r>
            <w:r w:rsidRPr="005D4D80">
              <w:rPr>
                <w:i/>
                <w:iCs/>
                <w:sz w:val="24"/>
                <w:szCs w:val="24"/>
              </w:rPr>
              <w:t>hazard</w:t>
            </w:r>
            <w:r w:rsidRPr="005D4D80">
              <w:rPr>
                <w:sz w:val="24"/>
                <w:szCs w:val="24"/>
              </w:rPr>
              <w:t xml:space="preserve"> ratio</w:t>
            </w:r>
          </w:p>
        </w:tc>
        <w:tc>
          <w:tcPr>
            <w:tcW w:w="6358" w:type="dxa"/>
            <w:gridSpan w:val="2"/>
            <w:tcBorders>
              <w:top w:val="none" w:sz="6" w:space="0" w:color="auto"/>
              <w:left w:val="single" w:sz="4" w:space="0" w:color="000000"/>
              <w:bottom w:val="none" w:sz="6" w:space="0" w:color="auto"/>
              <w:right w:val="single" w:sz="4" w:space="0" w:color="000000"/>
            </w:tcBorders>
          </w:tcPr>
          <w:p w14:paraId="52CAD6CA" w14:textId="77777777" w:rsidR="00D22BF6" w:rsidRPr="005D4D80" w:rsidRDefault="00D22BF6" w:rsidP="00D22BF6">
            <w:pPr>
              <w:pStyle w:val="TableParagraph"/>
              <w:kinsoku w:val="0"/>
              <w:overflowPunct w:val="0"/>
              <w:spacing w:line="247" w:lineRule="exact"/>
              <w:jc w:val="center"/>
              <w:rPr>
                <w:lang w:val="da-DK"/>
              </w:rPr>
            </w:pPr>
            <w:r w:rsidRPr="005D4D80">
              <w:rPr>
                <w:lang w:val="da-DK"/>
              </w:rPr>
              <w:t>0</w:t>
            </w:r>
            <w:r w:rsidRPr="003D4A39">
              <w:rPr>
                <w:lang w:val="da-DK"/>
              </w:rPr>
              <w:t>,</w:t>
            </w:r>
            <w:r w:rsidRPr="005D4D80">
              <w:rPr>
                <w:lang w:val="da-DK"/>
              </w:rPr>
              <w:t>66</w:t>
            </w:r>
          </w:p>
        </w:tc>
      </w:tr>
      <w:tr w:rsidR="00D22BF6" w:rsidRPr="003D4A39" w14:paraId="09319005" w14:textId="77777777" w:rsidTr="00D22BF6">
        <w:trPr>
          <w:trHeight w:val="253"/>
        </w:trPr>
        <w:tc>
          <w:tcPr>
            <w:tcW w:w="3362" w:type="dxa"/>
            <w:tcBorders>
              <w:top w:val="none" w:sz="6" w:space="0" w:color="auto"/>
              <w:left w:val="single" w:sz="4" w:space="0" w:color="000000"/>
              <w:bottom w:val="none" w:sz="6" w:space="0" w:color="auto"/>
              <w:right w:val="single" w:sz="4" w:space="0" w:color="000000"/>
            </w:tcBorders>
          </w:tcPr>
          <w:p w14:paraId="4A661337" w14:textId="77777777" w:rsidR="00D22BF6" w:rsidRPr="005D4D80" w:rsidRDefault="00D22BF6" w:rsidP="00D22BF6">
            <w:pPr>
              <w:ind w:left="142"/>
              <w:rPr>
                <w:sz w:val="24"/>
                <w:szCs w:val="24"/>
              </w:rPr>
            </w:pPr>
            <w:r w:rsidRPr="005D4D80">
              <w:rPr>
                <w:sz w:val="24"/>
                <w:szCs w:val="24"/>
              </w:rPr>
              <w:t>95% CI</w:t>
            </w:r>
          </w:p>
        </w:tc>
        <w:tc>
          <w:tcPr>
            <w:tcW w:w="6358" w:type="dxa"/>
            <w:gridSpan w:val="2"/>
            <w:tcBorders>
              <w:top w:val="none" w:sz="6" w:space="0" w:color="auto"/>
              <w:left w:val="single" w:sz="4" w:space="0" w:color="000000"/>
              <w:bottom w:val="none" w:sz="6" w:space="0" w:color="auto"/>
              <w:right w:val="single" w:sz="4" w:space="0" w:color="000000"/>
            </w:tcBorders>
          </w:tcPr>
          <w:p w14:paraId="48FC1154" w14:textId="77777777" w:rsidR="00D22BF6" w:rsidRPr="005D4D80" w:rsidRDefault="00D22BF6" w:rsidP="00D22BF6">
            <w:pPr>
              <w:pStyle w:val="TableParagraph"/>
              <w:kinsoku w:val="0"/>
              <w:overflowPunct w:val="0"/>
              <w:spacing w:line="247" w:lineRule="exact"/>
              <w:jc w:val="center"/>
              <w:rPr>
                <w:lang w:val="da-DK"/>
              </w:rPr>
            </w:pPr>
            <w:r w:rsidRPr="005D4D80">
              <w:rPr>
                <w:lang w:val="da-DK"/>
              </w:rPr>
              <w:t>(0</w:t>
            </w:r>
            <w:r w:rsidRPr="003D4A39">
              <w:rPr>
                <w:lang w:val="da-DK"/>
              </w:rPr>
              <w:t>,</w:t>
            </w:r>
            <w:r w:rsidRPr="005D4D80">
              <w:rPr>
                <w:lang w:val="da-DK"/>
              </w:rPr>
              <w:t>57-0</w:t>
            </w:r>
            <w:r w:rsidRPr="003D4A39">
              <w:rPr>
                <w:lang w:val="da-DK"/>
              </w:rPr>
              <w:t>,</w:t>
            </w:r>
            <w:r w:rsidRPr="005D4D80">
              <w:rPr>
                <w:lang w:val="da-DK"/>
              </w:rPr>
              <w:t>76)</w:t>
            </w:r>
          </w:p>
        </w:tc>
      </w:tr>
      <w:tr w:rsidR="00D22BF6" w:rsidRPr="003D4A39" w14:paraId="7205A248" w14:textId="77777777" w:rsidTr="00D22BF6">
        <w:trPr>
          <w:trHeight w:val="308"/>
        </w:trPr>
        <w:tc>
          <w:tcPr>
            <w:tcW w:w="3362" w:type="dxa"/>
            <w:tcBorders>
              <w:top w:val="none" w:sz="6" w:space="0" w:color="auto"/>
              <w:left w:val="single" w:sz="4" w:space="0" w:color="000000"/>
              <w:bottom w:val="single" w:sz="4" w:space="0" w:color="000000"/>
              <w:right w:val="single" w:sz="4" w:space="0" w:color="000000"/>
            </w:tcBorders>
          </w:tcPr>
          <w:p w14:paraId="4D6ED4C0" w14:textId="77777777" w:rsidR="00D22BF6" w:rsidRPr="005D4D80" w:rsidRDefault="00D22BF6" w:rsidP="00D22BF6">
            <w:pPr>
              <w:ind w:left="142"/>
              <w:rPr>
                <w:sz w:val="24"/>
                <w:szCs w:val="24"/>
              </w:rPr>
            </w:pPr>
            <w:r w:rsidRPr="005D4D80">
              <w:rPr>
                <w:sz w:val="24"/>
                <w:szCs w:val="24"/>
              </w:rPr>
              <w:t>p-værdi</w:t>
            </w:r>
            <w:r w:rsidRPr="005D4D80">
              <w:rPr>
                <w:sz w:val="24"/>
                <w:szCs w:val="24"/>
                <w:vertAlign w:val="superscript"/>
              </w:rPr>
              <w:t>a</w:t>
            </w:r>
          </w:p>
        </w:tc>
        <w:tc>
          <w:tcPr>
            <w:tcW w:w="6358" w:type="dxa"/>
            <w:gridSpan w:val="2"/>
            <w:tcBorders>
              <w:top w:val="none" w:sz="6" w:space="0" w:color="auto"/>
              <w:left w:val="single" w:sz="4" w:space="0" w:color="000000"/>
              <w:bottom w:val="single" w:sz="4" w:space="0" w:color="000000"/>
              <w:right w:val="single" w:sz="4" w:space="0" w:color="000000"/>
            </w:tcBorders>
          </w:tcPr>
          <w:p w14:paraId="2FE4A7C9" w14:textId="77777777" w:rsidR="00D22BF6" w:rsidRPr="005D4D80" w:rsidRDefault="00D22BF6" w:rsidP="00D22BF6">
            <w:pPr>
              <w:pStyle w:val="TableParagraph"/>
              <w:kinsoku w:val="0"/>
              <w:overflowPunct w:val="0"/>
              <w:spacing w:line="247" w:lineRule="exact"/>
              <w:jc w:val="center"/>
              <w:rPr>
                <w:lang w:val="da-DK"/>
              </w:rPr>
            </w:pPr>
            <w:r w:rsidRPr="005D4D80">
              <w:rPr>
                <w:lang w:val="da-DK"/>
              </w:rPr>
              <w:t>&lt; 0</w:t>
            </w:r>
            <w:r w:rsidRPr="003D4A39">
              <w:rPr>
                <w:lang w:val="da-DK"/>
              </w:rPr>
              <w:t>,</w:t>
            </w:r>
            <w:r w:rsidRPr="005D4D80">
              <w:rPr>
                <w:lang w:val="da-DK"/>
              </w:rPr>
              <w:t>001</w:t>
            </w:r>
          </w:p>
        </w:tc>
      </w:tr>
    </w:tbl>
    <w:p w14:paraId="30B37954" w14:textId="5D2FA34F" w:rsidR="00D22BF6" w:rsidRDefault="00D22BF6" w:rsidP="0081699D">
      <w:pPr>
        <w:ind w:left="851"/>
        <w:rPr>
          <w:sz w:val="24"/>
          <w:szCs w:val="24"/>
        </w:rPr>
      </w:pPr>
    </w:p>
    <w:p w14:paraId="4C25F776" w14:textId="71F4F437" w:rsidR="00D22BF6" w:rsidRPr="003D4A39" w:rsidRDefault="00D22BF6" w:rsidP="00D22BF6">
      <w:pPr>
        <w:rPr>
          <w:sz w:val="24"/>
          <w:szCs w:val="24"/>
        </w:rPr>
      </w:pPr>
      <w:r w:rsidRPr="005D4D80">
        <w:rPr>
          <w:sz w:val="24"/>
          <w:szCs w:val="24"/>
          <w:vertAlign w:val="superscript"/>
        </w:rPr>
        <w:t>a</w:t>
      </w:r>
      <w:r w:rsidRPr="003D4A39">
        <w:rPr>
          <w:sz w:val="24"/>
          <w:szCs w:val="24"/>
          <w:vertAlign w:val="superscript"/>
        </w:rPr>
        <w:t xml:space="preserve"> </w:t>
      </w:r>
      <w:r w:rsidRPr="005D4D80">
        <w:rPr>
          <w:sz w:val="24"/>
          <w:szCs w:val="24"/>
        </w:rPr>
        <w:t xml:space="preserve">p-værdien er beregnet ud fra </w:t>
      </w:r>
      <w:r w:rsidRPr="005D4D80">
        <w:rPr>
          <w:i/>
          <w:iCs/>
          <w:sz w:val="24"/>
          <w:szCs w:val="24"/>
        </w:rPr>
        <w:t>likelihood</w:t>
      </w:r>
      <w:r w:rsidRPr="005D4D80">
        <w:rPr>
          <w:sz w:val="24"/>
          <w:szCs w:val="24"/>
        </w:rPr>
        <w:t xml:space="preserve"> </w:t>
      </w:r>
      <w:r w:rsidRPr="005D4D80">
        <w:rPr>
          <w:i/>
          <w:iCs/>
          <w:sz w:val="24"/>
          <w:szCs w:val="24"/>
        </w:rPr>
        <w:t>ratio</w:t>
      </w:r>
      <w:r w:rsidRPr="005D4D80">
        <w:rPr>
          <w:sz w:val="24"/>
          <w:szCs w:val="24"/>
        </w:rPr>
        <w:t xml:space="preserve"> test og justeret for alle stratificeringsfaktorer (undtagen center og planlagt hormonbehandling) og stratificeret efter forsøgsperiode.</w:t>
      </w:r>
    </w:p>
    <w:p w14:paraId="679356BC" w14:textId="739FB79D" w:rsidR="00D22BF6" w:rsidRPr="003D4A39" w:rsidRDefault="00D22BF6" w:rsidP="00D22BF6">
      <w:pPr>
        <w:rPr>
          <w:sz w:val="24"/>
          <w:szCs w:val="24"/>
        </w:rPr>
      </w:pPr>
      <w:r w:rsidRPr="003D4A39">
        <w:rPr>
          <w:sz w:val="24"/>
          <w:szCs w:val="24"/>
          <w:vertAlign w:val="superscript"/>
        </w:rPr>
        <w:t xml:space="preserve">b </w:t>
      </w:r>
      <w:r w:rsidRPr="003D4A39">
        <w:rPr>
          <w:sz w:val="24"/>
          <w:szCs w:val="24"/>
        </w:rPr>
        <w:t xml:space="preserve">Fejlfri overlevelse: Tiden fra randomiseringen til første bevis for mindst et af: Biokemisk svigt (defineret som en stigning i PSA på 50 % over inden-24-ugers nadir og over 4 ng/ml og bekræftet ved omtest eller behandling); progression enten lokalt, i lymfeknuder eller i fjerne metastaser; skeletrelateret begivenhed, eller død af prostatakræft.   </w:t>
      </w:r>
    </w:p>
    <w:p w14:paraId="1A736794" w14:textId="77777777" w:rsidR="00D22BF6" w:rsidRPr="003D4A39" w:rsidRDefault="00D22BF6" w:rsidP="00D22BF6">
      <w:pPr>
        <w:rPr>
          <w:sz w:val="24"/>
          <w:szCs w:val="24"/>
        </w:rPr>
      </w:pPr>
    </w:p>
    <w:p w14:paraId="58596737" w14:textId="77777777" w:rsidR="00D22BF6" w:rsidRPr="005D4D80" w:rsidRDefault="00D22BF6" w:rsidP="00D22BF6">
      <w:pPr>
        <w:keepNext/>
        <w:ind w:firstLine="851"/>
        <w:rPr>
          <w:i/>
          <w:iCs/>
          <w:sz w:val="24"/>
          <w:szCs w:val="24"/>
        </w:rPr>
      </w:pPr>
      <w:r w:rsidRPr="005D4D80">
        <w:rPr>
          <w:i/>
          <w:iCs/>
          <w:sz w:val="24"/>
          <w:szCs w:val="24"/>
        </w:rPr>
        <w:t xml:space="preserve">CHAARTED studie </w:t>
      </w:r>
    </w:p>
    <w:p w14:paraId="78D989A3" w14:textId="5153F02E" w:rsidR="00D22BF6" w:rsidRPr="003D4A39" w:rsidRDefault="00D22BF6" w:rsidP="00D22BF6">
      <w:pPr>
        <w:keepLines/>
        <w:ind w:left="851"/>
        <w:rPr>
          <w:sz w:val="24"/>
          <w:szCs w:val="24"/>
        </w:rPr>
      </w:pPr>
      <w:r w:rsidRPr="003D4A39">
        <w:rPr>
          <w:sz w:val="24"/>
          <w:szCs w:val="24"/>
        </w:rPr>
        <w:t>Sikkerheden og effekten af docetaxel administreret i begyndelsen af androgen deprivationsbehandling (ADT) hos patienter med metastatisk hormonfølsom prostatakræft blev evalueret i et randomiseret fase III multicenter studie (CHAARTED). I alt blev 790 mandlige patienter tildelt til de 2 behandlingsgrupper.</w:t>
      </w:r>
    </w:p>
    <w:p w14:paraId="4C821831" w14:textId="42B067DC" w:rsidR="00D22BF6" w:rsidRPr="003D4A39" w:rsidRDefault="00D22BF6" w:rsidP="00D22BF6">
      <w:pPr>
        <w:numPr>
          <w:ilvl w:val="0"/>
          <w:numId w:val="18"/>
        </w:numPr>
        <w:ind w:left="1276" w:hanging="425"/>
        <w:rPr>
          <w:sz w:val="24"/>
          <w:szCs w:val="24"/>
        </w:rPr>
      </w:pPr>
      <w:r w:rsidRPr="003D4A39">
        <w:rPr>
          <w:sz w:val="24"/>
          <w:szCs w:val="24"/>
        </w:rPr>
        <w:t>ADT + docetaxel 75 mg/m² i begyndelsen af ADT, administreret hver 3. uge i 6 perioder</w:t>
      </w:r>
    </w:p>
    <w:p w14:paraId="35E6F1E2" w14:textId="048D41B6" w:rsidR="00D22BF6" w:rsidRPr="003D4A39" w:rsidRDefault="00D22BF6" w:rsidP="00D22BF6">
      <w:pPr>
        <w:numPr>
          <w:ilvl w:val="0"/>
          <w:numId w:val="18"/>
        </w:numPr>
        <w:ind w:left="1276" w:hanging="425"/>
        <w:rPr>
          <w:sz w:val="24"/>
          <w:szCs w:val="24"/>
        </w:rPr>
      </w:pPr>
      <w:r w:rsidRPr="003D4A39">
        <w:rPr>
          <w:sz w:val="24"/>
          <w:szCs w:val="24"/>
        </w:rPr>
        <w:t>ADT alene</w:t>
      </w:r>
    </w:p>
    <w:p w14:paraId="77DA3C05" w14:textId="77777777" w:rsidR="00D22BF6" w:rsidRPr="003D4A39" w:rsidRDefault="00D22BF6" w:rsidP="00D22BF6">
      <w:pPr>
        <w:ind w:left="851"/>
        <w:rPr>
          <w:sz w:val="24"/>
          <w:szCs w:val="24"/>
        </w:rPr>
      </w:pPr>
    </w:p>
    <w:p w14:paraId="0A3D929E" w14:textId="45D0EB54" w:rsidR="00D22BF6" w:rsidRPr="003D4A39" w:rsidRDefault="00D22BF6" w:rsidP="00D22BF6">
      <w:pPr>
        <w:ind w:left="851"/>
        <w:rPr>
          <w:sz w:val="24"/>
          <w:szCs w:val="24"/>
        </w:rPr>
      </w:pPr>
      <w:r w:rsidRPr="003D4A39">
        <w:rPr>
          <w:sz w:val="24"/>
          <w:szCs w:val="24"/>
        </w:rPr>
        <w:t>Den median samlede overlevelse var signifikant længere i docetaxelbehandlede gruppen i forhold til androgen deprivationsbehandlede gruppen. Den samlede median overlevelse var 13,6 måneder længere, med tilføjelse af docetaxel til ADT (</w:t>
      </w:r>
      <w:r w:rsidRPr="00DB45E4">
        <w:rPr>
          <w:i/>
          <w:iCs/>
          <w:sz w:val="24"/>
          <w:szCs w:val="24"/>
        </w:rPr>
        <w:t>hazard</w:t>
      </w:r>
      <w:r w:rsidRPr="003D4A39">
        <w:rPr>
          <w:sz w:val="24"/>
          <w:szCs w:val="24"/>
        </w:rPr>
        <w:t xml:space="preserve"> ratio (HR) = 0,61, 95 % konfidensinterval (CI) = 0,47-0,8, p=0,0003). </w:t>
      </w:r>
    </w:p>
    <w:p w14:paraId="772E622E" w14:textId="77777777" w:rsidR="00D22BF6" w:rsidRPr="003D4A39" w:rsidRDefault="00D22BF6" w:rsidP="00D22BF6">
      <w:pPr>
        <w:ind w:left="851"/>
        <w:rPr>
          <w:sz w:val="24"/>
          <w:szCs w:val="24"/>
        </w:rPr>
      </w:pPr>
    </w:p>
    <w:p w14:paraId="4979740C" w14:textId="77777777" w:rsidR="00D22BF6" w:rsidRPr="003D4A39" w:rsidRDefault="00D22BF6" w:rsidP="00D22BF6">
      <w:pPr>
        <w:keepNext/>
        <w:ind w:firstLine="851"/>
        <w:rPr>
          <w:sz w:val="24"/>
          <w:szCs w:val="24"/>
        </w:rPr>
      </w:pPr>
      <w:r w:rsidRPr="003D4A39">
        <w:rPr>
          <w:sz w:val="24"/>
          <w:szCs w:val="24"/>
        </w:rPr>
        <w:t xml:space="preserve">Effekten af docetaxel-armen </w:t>
      </w:r>
      <w:r w:rsidRPr="00DB45E4">
        <w:rPr>
          <w:i/>
          <w:iCs/>
          <w:sz w:val="24"/>
          <w:szCs w:val="24"/>
        </w:rPr>
        <w:t>versus</w:t>
      </w:r>
      <w:r w:rsidRPr="003D4A39">
        <w:rPr>
          <w:sz w:val="24"/>
          <w:szCs w:val="24"/>
        </w:rPr>
        <w:t xml:space="preserve"> kontrol-armen er opsummeret i nedenstående tabel: </w:t>
      </w:r>
    </w:p>
    <w:p w14:paraId="5365DB95" w14:textId="77777777" w:rsidR="00D22BF6" w:rsidRPr="003D4A39" w:rsidRDefault="00D22BF6" w:rsidP="00D22BF6">
      <w:pPr>
        <w:keepNext/>
        <w:ind w:firstLine="851"/>
        <w:rPr>
          <w:sz w:val="24"/>
          <w:szCs w:val="24"/>
        </w:rPr>
      </w:pPr>
    </w:p>
    <w:p w14:paraId="05A5BA33" w14:textId="77777777" w:rsidR="00D22BF6" w:rsidRPr="003D4A39" w:rsidRDefault="00D22BF6" w:rsidP="00D22BF6">
      <w:pPr>
        <w:rPr>
          <w:sz w:val="24"/>
          <w:szCs w:val="24"/>
          <w:u w:val="single"/>
        </w:rPr>
      </w:pPr>
      <w:r w:rsidRPr="00DB45E4">
        <w:rPr>
          <w:sz w:val="24"/>
          <w:szCs w:val="24"/>
          <w:u w:val="single"/>
        </w:rPr>
        <w:t>Effekten af docetaxel og androgen deprivationsbehandling i behandlingen af patienter med metastatisk hormonfølsom prostatakræft (CHAARTED)</w:t>
      </w:r>
    </w:p>
    <w:p w14:paraId="0798F0FC" w14:textId="41E4EC8D" w:rsidR="00D22BF6" w:rsidRDefault="00D22BF6" w:rsidP="0081699D">
      <w:pPr>
        <w:ind w:left="851"/>
        <w:rPr>
          <w:sz w:val="24"/>
          <w:szCs w:val="24"/>
        </w:rPr>
      </w:pPr>
    </w:p>
    <w:tbl>
      <w:tblPr>
        <w:tblW w:w="9630" w:type="dxa"/>
        <w:tblInd w:w="5" w:type="dxa"/>
        <w:tblLayout w:type="fixed"/>
        <w:tblCellMar>
          <w:left w:w="0" w:type="dxa"/>
          <w:right w:w="0" w:type="dxa"/>
        </w:tblCellMar>
        <w:tblLook w:val="0000" w:firstRow="0" w:lastRow="0" w:firstColumn="0" w:lastColumn="0" w:noHBand="0" w:noVBand="0"/>
      </w:tblPr>
      <w:tblGrid>
        <w:gridCol w:w="3210"/>
        <w:gridCol w:w="3210"/>
        <w:gridCol w:w="3210"/>
      </w:tblGrid>
      <w:tr w:rsidR="00D22BF6" w:rsidRPr="003D4A39" w14:paraId="6C4015D9" w14:textId="77777777" w:rsidTr="00D22BF6">
        <w:trPr>
          <w:trHeight w:val="686"/>
          <w:tblHeader/>
        </w:trPr>
        <w:tc>
          <w:tcPr>
            <w:tcW w:w="3210" w:type="dxa"/>
            <w:tcBorders>
              <w:top w:val="single" w:sz="4" w:space="0" w:color="000000"/>
              <w:left w:val="single" w:sz="4" w:space="0" w:color="000000"/>
              <w:bottom w:val="single" w:sz="4" w:space="0" w:color="000000"/>
              <w:right w:val="single" w:sz="4" w:space="0" w:color="000000"/>
            </w:tcBorders>
            <w:vAlign w:val="center"/>
          </w:tcPr>
          <w:p w14:paraId="17A8D084" w14:textId="77777777" w:rsidR="00D22BF6" w:rsidRPr="00DB45E4" w:rsidRDefault="00D22BF6" w:rsidP="00D22BF6">
            <w:pPr>
              <w:keepNext/>
              <w:ind w:left="142"/>
              <w:rPr>
                <w:b/>
                <w:bCs/>
                <w:sz w:val="24"/>
                <w:szCs w:val="24"/>
              </w:rPr>
            </w:pPr>
            <w:r w:rsidRPr="00DB45E4">
              <w:rPr>
                <w:b/>
                <w:bCs/>
                <w:sz w:val="24"/>
                <w:szCs w:val="24"/>
              </w:rPr>
              <w:t>Endepunkt</w:t>
            </w:r>
          </w:p>
        </w:tc>
        <w:tc>
          <w:tcPr>
            <w:tcW w:w="3210" w:type="dxa"/>
            <w:tcBorders>
              <w:top w:val="single" w:sz="4" w:space="0" w:color="000000"/>
              <w:left w:val="single" w:sz="4" w:space="0" w:color="000000"/>
              <w:bottom w:val="single" w:sz="4" w:space="0" w:color="000000"/>
              <w:right w:val="single" w:sz="4" w:space="0" w:color="000000"/>
            </w:tcBorders>
            <w:vAlign w:val="center"/>
          </w:tcPr>
          <w:p w14:paraId="425408F5" w14:textId="77777777" w:rsidR="00D22BF6" w:rsidRPr="00DB45E4" w:rsidRDefault="00D22BF6" w:rsidP="00D22BF6">
            <w:pPr>
              <w:keepNext/>
              <w:ind w:left="142"/>
              <w:jc w:val="center"/>
              <w:rPr>
                <w:b/>
                <w:bCs/>
                <w:sz w:val="24"/>
                <w:szCs w:val="24"/>
              </w:rPr>
            </w:pPr>
            <w:r w:rsidRPr="00DB45E4">
              <w:rPr>
                <w:b/>
                <w:bCs/>
                <w:sz w:val="24"/>
                <w:szCs w:val="24"/>
              </w:rPr>
              <w:t>Docetaxel + androgen deprivationsbehandling</w:t>
            </w:r>
          </w:p>
        </w:tc>
        <w:tc>
          <w:tcPr>
            <w:tcW w:w="3210" w:type="dxa"/>
            <w:tcBorders>
              <w:top w:val="single" w:sz="4" w:space="0" w:color="000000"/>
              <w:left w:val="single" w:sz="4" w:space="0" w:color="000000"/>
              <w:bottom w:val="single" w:sz="4" w:space="0" w:color="000000"/>
              <w:right w:val="single" w:sz="4" w:space="0" w:color="000000"/>
            </w:tcBorders>
            <w:vAlign w:val="center"/>
          </w:tcPr>
          <w:p w14:paraId="2CE870E7" w14:textId="77777777" w:rsidR="00D22BF6" w:rsidRPr="00DB45E4" w:rsidRDefault="00D22BF6" w:rsidP="00D22BF6">
            <w:pPr>
              <w:keepNext/>
              <w:ind w:left="142"/>
              <w:jc w:val="center"/>
              <w:rPr>
                <w:b/>
                <w:bCs/>
                <w:sz w:val="24"/>
                <w:szCs w:val="24"/>
              </w:rPr>
            </w:pPr>
            <w:r w:rsidRPr="00DB45E4">
              <w:rPr>
                <w:b/>
                <w:bCs/>
                <w:sz w:val="24"/>
                <w:szCs w:val="24"/>
              </w:rPr>
              <w:t>Androgen deprivationsbehandling alene</w:t>
            </w:r>
          </w:p>
        </w:tc>
      </w:tr>
      <w:tr w:rsidR="00D22BF6" w:rsidRPr="003D4A39" w14:paraId="18140AA8" w14:textId="77777777" w:rsidTr="00D22BF6">
        <w:trPr>
          <w:trHeight w:val="255"/>
        </w:trPr>
        <w:tc>
          <w:tcPr>
            <w:tcW w:w="3210" w:type="dxa"/>
            <w:tcBorders>
              <w:top w:val="single" w:sz="4" w:space="0" w:color="000000"/>
              <w:left w:val="single" w:sz="4" w:space="0" w:color="000000"/>
              <w:bottom w:val="none" w:sz="6" w:space="0" w:color="auto"/>
              <w:right w:val="single" w:sz="4" w:space="0" w:color="000000"/>
            </w:tcBorders>
          </w:tcPr>
          <w:p w14:paraId="71930E0E" w14:textId="77777777" w:rsidR="00D22BF6" w:rsidRPr="00DB45E4" w:rsidRDefault="00D22BF6" w:rsidP="00D22BF6">
            <w:pPr>
              <w:pStyle w:val="TableParagraph"/>
              <w:keepNext/>
              <w:kinsoku w:val="0"/>
              <w:overflowPunct w:val="0"/>
              <w:spacing w:line="235" w:lineRule="exact"/>
              <w:ind w:firstLine="144"/>
              <w:rPr>
                <w:lang w:val="da-DK"/>
              </w:rPr>
            </w:pPr>
            <w:r w:rsidRPr="00DB45E4">
              <w:rPr>
                <w:lang w:val="da-DK"/>
              </w:rPr>
              <w:t>Antal patienter</w:t>
            </w:r>
          </w:p>
        </w:tc>
        <w:tc>
          <w:tcPr>
            <w:tcW w:w="3210" w:type="dxa"/>
            <w:tcBorders>
              <w:top w:val="single" w:sz="4" w:space="0" w:color="000000"/>
              <w:left w:val="single" w:sz="4" w:space="0" w:color="000000"/>
              <w:bottom w:val="none" w:sz="6" w:space="0" w:color="auto"/>
              <w:right w:val="single" w:sz="4" w:space="0" w:color="000000"/>
            </w:tcBorders>
          </w:tcPr>
          <w:p w14:paraId="318F2267" w14:textId="77777777" w:rsidR="00D22BF6" w:rsidRPr="00DB45E4" w:rsidRDefault="00D22BF6" w:rsidP="00D22BF6">
            <w:pPr>
              <w:pStyle w:val="TableParagraph"/>
              <w:keepNext/>
              <w:kinsoku w:val="0"/>
              <w:overflowPunct w:val="0"/>
              <w:spacing w:line="235" w:lineRule="exact"/>
              <w:ind w:right="527"/>
              <w:jc w:val="center"/>
              <w:rPr>
                <w:lang w:val="da-DK"/>
              </w:rPr>
            </w:pPr>
            <w:r w:rsidRPr="00DB45E4">
              <w:rPr>
                <w:lang w:val="da-DK"/>
              </w:rPr>
              <w:t>397</w:t>
            </w:r>
          </w:p>
        </w:tc>
        <w:tc>
          <w:tcPr>
            <w:tcW w:w="3210" w:type="dxa"/>
            <w:tcBorders>
              <w:top w:val="single" w:sz="4" w:space="0" w:color="000000"/>
              <w:left w:val="single" w:sz="4" w:space="0" w:color="000000"/>
              <w:bottom w:val="none" w:sz="6" w:space="0" w:color="auto"/>
              <w:right w:val="single" w:sz="4" w:space="0" w:color="000000"/>
            </w:tcBorders>
          </w:tcPr>
          <w:p w14:paraId="5B2791DF" w14:textId="77777777" w:rsidR="00D22BF6" w:rsidRPr="00DB45E4" w:rsidRDefault="00D22BF6" w:rsidP="00D22BF6">
            <w:pPr>
              <w:pStyle w:val="TableParagraph"/>
              <w:keepNext/>
              <w:kinsoku w:val="0"/>
              <w:overflowPunct w:val="0"/>
              <w:spacing w:line="235" w:lineRule="exact"/>
              <w:ind w:right="299"/>
              <w:jc w:val="center"/>
              <w:rPr>
                <w:lang w:val="da-DK"/>
              </w:rPr>
            </w:pPr>
            <w:r w:rsidRPr="00DB45E4">
              <w:rPr>
                <w:lang w:val="da-DK"/>
              </w:rPr>
              <w:t>393</w:t>
            </w:r>
          </w:p>
        </w:tc>
      </w:tr>
      <w:tr w:rsidR="00D22BF6" w:rsidRPr="003D4A39" w14:paraId="7921EECF" w14:textId="77777777" w:rsidTr="00D22BF6">
        <w:trPr>
          <w:trHeight w:val="253"/>
        </w:trPr>
        <w:tc>
          <w:tcPr>
            <w:tcW w:w="3210" w:type="dxa"/>
            <w:tcBorders>
              <w:top w:val="none" w:sz="6" w:space="0" w:color="auto"/>
              <w:left w:val="single" w:sz="4" w:space="0" w:color="000000"/>
              <w:bottom w:val="none" w:sz="6" w:space="0" w:color="auto"/>
              <w:right w:val="single" w:sz="4" w:space="0" w:color="000000"/>
            </w:tcBorders>
          </w:tcPr>
          <w:p w14:paraId="53E97F0F" w14:textId="7AE0C1B7" w:rsidR="00D22BF6" w:rsidRPr="005D4D80" w:rsidRDefault="00D22BF6" w:rsidP="00D22BF6">
            <w:pPr>
              <w:keepNext/>
              <w:ind w:left="142"/>
              <w:rPr>
                <w:sz w:val="24"/>
                <w:szCs w:val="24"/>
              </w:rPr>
            </w:pPr>
            <w:r w:rsidRPr="00DB45E4">
              <w:rPr>
                <w:sz w:val="24"/>
                <w:szCs w:val="24"/>
              </w:rPr>
              <w:t xml:space="preserve">Samlet </w:t>
            </w:r>
            <w:r w:rsidRPr="00F3509D">
              <w:rPr>
                <w:sz w:val="24"/>
                <w:szCs w:val="24"/>
              </w:rPr>
              <w:t>media</w:t>
            </w:r>
            <w:r>
              <w:rPr>
                <w:sz w:val="24"/>
                <w:szCs w:val="24"/>
              </w:rPr>
              <w:t>n</w:t>
            </w:r>
            <w:r w:rsidRPr="00F3509D">
              <w:rPr>
                <w:sz w:val="24"/>
                <w:szCs w:val="24"/>
              </w:rPr>
              <w:t xml:space="preserve"> </w:t>
            </w:r>
            <w:r w:rsidRPr="00DB45E4">
              <w:rPr>
                <w:sz w:val="24"/>
                <w:szCs w:val="24"/>
              </w:rPr>
              <w:t>overlevelse (måneder)</w:t>
            </w:r>
          </w:p>
        </w:tc>
        <w:tc>
          <w:tcPr>
            <w:tcW w:w="3210" w:type="dxa"/>
            <w:tcBorders>
              <w:top w:val="none" w:sz="6" w:space="0" w:color="auto"/>
              <w:left w:val="single" w:sz="4" w:space="0" w:color="000000"/>
              <w:bottom w:val="none" w:sz="6" w:space="0" w:color="auto"/>
              <w:right w:val="single" w:sz="4" w:space="0" w:color="000000"/>
            </w:tcBorders>
          </w:tcPr>
          <w:p w14:paraId="3FBC4CD9" w14:textId="77777777" w:rsidR="00D22BF6" w:rsidRPr="005D4D80" w:rsidRDefault="00D22BF6" w:rsidP="00D22BF6">
            <w:pPr>
              <w:pStyle w:val="TableParagraph"/>
              <w:keepNext/>
              <w:kinsoku w:val="0"/>
              <w:overflowPunct w:val="0"/>
              <w:rPr>
                <w:lang w:val="da-DK"/>
              </w:rPr>
            </w:pPr>
          </w:p>
        </w:tc>
        <w:tc>
          <w:tcPr>
            <w:tcW w:w="3210" w:type="dxa"/>
            <w:tcBorders>
              <w:top w:val="none" w:sz="6" w:space="0" w:color="auto"/>
              <w:left w:val="single" w:sz="4" w:space="0" w:color="000000"/>
              <w:bottom w:val="none" w:sz="6" w:space="0" w:color="auto"/>
              <w:right w:val="single" w:sz="4" w:space="0" w:color="000000"/>
            </w:tcBorders>
          </w:tcPr>
          <w:p w14:paraId="35DCF7F9" w14:textId="77777777" w:rsidR="00D22BF6" w:rsidRPr="005D4D80" w:rsidRDefault="00D22BF6" w:rsidP="00D22BF6">
            <w:pPr>
              <w:pStyle w:val="TableParagraph"/>
              <w:keepNext/>
              <w:kinsoku w:val="0"/>
              <w:overflowPunct w:val="0"/>
              <w:rPr>
                <w:lang w:val="da-DK"/>
              </w:rPr>
            </w:pPr>
          </w:p>
        </w:tc>
      </w:tr>
      <w:tr w:rsidR="00D22BF6" w:rsidRPr="003D4A39" w14:paraId="4FD3577F" w14:textId="77777777" w:rsidTr="00D22BF6">
        <w:trPr>
          <w:trHeight w:val="253"/>
        </w:trPr>
        <w:tc>
          <w:tcPr>
            <w:tcW w:w="3210" w:type="dxa"/>
            <w:tcBorders>
              <w:top w:val="none" w:sz="6" w:space="0" w:color="auto"/>
              <w:left w:val="single" w:sz="4" w:space="0" w:color="000000"/>
              <w:bottom w:val="none" w:sz="6" w:space="0" w:color="auto"/>
              <w:right w:val="single" w:sz="4" w:space="0" w:color="000000"/>
            </w:tcBorders>
          </w:tcPr>
          <w:p w14:paraId="25D375DC" w14:textId="77777777" w:rsidR="00D22BF6" w:rsidRPr="005D4D80" w:rsidRDefault="00D22BF6" w:rsidP="00D22BF6">
            <w:pPr>
              <w:pStyle w:val="TableParagraph"/>
              <w:keepNext/>
              <w:kinsoku w:val="0"/>
              <w:overflowPunct w:val="0"/>
              <w:spacing w:line="233" w:lineRule="exact"/>
              <w:ind w:firstLine="144"/>
              <w:rPr>
                <w:lang w:val="da-DK"/>
              </w:rPr>
            </w:pPr>
            <w:r w:rsidRPr="00DB45E4">
              <w:rPr>
                <w:lang w:val="da-DK"/>
              </w:rPr>
              <w:t>Alle patienter</w:t>
            </w:r>
          </w:p>
        </w:tc>
        <w:tc>
          <w:tcPr>
            <w:tcW w:w="3210" w:type="dxa"/>
            <w:tcBorders>
              <w:top w:val="none" w:sz="6" w:space="0" w:color="auto"/>
              <w:left w:val="single" w:sz="4" w:space="0" w:color="000000"/>
              <w:bottom w:val="none" w:sz="6" w:space="0" w:color="auto"/>
              <w:right w:val="single" w:sz="4" w:space="0" w:color="000000"/>
            </w:tcBorders>
          </w:tcPr>
          <w:p w14:paraId="3C5D39BC" w14:textId="77777777" w:rsidR="00D22BF6" w:rsidRPr="00DB45E4" w:rsidRDefault="00D22BF6" w:rsidP="00D22BF6">
            <w:pPr>
              <w:pStyle w:val="TableParagraph"/>
              <w:keepNext/>
              <w:kinsoku w:val="0"/>
              <w:overflowPunct w:val="0"/>
              <w:spacing w:line="233" w:lineRule="exact"/>
              <w:ind w:right="527"/>
              <w:jc w:val="center"/>
              <w:rPr>
                <w:lang w:val="da-DK"/>
              </w:rPr>
            </w:pPr>
            <w:r w:rsidRPr="005D4D80">
              <w:rPr>
                <w:lang w:val="da-DK"/>
              </w:rPr>
              <w:t>57</w:t>
            </w:r>
            <w:r w:rsidRPr="003D4A39">
              <w:rPr>
                <w:lang w:val="da-DK"/>
              </w:rPr>
              <w:t>,</w:t>
            </w:r>
            <w:r w:rsidRPr="00DB45E4">
              <w:rPr>
                <w:lang w:val="da-DK"/>
              </w:rPr>
              <w:t>6</w:t>
            </w:r>
          </w:p>
        </w:tc>
        <w:tc>
          <w:tcPr>
            <w:tcW w:w="3210" w:type="dxa"/>
            <w:tcBorders>
              <w:top w:val="none" w:sz="6" w:space="0" w:color="auto"/>
              <w:left w:val="single" w:sz="4" w:space="0" w:color="000000"/>
              <w:bottom w:val="none" w:sz="6" w:space="0" w:color="auto"/>
              <w:right w:val="single" w:sz="4" w:space="0" w:color="000000"/>
            </w:tcBorders>
          </w:tcPr>
          <w:p w14:paraId="5F7CBFB4" w14:textId="77777777" w:rsidR="00D22BF6" w:rsidRPr="00A27A02" w:rsidRDefault="00D22BF6" w:rsidP="00D22BF6">
            <w:pPr>
              <w:pStyle w:val="TableParagraph"/>
              <w:keepNext/>
              <w:kinsoku w:val="0"/>
              <w:overflowPunct w:val="0"/>
              <w:spacing w:line="233" w:lineRule="exact"/>
              <w:ind w:right="296"/>
              <w:jc w:val="center"/>
              <w:rPr>
                <w:lang w:val="da-DK"/>
              </w:rPr>
            </w:pPr>
            <w:r w:rsidRPr="00DB45E4">
              <w:rPr>
                <w:lang w:val="da-DK"/>
              </w:rPr>
              <w:t>44</w:t>
            </w:r>
            <w:r w:rsidRPr="003D4A39">
              <w:rPr>
                <w:lang w:val="da-DK"/>
              </w:rPr>
              <w:t>,</w:t>
            </w:r>
            <w:r w:rsidRPr="00A27A02">
              <w:rPr>
                <w:lang w:val="da-DK"/>
              </w:rPr>
              <w:t>0</w:t>
            </w:r>
          </w:p>
        </w:tc>
      </w:tr>
      <w:tr w:rsidR="00D22BF6" w:rsidRPr="003D4A39" w14:paraId="326DB992" w14:textId="77777777" w:rsidTr="00D22BF6">
        <w:trPr>
          <w:trHeight w:val="253"/>
        </w:trPr>
        <w:tc>
          <w:tcPr>
            <w:tcW w:w="3210" w:type="dxa"/>
            <w:tcBorders>
              <w:top w:val="none" w:sz="6" w:space="0" w:color="auto"/>
              <w:left w:val="single" w:sz="4" w:space="0" w:color="000000"/>
              <w:bottom w:val="none" w:sz="6" w:space="0" w:color="auto"/>
              <w:right w:val="single" w:sz="4" w:space="0" w:color="000000"/>
            </w:tcBorders>
          </w:tcPr>
          <w:p w14:paraId="79D08DAE" w14:textId="77777777" w:rsidR="00D22BF6" w:rsidRPr="005D4D80" w:rsidRDefault="00D22BF6" w:rsidP="00D22BF6">
            <w:pPr>
              <w:pStyle w:val="TableParagraph"/>
              <w:keepNext/>
              <w:kinsoku w:val="0"/>
              <w:overflowPunct w:val="0"/>
              <w:spacing w:line="233" w:lineRule="exact"/>
              <w:ind w:firstLine="144"/>
              <w:rPr>
                <w:lang w:val="da-DK"/>
              </w:rPr>
            </w:pPr>
            <w:r w:rsidRPr="00DB45E4">
              <w:rPr>
                <w:lang w:val="da-DK"/>
              </w:rPr>
              <w:t>95%</w:t>
            </w:r>
            <w:r w:rsidRPr="00DB45E4">
              <w:rPr>
                <w:spacing w:val="1"/>
                <w:lang w:val="da-DK"/>
              </w:rPr>
              <w:t xml:space="preserve"> </w:t>
            </w:r>
            <w:r w:rsidRPr="00DB45E4">
              <w:rPr>
                <w:lang w:val="da-DK"/>
              </w:rPr>
              <w:t>CI</w:t>
            </w:r>
          </w:p>
        </w:tc>
        <w:tc>
          <w:tcPr>
            <w:tcW w:w="3210" w:type="dxa"/>
            <w:tcBorders>
              <w:top w:val="none" w:sz="6" w:space="0" w:color="auto"/>
              <w:left w:val="single" w:sz="4" w:space="0" w:color="000000"/>
              <w:bottom w:val="none" w:sz="6" w:space="0" w:color="auto"/>
              <w:right w:val="single" w:sz="4" w:space="0" w:color="000000"/>
            </w:tcBorders>
          </w:tcPr>
          <w:p w14:paraId="50D857A7" w14:textId="77777777" w:rsidR="00D22BF6" w:rsidRPr="00DB45E4" w:rsidRDefault="00D22BF6" w:rsidP="00D22BF6">
            <w:pPr>
              <w:pStyle w:val="TableParagraph"/>
              <w:keepNext/>
              <w:kinsoku w:val="0"/>
              <w:overflowPunct w:val="0"/>
              <w:spacing w:line="233" w:lineRule="exact"/>
              <w:ind w:right="527"/>
              <w:jc w:val="center"/>
              <w:rPr>
                <w:lang w:val="da-DK"/>
              </w:rPr>
            </w:pPr>
            <w:r w:rsidRPr="005D4D80">
              <w:rPr>
                <w:lang w:val="da-DK"/>
              </w:rPr>
              <w:t>49</w:t>
            </w:r>
            <w:r w:rsidRPr="003D4A39">
              <w:rPr>
                <w:lang w:val="da-DK"/>
              </w:rPr>
              <w:t>,</w:t>
            </w:r>
            <w:r w:rsidRPr="00DB45E4">
              <w:rPr>
                <w:lang w:val="da-DK"/>
              </w:rPr>
              <w:t>1-72</w:t>
            </w:r>
            <w:r w:rsidRPr="003D4A39">
              <w:rPr>
                <w:lang w:val="da-DK"/>
              </w:rPr>
              <w:t>,</w:t>
            </w:r>
            <w:r w:rsidRPr="00DB45E4">
              <w:rPr>
                <w:lang w:val="da-DK"/>
              </w:rPr>
              <w:t>8</w:t>
            </w:r>
          </w:p>
        </w:tc>
        <w:tc>
          <w:tcPr>
            <w:tcW w:w="3210" w:type="dxa"/>
            <w:tcBorders>
              <w:top w:val="none" w:sz="6" w:space="0" w:color="auto"/>
              <w:left w:val="single" w:sz="4" w:space="0" w:color="000000"/>
              <w:bottom w:val="none" w:sz="6" w:space="0" w:color="auto"/>
              <w:right w:val="single" w:sz="4" w:space="0" w:color="000000"/>
            </w:tcBorders>
          </w:tcPr>
          <w:p w14:paraId="16A77CDC" w14:textId="77777777" w:rsidR="00D22BF6" w:rsidRPr="00A27A02" w:rsidRDefault="00D22BF6" w:rsidP="00D22BF6">
            <w:pPr>
              <w:pStyle w:val="TableParagraph"/>
              <w:keepNext/>
              <w:kinsoku w:val="0"/>
              <w:overflowPunct w:val="0"/>
              <w:spacing w:line="233" w:lineRule="exact"/>
              <w:ind w:right="300"/>
              <w:jc w:val="center"/>
              <w:rPr>
                <w:lang w:val="da-DK"/>
              </w:rPr>
            </w:pPr>
            <w:r w:rsidRPr="00DB45E4">
              <w:rPr>
                <w:lang w:val="da-DK"/>
              </w:rPr>
              <w:t>34</w:t>
            </w:r>
            <w:r w:rsidRPr="003D4A39">
              <w:rPr>
                <w:lang w:val="da-DK"/>
              </w:rPr>
              <w:t>,</w:t>
            </w:r>
            <w:r w:rsidRPr="00DB45E4">
              <w:rPr>
                <w:lang w:val="da-DK"/>
              </w:rPr>
              <w:t>4-49</w:t>
            </w:r>
            <w:r w:rsidRPr="003D4A39">
              <w:rPr>
                <w:lang w:val="da-DK"/>
              </w:rPr>
              <w:t>,</w:t>
            </w:r>
            <w:r w:rsidRPr="00A27A02">
              <w:rPr>
                <w:lang w:val="da-DK"/>
              </w:rPr>
              <w:t>1</w:t>
            </w:r>
          </w:p>
        </w:tc>
      </w:tr>
      <w:tr w:rsidR="00D22BF6" w:rsidRPr="003D4A39" w14:paraId="60A978AC" w14:textId="77777777" w:rsidTr="00D22BF6">
        <w:trPr>
          <w:trHeight w:val="274"/>
        </w:trPr>
        <w:tc>
          <w:tcPr>
            <w:tcW w:w="3210" w:type="dxa"/>
            <w:tcBorders>
              <w:top w:val="none" w:sz="6" w:space="0" w:color="auto"/>
              <w:left w:val="single" w:sz="4" w:space="0" w:color="000000"/>
              <w:bottom w:val="none" w:sz="6" w:space="0" w:color="auto"/>
              <w:right w:val="single" w:sz="4" w:space="0" w:color="000000"/>
            </w:tcBorders>
          </w:tcPr>
          <w:p w14:paraId="3674F1FA" w14:textId="77777777" w:rsidR="00D22BF6" w:rsidRPr="005D4D80" w:rsidRDefault="00D22BF6" w:rsidP="00D22BF6">
            <w:pPr>
              <w:pStyle w:val="TableParagraph"/>
              <w:keepNext/>
              <w:kinsoku w:val="0"/>
              <w:overflowPunct w:val="0"/>
              <w:spacing w:line="255" w:lineRule="exact"/>
              <w:ind w:firstLine="144"/>
              <w:rPr>
                <w:lang w:val="da-DK"/>
              </w:rPr>
            </w:pPr>
            <w:r w:rsidRPr="003D4A39">
              <w:rPr>
                <w:lang w:val="da-DK"/>
              </w:rPr>
              <w:t>Justeret</w:t>
            </w:r>
            <w:r w:rsidRPr="003D4A39">
              <w:rPr>
                <w:spacing w:val="-1"/>
                <w:lang w:val="da-DK"/>
              </w:rPr>
              <w:t xml:space="preserve"> </w:t>
            </w:r>
            <w:r w:rsidRPr="00DB45E4">
              <w:rPr>
                <w:i/>
                <w:iCs/>
                <w:lang w:val="da-DK"/>
              </w:rPr>
              <w:t>hazard</w:t>
            </w:r>
            <w:r w:rsidRPr="00DB45E4">
              <w:rPr>
                <w:spacing w:val="-2"/>
                <w:lang w:val="da-DK"/>
              </w:rPr>
              <w:t xml:space="preserve"> </w:t>
            </w:r>
            <w:r w:rsidRPr="00DB45E4">
              <w:rPr>
                <w:lang w:val="da-DK"/>
              </w:rPr>
              <w:t>ratio</w:t>
            </w:r>
          </w:p>
        </w:tc>
        <w:tc>
          <w:tcPr>
            <w:tcW w:w="3210" w:type="dxa"/>
            <w:tcBorders>
              <w:top w:val="none" w:sz="6" w:space="0" w:color="auto"/>
              <w:left w:val="single" w:sz="4" w:space="0" w:color="000000"/>
              <w:bottom w:val="none" w:sz="6" w:space="0" w:color="auto"/>
              <w:right w:val="single" w:sz="4" w:space="0" w:color="000000"/>
            </w:tcBorders>
          </w:tcPr>
          <w:p w14:paraId="3F73D8CA" w14:textId="77777777" w:rsidR="00D22BF6" w:rsidRPr="005D4D80" w:rsidRDefault="00D22BF6" w:rsidP="00D22BF6">
            <w:pPr>
              <w:pStyle w:val="TableParagraph"/>
              <w:keepNext/>
              <w:kinsoku w:val="0"/>
              <w:overflowPunct w:val="0"/>
              <w:spacing w:line="249" w:lineRule="exact"/>
              <w:ind w:right="527"/>
              <w:jc w:val="center"/>
              <w:rPr>
                <w:lang w:val="da-DK"/>
              </w:rPr>
            </w:pPr>
            <w:r w:rsidRPr="005D4D80">
              <w:rPr>
                <w:lang w:val="da-DK"/>
              </w:rPr>
              <w:t>0</w:t>
            </w:r>
            <w:r w:rsidRPr="003D4A39">
              <w:rPr>
                <w:lang w:val="da-DK"/>
              </w:rPr>
              <w:t>,</w:t>
            </w:r>
            <w:r w:rsidRPr="00DB45E4">
              <w:rPr>
                <w:lang w:val="da-DK"/>
              </w:rPr>
              <w:t>61</w:t>
            </w:r>
          </w:p>
        </w:tc>
        <w:tc>
          <w:tcPr>
            <w:tcW w:w="3210" w:type="dxa"/>
            <w:tcBorders>
              <w:top w:val="none" w:sz="6" w:space="0" w:color="auto"/>
              <w:left w:val="single" w:sz="4" w:space="0" w:color="000000"/>
              <w:bottom w:val="none" w:sz="6" w:space="0" w:color="auto"/>
              <w:right w:val="single" w:sz="4" w:space="0" w:color="000000"/>
            </w:tcBorders>
          </w:tcPr>
          <w:p w14:paraId="5A509679" w14:textId="77777777" w:rsidR="00D22BF6" w:rsidRPr="005D4D80" w:rsidRDefault="00D22BF6" w:rsidP="00D22BF6">
            <w:pPr>
              <w:pStyle w:val="TableParagraph"/>
              <w:keepNext/>
              <w:kinsoku w:val="0"/>
              <w:overflowPunct w:val="0"/>
              <w:spacing w:line="249" w:lineRule="exact"/>
              <w:ind w:right="300"/>
              <w:jc w:val="center"/>
              <w:rPr>
                <w:lang w:val="da-DK"/>
              </w:rPr>
            </w:pPr>
            <w:r w:rsidRPr="005D4D80">
              <w:rPr>
                <w:lang w:val="da-DK"/>
              </w:rPr>
              <w:t>--</w:t>
            </w:r>
          </w:p>
        </w:tc>
      </w:tr>
      <w:tr w:rsidR="00D22BF6" w:rsidRPr="003D4A39" w14:paraId="16C533B6" w14:textId="77777777" w:rsidTr="00D22BF6">
        <w:trPr>
          <w:trHeight w:val="253"/>
        </w:trPr>
        <w:tc>
          <w:tcPr>
            <w:tcW w:w="3210" w:type="dxa"/>
            <w:tcBorders>
              <w:top w:val="none" w:sz="6" w:space="0" w:color="auto"/>
              <w:left w:val="single" w:sz="4" w:space="0" w:color="000000"/>
              <w:bottom w:val="none" w:sz="6" w:space="0" w:color="auto"/>
              <w:right w:val="single" w:sz="4" w:space="0" w:color="000000"/>
            </w:tcBorders>
          </w:tcPr>
          <w:p w14:paraId="60873AB8" w14:textId="77777777" w:rsidR="00D22BF6" w:rsidRPr="00DB45E4" w:rsidRDefault="00D22BF6" w:rsidP="00D22BF6">
            <w:pPr>
              <w:pStyle w:val="TableParagraph"/>
              <w:keepNext/>
              <w:kinsoku w:val="0"/>
              <w:overflowPunct w:val="0"/>
              <w:spacing w:line="234" w:lineRule="exact"/>
              <w:ind w:firstLine="144"/>
              <w:rPr>
                <w:lang w:val="da-DK"/>
              </w:rPr>
            </w:pPr>
            <w:r w:rsidRPr="00DB45E4">
              <w:rPr>
                <w:lang w:val="da-DK"/>
              </w:rPr>
              <w:t>95%</w:t>
            </w:r>
            <w:r w:rsidRPr="00DB45E4">
              <w:rPr>
                <w:spacing w:val="1"/>
                <w:lang w:val="da-DK"/>
              </w:rPr>
              <w:t xml:space="preserve"> </w:t>
            </w:r>
            <w:r w:rsidRPr="00DB45E4">
              <w:rPr>
                <w:lang w:val="da-DK"/>
              </w:rPr>
              <w:t>CI</w:t>
            </w:r>
          </w:p>
        </w:tc>
        <w:tc>
          <w:tcPr>
            <w:tcW w:w="3210" w:type="dxa"/>
            <w:tcBorders>
              <w:top w:val="none" w:sz="6" w:space="0" w:color="auto"/>
              <w:left w:val="single" w:sz="4" w:space="0" w:color="000000"/>
              <w:bottom w:val="none" w:sz="6" w:space="0" w:color="auto"/>
              <w:right w:val="single" w:sz="4" w:space="0" w:color="000000"/>
            </w:tcBorders>
          </w:tcPr>
          <w:p w14:paraId="3EE495B0" w14:textId="77777777" w:rsidR="00D22BF6" w:rsidRPr="00A27A02" w:rsidRDefault="00D22BF6" w:rsidP="00D22BF6">
            <w:pPr>
              <w:pStyle w:val="TableParagraph"/>
              <w:keepNext/>
              <w:kinsoku w:val="0"/>
              <w:overflowPunct w:val="0"/>
              <w:spacing w:line="234" w:lineRule="exact"/>
              <w:ind w:right="527"/>
              <w:jc w:val="center"/>
              <w:rPr>
                <w:lang w:val="da-DK"/>
              </w:rPr>
            </w:pPr>
            <w:r w:rsidRPr="00DB45E4">
              <w:rPr>
                <w:lang w:val="da-DK"/>
              </w:rPr>
              <w:t>(0</w:t>
            </w:r>
            <w:r w:rsidRPr="003D4A39">
              <w:rPr>
                <w:lang w:val="da-DK"/>
              </w:rPr>
              <w:t>,</w:t>
            </w:r>
            <w:r w:rsidRPr="00A27A02">
              <w:rPr>
                <w:lang w:val="da-DK"/>
              </w:rPr>
              <w:t>47-0</w:t>
            </w:r>
            <w:r w:rsidRPr="003D4A39">
              <w:rPr>
                <w:lang w:val="da-DK"/>
              </w:rPr>
              <w:t>,</w:t>
            </w:r>
            <w:r w:rsidRPr="00A27A02">
              <w:rPr>
                <w:lang w:val="da-DK"/>
              </w:rPr>
              <w:t>80)</w:t>
            </w:r>
          </w:p>
        </w:tc>
        <w:tc>
          <w:tcPr>
            <w:tcW w:w="3210" w:type="dxa"/>
            <w:tcBorders>
              <w:top w:val="none" w:sz="6" w:space="0" w:color="auto"/>
              <w:left w:val="single" w:sz="4" w:space="0" w:color="000000"/>
              <w:bottom w:val="none" w:sz="6" w:space="0" w:color="auto"/>
              <w:right w:val="single" w:sz="4" w:space="0" w:color="000000"/>
            </w:tcBorders>
          </w:tcPr>
          <w:p w14:paraId="624F498B" w14:textId="77777777" w:rsidR="00D22BF6" w:rsidRPr="005D4D80" w:rsidRDefault="00D22BF6" w:rsidP="00D22BF6">
            <w:pPr>
              <w:pStyle w:val="TableParagraph"/>
              <w:keepNext/>
              <w:kinsoku w:val="0"/>
              <w:overflowPunct w:val="0"/>
              <w:spacing w:line="249" w:lineRule="exact"/>
              <w:ind w:right="300"/>
              <w:jc w:val="center"/>
              <w:rPr>
                <w:lang w:val="da-DK"/>
              </w:rPr>
            </w:pPr>
            <w:r w:rsidRPr="005D4D80">
              <w:rPr>
                <w:lang w:val="da-DK"/>
              </w:rPr>
              <w:t>--</w:t>
            </w:r>
          </w:p>
        </w:tc>
      </w:tr>
      <w:tr w:rsidR="00D22BF6" w:rsidRPr="003D4A39" w14:paraId="55DF06D4" w14:textId="77777777" w:rsidTr="00D22BF6">
        <w:trPr>
          <w:trHeight w:val="309"/>
        </w:trPr>
        <w:tc>
          <w:tcPr>
            <w:tcW w:w="3210" w:type="dxa"/>
            <w:tcBorders>
              <w:top w:val="none" w:sz="6" w:space="0" w:color="auto"/>
              <w:left w:val="single" w:sz="4" w:space="0" w:color="000000"/>
              <w:bottom w:val="single" w:sz="4" w:space="0" w:color="000000"/>
              <w:right w:val="single" w:sz="4" w:space="0" w:color="000000"/>
            </w:tcBorders>
          </w:tcPr>
          <w:p w14:paraId="265D9B45" w14:textId="77777777" w:rsidR="00D22BF6" w:rsidRPr="005D4D80" w:rsidRDefault="00D22BF6" w:rsidP="00D22BF6">
            <w:pPr>
              <w:pStyle w:val="TableParagraph"/>
              <w:keepNext/>
              <w:kinsoku w:val="0"/>
              <w:overflowPunct w:val="0"/>
              <w:spacing w:line="290" w:lineRule="exact"/>
              <w:ind w:firstLine="144"/>
              <w:rPr>
                <w:i/>
                <w:iCs/>
                <w:position w:val="6"/>
                <w:lang w:val="da-DK"/>
              </w:rPr>
            </w:pPr>
            <w:r w:rsidRPr="00DB45E4">
              <w:rPr>
                <w:lang w:val="da-DK"/>
              </w:rPr>
              <w:t>p-v</w:t>
            </w:r>
            <w:r w:rsidRPr="003D4A39">
              <w:rPr>
                <w:lang w:val="da-DK"/>
              </w:rPr>
              <w:t>ærdi</w:t>
            </w:r>
            <w:r w:rsidRPr="00DB45E4">
              <w:rPr>
                <w:i/>
                <w:iCs/>
                <w:position w:val="6"/>
                <w:lang w:val="da-DK"/>
              </w:rPr>
              <w:t>a</w:t>
            </w:r>
          </w:p>
        </w:tc>
        <w:tc>
          <w:tcPr>
            <w:tcW w:w="3210" w:type="dxa"/>
            <w:tcBorders>
              <w:top w:val="none" w:sz="6" w:space="0" w:color="auto"/>
              <w:left w:val="single" w:sz="4" w:space="0" w:color="000000"/>
              <w:bottom w:val="single" w:sz="4" w:space="0" w:color="000000"/>
              <w:right w:val="single" w:sz="4" w:space="0" w:color="000000"/>
            </w:tcBorders>
          </w:tcPr>
          <w:p w14:paraId="701A6AD9" w14:textId="77777777" w:rsidR="00D22BF6" w:rsidRPr="00DB45E4" w:rsidRDefault="00D22BF6" w:rsidP="00D22BF6">
            <w:pPr>
              <w:pStyle w:val="TableParagraph"/>
              <w:keepNext/>
              <w:kinsoku w:val="0"/>
              <w:overflowPunct w:val="0"/>
              <w:spacing w:line="249" w:lineRule="exact"/>
              <w:ind w:right="527"/>
              <w:jc w:val="center"/>
              <w:rPr>
                <w:lang w:val="da-DK"/>
              </w:rPr>
            </w:pPr>
            <w:r w:rsidRPr="005D4D80">
              <w:rPr>
                <w:lang w:val="da-DK"/>
              </w:rPr>
              <w:t>0</w:t>
            </w:r>
            <w:r w:rsidRPr="003D4A39">
              <w:rPr>
                <w:lang w:val="da-DK"/>
              </w:rPr>
              <w:t>,</w:t>
            </w:r>
            <w:r w:rsidRPr="00DB45E4">
              <w:rPr>
                <w:lang w:val="da-DK"/>
              </w:rPr>
              <w:t>0003</w:t>
            </w:r>
          </w:p>
        </w:tc>
        <w:tc>
          <w:tcPr>
            <w:tcW w:w="3210" w:type="dxa"/>
            <w:tcBorders>
              <w:top w:val="none" w:sz="6" w:space="0" w:color="auto"/>
              <w:left w:val="single" w:sz="4" w:space="0" w:color="000000"/>
              <w:bottom w:val="single" w:sz="4" w:space="0" w:color="000000"/>
              <w:right w:val="single" w:sz="4" w:space="0" w:color="000000"/>
            </w:tcBorders>
          </w:tcPr>
          <w:p w14:paraId="4081FD4B" w14:textId="77777777" w:rsidR="00D22BF6" w:rsidRPr="00DB45E4" w:rsidRDefault="00D22BF6" w:rsidP="00D22BF6">
            <w:pPr>
              <w:pStyle w:val="TableParagraph"/>
              <w:keepNext/>
              <w:kinsoku w:val="0"/>
              <w:overflowPunct w:val="0"/>
              <w:spacing w:line="249" w:lineRule="exact"/>
              <w:ind w:right="300"/>
              <w:jc w:val="center"/>
              <w:rPr>
                <w:lang w:val="da-DK"/>
              </w:rPr>
            </w:pPr>
            <w:r w:rsidRPr="00DB45E4">
              <w:rPr>
                <w:lang w:val="da-DK"/>
              </w:rPr>
              <w:t>--</w:t>
            </w:r>
          </w:p>
        </w:tc>
      </w:tr>
      <w:tr w:rsidR="00D22BF6" w:rsidRPr="003D4A39" w14:paraId="66B7F1DE" w14:textId="77777777" w:rsidTr="00D22BF6">
        <w:trPr>
          <w:trHeight w:val="256"/>
        </w:trPr>
        <w:tc>
          <w:tcPr>
            <w:tcW w:w="3210" w:type="dxa"/>
            <w:tcBorders>
              <w:top w:val="single" w:sz="4" w:space="0" w:color="000000"/>
              <w:left w:val="single" w:sz="4" w:space="0" w:color="000000"/>
              <w:bottom w:val="none" w:sz="6" w:space="0" w:color="auto"/>
              <w:right w:val="single" w:sz="4" w:space="0" w:color="000000"/>
            </w:tcBorders>
          </w:tcPr>
          <w:p w14:paraId="6815D206" w14:textId="1B747F45" w:rsidR="00D22BF6" w:rsidRPr="005D4D80" w:rsidRDefault="00D22BF6" w:rsidP="00D22BF6">
            <w:pPr>
              <w:pStyle w:val="TableParagraph"/>
              <w:kinsoku w:val="0"/>
              <w:overflowPunct w:val="0"/>
              <w:spacing w:line="236" w:lineRule="exact"/>
              <w:ind w:firstLine="144"/>
              <w:rPr>
                <w:lang w:val="da-DK"/>
              </w:rPr>
            </w:pPr>
            <w:r w:rsidRPr="003D4A39">
              <w:rPr>
                <w:lang w:val="da-DK"/>
              </w:rPr>
              <w:t>Progression</w:t>
            </w:r>
            <w:r>
              <w:rPr>
                <w:lang w:val="da-DK"/>
              </w:rPr>
              <w:t>s</w:t>
            </w:r>
            <w:r w:rsidRPr="003D4A39">
              <w:rPr>
                <w:lang w:val="da-DK"/>
              </w:rPr>
              <w:t>fri overlevelse</w:t>
            </w:r>
          </w:p>
        </w:tc>
        <w:tc>
          <w:tcPr>
            <w:tcW w:w="3210" w:type="dxa"/>
            <w:tcBorders>
              <w:top w:val="single" w:sz="4" w:space="0" w:color="000000"/>
              <w:left w:val="single" w:sz="4" w:space="0" w:color="000000"/>
              <w:bottom w:val="none" w:sz="6" w:space="0" w:color="auto"/>
              <w:right w:val="single" w:sz="4" w:space="0" w:color="000000"/>
            </w:tcBorders>
          </w:tcPr>
          <w:p w14:paraId="2827164F" w14:textId="77777777" w:rsidR="00D22BF6" w:rsidRPr="005D4D80" w:rsidRDefault="00D22BF6" w:rsidP="00D22BF6">
            <w:pPr>
              <w:pStyle w:val="TableParagraph"/>
              <w:kinsoku w:val="0"/>
              <w:overflowPunct w:val="0"/>
              <w:rPr>
                <w:lang w:val="da-DK"/>
              </w:rPr>
            </w:pPr>
          </w:p>
        </w:tc>
        <w:tc>
          <w:tcPr>
            <w:tcW w:w="3210" w:type="dxa"/>
            <w:tcBorders>
              <w:top w:val="single" w:sz="4" w:space="0" w:color="000000"/>
              <w:left w:val="single" w:sz="4" w:space="0" w:color="000000"/>
              <w:bottom w:val="none" w:sz="6" w:space="0" w:color="auto"/>
              <w:right w:val="single" w:sz="4" w:space="0" w:color="000000"/>
            </w:tcBorders>
          </w:tcPr>
          <w:p w14:paraId="7E8F9E46" w14:textId="77777777" w:rsidR="00D22BF6" w:rsidRPr="005D4D80" w:rsidRDefault="00D22BF6" w:rsidP="00D22BF6">
            <w:pPr>
              <w:pStyle w:val="TableParagraph"/>
              <w:kinsoku w:val="0"/>
              <w:overflowPunct w:val="0"/>
              <w:rPr>
                <w:lang w:val="da-DK"/>
              </w:rPr>
            </w:pPr>
          </w:p>
        </w:tc>
      </w:tr>
      <w:tr w:rsidR="00D22BF6" w:rsidRPr="003D4A39" w14:paraId="5CF77C44" w14:textId="77777777" w:rsidTr="00D22BF6">
        <w:trPr>
          <w:trHeight w:val="253"/>
        </w:trPr>
        <w:tc>
          <w:tcPr>
            <w:tcW w:w="3210" w:type="dxa"/>
            <w:tcBorders>
              <w:top w:val="none" w:sz="6" w:space="0" w:color="auto"/>
              <w:left w:val="single" w:sz="4" w:space="0" w:color="000000"/>
              <w:bottom w:val="none" w:sz="6" w:space="0" w:color="auto"/>
              <w:right w:val="single" w:sz="4" w:space="0" w:color="000000"/>
            </w:tcBorders>
          </w:tcPr>
          <w:p w14:paraId="39C6B707" w14:textId="77777777" w:rsidR="00D22BF6" w:rsidRPr="005D4D80" w:rsidRDefault="00D22BF6" w:rsidP="00D22BF6">
            <w:pPr>
              <w:pStyle w:val="TableParagraph"/>
              <w:kinsoku w:val="0"/>
              <w:overflowPunct w:val="0"/>
              <w:spacing w:line="233" w:lineRule="exact"/>
              <w:ind w:firstLine="144"/>
              <w:rPr>
                <w:lang w:val="da-DK"/>
              </w:rPr>
            </w:pPr>
            <w:r w:rsidRPr="003D4A39">
              <w:rPr>
                <w:lang w:val="da-DK"/>
              </w:rPr>
              <w:t>Median (måneder)</w:t>
            </w:r>
          </w:p>
        </w:tc>
        <w:tc>
          <w:tcPr>
            <w:tcW w:w="3210" w:type="dxa"/>
            <w:tcBorders>
              <w:top w:val="none" w:sz="6" w:space="0" w:color="auto"/>
              <w:left w:val="single" w:sz="4" w:space="0" w:color="000000"/>
              <w:bottom w:val="none" w:sz="6" w:space="0" w:color="auto"/>
              <w:right w:val="single" w:sz="4" w:space="0" w:color="000000"/>
            </w:tcBorders>
          </w:tcPr>
          <w:p w14:paraId="1768582B" w14:textId="77777777" w:rsidR="00D22BF6" w:rsidRPr="005D4D80" w:rsidRDefault="00D22BF6" w:rsidP="00D22BF6">
            <w:pPr>
              <w:pStyle w:val="TableParagraph"/>
              <w:kinsoku w:val="0"/>
              <w:overflowPunct w:val="0"/>
              <w:spacing w:line="233" w:lineRule="exact"/>
              <w:ind w:right="527"/>
              <w:jc w:val="center"/>
              <w:rPr>
                <w:lang w:val="da-DK"/>
              </w:rPr>
            </w:pPr>
            <w:r w:rsidRPr="005D4D80">
              <w:rPr>
                <w:lang w:val="da-DK"/>
              </w:rPr>
              <w:t>19</w:t>
            </w:r>
            <w:r w:rsidRPr="003D4A39">
              <w:rPr>
                <w:lang w:val="da-DK"/>
              </w:rPr>
              <w:t>,</w:t>
            </w:r>
            <w:r w:rsidRPr="00DB45E4">
              <w:rPr>
                <w:lang w:val="da-DK"/>
              </w:rPr>
              <w:t>8</w:t>
            </w:r>
          </w:p>
        </w:tc>
        <w:tc>
          <w:tcPr>
            <w:tcW w:w="3210" w:type="dxa"/>
            <w:tcBorders>
              <w:top w:val="none" w:sz="6" w:space="0" w:color="auto"/>
              <w:left w:val="single" w:sz="4" w:space="0" w:color="000000"/>
              <w:bottom w:val="none" w:sz="6" w:space="0" w:color="auto"/>
              <w:right w:val="single" w:sz="4" w:space="0" w:color="000000"/>
            </w:tcBorders>
          </w:tcPr>
          <w:p w14:paraId="190B2E2F" w14:textId="77777777" w:rsidR="00D22BF6" w:rsidRPr="00A27A02" w:rsidRDefault="00D22BF6" w:rsidP="00D22BF6">
            <w:pPr>
              <w:pStyle w:val="TableParagraph"/>
              <w:kinsoku w:val="0"/>
              <w:overflowPunct w:val="0"/>
              <w:spacing w:line="233" w:lineRule="exact"/>
              <w:ind w:right="296"/>
              <w:jc w:val="center"/>
              <w:rPr>
                <w:lang w:val="da-DK"/>
              </w:rPr>
            </w:pPr>
            <w:r w:rsidRPr="005D4D80">
              <w:rPr>
                <w:lang w:val="da-DK"/>
              </w:rPr>
              <w:t>11</w:t>
            </w:r>
            <w:r w:rsidRPr="003D4A39">
              <w:rPr>
                <w:lang w:val="da-DK"/>
              </w:rPr>
              <w:t>,</w:t>
            </w:r>
            <w:r w:rsidRPr="00A27A02">
              <w:rPr>
                <w:lang w:val="da-DK"/>
              </w:rPr>
              <w:t>6</w:t>
            </w:r>
          </w:p>
        </w:tc>
      </w:tr>
      <w:tr w:rsidR="00D22BF6" w:rsidRPr="003D4A39" w14:paraId="5115D7D1" w14:textId="77777777" w:rsidTr="00D22BF6">
        <w:trPr>
          <w:trHeight w:val="253"/>
        </w:trPr>
        <w:tc>
          <w:tcPr>
            <w:tcW w:w="3210" w:type="dxa"/>
            <w:tcBorders>
              <w:top w:val="none" w:sz="6" w:space="0" w:color="auto"/>
              <w:left w:val="single" w:sz="4" w:space="0" w:color="000000"/>
              <w:bottom w:val="none" w:sz="6" w:space="0" w:color="auto"/>
              <w:right w:val="single" w:sz="4" w:space="0" w:color="000000"/>
            </w:tcBorders>
          </w:tcPr>
          <w:p w14:paraId="1D672994" w14:textId="77777777" w:rsidR="00D22BF6" w:rsidRPr="00DB45E4" w:rsidRDefault="00D22BF6" w:rsidP="00D22BF6">
            <w:pPr>
              <w:pStyle w:val="TableParagraph"/>
              <w:kinsoku w:val="0"/>
              <w:overflowPunct w:val="0"/>
              <w:spacing w:line="233" w:lineRule="exact"/>
              <w:ind w:firstLine="144"/>
              <w:rPr>
                <w:lang w:val="da-DK"/>
              </w:rPr>
            </w:pPr>
            <w:r w:rsidRPr="00DB45E4">
              <w:rPr>
                <w:lang w:val="da-DK"/>
              </w:rPr>
              <w:t>95%</w:t>
            </w:r>
            <w:r w:rsidRPr="00DB45E4">
              <w:rPr>
                <w:spacing w:val="1"/>
                <w:lang w:val="da-DK"/>
              </w:rPr>
              <w:t xml:space="preserve"> </w:t>
            </w:r>
            <w:r w:rsidRPr="00DB45E4">
              <w:rPr>
                <w:lang w:val="da-DK"/>
              </w:rPr>
              <w:t>CI</w:t>
            </w:r>
          </w:p>
        </w:tc>
        <w:tc>
          <w:tcPr>
            <w:tcW w:w="3210" w:type="dxa"/>
            <w:tcBorders>
              <w:top w:val="none" w:sz="6" w:space="0" w:color="auto"/>
              <w:left w:val="single" w:sz="4" w:space="0" w:color="000000"/>
              <w:bottom w:val="none" w:sz="6" w:space="0" w:color="auto"/>
              <w:right w:val="single" w:sz="4" w:space="0" w:color="000000"/>
            </w:tcBorders>
          </w:tcPr>
          <w:p w14:paraId="19B2C352" w14:textId="77777777" w:rsidR="00D22BF6" w:rsidRPr="00DB45E4" w:rsidRDefault="00D22BF6" w:rsidP="00D22BF6">
            <w:pPr>
              <w:pStyle w:val="TableParagraph"/>
              <w:kinsoku w:val="0"/>
              <w:overflowPunct w:val="0"/>
              <w:spacing w:line="233" w:lineRule="exact"/>
              <w:ind w:right="527"/>
              <w:jc w:val="center"/>
              <w:rPr>
                <w:lang w:val="da-DK"/>
              </w:rPr>
            </w:pPr>
            <w:r w:rsidRPr="00DB45E4">
              <w:rPr>
                <w:lang w:val="da-DK"/>
              </w:rPr>
              <w:t>16</w:t>
            </w:r>
            <w:r w:rsidRPr="003D4A39">
              <w:rPr>
                <w:lang w:val="da-DK"/>
              </w:rPr>
              <w:t>,</w:t>
            </w:r>
            <w:r w:rsidRPr="00DB45E4">
              <w:rPr>
                <w:lang w:val="da-DK"/>
              </w:rPr>
              <w:t>7-22</w:t>
            </w:r>
            <w:r w:rsidRPr="003D4A39">
              <w:rPr>
                <w:lang w:val="da-DK"/>
              </w:rPr>
              <w:t>,</w:t>
            </w:r>
            <w:r w:rsidRPr="00DB45E4">
              <w:rPr>
                <w:lang w:val="da-DK"/>
              </w:rPr>
              <w:t>8</w:t>
            </w:r>
          </w:p>
        </w:tc>
        <w:tc>
          <w:tcPr>
            <w:tcW w:w="3210" w:type="dxa"/>
            <w:tcBorders>
              <w:top w:val="none" w:sz="6" w:space="0" w:color="auto"/>
              <w:left w:val="single" w:sz="4" w:space="0" w:color="000000"/>
              <w:bottom w:val="none" w:sz="6" w:space="0" w:color="auto"/>
              <w:right w:val="single" w:sz="4" w:space="0" w:color="000000"/>
            </w:tcBorders>
          </w:tcPr>
          <w:p w14:paraId="79FBEF3C" w14:textId="77777777" w:rsidR="00D22BF6" w:rsidRPr="00A27A02" w:rsidRDefault="00D22BF6" w:rsidP="00D22BF6">
            <w:pPr>
              <w:pStyle w:val="TableParagraph"/>
              <w:kinsoku w:val="0"/>
              <w:overflowPunct w:val="0"/>
              <w:spacing w:line="233" w:lineRule="exact"/>
              <w:ind w:right="300"/>
              <w:jc w:val="center"/>
              <w:rPr>
                <w:lang w:val="da-DK"/>
              </w:rPr>
            </w:pPr>
            <w:r w:rsidRPr="00DB45E4">
              <w:rPr>
                <w:lang w:val="da-DK"/>
              </w:rPr>
              <w:t>10</w:t>
            </w:r>
            <w:r w:rsidRPr="003D4A39">
              <w:rPr>
                <w:lang w:val="da-DK"/>
              </w:rPr>
              <w:t>,</w:t>
            </w:r>
            <w:r w:rsidRPr="00DB45E4">
              <w:rPr>
                <w:lang w:val="da-DK"/>
              </w:rPr>
              <w:t>8-14</w:t>
            </w:r>
            <w:r w:rsidRPr="003D4A39">
              <w:rPr>
                <w:lang w:val="da-DK"/>
              </w:rPr>
              <w:t>,</w:t>
            </w:r>
            <w:r w:rsidRPr="00A27A02">
              <w:rPr>
                <w:lang w:val="da-DK"/>
              </w:rPr>
              <w:t>3</w:t>
            </w:r>
          </w:p>
        </w:tc>
      </w:tr>
      <w:tr w:rsidR="00D22BF6" w:rsidRPr="003D4A39" w14:paraId="1C001EAF" w14:textId="77777777" w:rsidTr="00D22BF6">
        <w:trPr>
          <w:trHeight w:val="264"/>
        </w:trPr>
        <w:tc>
          <w:tcPr>
            <w:tcW w:w="3210" w:type="dxa"/>
            <w:tcBorders>
              <w:top w:val="none" w:sz="6" w:space="0" w:color="auto"/>
              <w:left w:val="single" w:sz="4" w:space="0" w:color="000000"/>
              <w:bottom w:val="none" w:sz="6" w:space="0" w:color="auto"/>
              <w:right w:val="single" w:sz="4" w:space="0" w:color="000000"/>
            </w:tcBorders>
          </w:tcPr>
          <w:p w14:paraId="4E05530D" w14:textId="77777777" w:rsidR="00D22BF6" w:rsidRPr="005D4D80" w:rsidRDefault="00D22BF6" w:rsidP="00D22BF6">
            <w:pPr>
              <w:pStyle w:val="TableParagraph"/>
              <w:kinsoku w:val="0"/>
              <w:overflowPunct w:val="0"/>
              <w:spacing w:line="245" w:lineRule="exact"/>
              <w:ind w:firstLine="144"/>
              <w:rPr>
                <w:lang w:val="da-DK"/>
              </w:rPr>
            </w:pPr>
            <w:r w:rsidRPr="003D4A39">
              <w:rPr>
                <w:lang w:val="da-DK"/>
              </w:rPr>
              <w:t xml:space="preserve">Justeret </w:t>
            </w:r>
            <w:r w:rsidRPr="00DB45E4">
              <w:rPr>
                <w:i/>
                <w:iCs/>
                <w:lang w:val="da-DK"/>
              </w:rPr>
              <w:t>hazard</w:t>
            </w:r>
            <w:r w:rsidRPr="005D4D80">
              <w:rPr>
                <w:spacing w:val="-2"/>
                <w:lang w:val="da-DK"/>
              </w:rPr>
              <w:t xml:space="preserve"> </w:t>
            </w:r>
            <w:r w:rsidRPr="005D4D80">
              <w:rPr>
                <w:lang w:val="da-DK"/>
              </w:rPr>
              <w:t>ratio</w:t>
            </w:r>
          </w:p>
        </w:tc>
        <w:tc>
          <w:tcPr>
            <w:tcW w:w="3210" w:type="dxa"/>
            <w:tcBorders>
              <w:top w:val="none" w:sz="6" w:space="0" w:color="auto"/>
              <w:left w:val="single" w:sz="4" w:space="0" w:color="000000"/>
              <w:bottom w:val="none" w:sz="6" w:space="0" w:color="auto"/>
              <w:right w:val="single" w:sz="4" w:space="0" w:color="000000"/>
            </w:tcBorders>
          </w:tcPr>
          <w:p w14:paraId="3D5009AA" w14:textId="77777777" w:rsidR="00D22BF6" w:rsidRPr="005D4D80" w:rsidRDefault="00D22BF6" w:rsidP="00D22BF6">
            <w:pPr>
              <w:pStyle w:val="TableParagraph"/>
              <w:kinsoku w:val="0"/>
              <w:overflowPunct w:val="0"/>
              <w:spacing w:line="245" w:lineRule="exact"/>
              <w:ind w:right="527"/>
              <w:jc w:val="center"/>
              <w:rPr>
                <w:lang w:val="da-DK"/>
              </w:rPr>
            </w:pPr>
            <w:r w:rsidRPr="005D4D80">
              <w:rPr>
                <w:lang w:val="da-DK"/>
              </w:rPr>
              <w:t>0</w:t>
            </w:r>
            <w:r w:rsidRPr="003D4A39">
              <w:rPr>
                <w:lang w:val="da-DK"/>
              </w:rPr>
              <w:t>,</w:t>
            </w:r>
            <w:r w:rsidRPr="00DB45E4">
              <w:rPr>
                <w:lang w:val="da-DK"/>
              </w:rPr>
              <w:t>60</w:t>
            </w:r>
          </w:p>
        </w:tc>
        <w:tc>
          <w:tcPr>
            <w:tcW w:w="3210" w:type="dxa"/>
            <w:tcBorders>
              <w:top w:val="none" w:sz="6" w:space="0" w:color="auto"/>
              <w:left w:val="single" w:sz="4" w:space="0" w:color="000000"/>
              <w:bottom w:val="none" w:sz="6" w:space="0" w:color="auto"/>
              <w:right w:val="single" w:sz="4" w:space="0" w:color="000000"/>
            </w:tcBorders>
          </w:tcPr>
          <w:p w14:paraId="428FA6D5" w14:textId="77777777" w:rsidR="00D22BF6" w:rsidRPr="005D4D80" w:rsidRDefault="00D22BF6" w:rsidP="00D22BF6">
            <w:pPr>
              <w:pStyle w:val="TableParagraph"/>
              <w:kinsoku w:val="0"/>
              <w:overflowPunct w:val="0"/>
              <w:spacing w:line="245" w:lineRule="exact"/>
              <w:ind w:right="300"/>
              <w:jc w:val="center"/>
              <w:rPr>
                <w:lang w:val="da-DK"/>
              </w:rPr>
            </w:pPr>
            <w:r w:rsidRPr="005D4D80">
              <w:rPr>
                <w:lang w:val="da-DK"/>
              </w:rPr>
              <w:t>--</w:t>
            </w:r>
          </w:p>
        </w:tc>
      </w:tr>
      <w:tr w:rsidR="00D22BF6" w:rsidRPr="003D4A39" w14:paraId="3D403EE0" w14:textId="77777777" w:rsidTr="00D22BF6">
        <w:trPr>
          <w:trHeight w:val="253"/>
        </w:trPr>
        <w:tc>
          <w:tcPr>
            <w:tcW w:w="3210" w:type="dxa"/>
            <w:tcBorders>
              <w:top w:val="none" w:sz="6" w:space="0" w:color="auto"/>
              <w:left w:val="single" w:sz="4" w:space="0" w:color="000000"/>
              <w:bottom w:val="none" w:sz="6" w:space="0" w:color="auto"/>
              <w:right w:val="single" w:sz="4" w:space="0" w:color="000000"/>
            </w:tcBorders>
          </w:tcPr>
          <w:p w14:paraId="4BA5E93A" w14:textId="77777777" w:rsidR="00D22BF6" w:rsidRPr="005D4D80" w:rsidRDefault="00D22BF6" w:rsidP="00D22BF6">
            <w:pPr>
              <w:pStyle w:val="TableParagraph"/>
              <w:kinsoku w:val="0"/>
              <w:overflowPunct w:val="0"/>
              <w:spacing w:before="7" w:line="226" w:lineRule="exact"/>
              <w:ind w:firstLine="144"/>
              <w:rPr>
                <w:lang w:val="da-DK"/>
              </w:rPr>
            </w:pPr>
            <w:r w:rsidRPr="00DB45E4">
              <w:rPr>
                <w:lang w:val="da-DK"/>
              </w:rPr>
              <w:t>95%</w:t>
            </w:r>
            <w:r w:rsidRPr="00DB45E4">
              <w:rPr>
                <w:spacing w:val="1"/>
                <w:lang w:val="da-DK"/>
              </w:rPr>
              <w:t xml:space="preserve"> </w:t>
            </w:r>
            <w:r w:rsidRPr="00DB45E4">
              <w:rPr>
                <w:lang w:val="da-DK"/>
              </w:rPr>
              <w:t>CI</w:t>
            </w:r>
          </w:p>
        </w:tc>
        <w:tc>
          <w:tcPr>
            <w:tcW w:w="3210" w:type="dxa"/>
            <w:tcBorders>
              <w:top w:val="none" w:sz="6" w:space="0" w:color="auto"/>
              <w:left w:val="single" w:sz="4" w:space="0" w:color="000000"/>
              <w:bottom w:val="none" w:sz="6" w:space="0" w:color="auto"/>
              <w:right w:val="single" w:sz="4" w:space="0" w:color="000000"/>
            </w:tcBorders>
          </w:tcPr>
          <w:p w14:paraId="36F1451D" w14:textId="77777777" w:rsidR="00D22BF6" w:rsidRPr="005D4D80" w:rsidRDefault="00D22BF6" w:rsidP="00D22BF6">
            <w:pPr>
              <w:pStyle w:val="TableParagraph"/>
              <w:kinsoku w:val="0"/>
              <w:overflowPunct w:val="0"/>
              <w:spacing w:line="234" w:lineRule="exact"/>
              <w:ind w:right="527"/>
              <w:jc w:val="center"/>
              <w:rPr>
                <w:lang w:val="da-DK"/>
              </w:rPr>
            </w:pPr>
            <w:r w:rsidRPr="005D4D80">
              <w:rPr>
                <w:lang w:val="da-DK"/>
              </w:rPr>
              <w:t>0</w:t>
            </w:r>
            <w:r w:rsidRPr="003D4A39">
              <w:rPr>
                <w:lang w:val="da-DK"/>
              </w:rPr>
              <w:t>,</w:t>
            </w:r>
            <w:r w:rsidRPr="005D4D80">
              <w:rPr>
                <w:lang w:val="da-DK"/>
              </w:rPr>
              <w:t>51-0</w:t>
            </w:r>
            <w:r w:rsidRPr="003D4A39">
              <w:rPr>
                <w:lang w:val="da-DK"/>
              </w:rPr>
              <w:t>,</w:t>
            </w:r>
            <w:r w:rsidRPr="005D4D80">
              <w:rPr>
                <w:lang w:val="da-DK"/>
              </w:rPr>
              <w:t>72</w:t>
            </w:r>
          </w:p>
        </w:tc>
        <w:tc>
          <w:tcPr>
            <w:tcW w:w="3210" w:type="dxa"/>
            <w:tcBorders>
              <w:top w:val="none" w:sz="6" w:space="0" w:color="auto"/>
              <w:left w:val="single" w:sz="4" w:space="0" w:color="000000"/>
              <w:bottom w:val="none" w:sz="6" w:space="0" w:color="auto"/>
              <w:right w:val="single" w:sz="4" w:space="0" w:color="000000"/>
            </w:tcBorders>
          </w:tcPr>
          <w:p w14:paraId="60F54AB7" w14:textId="77777777" w:rsidR="00D22BF6" w:rsidRPr="005D4D80" w:rsidRDefault="00D22BF6" w:rsidP="00D22BF6">
            <w:pPr>
              <w:pStyle w:val="TableParagraph"/>
              <w:kinsoku w:val="0"/>
              <w:overflowPunct w:val="0"/>
              <w:spacing w:line="234" w:lineRule="exact"/>
              <w:ind w:right="300"/>
              <w:jc w:val="center"/>
              <w:rPr>
                <w:lang w:val="da-DK"/>
              </w:rPr>
            </w:pPr>
            <w:r w:rsidRPr="005D4D80">
              <w:rPr>
                <w:lang w:val="da-DK"/>
              </w:rPr>
              <w:t>--</w:t>
            </w:r>
          </w:p>
        </w:tc>
      </w:tr>
      <w:tr w:rsidR="00D22BF6" w:rsidRPr="003D4A39" w14:paraId="204B71B7" w14:textId="77777777" w:rsidTr="00D22BF6">
        <w:trPr>
          <w:trHeight w:val="261"/>
        </w:trPr>
        <w:tc>
          <w:tcPr>
            <w:tcW w:w="3210" w:type="dxa"/>
            <w:tcBorders>
              <w:top w:val="none" w:sz="6" w:space="0" w:color="auto"/>
              <w:left w:val="single" w:sz="4" w:space="0" w:color="000000"/>
              <w:bottom w:val="single" w:sz="4" w:space="0" w:color="000000"/>
              <w:right w:val="single" w:sz="4" w:space="0" w:color="000000"/>
            </w:tcBorders>
          </w:tcPr>
          <w:p w14:paraId="64B8DC88" w14:textId="77777777" w:rsidR="00D22BF6" w:rsidRPr="00DB45E4" w:rsidRDefault="00D22BF6" w:rsidP="00D22BF6">
            <w:pPr>
              <w:pStyle w:val="TableParagraph"/>
              <w:kinsoku w:val="0"/>
              <w:overflowPunct w:val="0"/>
              <w:spacing w:before="6" w:line="236" w:lineRule="exact"/>
              <w:ind w:firstLine="144"/>
              <w:rPr>
                <w:lang w:val="da-DK"/>
              </w:rPr>
            </w:pPr>
            <w:r w:rsidRPr="00DB45E4">
              <w:rPr>
                <w:lang w:val="da-DK"/>
              </w:rPr>
              <w:t>p-v</w:t>
            </w:r>
            <w:r w:rsidRPr="003D4A39">
              <w:rPr>
                <w:lang w:val="da-DK"/>
              </w:rPr>
              <w:t>ærdi</w:t>
            </w:r>
            <w:r w:rsidRPr="00DB45E4">
              <w:rPr>
                <w:lang w:val="da-DK"/>
              </w:rPr>
              <w:t>*</w:t>
            </w:r>
          </w:p>
        </w:tc>
        <w:tc>
          <w:tcPr>
            <w:tcW w:w="3210" w:type="dxa"/>
            <w:tcBorders>
              <w:top w:val="none" w:sz="6" w:space="0" w:color="auto"/>
              <w:left w:val="single" w:sz="4" w:space="0" w:color="000000"/>
              <w:bottom w:val="single" w:sz="4" w:space="0" w:color="000000"/>
              <w:right w:val="single" w:sz="4" w:space="0" w:color="000000"/>
            </w:tcBorders>
          </w:tcPr>
          <w:p w14:paraId="22F14059" w14:textId="77777777" w:rsidR="00D22BF6" w:rsidRPr="00DB45E4" w:rsidRDefault="00D22BF6" w:rsidP="00D22BF6">
            <w:pPr>
              <w:pStyle w:val="TableParagraph"/>
              <w:kinsoku w:val="0"/>
              <w:overflowPunct w:val="0"/>
              <w:spacing w:line="237" w:lineRule="exact"/>
              <w:ind w:right="526"/>
              <w:jc w:val="center"/>
              <w:rPr>
                <w:lang w:val="da-DK"/>
              </w:rPr>
            </w:pPr>
            <w:r w:rsidRPr="00DB45E4">
              <w:rPr>
                <w:lang w:val="da-DK"/>
              </w:rPr>
              <w:t>&lt;0</w:t>
            </w:r>
            <w:r w:rsidRPr="003D4A39">
              <w:rPr>
                <w:lang w:val="da-DK"/>
              </w:rPr>
              <w:t>,</w:t>
            </w:r>
            <w:r w:rsidRPr="00DB45E4">
              <w:rPr>
                <w:lang w:val="da-DK"/>
              </w:rPr>
              <w:t>0001</w:t>
            </w:r>
          </w:p>
        </w:tc>
        <w:tc>
          <w:tcPr>
            <w:tcW w:w="3210" w:type="dxa"/>
            <w:tcBorders>
              <w:top w:val="none" w:sz="6" w:space="0" w:color="auto"/>
              <w:left w:val="single" w:sz="4" w:space="0" w:color="000000"/>
              <w:bottom w:val="single" w:sz="4" w:space="0" w:color="000000"/>
              <w:right w:val="single" w:sz="4" w:space="0" w:color="000000"/>
            </w:tcBorders>
          </w:tcPr>
          <w:p w14:paraId="1C3E623D" w14:textId="77777777" w:rsidR="00D22BF6" w:rsidRPr="00DB45E4" w:rsidRDefault="00D22BF6" w:rsidP="00D22BF6">
            <w:pPr>
              <w:pStyle w:val="TableParagraph"/>
              <w:kinsoku w:val="0"/>
              <w:overflowPunct w:val="0"/>
              <w:spacing w:line="237" w:lineRule="exact"/>
              <w:ind w:right="300"/>
              <w:jc w:val="center"/>
              <w:rPr>
                <w:lang w:val="da-DK"/>
              </w:rPr>
            </w:pPr>
            <w:r w:rsidRPr="00DB45E4">
              <w:rPr>
                <w:lang w:val="da-DK"/>
              </w:rPr>
              <w:t>--</w:t>
            </w:r>
          </w:p>
        </w:tc>
      </w:tr>
      <w:tr w:rsidR="00D22BF6" w:rsidRPr="003D4A39" w14:paraId="2D258124" w14:textId="77777777" w:rsidTr="00D22BF6">
        <w:trPr>
          <w:trHeight w:val="255"/>
        </w:trPr>
        <w:tc>
          <w:tcPr>
            <w:tcW w:w="3210" w:type="dxa"/>
            <w:tcBorders>
              <w:top w:val="single" w:sz="4" w:space="0" w:color="000000"/>
              <w:left w:val="single" w:sz="4" w:space="0" w:color="000000"/>
              <w:bottom w:val="none" w:sz="6" w:space="0" w:color="auto"/>
              <w:right w:val="single" w:sz="4" w:space="0" w:color="000000"/>
            </w:tcBorders>
          </w:tcPr>
          <w:p w14:paraId="09562BC3" w14:textId="5F434239" w:rsidR="00D22BF6" w:rsidRPr="00DB45E4" w:rsidRDefault="00D22BF6" w:rsidP="00D22BF6">
            <w:pPr>
              <w:ind w:left="142"/>
              <w:rPr>
                <w:sz w:val="24"/>
                <w:szCs w:val="24"/>
              </w:rPr>
            </w:pPr>
            <w:r w:rsidRPr="00DB45E4">
              <w:rPr>
                <w:sz w:val="24"/>
                <w:szCs w:val="24"/>
              </w:rPr>
              <w:t>PSA</w:t>
            </w:r>
            <w:r>
              <w:rPr>
                <w:sz w:val="24"/>
                <w:szCs w:val="24"/>
              </w:rPr>
              <w:t>-</w:t>
            </w:r>
            <w:r w:rsidRPr="00DB45E4">
              <w:rPr>
                <w:sz w:val="24"/>
                <w:szCs w:val="24"/>
              </w:rPr>
              <w:t xml:space="preserve">respons** ved 6 måneder – </w:t>
            </w:r>
            <w:proofErr w:type="gramStart"/>
            <w:r w:rsidRPr="00DB45E4">
              <w:rPr>
                <w:sz w:val="24"/>
                <w:szCs w:val="24"/>
              </w:rPr>
              <w:t>N(</w:t>
            </w:r>
            <w:proofErr w:type="gramEnd"/>
            <w:r w:rsidRPr="00DB45E4">
              <w:rPr>
                <w:sz w:val="24"/>
                <w:szCs w:val="24"/>
              </w:rPr>
              <w:t>%)</w:t>
            </w:r>
          </w:p>
        </w:tc>
        <w:tc>
          <w:tcPr>
            <w:tcW w:w="3210" w:type="dxa"/>
            <w:tcBorders>
              <w:top w:val="single" w:sz="4" w:space="0" w:color="000000"/>
              <w:left w:val="single" w:sz="4" w:space="0" w:color="000000"/>
              <w:bottom w:val="none" w:sz="6" w:space="0" w:color="auto"/>
              <w:right w:val="single" w:sz="4" w:space="0" w:color="000000"/>
            </w:tcBorders>
          </w:tcPr>
          <w:p w14:paraId="49D986BF" w14:textId="77777777" w:rsidR="00D22BF6" w:rsidRPr="00DB45E4" w:rsidRDefault="00D22BF6" w:rsidP="00D22BF6">
            <w:pPr>
              <w:pStyle w:val="TableParagraph"/>
              <w:kinsoku w:val="0"/>
              <w:overflowPunct w:val="0"/>
              <w:spacing w:line="235" w:lineRule="exact"/>
              <w:ind w:right="527"/>
              <w:jc w:val="center"/>
              <w:rPr>
                <w:lang w:val="da-DK"/>
              </w:rPr>
            </w:pPr>
            <w:r w:rsidRPr="00DB45E4">
              <w:rPr>
                <w:lang w:val="da-DK"/>
              </w:rPr>
              <w:t>127 (32</w:t>
            </w:r>
            <w:r w:rsidRPr="003D4A39">
              <w:rPr>
                <w:lang w:val="da-DK"/>
              </w:rPr>
              <w:t>,</w:t>
            </w:r>
            <w:r w:rsidRPr="00DB45E4">
              <w:rPr>
                <w:lang w:val="da-DK"/>
              </w:rPr>
              <w:t>0)</w:t>
            </w:r>
          </w:p>
        </w:tc>
        <w:tc>
          <w:tcPr>
            <w:tcW w:w="3210" w:type="dxa"/>
            <w:tcBorders>
              <w:top w:val="single" w:sz="4" w:space="0" w:color="000000"/>
              <w:left w:val="single" w:sz="4" w:space="0" w:color="000000"/>
              <w:bottom w:val="none" w:sz="6" w:space="0" w:color="auto"/>
              <w:right w:val="single" w:sz="4" w:space="0" w:color="000000"/>
            </w:tcBorders>
          </w:tcPr>
          <w:p w14:paraId="39131BFD" w14:textId="77777777" w:rsidR="00D22BF6" w:rsidRPr="00A27A02" w:rsidRDefault="00D22BF6" w:rsidP="00D22BF6">
            <w:pPr>
              <w:pStyle w:val="TableParagraph"/>
              <w:kinsoku w:val="0"/>
              <w:overflowPunct w:val="0"/>
              <w:spacing w:line="235" w:lineRule="exact"/>
              <w:ind w:right="296"/>
              <w:jc w:val="center"/>
              <w:rPr>
                <w:lang w:val="da-DK"/>
              </w:rPr>
            </w:pPr>
            <w:r w:rsidRPr="00DB45E4">
              <w:rPr>
                <w:lang w:val="da-DK"/>
              </w:rPr>
              <w:t>77 (19</w:t>
            </w:r>
            <w:r w:rsidRPr="003D4A39">
              <w:rPr>
                <w:lang w:val="da-DK"/>
              </w:rPr>
              <w:t>,</w:t>
            </w:r>
            <w:r w:rsidRPr="00A27A02">
              <w:rPr>
                <w:lang w:val="da-DK"/>
              </w:rPr>
              <w:t>6)</w:t>
            </w:r>
          </w:p>
        </w:tc>
      </w:tr>
      <w:tr w:rsidR="00D22BF6" w:rsidRPr="003D4A39" w14:paraId="3C66A9BC" w14:textId="77777777" w:rsidTr="00D22BF6">
        <w:trPr>
          <w:trHeight w:val="308"/>
        </w:trPr>
        <w:tc>
          <w:tcPr>
            <w:tcW w:w="3210" w:type="dxa"/>
            <w:tcBorders>
              <w:top w:val="none" w:sz="6" w:space="0" w:color="auto"/>
              <w:left w:val="single" w:sz="4" w:space="0" w:color="000000"/>
              <w:bottom w:val="single" w:sz="4" w:space="0" w:color="000000"/>
              <w:right w:val="single" w:sz="4" w:space="0" w:color="000000"/>
            </w:tcBorders>
          </w:tcPr>
          <w:p w14:paraId="12D81FD1" w14:textId="77777777" w:rsidR="00D22BF6" w:rsidRPr="00DB45E4" w:rsidRDefault="00D22BF6" w:rsidP="00D22BF6">
            <w:pPr>
              <w:pStyle w:val="TableParagraph"/>
              <w:kinsoku w:val="0"/>
              <w:overflowPunct w:val="0"/>
              <w:spacing w:line="288" w:lineRule="exact"/>
              <w:ind w:firstLine="144"/>
              <w:rPr>
                <w:i/>
                <w:iCs/>
                <w:position w:val="6"/>
                <w:lang w:val="da-DK"/>
              </w:rPr>
            </w:pPr>
            <w:r w:rsidRPr="00DB45E4">
              <w:rPr>
                <w:lang w:val="da-DK"/>
              </w:rPr>
              <w:t>p-v</w:t>
            </w:r>
            <w:r w:rsidRPr="003D4A39">
              <w:rPr>
                <w:lang w:val="da-DK"/>
              </w:rPr>
              <w:t>ærdi</w:t>
            </w:r>
            <w:r w:rsidRPr="00DB45E4">
              <w:rPr>
                <w:i/>
                <w:iCs/>
                <w:position w:val="6"/>
                <w:lang w:val="da-DK"/>
              </w:rPr>
              <w:t>a*</w:t>
            </w:r>
          </w:p>
        </w:tc>
        <w:tc>
          <w:tcPr>
            <w:tcW w:w="3210" w:type="dxa"/>
            <w:tcBorders>
              <w:top w:val="none" w:sz="6" w:space="0" w:color="auto"/>
              <w:left w:val="single" w:sz="4" w:space="0" w:color="000000"/>
              <w:bottom w:val="single" w:sz="4" w:space="0" w:color="000000"/>
              <w:right w:val="single" w:sz="4" w:space="0" w:color="000000"/>
            </w:tcBorders>
          </w:tcPr>
          <w:p w14:paraId="08495152" w14:textId="77777777" w:rsidR="00D22BF6" w:rsidRPr="00DB45E4" w:rsidRDefault="00D22BF6" w:rsidP="00D22BF6">
            <w:pPr>
              <w:pStyle w:val="TableParagraph"/>
              <w:kinsoku w:val="0"/>
              <w:overflowPunct w:val="0"/>
              <w:spacing w:line="248" w:lineRule="exact"/>
              <w:ind w:right="527"/>
              <w:jc w:val="center"/>
              <w:rPr>
                <w:lang w:val="da-DK"/>
              </w:rPr>
            </w:pPr>
            <w:r w:rsidRPr="00DB45E4">
              <w:rPr>
                <w:lang w:val="da-DK"/>
              </w:rPr>
              <w:t>&lt;0</w:t>
            </w:r>
            <w:r w:rsidRPr="003D4A39">
              <w:rPr>
                <w:lang w:val="da-DK"/>
              </w:rPr>
              <w:t>,</w:t>
            </w:r>
            <w:r w:rsidRPr="00A27A02">
              <w:rPr>
                <w:lang w:val="da-DK"/>
              </w:rPr>
              <w:t>0001</w:t>
            </w:r>
          </w:p>
        </w:tc>
        <w:tc>
          <w:tcPr>
            <w:tcW w:w="3210" w:type="dxa"/>
            <w:tcBorders>
              <w:top w:val="none" w:sz="6" w:space="0" w:color="auto"/>
              <w:left w:val="single" w:sz="4" w:space="0" w:color="000000"/>
              <w:bottom w:val="single" w:sz="4" w:space="0" w:color="000000"/>
              <w:right w:val="single" w:sz="4" w:space="0" w:color="000000"/>
            </w:tcBorders>
          </w:tcPr>
          <w:p w14:paraId="7FC179B2" w14:textId="77777777" w:rsidR="00D22BF6" w:rsidRPr="00DB45E4" w:rsidRDefault="00D22BF6" w:rsidP="00D22BF6">
            <w:pPr>
              <w:pStyle w:val="TableParagraph"/>
              <w:kinsoku w:val="0"/>
              <w:overflowPunct w:val="0"/>
              <w:spacing w:line="248" w:lineRule="exact"/>
              <w:ind w:right="300"/>
              <w:jc w:val="center"/>
              <w:rPr>
                <w:lang w:val="da-DK"/>
              </w:rPr>
            </w:pPr>
            <w:r w:rsidRPr="00DB45E4">
              <w:rPr>
                <w:lang w:val="da-DK"/>
              </w:rPr>
              <w:t>--</w:t>
            </w:r>
          </w:p>
        </w:tc>
      </w:tr>
      <w:tr w:rsidR="009B0C24" w:rsidRPr="003D4A39" w14:paraId="6DF71CAF" w14:textId="77777777" w:rsidTr="00D22BF6">
        <w:trPr>
          <w:trHeight w:val="257"/>
        </w:trPr>
        <w:tc>
          <w:tcPr>
            <w:tcW w:w="3210" w:type="dxa"/>
            <w:tcBorders>
              <w:top w:val="single" w:sz="4" w:space="0" w:color="000000"/>
              <w:left w:val="single" w:sz="4" w:space="0" w:color="000000"/>
              <w:bottom w:val="none" w:sz="6" w:space="0" w:color="auto"/>
              <w:right w:val="single" w:sz="4" w:space="0" w:color="000000"/>
            </w:tcBorders>
          </w:tcPr>
          <w:p w14:paraId="498A65BE" w14:textId="0B070CBA" w:rsidR="009B0C24" w:rsidRPr="00DB45E4" w:rsidRDefault="009B0C24" w:rsidP="009B0C24">
            <w:pPr>
              <w:ind w:left="142"/>
              <w:rPr>
                <w:sz w:val="24"/>
                <w:szCs w:val="24"/>
              </w:rPr>
            </w:pPr>
            <w:r w:rsidRPr="003D4A39">
              <w:rPr>
                <w:sz w:val="24"/>
                <w:szCs w:val="24"/>
              </w:rPr>
              <w:t>PSA</w:t>
            </w:r>
            <w:r>
              <w:rPr>
                <w:sz w:val="24"/>
                <w:szCs w:val="24"/>
              </w:rPr>
              <w:t>-</w:t>
            </w:r>
            <w:r w:rsidRPr="003D4A39">
              <w:rPr>
                <w:sz w:val="24"/>
                <w:szCs w:val="24"/>
              </w:rPr>
              <w:t xml:space="preserve">respons** ved </w:t>
            </w:r>
            <w:r w:rsidRPr="00DB45E4">
              <w:rPr>
                <w:sz w:val="24"/>
                <w:szCs w:val="24"/>
              </w:rPr>
              <w:t>12</w:t>
            </w:r>
            <w:r>
              <w:rPr>
                <w:sz w:val="24"/>
                <w:szCs w:val="24"/>
              </w:rPr>
              <w:t> </w:t>
            </w:r>
            <w:r w:rsidRPr="003D4A39">
              <w:rPr>
                <w:sz w:val="24"/>
                <w:szCs w:val="24"/>
              </w:rPr>
              <w:t xml:space="preserve">måneder – </w:t>
            </w:r>
            <w:proofErr w:type="gramStart"/>
            <w:r w:rsidRPr="003D4A39">
              <w:rPr>
                <w:sz w:val="24"/>
                <w:szCs w:val="24"/>
              </w:rPr>
              <w:t>N(</w:t>
            </w:r>
            <w:proofErr w:type="gramEnd"/>
            <w:r w:rsidRPr="003D4A39">
              <w:rPr>
                <w:sz w:val="24"/>
                <w:szCs w:val="24"/>
              </w:rPr>
              <w:t>%)</w:t>
            </w:r>
          </w:p>
        </w:tc>
        <w:tc>
          <w:tcPr>
            <w:tcW w:w="3210" w:type="dxa"/>
            <w:tcBorders>
              <w:top w:val="single" w:sz="4" w:space="0" w:color="000000"/>
              <w:left w:val="single" w:sz="4" w:space="0" w:color="000000"/>
              <w:bottom w:val="none" w:sz="6" w:space="0" w:color="auto"/>
              <w:right w:val="single" w:sz="4" w:space="0" w:color="000000"/>
            </w:tcBorders>
          </w:tcPr>
          <w:p w14:paraId="5D6DF8B2" w14:textId="77777777" w:rsidR="009B0C24" w:rsidRPr="00DB45E4" w:rsidRDefault="009B0C24" w:rsidP="009B0C24">
            <w:pPr>
              <w:pStyle w:val="TableParagraph"/>
              <w:kinsoku w:val="0"/>
              <w:overflowPunct w:val="0"/>
              <w:spacing w:before="1" w:line="237" w:lineRule="exact"/>
              <w:ind w:right="527"/>
              <w:jc w:val="center"/>
              <w:rPr>
                <w:lang w:val="da-DK"/>
              </w:rPr>
            </w:pPr>
            <w:r w:rsidRPr="00DB45E4">
              <w:rPr>
                <w:lang w:val="da-DK"/>
              </w:rPr>
              <w:t>110 (27</w:t>
            </w:r>
            <w:r w:rsidRPr="003D4A39">
              <w:rPr>
                <w:lang w:val="da-DK"/>
              </w:rPr>
              <w:t>,</w:t>
            </w:r>
            <w:r w:rsidRPr="00DB45E4">
              <w:rPr>
                <w:lang w:val="da-DK"/>
              </w:rPr>
              <w:t>7)</w:t>
            </w:r>
          </w:p>
        </w:tc>
        <w:tc>
          <w:tcPr>
            <w:tcW w:w="3210" w:type="dxa"/>
            <w:tcBorders>
              <w:top w:val="single" w:sz="4" w:space="0" w:color="000000"/>
              <w:left w:val="single" w:sz="4" w:space="0" w:color="000000"/>
              <w:bottom w:val="none" w:sz="6" w:space="0" w:color="auto"/>
              <w:right w:val="single" w:sz="4" w:space="0" w:color="000000"/>
            </w:tcBorders>
          </w:tcPr>
          <w:p w14:paraId="5EEABA3A" w14:textId="77777777" w:rsidR="009B0C24" w:rsidRPr="00A27A02" w:rsidRDefault="009B0C24" w:rsidP="009B0C24">
            <w:pPr>
              <w:pStyle w:val="TableParagraph"/>
              <w:kinsoku w:val="0"/>
              <w:overflowPunct w:val="0"/>
              <w:spacing w:before="1" w:line="237" w:lineRule="exact"/>
              <w:ind w:right="296"/>
              <w:jc w:val="center"/>
              <w:rPr>
                <w:lang w:val="da-DK"/>
              </w:rPr>
            </w:pPr>
            <w:r w:rsidRPr="00DB45E4">
              <w:rPr>
                <w:lang w:val="da-DK"/>
              </w:rPr>
              <w:t>66 (16</w:t>
            </w:r>
            <w:r w:rsidRPr="003D4A39">
              <w:rPr>
                <w:lang w:val="da-DK"/>
              </w:rPr>
              <w:t>,</w:t>
            </w:r>
            <w:r w:rsidRPr="00A27A02">
              <w:rPr>
                <w:lang w:val="da-DK"/>
              </w:rPr>
              <w:t>8)</w:t>
            </w:r>
          </w:p>
        </w:tc>
      </w:tr>
      <w:tr w:rsidR="009B0C24" w:rsidRPr="003D4A39" w14:paraId="17B88BDB" w14:textId="77777777" w:rsidTr="00D22BF6">
        <w:trPr>
          <w:trHeight w:val="308"/>
        </w:trPr>
        <w:tc>
          <w:tcPr>
            <w:tcW w:w="3210" w:type="dxa"/>
            <w:tcBorders>
              <w:top w:val="none" w:sz="6" w:space="0" w:color="auto"/>
              <w:left w:val="single" w:sz="4" w:space="0" w:color="000000"/>
              <w:bottom w:val="single" w:sz="4" w:space="0" w:color="000000"/>
              <w:right w:val="single" w:sz="4" w:space="0" w:color="000000"/>
            </w:tcBorders>
          </w:tcPr>
          <w:p w14:paraId="3C1448B4" w14:textId="069B433B" w:rsidR="009B0C24" w:rsidRPr="00A27A02" w:rsidRDefault="009B0C24" w:rsidP="009B0C24">
            <w:pPr>
              <w:ind w:left="142"/>
              <w:rPr>
                <w:sz w:val="24"/>
                <w:szCs w:val="24"/>
              </w:rPr>
            </w:pPr>
            <w:r w:rsidRPr="003D4A39">
              <w:rPr>
                <w:sz w:val="24"/>
                <w:szCs w:val="24"/>
              </w:rPr>
              <w:t>p-v</w:t>
            </w:r>
            <w:r w:rsidRPr="00A27A02">
              <w:rPr>
                <w:sz w:val="24"/>
                <w:szCs w:val="24"/>
              </w:rPr>
              <w:t>ærdi</w:t>
            </w:r>
            <w:r w:rsidRPr="00DB45E4">
              <w:rPr>
                <w:i/>
                <w:iCs/>
                <w:position w:val="6"/>
              </w:rPr>
              <w:t xml:space="preserve"> a*</w:t>
            </w:r>
          </w:p>
        </w:tc>
        <w:tc>
          <w:tcPr>
            <w:tcW w:w="3210" w:type="dxa"/>
            <w:tcBorders>
              <w:top w:val="none" w:sz="6" w:space="0" w:color="auto"/>
              <w:left w:val="single" w:sz="4" w:space="0" w:color="000000"/>
              <w:bottom w:val="single" w:sz="4" w:space="0" w:color="000000"/>
              <w:right w:val="single" w:sz="4" w:space="0" w:color="000000"/>
            </w:tcBorders>
          </w:tcPr>
          <w:p w14:paraId="71360737" w14:textId="77777777" w:rsidR="009B0C24" w:rsidRPr="005D4D80" w:rsidRDefault="009B0C24" w:rsidP="009B0C24">
            <w:pPr>
              <w:pStyle w:val="TableParagraph"/>
              <w:kinsoku w:val="0"/>
              <w:overflowPunct w:val="0"/>
              <w:spacing w:line="248" w:lineRule="exact"/>
              <w:ind w:right="527"/>
              <w:jc w:val="center"/>
              <w:rPr>
                <w:lang w:val="da-DK"/>
              </w:rPr>
            </w:pPr>
            <w:r w:rsidRPr="005D4D80">
              <w:rPr>
                <w:lang w:val="da-DK"/>
              </w:rPr>
              <w:t>&lt;0</w:t>
            </w:r>
            <w:r w:rsidRPr="003D4A39">
              <w:rPr>
                <w:lang w:val="da-DK"/>
              </w:rPr>
              <w:t>,</w:t>
            </w:r>
            <w:r w:rsidRPr="005D4D80">
              <w:rPr>
                <w:lang w:val="da-DK"/>
              </w:rPr>
              <w:t>0001</w:t>
            </w:r>
          </w:p>
        </w:tc>
        <w:tc>
          <w:tcPr>
            <w:tcW w:w="3210" w:type="dxa"/>
            <w:tcBorders>
              <w:top w:val="none" w:sz="6" w:space="0" w:color="auto"/>
              <w:left w:val="single" w:sz="4" w:space="0" w:color="000000"/>
              <w:bottom w:val="single" w:sz="4" w:space="0" w:color="000000"/>
              <w:right w:val="single" w:sz="4" w:space="0" w:color="000000"/>
            </w:tcBorders>
          </w:tcPr>
          <w:p w14:paraId="40BFC36A" w14:textId="77777777" w:rsidR="009B0C24" w:rsidRPr="005D4D80" w:rsidRDefault="009B0C24" w:rsidP="009B0C24">
            <w:pPr>
              <w:pStyle w:val="TableParagraph"/>
              <w:kinsoku w:val="0"/>
              <w:overflowPunct w:val="0"/>
              <w:spacing w:line="248" w:lineRule="exact"/>
              <w:ind w:right="300"/>
              <w:jc w:val="center"/>
              <w:rPr>
                <w:lang w:val="da-DK"/>
              </w:rPr>
            </w:pPr>
            <w:r w:rsidRPr="005D4D80">
              <w:rPr>
                <w:lang w:val="da-DK"/>
              </w:rPr>
              <w:t>--</w:t>
            </w:r>
          </w:p>
        </w:tc>
      </w:tr>
      <w:tr w:rsidR="00D22BF6" w:rsidRPr="003D4A39" w14:paraId="1A194876" w14:textId="77777777" w:rsidTr="00D22BF6">
        <w:trPr>
          <w:trHeight w:val="317"/>
        </w:trPr>
        <w:tc>
          <w:tcPr>
            <w:tcW w:w="3210" w:type="dxa"/>
            <w:tcBorders>
              <w:top w:val="single" w:sz="4" w:space="0" w:color="000000"/>
              <w:left w:val="single" w:sz="4" w:space="0" w:color="000000"/>
              <w:bottom w:val="none" w:sz="6" w:space="0" w:color="auto"/>
              <w:right w:val="single" w:sz="4" w:space="0" w:color="000000"/>
            </w:tcBorders>
          </w:tcPr>
          <w:p w14:paraId="1DDA1BF0" w14:textId="77777777" w:rsidR="00D22BF6" w:rsidRPr="005D4D80" w:rsidRDefault="00D22BF6" w:rsidP="00D22BF6">
            <w:pPr>
              <w:ind w:left="142"/>
              <w:rPr>
                <w:i/>
                <w:iCs/>
                <w:position w:val="6"/>
                <w:sz w:val="24"/>
                <w:szCs w:val="24"/>
              </w:rPr>
            </w:pPr>
            <w:r w:rsidRPr="005D4D80">
              <w:rPr>
                <w:sz w:val="24"/>
                <w:szCs w:val="24"/>
              </w:rPr>
              <w:t>Tid til kastrationsresistent prostatakræft</w:t>
            </w:r>
            <w:r w:rsidRPr="00DB45E4">
              <w:rPr>
                <w:sz w:val="24"/>
                <w:szCs w:val="24"/>
                <w:vertAlign w:val="superscript"/>
              </w:rPr>
              <w:t>b</w:t>
            </w:r>
          </w:p>
        </w:tc>
        <w:tc>
          <w:tcPr>
            <w:tcW w:w="3210" w:type="dxa"/>
            <w:tcBorders>
              <w:top w:val="single" w:sz="4" w:space="0" w:color="000000"/>
              <w:left w:val="single" w:sz="4" w:space="0" w:color="000000"/>
              <w:bottom w:val="none" w:sz="6" w:space="0" w:color="auto"/>
              <w:right w:val="single" w:sz="4" w:space="0" w:color="000000"/>
            </w:tcBorders>
          </w:tcPr>
          <w:p w14:paraId="536E95B0" w14:textId="77777777" w:rsidR="00D22BF6" w:rsidRPr="00A27A02" w:rsidRDefault="00D22BF6" w:rsidP="00D22BF6">
            <w:pPr>
              <w:pStyle w:val="TableParagraph"/>
              <w:kinsoku w:val="0"/>
              <w:overflowPunct w:val="0"/>
              <w:rPr>
                <w:lang w:val="da-DK"/>
              </w:rPr>
            </w:pPr>
          </w:p>
        </w:tc>
        <w:tc>
          <w:tcPr>
            <w:tcW w:w="3210" w:type="dxa"/>
            <w:tcBorders>
              <w:top w:val="single" w:sz="4" w:space="0" w:color="000000"/>
              <w:left w:val="single" w:sz="4" w:space="0" w:color="000000"/>
              <w:bottom w:val="none" w:sz="6" w:space="0" w:color="auto"/>
              <w:right w:val="single" w:sz="4" w:space="0" w:color="000000"/>
            </w:tcBorders>
          </w:tcPr>
          <w:p w14:paraId="54715010" w14:textId="77777777" w:rsidR="00D22BF6" w:rsidRPr="005D4D80" w:rsidRDefault="00D22BF6" w:rsidP="00D22BF6">
            <w:pPr>
              <w:pStyle w:val="TableParagraph"/>
              <w:kinsoku w:val="0"/>
              <w:overflowPunct w:val="0"/>
              <w:rPr>
                <w:lang w:val="da-DK"/>
              </w:rPr>
            </w:pPr>
          </w:p>
        </w:tc>
      </w:tr>
      <w:tr w:rsidR="00D22BF6" w:rsidRPr="003D4A39" w14:paraId="1219C39E" w14:textId="77777777" w:rsidTr="00D22BF6">
        <w:trPr>
          <w:trHeight w:val="252"/>
        </w:trPr>
        <w:tc>
          <w:tcPr>
            <w:tcW w:w="3210" w:type="dxa"/>
            <w:tcBorders>
              <w:top w:val="none" w:sz="6" w:space="0" w:color="auto"/>
              <w:left w:val="single" w:sz="4" w:space="0" w:color="000000"/>
              <w:bottom w:val="none" w:sz="6" w:space="0" w:color="auto"/>
              <w:right w:val="single" w:sz="4" w:space="0" w:color="000000"/>
            </w:tcBorders>
          </w:tcPr>
          <w:p w14:paraId="56FD97C1" w14:textId="77777777" w:rsidR="00D22BF6" w:rsidRPr="00DB45E4" w:rsidRDefault="00D22BF6" w:rsidP="00D22BF6">
            <w:pPr>
              <w:pStyle w:val="TableParagraph"/>
              <w:kinsoku w:val="0"/>
              <w:overflowPunct w:val="0"/>
              <w:spacing w:line="232" w:lineRule="exact"/>
              <w:ind w:firstLine="144"/>
              <w:rPr>
                <w:lang w:val="da-DK"/>
              </w:rPr>
            </w:pPr>
            <w:r w:rsidRPr="00DB45E4">
              <w:rPr>
                <w:lang w:val="da-DK"/>
              </w:rPr>
              <w:t>Median</w:t>
            </w:r>
            <w:r w:rsidRPr="00DB45E4">
              <w:rPr>
                <w:spacing w:val="-5"/>
                <w:lang w:val="da-DK"/>
              </w:rPr>
              <w:t xml:space="preserve"> </w:t>
            </w:r>
            <w:r w:rsidRPr="00DB45E4">
              <w:rPr>
                <w:lang w:val="da-DK"/>
              </w:rPr>
              <w:t>(</w:t>
            </w:r>
            <w:r w:rsidRPr="003D4A39">
              <w:rPr>
                <w:lang w:val="da-DK"/>
              </w:rPr>
              <w:t>måneder</w:t>
            </w:r>
            <w:r w:rsidRPr="00DB45E4">
              <w:rPr>
                <w:lang w:val="da-DK"/>
              </w:rPr>
              <w:t>)</w:t>
            </w:r>
          </w:p>
        </w:tc>
        <w:tc>
          <w:tcPr>
            <w:tcW w:w="3210" w:type="dxa"/>
            <w:tcBorders>
              <w:top w:val="none" w:sz="6" w:space="0" w:color="auto"/>
              <w:left w:val="single" w:sz="4" w:space="0" w:color="000000"/>
              <w:bottom w:val="none" w:sz="6" w:space="0" w:color="auto"/>
              <w:right w:val="single" w:sz="4" w:space="0" w:color="000000"/>
            </w:tcBorders>
          </w:tcPr>
          <w:p w14:paraId="59B3AC7D" w14:textId="77777777" w:rsidR="00D22BF6" w:rsidRPr="00DB45E4" w:rsidRDefault="00D22BF6" w:rsidP="00D22BF6">
            <w:pPr>
              <w:pStyle w:val="TableParagraph"/>
              <w:kinsoku w:val="0"/>
              <w:overflowPunct w:val="0"/>
              <w:spacing w:line="232" w:lineRule="exact"/>
              <w:ind w:right="527"/>
              <w:jc w:val="center"/>
              <w:rPr>
                <w:lang w:val="da-DK"/>
              </w:rPr>
            </w:pPr>
            <w:r w:rsidRPr="00DB45E4">
              <w:rPr>
                <w:lang w:val="da-DK"/>
              </w:rPr>
              <w:t>20</w:t>
            </w:r>
            <w:r w:rsidRPr="003D4A39">
              <w:rPr>
                <w:lang w:val="da-DK"/>
              </w:rPr>
              <w:t>,</w:t>
            </w:r>
            <w:r w:rsidRPr="00DB45E4">
              <w:rPr>
                <w:lang w:val="da-DK"/>
              </w:rPr>
              <w:t>2</w:t>
            </w:r>
          </w:p>
        </w:tc>
        <w:tc>
          <w:tcPr>
            <w:tcW w:w="3210" w:type="dxa"/>
            <w:tcBorders>
              <w:top w:val="none" w:sz="6" w:space="0" w:color="auto"/>
              <w:left w:val="single" w:sz="4" w:space="0" w:color="000000"/>
              <w:bottom w:val="none" w:sz="6" w:space="0" w:color="auto"/>
              <w:right w:val="single" w:sz="4" w:space="0" w:color="000000"/>
            </w:tcBorders>
          </w:tcPr>
          <w:p w14:paraId="5CED2E65" w14:textId="77777777" w:rsidR="00D22BF6" w:rsidRPr="00A27A02" w:rsidRDefault="00D22BF6" w:rsidP="00D22BF6">
            <w:pPr>
              <w:pStyle w:val="TableParagraph"/>
              <w:kinsoku w:val="0"/>
              <w:overflowPunct w:val="0"/>
              <w:spacing w:line="232" w:lineRule="exact"/>
              <w:ind w:right="296"/>
              <w:jc w:val="center"/>
              <w:rPr>
                <w:lang w:val="da-DK"/>
              </w:rPr>
            </w:pPr>
            <w:r w:rsidRPr="00DB45E4">
              <w:rPr>
                <w:lang w:val="da-DK"/>
              </w:rPr>
              <w:t>11</w:t>
            </w:r>
            <w:r w:rsidRPr="003D4A39">
              <w:rPr>
                <w:lang w:val="da-DK"/>
              </w:rPr>
              <w:t>,</w:t>
            </w:r>
            <w:r w:rsidRPr="00A27A02">
              <w:rPr>
                <w:lang w:val="da-DK"/>
              </w:rPr>
              <w:t>7</w:t>
            </w:r>
          </w:p>
        </w:tc>
      </w:tr>
      <w:tr w:rsidR="00D22BF6" w:rsidRPr="003D4A39" w14:paraId="7A63A35C" w14:textId="77777777" w:rsidTr="00D22BF6">
        <w:trPr>
          <w:trHeight w:val="253"/>
        </w:trPr>
        <w:tc>
          <w:tcPr>
            <w:tcW w:w="3210" w:type="dxa"/>
            <w:tcBorders>
              <w:top w:val="none" w:sz="6" w:space="0" w:color="auto"/>
              <w:left w:val="single" w:sz="4" w:space="0" w:color="000000"/>
              <w:bottom w:val="none" w:sz="6" w:space="0" w:color="auto"/>
              <w:right w:val="single" w:sz="4" w:space="0" w:color="000000"/>
            </w:tcBorders>
          </w:tcPr>
          <w:p w14:paraId="01723F99" w14:textId="77777777" w:rsidR="00D22BF6" w:rsidRPr="00DB45E4" w:rsidRDefault="00D22BF6" w:rsidP="00D22BF6">
            <w:pPr>
              <w:pStyle w:val="TableParagraph"/>
              <w:kinsoku w:val="0"/>
              <w:overflowPunct w:val="0"/>
              <w:spacing w:line="233" w:lineRule="exact"/>
              <w:ind w:firstLine="144"/>
              <w:rPr>
                <w:lang w:val="da-DK"/>
              </w:rPr>
            </w:pPr>
            <w:r w:rsidRPr="00DB45E4">
              <w:rPr>
                <w:lang w:val="da-DK"/>
              </w:rPr>
              <w:t>95%</w:t>
            </w:r>
            <w:r w:rsidRPr="00DB45E4">
              <w:rPr>
                <w:spacing w:val="1"/>
                <w:lang w:val="da-DK"/>
              </w:rPr>
              <w:t xml:space="preserve"> </w:t>
            </w:r>
            <w:r w:rsidRPr="00DB45E4">
              <w:rPr>
                <w:lang w:val="da-DK"/>
              </w:rPr>
              <w:t>CI</w:t>
            </w:r>
          </w:p>
        </w:tc>
        <w:tc>
          <w:tcPr>
            <w:tcW w:w="3210" w:type="dxa"/>
            <w:tcBorders>
              <w:top w:val="none" w:sz="6" w:space="0" w:color="auto"/>
              <w:left w:val="single" w:sz="4" w:space="0" w:color="000000"/>
              <w:bottom w:val="none" w:sz="6" w:space="0" w:color="auto"/>
              <w:right w:val="single" w:sz="4" w:space="0" w:color="000000"/>
            </w:tcBorders>
          </w:tcPr>
          <w:p w14:paraId="16FE70BB" w14:textId="77777777" w:rsidR="00D22BF6" w:rsidRPr="00DB45E4" w:rsidRDefault="00D22BF6" w:rsidP="00D22BF6">
            <w:pPr>
              <w:pStyle w:val="TableParagraph"/>
              <w:kinsoku w:val="0"/>
              <w:overflowPunct w:val="0"/>
              <w:spacing w:line="233" w:lineRule="exact"/>
              <w:ind w:right="527"/>
              <w:jc w:val="center"/>
              <w:rPr>
                <w:lang w:val="da-DK"/>
              </w:rPr>
            </w:pPr>
            <w:r w:rsidRPr="00DB45E4">
              <w:rPr>
                <w:lang w:val="da-DK"/>
              </w:rPr>
              <w:t>(17</w:t>
            </w:r>
            <w:r w:rsidRPr="003D4A39">
              <w:rPr>
                <w:lang w:val="da-DK"/>
              </w:rPr>
              <w:t>,</w:t>
            </w:r>
            <w:r w:rsidRPr="00DB45E4">
              <w:rPr>
                <w:lang w:val="da-DK"/>
              </w:rPr>
              <w:t>2-23</w:t>
            </w:r>
            <w:r w:rsidRPr="003D4A39">
              <w:rPr>
                <w:lang w:val="da-DK"/>
              </w:rPr>
              <w:t>,</w:t>
            </w:r>
            <w:r w:rsidRPr="00DB45E4">
              <w:rPr>
                <w:lang w:val="da-DK"/>
              </w:rPr>
              <w:t>6)</w:t>
            </w:r>
          </w:p>
        </w:tc>
        <w:tc>
          <w:tcPr>
            <w:tcW w:w="3210" w:type="dxa"/>
            <w:tcBorders>
              <w:top w:val="none" w:sz="6" w:space="0" w:color="auto"/>
              <w:left w:val="single" w:sz="4" w:space="0" w:color="000000"/>
              <w:bottom w:val="none" w:sz="6" w:space="0" w:color="auto"/>
              <w:right w:val="single" w:sz="4" w:space="0" w:color="000000"/>
            </w:tcBorders>
          </w:tcPr>
          <w:p w14:paraId="3A37667D" w14:textId="77777777" w:rsidR="00D22BF6" w:rsidRPr="00A27A02" w:rsidRDefault="00D22BF6" w:rsidP="00D22BF6">
            <w:pPr>
              <w:pStyle w:val="TableParagraph"/>
              <w:kinsoku w:val="0"/>
              <w:overflowPunct w:val="0"/>
              <w:spacing w:line="233" w:lineRule="exact"/>
              <w:ind w:right="298"/>
              <w:jc w:val="center"/>
              <w:rPr>
                <w:lang w:val="da-DK"/>
              </w:rPr>
            </w:pPr>
            <w:r w:rsidRPr="00DB45E4">
              <w:rPr>
                <w:lang w:val="da-DK"/>
              </w:rPr>
              <w:t>(10</w:t>
            </w:r>
            <w:r w:rsidRPr="003D4A39">
              <w:rPr>
                <w:lang w:val="da-DK"/>
              </w:rPr>
              <w:t>,</w:t>
            </w:r>
            <w:r w:rsidRPr="00DB45E4">
              <w:rPr>
                <w:lang w:val="da-DK"/>
              </w:rPr>
              <w:t>8-14</w:t>
            </w:r>
            <w:r w:rsidRPr="003D4A39">
              <w:rPr>
                <w:lang w:val="da-DK"/>
              </w:rPr>
              <w:t>,</w:t>
            </w:r>
            <w:r w:rsidRPr="00A27A02">
              <w:rPr>
                <w:lang w:val="da-DK"/>
              </w:rPr>
              <w:t>7)</w:t>
            </w:r>
          </w:p>
        </w:tc>
      </w:tr>
      <w:tr w:rsidR="00D22BF6" w:rsidRPr="003D4A39" w14:paraId="527F94E2" w14:textId="77777777" w:rsidTr="00D22BF6">
        <w:trPr>
          <w:trHeight w:val="276"/>
        </w:trPr>
        <w:tc>
          <w:tcPr>
            <w:tcW w:w="3210" w:type="dxa"/>
            <w:tcBorders>
              <w:top w:val="none" w:sz="6" w:space="0" w:color="auto"/>
              <w:left w:val="single" w:sz="4" w:space="0" w:color="000000"/>
              <w:bottom w:val="none" w:sz="6" w:space="0" w:color="auto"/>
              <w:right w:val="single" w:sz="4" w:space="0" w:color="000000"/>
            </w:tcBorders>
          </w:tcPr>
          <w:p w14:paraId="5B7EEFC4" w14:textId="77777777" w:rsidR="00D22BF6" w:rsidRPr="00DB45E4" w:rsidRDefault="00D22BF6" w:rsidP="00D22BF6">
            <w:pPr>
              <w:pStyle w:val="TableParagraph"/>
              <w:kinsoku w:val="0"/>
              <w:overflowPunct w:val="0"/>
              <w:spacing w:line="257" w:lineRule="exact"/>
              <w:ind w:firstLine="144"/>
              <w:rPr>
                <w:lang w:val="da-DK"/>
              </w:rPr>
            </w:pPr>
            <w:r w:rsidRPr="003D4A39">
              <w:rPr>
                <w:lang w:val="da-DK"/>
              </w:rPr>
              <w:t xml:space="preserve">Justeret </w:t>
            </w:r>
            <w:r w:rsidRPr="00DB45E4">
              <w:rPr>
                <w:i/>
                <w:iCs/>
                <w:lang w:val="da-DK"/>
              </w:rPr>
              <w:t>hazard</w:t>
            </w:r>
            <w:r w:rsidRPr="00DB45E4">
              <w:rPr>
                <w:spacing w:val="-2"/>
                <w:lang w:val="da-DK"/>
              </w:rPr>
              <w:t xml:space="preserve"> </w:t>
            </w:r>
            <w:r w:rsidRPr="00DB45E4">
              <w:rPr>
                <w:lang w:val="da-DK"/>
              </w:rPr>
              <w:t>ratio</w:t>
            </w:r>
          </w:p>
        </w:tc>
        <w:tc>
          <w:tcPr>
            <w:tcW w:w="3210" w:type="dxa"/>
            <w:tcBorders>
              <w:top w:val="none" w:sz="6" w:space="0" w:color="auto"/>
              <w:left w:val="single" w:sz="4" w:space="0" w:color="000000"/>
              <w:bottom w:val="none" w:sz="6" w:space="0" w:color="auto"/>
              <w:right w:val="single" w:sz="4" w:space="0" w:color="000000"/>
            </w:tcBorders>
          </w:tcPr>
          <w:p w14:paraId="2FC1090C" w14:textId="77777777" w:rsidR="00D22BF6" w:rsidRPr="00DB45E4" w:rsidRDefault="00D22BF6" w:rsidP="00D22BF6">
            <w:pPr>
              <w:pStyle w:val="TableParagraph"/>
              <w:kinsoku w:val="0"/>
              <w:overflowPunct w:val="0"/>
              <w:spacing w:line="249" w:lineRule="exact"/>
              <w:ind w:right="527"/>
              <w:jc w:val="center"/>
              <w:rPr>
                <w:lang w:val="da-DK"/>
              </w:rPr>
            </w:pPr>
            <w:r w:rsidRPr="00DB45E4">
              <w:rPr>
                <w:lang w:val="da-DK"/>
              </w:rPr>
              <w:t>0</w:t>
            </w:r>
            <w:r w:rsidRPr="003D4A39">
              <w:rPr>
                <w:lang w:val="da-DK"/>
              </w:rPr>
              <w:t>,</w:t>
            </w:r>
            <w:r w:rsidRPr="00DB45E4">
              <w:rPr>
                <w:lang w:val="da-DK"/>
              </w:rPr>
              <w:t>61</w:t>
            </w:r>
          </w:p>
        </w:tc>
        <w:tc>
          <w:tcPr>
            <w:tcW w:w="3210" w:type="dxa"/>
            <w:tcBorders>
              <w:top w:val="none" w:sz="6" w:space="0" w:color="auto"/>
              <w:left w:val="single" w:sz="4" w:space="0" w:color="000000"/>
              <w:bottom w:val="none" w:sz="6" w:space="0" w:color="auto"/>
              <w:right w:val="single" w:sz="4" w:space="0" w:color="000000"/>
            </w:tcBorders>
          </w:tcPr>
          <w:p w14:paraId="1B84D8D8" w14:textId="77777777" w:rsidR="00D22BF6" w:rsidRPr="00DB45E4" w:rsidRDefault="00D22BF6" w:rsidP="00D22BF6">
            <w:pPr>
              <w:pStyle w:val="TableParagraph"/>
              <w:kinsoku w:val="0"/>
              <w:overflowPunct w:val="0"/>
              <w:spacing w:line="249" w:lineRule="exact"/>
              <w:ind w:right="300"/>
              <w:jc w:val="center"/>
              <w:rPr>
                <w:lang w:val="da-DK"/>
              </w:rPr>
            </w:pPr>
            <w:r w:rsidRPr="00DB45E4">
              <w:rPr>
                <w:lang w:val="da-DK"/>
              </w:rPr>
              <w:t>--</w:t>
            </w:r>
          </w:p>
        </w:tc>
      </w:tr>
      <w:tr w:rsidR="00D22BF6" w:rsidRPr="003D4A39" w14:paraId="79EF1F23" w14:textId="77777777" w:rsidTr="00D22BF6">
        <w:trPr>
          <w:trHeight w:val="252"/>
        </w:trPr>
        <w:tc>
          <w:tcPr>
            <w:tcW w:w="3210" w:type="dxa"/>
            <w:tcBorders>
              <w:top w:val="none" w:sz="6" w:space="0" w:color="auto"/>
              <w:left w:val="single" w:sz="4" w:space="0" w:color="000000"/>
              <w:bottom w:val="none" w:sz="6" w:space="0" w:color="auto"/>
              <w:right w:val="single" w:sz="4" w:space="0" w:color="000000"/>
            </w:tcBorders>
          </w:tcPr>
          <w:p w14:paraId="037F87B5" w14:textId="77777777" w:rsidR="00D22BF6" w:rsidRPr="00DB45E4" w:rsidRDefault="00D22BF6" w:rsidP="00D22BF6">
            <w:pPr>
              <w:pStyle w:val="TableParagraph"/>
              <w:kinsoku w:val="0"/>
              <w:overflowPunct w:val="0"/>
              <w:spacing w:line="232" w:lineRule="exact"/>
              <w:ind w:firstLine="144"/>
              <w:rPr>
                <w:lang w:val="da-DK"/>
              </w:rPr>
            </w:pPr>
            <w:r w:rsidRPr="00DB45E4">
              <w:rPr>
                <w:lang w:val="da-DK"/>
              </w:rPr>
              <w:t>95%</w:t>
            </w:r>
            <w:r w:rsidRPr="00DB45E4">
              <w:rPr>
                <w:spacing w:val="1"/>
                <w:lang w:val="da-DK"/>
              </w:rPr>
              <w:t xml:space="preserve"> </w:t>
            </w:r>
            <w:r w:rsidRPr="00DB45E4">
              <w:rPr>
                <w:lang w:val="da-DK"/>
              </w:rPr>
              <w:t>CI</w:t>
            </w:r>
          </w:p>
        </w:tc>
        <w:tc>
          <w:tcPr>
            <w:tcW w:w="3210" w:type="dxa"/>
            <w:tcBorders>
              <w:top w:val="none" w:sz="6" w:space="0" w:color="auto"/>
              <w:left w:val="single" w:sz="4" w:space="0" w:color="000000"/>
              <w:bottom w:val="none" w:sz="6" w:space="0" w:color="auto"/>
              <w:right w:val="single" w:sz="4" w:space="0" w:color="000000"/>
            </w:tcBorders>
          </w:tcPr>
          <w:p w14:paraId="4E85E9EB" w14:textId="77777777" w:rsidR="00D22BF6" w:rsidRPr="00DB45E4" w:rsidRDefault="00D22BF6" w:rsidP="00D22BF6">
            <w:pPr>
              <w:pStyle w:val="TableParagraph"/>
              <w:kinsoku w:val="0"/>
              <w:overflowPunct w:val="0"/>
              <w:spacing w:line="232" w:lineRule="exact"/>
              <w:ind w:right="527"/>
              <w:jc w:val="center"/>
              <w:rPr>
                <w:lang w:val="da-DK"/>
              </w:rPr>
            </w:pPr>
            <w:r w:rsidRPr="00DB45E4">
              <w:rPr>
                <w:lang w:val="da-DK"/>
              </w:rPr>
              <w:t>(0</w:t>
            </w:r>
            <w:r w:rsidRPr="003D4A39">
              <w:rPr>
                <w:lang w:val="da-DK"/>
              </w:rPr>
              <w:t>,</w:t>
            </w:r>
            <w:r w:rsidRPr="00DB45E4">
              <w:rPr>
                <w:lang w:val="da-DK"/>
              </w:rPr>
              <w:t>51-0</w:t>
            </w:r>
            <w:r w:rsidRPr="003D4A39">
              <w:rPr>
                <w:lang w:val="da-DK"/>
              </w:rPr>
              <w:t>,</w:t>
            </w:r>
            <w:r w:rsidRPr="00DB45E4">
              <w:rPr>
                <w:lang w:val="da-DK"/>
              </w:rPr>
              <w:t>72)</w:t>
            </w:r>
          </w:p>
        </w:tc>
        <w:tc>
          <w:tcPr>
            <w:tcW w:w="3210" w:type="dxa"/>
            <w:tcBorders>
              <w:top w:val="none" w:sz="6" w:space="0" w:color="auto"/>
              <w:left w:val="single" w:sz="4" w:space="0" w:color="000000"/>
              <w:bottom w:val="none" w:sz="6" w:space="0" w:color="auto"/>
              <w:right w:val="single" w:sz="4" w:space="0" w:color="000000"/>
            </w:tcBorders>
          </w:tcPr>
          <w:p w14:paraId="026BBAEF" w14:textId="77777777" w:rsidR="00D22BF6" w:rsidRPr="00DB45E4" w:rsidRDefault="00D22BF6" w:rsidP="00D22BF6">
            <w:pPr>
              <w:pStyle w:val="TableParagraph"/>
              <w:kinsoku w:val="0"/>
              <w:overflowPunct w:val="0"/>
              <w:spacing w:line="232" w:lineRule="exact"/>
              <w:ind w:right="300"/>
              <w:jc w:val="center"/>
              <w:rPr>
                <w:lang w:val="da-DK"/>
              </w:rPr>
            </w:pPr>
            <w:r w:rsidRPr="00DB45E4">
              <w:rPr>
                <w:lang w:val="da-DK"/>
              </w:rPr>
              <w:t>--</w:t>
            </w:r>
          </w:p>
        </w:tc>
      </w:tr>
      <w:tr w:rsidR="00D22BF6" w:rsidRPr="003D4A39" w14:paraId="41792A6D" w14:textId="77777777" w:rsidTr="00D22BF6">
        <w:trPr>
          <w:trHeight w:val="310"/>
        </w:trPr>
        <w:tc>
          <w:tcPr>
            <w:tcW w:w="3210" w:type="dxa"/>
            <w:tcBorders>
              <w:top w:val="none" w:sz="6" w:space="0" w:color="auto"/>
              <w:left w:val="single" w:sz="4" w:space="0" w:color="000000"/>
              <w:bottom w:val="single" w:sz="4" w:space="0" w:color="000000"/>
              <w:right w:val="single" w:sz="4" w:space="0" w:color="000000"/>
            </w:tcBorders>
          </w:tcPr>
          <w:p w14:paraId="658A8A62" w14:textId="77777777" w:rsidR="00D22BF6" w:rsidRPr="00DB45E4" w:rsidRDefault="00D22BF6" w:rsidP="00D22BF6">
            <w:pPr>
              <w:pStyle w:val="TableParagraph"/>
              <w:kinsoku w:val="0"/>
              <w:overflowPunct w:val="0"/>
              <w:spacing w:line="291" w:lineRule="exact"/>
              <w:ind w:firstLine="144"/>
              <w:rPr>
                <w:i/>
                <w:iCs/>
                <w:position w:val="6"/>
                <w:lang w:val="da-DK"/>
              </w:rPr>
            </w:pPr>
            <w:r w:rsidRPr="00DB45E4">
              <w:rPr>
                <w:lang w:val="da-DK"/>
              </w:rPr>
              <w:t>p-v</w:t>
            </w:r>
            <w:r w:rsidRPr="003D4A39">
              <w:rPr>
                <w:lang w:val="da-DK"/>
              </w:rPr>
              <w:t>ærdi</w:t>
            </w:r>
            <w:r w:rsidRPr="00DB45E4">
              <w:rPr>
                <w:i/>
                <w:iCs/>
                <w:position w:val="6"/>
                <w:lang w:val="da-DK"/>
              </w:rPr>
              <w:t>a*</w:t>
            </w:r>
          </w:p>
        </w:tc>
        <w:tc>
          <w:tcPr>
            <w:tcW w:w="3210" w:type="dxa"/>
            <w:tcBorders>
              <w:top w:val="none" w:sz="6" w:space="0" w:color="auto"/>
              <w:left w:val="single" w:sz="4" w:space="0" w:color="000000"/>
              <w:bottom w:val="single" w:sz="4" w:space="0" w:color="000000"/>
              <w:right w:val="single" w:sz="4" w:space="0" w:color="000000"/>
            </w:tcBorders>
          </w:tcPr>
          <w:p w14:paraId="0EEBCE83" w14:textId="77777777" w:rsidR="00D22BF6" w:rsidRPr="00DB45E4" w:rsidRDefault="00D22BF6" w:rsidP="00D22BF6">
            <w:pPr>
              <w:pStyle w:val="TableParagraph"/>
              <w:kinsoku w:val="0"/>
              <w:overflowPunct w:val="0"/>
              <w:spacing w:line="248" w:lineRule="exact"/>
              <w:ind w:right="527"/>
              <w:jc w:val="center"/>
              <w:rPr>
                <w:lang w:val="da-DK"/>
              </w:rPr>
            </w:pPr>
            <w:r w:rsidRPr="00DB45E4">
              <w:rPr>
                <w:lang w:val="da-DK"/>
              </w:rPr>
              <w:t>&lt;0</w:t>
            </w:r>
            <w:r w:rsidRPr="003D4A39">
              <w:rPr>
                <w:lang w:val="da-DK"/>
              </w:rPr>
              <w:t>,</w:t>
            </w:r>
            <w:r w:rsidRPr="00A27A02">
              <w:rPr>
                <w:lang w:val="da-DK"/>
              </w:rPr>
              <w:t>0001</w:t>
            </w:r>
          </w:p>
        </w:tc>
        <w:tc>
          <w:tcPr>
            <w:tcW w:w="3210" w:type="dxa"/>
            <w:tcBorders>
              <w:top w:val="none" w:sz="6" w:space="0" w:color="auto"/>
              <w:left w:val="single" w:sz="4" w:space="0" w:color="000000"/>
              <w:bottom w:val="single" w:sz="4" w:space="0" w:color="000000"/>
              <w:right w:val="single" w:sz="4" w:space="0" w:color="000000"/>
            </w:tcBorders>
          </w:tcPr>
          <w:p w14:paraId="075E2334" w14:textId="77777777" w:rsidR="00D22BF6" w:rsidRPr="00DB45E4" w:rsidRDefault="00D22BF6" w:rsidP="00D22BF6">
            <w:pPr>
              <w:pStyle w:val="TableParagraph"/>
              <w:kinsoku w:val="0"/>
              <w:overflowPunct w:val="0"/>
              <w:spacing w:line="248" w:lineRule="exact"/>
              <w:ind w:right="300"/>
              <w:jc w:val="center"/>
              <w:rPr>
                <w:lang w:val="da-DK"/>
              </w:rPr>
            </w:pPr>
            <w:r w:rsidRPr="00DB45E4">
              <w:rPr>
                <w:lang w:val="da-DK"/>
              </w:rPr>
              <w:t>--</w:t>
            </w:r>
          </w:p>
        </w:tc>
      </w:tr>
      <w:tr w:rsidR="00D22BF6" w:rsidRPr="003D4A39" w14:paraId="3BC6DEB8" w14:textId="77777777" w:rsidTr="00D22BF6">
        <w:trPr>
          <w:trHeight w:val="315"/>
        </w:trPr>
        <w:tc>
          <w:tcPr>
            <w:tcW w:w="3210" w:type="dxa"/>
            <w:tcBorders>
              <w:top w:val="single" w:sz="4" w:space="0" w:color="000000"/>
              <w:left w:val="single" w:sz="4" w:space="0" w:color="000000"/>
              <w:bottom w:val="none" w:sz="6" w:space="0" w:color="auto"/>
              <w:right w:val="single" w:sz="4" w:space="0" w:color="000000"/>
            </w:tcBorders>
          </w:tcPr>
          <w:p w14:paraId="605D7BB3" w14:textId="77777777" w:rsidR="00D22BF6" w:rsidRPr="00DB45E4" w:rsidRDefault="00D22BF6" w:rsidP="00D22BF6">
            <w:pPr>
              <w:pStyle w:val="TableParagraph"/>
              <w:keepNext/>
              <w:keepLines/>
              <w:kinsoku w:val="0"/>
              <w:overflowPunct w:val="0"/>
              <w:spacing w:line="295" w:lineRule="exact"/>
              <w:ind w:firstLine="144"/>
              <w:rPr>
                <w:i/>
                <w:iCs/>
                <w:position w:val="6"/>
                <w:lang w:val="da-DK"/>
              </w:rPr>
            </w:pPr>
            <w:r w:rsidRPr="00DB45E4">
              <w:rPr>
                <w:lang w:val="da-DK"/>
              </w:rPr>
              <w:t>T</w:t>
            </w:r>
            <w:r w:rsidRPr="003D4A39">
              <w:rPr>
                <w:lang w:val="da-DK"/>
              </w:rPr>
              <w:t>id til klinisk progression</w:t>
            </w:r>
            <w:r w:rsidRPr="00DB45E4">
              <w:rPr>
                <w:i/>
                <w:iCs/>
                <w:position w:val="6"/>
                <w:lang w:val="da-DK"/>
              </w:rPr>
              <w:t>c</w:t>
            </w:r>
          </w:p>
        </w:tc>
        <w:tc>
          <w:tcPr>
            <w:tcW w:w="3210" w:type="dxa"/>
            <w:tcBorders>
              <w:top w:val="single" w:sz="4" w:space="0" w:color="000000"/>
              <w:left w:val="single" w:sz="4" w:space="0" w:color="000000"/>
              <w:bottom w:val="none" w:sz="6" w:space="0" w:color="auto"/>
              <w:right w:val="single" w:sz="4" w:space="0" w:color="000000"/>
            </w:tcBorders>
          </w:tcPr>
          <w:p w14:paraId="7D5F75A3" w14:textId="77777777" w:rsidR="00D22BF6" w:rsidRPr="00DB45E4" w:rsidRDefault="00D22BF6" w:rsidP="00D22BF6">
            <w:pPr>
              <w:pStyle w:val="TableParagraph"/>
              <w:keepNext/>
              <w:keepLines/>
              <w:kinsoku w:val="0"/>
              <w:overflowPunct w:val="0"/>
              <w:rPr>
                <w:lang w:val="da-DK"/>
              </w:rPr>
            </w:pPr>
          </w:p>
        </w:tc>
        <w:tc>
          <w:tcPr>
            <w:tcW w:w="3210" w:type="dxa"/>
            <w:tcBorders>
              <w:top w:val="single" w:sz="4" w:space="0" w:color="000000"/>
              <w:left w:val="single" w:sz="4" w:space="0" w:color="000000"/>
              <w:bottom w:val="none" w:sz="6" w:space="0" w:color="auto"/>
              <w:right w:val="single" w:sz="4" w:space="0" w:color="000000"/>
            </w:tcBorders>
          </w:tcPr>
          <w:p w14:paraId="5230F8D5" w14:textId="77777777" w:rsidR="00D22BF6" w:rsidRPr="00DB45E4" w:rsidRDefault="00D22BF6" w:rsidP="00D22BF6">
            <w:pPr>
              <w:pStyle w:val="TableParagraph"/>
              <w:keepNext/>
              <w:keepLines/>
              <w:kinsoku w:val="0"/>
              <w:overflowPunct w:val="0"/>
              <w:rPr>
                <w:lang w:val="da-DK"/>
              </w:rPr>
            </w:pPr>
          </w:p>
        </w:tc>
      </w:tr>
      <w:tr w:rsidR="00D22BF6" w:rsidRPr="003D4A39" w14:paraId="784144CB" w14:textId="77777777" w:rsidTr="00D22BF6">
        <w:trPr>
          <w:trHeight w:val="253"/>
        </w:trPr>
        <w:tc>
          <w:tcPr>
            <w:tcW w:w="3210" w:type="dxa"/>
            <w:tcBorders>
              <w:top w:val="none" w:sz="6" w:space="0" w:color="auto"/>
              <w:left w:val="single" w:sz="4" w:space="0" w:color="000000"/>
              <w:bottom w:val="none" w:sz="6" w:space="0" w:color="auto"/>
              <w:right w:val="single" w:sz="4" w:space="0" w:color="000000"/>
            </w:tcBorders>
          </w:tcPr>
          <w:p w14:paraId="575AFC6E" w14:textId="77777777" w:rsidR="00D22BF6" w:rsidRPr="00DB45E4" w:rsidRDefault="00D22BF6" w:rsidP="00D22BF6">
            <w:pPr>
              <w:pStyle w:val="TableParagraph"/>
              <w:keepNext/>
              <w:keepLines/>
              <w:kinsoku w:val="0"/>
              <w:overflowPunct w:val="0"/>
              <w:spacing w:line="233" w:lineRule="exact"/>
              <w:ind w:firstLine="144"/>
              <w:rPr>
                <w:lang w:val="da-DK"/>
              </w:rPr>
            </w:pPr>
            <w:r w:rsidRPr="00DB45E4">
              <w:rPr>
                <w:lang w:val="da-DK"/>
              </w:rPr>
              <w:t>Median</w:t>
            </w:r>
            <w:r w:rsidRPr="00DB45E4">
              <w:rPr>
                <w:spacing w:val="-5"/>
                <w:lang w:val="da-DK"/>
              </w:rPr>
              <w:t xml:space="preserve"> </w:t>
            </w:r>
            <w:r w:rsidRPr="00DB45E4">
              <w:rPr>
                <w:lang w:val="da-DK"/>
              </w:rPr>
              <w:t>(</w:t>
            </w:r>
            <w:r w:rsidRPr="003D4A39">
              <w:rPr>
                <w:lang w:val="da-DK"/>
              </w:rPr>
              <w:t>måneder</w:t>
            </w:r>
            <w:r w:rsidRPr="00DB45E4">
              <w:rPr>
                <w:lang w:val="da-DK"/>
              </w:rPr>
              <w:t>)</w:t>
            </w:r>
          </w:p>
        </w:tc>
        <w:tc>
          <w:tcPr>
            <w:tcW w:w="3210" w:type="dxa"/>
            <w:tcBorders>
              <w:top w:val="none" w:sz="6" w:space="0" w:color="auto"/>
              <w:left w:val="single" w:sz="4" w:space="0" w:color="000000"/>
              <w:bottom w:val="none" w:sz="6" w:space="0" w:color="auto"/>
              <w:right w:val="single" w:sz="4" w:space="0" w:color="000000"/>
            </w:tcBorders>
          </w:tcPr>
          <w:p w14:paraId="5892DBA8" w14:textId="77777777" w:rsidR="00D22BF6" w:rsidRPr="00DB45E4" w:rsidRDefault="00D22BF6" w:rsidP="00D22BF6">
            <w:pPr>
              <w:pStyle w:val="TableParagraph"/>
              <w:keepNext/>
              <w:keepLines/>
              <w:kinsoku w:val="0"/>
              <w:overflowPunct w:val="0"/>
              <w:spacing w:line="233" w:lineRule="exact"/>
              <w:ind w:right="527"/>
              <w:jc w:val="center"/>
              <w:rPr>
                <w:lang w:val="da-DK"/>
              </w:rPr>
            </w:pPr>
            <w:r w:rsidRPr="00DB45E4">
              <w:rPr>
                <w:lang w:val="da-DK"/>
              </w:rPr>
              <w:t>33</w:t>
            </w:r>
            <w:r w:rsidRPr="003D4A39">
              <w:rPr>
                <w:lang w:val="da-DK"/>
              </w:rPr>
              <w:t>,</w:t>
            </w:r>
            <w:r w:rsidRPr="00DB45E4">
              <w:rPr>
                <w:lang w:val="da-DK"/>
              </w:rPr>
              <w:t>0</w:t>
            </w:r>
          </w:p>
        </w:tc>
        <w:tc>
          <w:tcPr>
            <w:tcW w:w="3210" w:type="dxa"/>
            <w:tcBorders>
              <w:top w:val="none" w:sz="6" w:space="0" w:color="auto"/>
              <w:left w:val="single" w:sz="4" w:space="0" w:color="000000"/>
              <w:bottom w:val="none" w:sz="6" w:space="0" w:color="auto"/>
              <w:right w:val="single" w:sz="4" w:space="0" w:color="000000"/>
            </w:tcBorders>
          </w:tcPr>
          <w:p w14:paraId="150191C1" w14:textId="77777777" w:rsidR="00D22BF6" w:rsidRPr="00DB45E4" w:rsidRDefault="00D22BF6" w:rsidP="00D22BF6">
            <w:pPr>
              <w:pStyle w:val="TableParagraph"/>
              <w:keepNext/>
              <w:keepLines/>
              <w:kinsoku w:val="0"/>
              <w:overflowPunct w:val="0"/>
              <w:spacing w:line="233" w:lineRule="exact"/>
              <w:ind w:right="296"/>
              <w:jc w:val="center"/>
              <w:rPr>
                <w:lang w:val="da-DK"/>
              </w:rPr>
            </w:pPr>
            <w:r w:rsidRPr="00DB45E4">
              <w:rPr>
                <w:lang w:val="da-DK"/>
              </w:rPr>
              <w:t>19</w:t>
            </w:r>
            <w:r w:rsidRPr="003D4A39">
              <w:rPr>
                <w:lang w:val="da-DK"/>
              </w:rPr>
              <w:t>,</w:t>
            </w:r>
            <w:r w:rsidRPr="00DB45E4">
              <w:rPr>
                <w:lang w:val="da-DK"/>
              </w:rPr>
              <w:t>8</w:t>
            </w:r>
          </w:p>
        </w:tc>
      </w:tr>
      <w:tr w:rsidR="00D22BF6" w:rsidRPr="003D4A39" w14:paraId="450CCC40" w14:textId="77777777" w:rsidTr="00D22BF6">
        <w:trPr>
          <w:trHeight w:val="253"/>
        </w:trPr>
        <w:tc>
          <w:tcPr>
            <w:tcW w:w="3210" w:type="dxa"/>
            <w:tcBorders>
              <w:top w:val="none" w:sz="6" w:space="0" w:color="auto"/>
              <w:left w:val="single" w:sz="4" w:space="0" w:color="000000"/>
              <w:bottom w:val="none" w:sz="6" w:space="0" w:color="auto"/>
              <w:right w:val="single" w:sz="4" w:space="0" w:color="000000"/>
            </w:tcBorders>
          </w:tcPr>
          <w:p w14:paraId="7AF91BF9" w14:textId="77777777" w:rsidR="00D22BF6" w:rsidRPr="00DB45E4" w:rsidRDefault="00D22BF6" w:rsidP="00D22BF6">
            <w:pPr>
              <w:pStyle w:val="TableParagraph"/>
              <w:keepNext/>
              <w:keepLines/>
              <w:kinsoku w:val="0"/>
              <w:overflowPunct w:val="0"/>
              <w:spacing w:line="233" w:lineRule="exact"/>
              <w:ind w:firstLine="144"/>
              <w:rPr>
                <w:lang w:val="da-DK"/>
              </w:rPr>
            </w:pPr>
            <w:r w:rsidRPr="00DB45E4">
              <w:rPr>
                <w:lang w:val="da-DK"/>
              </w:rPr>
              <w:t>95%</w:t>
            </w:r>
            <w:r w:rsidRPr="00DB45E4">
              <w:rPr>
                <w:spacing w:val="1"/>
                <w:lang w:val="da-DK"/>
              </w:rPr>
              <w:t xml:space="preserve"> </w:t>
            </w:r>
            <w:r w:rsidRPr="00DB45E4">
              <w:rPr>
                <w:lang w:val="da-DK"/>
              </w:rPr>
              <w:t>CI</w:t>
            </w:r>
          </w:p>
        </w:tc>
        <w:tc>
          <w:tcPr>
            <w:tcW w:w="3210" w:type="dxa"/>
            <w:tcBorders>
              <w:top w:val="none" w:sz="6" w:space="0" w:color="auto"/>
              <w:left w:val="single" w:sz="4" w:space="0" w:color="000000"/>
              <w:bottom w:val="none" w:sz="6" w:space="0" w:color="auto"/>
              <w:right w:val="single" w:sz="4" w:space="0" w:color="000000"/>
            </w:tcBorders>
          </w:tcPr>
          <w:p w14:paraId="41B325F4" w14:textId="77777777" w:rsidR="00D22BF6" w:rsidRPr="00DB45E4" w:rsidRDefault="00D22BF6" w:rsidP="00D22BF6">
            <w:pPr>
              <w:pStyle w:val="TableParagraph"/>
              <w:keepNext/>
              <w:keepLines/>
              <w:kinsoku w:val="0"/>
              <w:overflowPunct w:val="0"/>
              <w:spacing w:line="233" w:lineRule="exact"/>
              <w:ind w:right="527"/>
              <w:jc w:val="center"/>
              <w:rPr>
                <w:lang w:val="da-DK"/>
              </w:rPr>
            </w:pPr>
            <w:r w:rsidRPr="00DB45E4">
              <w:rPr>
                <w:lang w:val="da-DK"/>
              </w:rPr>
              <w:t>(27</w:t>
            </w:r>
            <w:r w:rsidRPr="003D4A39">
              <w:rPr>
                <w:lang w:val="da-DK"/>
              </w:rPr>
              <w:t>,</w:t>
            </w:r>
            <w:r w:rsidRPr="00DB45E4">
              <w:rPr>
                <w:lang w:val="da-DK"/>
              </w:rPr>
              <w:t>3-41</w:t>
            </w:r>
            <w:r w:rsidRPr="003D4A39">
              <w:rPr>
                <w:lang w:val="da-DK"/>
              </w:rPr>
              <w:t>,</w:t>
            </w:r>
            <w:r w:rsidRPr="00DB45E4">
              <w:rPr>
                <w:lang w:val="da-DK"/>
              </w:rPr>
              <w:t>2)</w:t>
            </w:r>
          </w:p>
        </w:tc>
        <w:tc>
          <w:tcPr>
            <w:tcW w:w="3210" w:type="dxa"/>
            <w:tcBorders>
              <w:top w:val="none" w:sz="6" w:space="0" w:color="auto"/>
              <w:left w:val="single" w:sz="4" w:space="0" w:color="000000"/>
              <w:bottom w:val="none" w:sz="6" w:space="0" w:color="auto"/>
              <w:right w:val="single" w:sz="4" w:space="0" w:color="000000"/>
            </w:tcBorders>
          </w:tcPr>
          <w:p w14:paraId="10C3DD48" w14:textId="77777777" w:rsidR="00D22BF6" w:rsidRPr="00DB45E4" w:rsidRDefault="00D22BF6" w:rsidP="00D22BF6">
            <w:pPr>
              <w:pStyle w:val="TableParagraph"/>
              <w:keepNext/>
              <w:keepLines/>
              <w:kinsoku w:val="0"/>
              <w:overflowPunct w:val="0"/>
              <w:spacing w:line="233" w:lineRule="exact"/>
              <w:ind w:right="297"/>
              <w:jc w:val="center"/>
              <w:rPr>
                <w:lang w:val="da-DK"/>
              </w:rPr>
            </w:pPr>
            <w:r w:rsidRPr="00DB45E4">
              <w:rPr>
                <w:lang w:val="da-DK"/>
              </w:rPr>
              <w:t>(17</w:t>
            </w:r>
            <w:r w:rsidRPr="003D4A39">
              <w:rPr>
                <w:lang w:val="da-DK"/>
              </w:rPr>
              <w:t>,</w:t>
            </w:r>
            <w:r w:rsidRPr="00DB45E4">
              <w:rPr>
                <w:lang w:val="da-DK"/>
              </w:rPr>
              <w:t>9-22</w:t>
            </w:r>
            <w:r w:rsidRPr="003D4A39">
              <w:rPr>
                <w:lang w:val="da-DK"/>
              </w:rPr>
              <w:t>,</w:t>
            </w:r>
            <w:r w:rsidRPr="00DB45E4">
              <w:rPr>
                <w:lang w:val="da-DK"/>
              </w:rPr>
              <w:t>8)</w:t>
            </w:r>
          </w:p>
        </w:tc>
      </w:tr>
      <w:tr w:rsidR="00D22BF6" w:rsidRPr="003D4A39" w14:paraId="6A0CBFA1" w14:textId="77777777" w:rsidTr="00D22BF6">
        <w:trPr>
          <w:trHeight w:val="275"/>
        </w:trPr>
        <w:tc>
          <w:tcPr>
            <w:tcW w:w="3210" w:type="dxa"/>
            <w:tcBorders>
              <w:top w:val="none" w:sz="6" w:space="0" w:color="auto"/>
              <w:left w:val="single" w:sz="4" w:space="0" w:color="000000"/>
              <w:bottom w:val="none" w:sz="6" w:space="0" w:color="auto"/>
              <w:right w:val="single" w:sz="4" w:space="0" w:color="000000"/>
            </w:tcBorders>
          </w:tcPr>
          <w:p w14:paraId="17049CD4" w14:textId="77777777" w:rsidR="00D22BF6" w:rsidRPr="00DB45E4" w:rsidRDefault="00D22BF6" w:rsidP="00D22BF6">
            <w:pPr>
              <w:pStyle w:val="TableParagraph"/>
              <w:keepNext/>
              <w:keepLines/>
              <w:kinsoku w:val="0"/>
              <w:overflowPunct w:val="0"/>
              <w:spacing w:line="256" w:lineRule="exact"/>
              <w:ind w:firstLine="144"/>
              <w:rPr>
                <w:lang w:val="da-DK"/>
              </w:rPr>
            </w:pPr>
            <w:r w:rsidRPr="003D4A39">
              <w:rPr>
                <w:lang w:val="da-DK"/>
              </w:rPr>
              <w:t xml:space="preserve">Justeret </w:t>
            </w:r>
            <w:r w:rsidRPr="00DB45E4">
              <w:rPr>
                <w:i/>
                <w:iCs/>
                <w:lang w:val="da-DK"/>
              </w:rPr>
              <w:t>hazard</w:t>
            </w:r>
            <w:r w:rsidRPr="00DB45E4">
              <w:rPr>
                <w:spacing w:val="-2"/>
                <w:lang w:val="da-DK"/>
              </w:rPr>
              <w:t xml:space="preserve"> </w:t>
            </w:r>
            <w:r w:rsidRPr="00DB45E4">
              <w:rPr>
                <w:lang w:val="da-DK"/>
              </w:rPr>
              <w:t>ratio</w:t>
            </w:r>
          </w:p>
        </w:tc>
        <w:tc>
          <w:tcPr>
            <w:tcW w:w="3210" w:type="dxa"/>
            <w:tcBorders>
              <w:top w:val="none" w:sz="6" w:space="0" w:color="auto"/>
              <w:left w:val="single" w:sz="4" w:space="0" w:color="000000"/>
              <w:bottom w:val="none" w:sz="6" w:space="0" w:color="auto"/>
              <w:right w:val="single" w:sz="4" w:space="0" w:color="000000"/>
            </w:tcBorders>
          </w:tcPr>
          <w:p w14:paraId="270121DF" w14:textId="77777777" w:rsidR="00D22BF6" w:rsidRPr="00DB45E4" w:rsidRDefault="00D22BF6" w:rsidP="00D22BF6">
            <w:pPr>
              <w:pStyle w:val="TableParagraph"/>
              <w:keepNext/>
              <w:keepLines/>
              <w:kinsoku w:val="0"/>
              <w:overflowPunct w:val="0"/>
              <w:spacing w:line="248" w:lineRule="exact"/>
              <w:ind w:right="527"/>
              <w:jc w:val="center"/>
              <w:rPr>
                <w:lang w:val="da-DK"/>
              </w:rPr>
            </w:pPr>
            <w:r w:rsidRPr="00DB45E4">
              <w:rPr>
                <w:lang w:val="da-DK"/>
              </w:rPr>
              <w:t>0</w:t>
            </w:r>
            <w:r w:rsidRPr="003D4A39">
              <w:rPr>
                <w:lang w:val="da-DK"/>
              </w:rPr>
              <w:t>,</w:t>
            </w:r>
            <w:r w:rsidRPr="00DB45E4">
              <w:rPr>
                <w:lang w:val="da-DK"/>
              </w:rPr>
              <w:t>61</w:t>
            </w:r>
          </w:p>
        </w:tc>
        <w:tc>
          <w:tcPr>
            <w:tcW w:w="3210" w:type="dxa"/>
            <w:tcBorders>
              <w:top w:val="none" w:sz="6" w:space="0" w:color="auto"/>
              <w:left w:val="single" w:sz="4" w:space="0" w:color="000000"/>
              <w:bottom w:val="none" w:sz="6" w:space="0" w:color="auto"/>
              <w:right w:val="single" w:sz="4" w:space="0" w:color="000000"/>
            </w:tcBorders>
          </w:tcPr>
          <w:p w14:paraId="717D2BF8" w14:textId="77777777" w:rsidR="00D22BF6" w:rsidRPr="00DB45E4" w:rsidRDefault="00D22BF6" w:rsidP="00D22BF6">
            <w:pPr>
              <w:pStyle w:val="TableParagraph"/>
              <w:keepNext/>
              <w:keepLines/>
              <w:kinsoku w:val="0"/>
              <w:overflowPunct w:val="0"/>
              <w:spacing w:line="248" w:lineRule="exact"/>
              <w:ind w:right="300"/>
              <w:jc w:val="center"/>
              <w:rPr>
                <w:lang w:val="da-DK"/>
              </w:rPr>
            </w:pPr>
            <w:r w:rsidRPr="00DB45E4">
              <w:rPr>
                <w:lang w:val="da-DK"/>
              </w:rPr>
              <w:t>--</w:t>
            </w:r>
          </w:p>
        </w:tc>
      </w:tr>
      <w:tr w:rsidR="00D22BF6" w:rsidRPr="003D4A39" w14:paraId="78CE538C" w14:textId="77777777" w:rsidTr="00D22BF6">
        <w:trPr>
          <w:trHeight w:val="252"/>
        </w:trPr>
        <w:tc>
          <w:tcPr>
            <w:tcW w:w="3210" w:type="dxa"/>
            <w:tcBorders>
              <w:top w:val="none" w:sz="6" w:space="0" w:color="auto"/>
              <w:left w:val="single" w:sz="4" w:space="0" w:color="000000"/>
              <w:bottom w:val="none" w:sz="6" w:space="0" w:color="auto"/>
              <w:right w:val="single" w:sz="4" w:space="0" w:color="000000"/>
            </w:tcBorders>
          </w:tcPr>
          <w:p w14:paraId="06206B1E" w14:textId="77777777" w:rsidR="00D22BF6" w:rsidRPr="00DB45E4" w:rsidRDefault="00D22BF6" w:rsidP="00D22BF6">
            <w:pPr>
              <w:pStyle w:val="TableParagraph"/>
              <w:keepNext/>
              <w:keepLines/>
              <w:kinsoku w:val="0"/>
              <w:overflowPunct w:val="0"/>
              <w:spacing w:line="232" w:lineRule="exact"/>
              <w:ind w:firstLine="144"/>
              <w:rPr>
                <w:lang w:val="da-DK"/>
              </w:rPr>
            </w:pPr>
            <w:r w:rsidRPr="00DB45E4">
              <w:rPr>
                <w:lang w:val="da-DK"/>
              </w:rPr>
              <w:t>95%</w:t>
            </w:r>
            <w:r w:rsidRPr="00DB45E4">
              <w:rPr>
                <w:spacing w:val="1"/>
                <w:lang w:val="da-DK"/>
              </w:rPr>
              <w:t xml:space="preserve"> </w:t>
            </w:r>
            <w:r w:rsidRPr="00DB45E4">
              <w:rPr>
                <w:lang w:val="da-DK"/>
              </w:rPr>
              <w:t>CI</w:t>
            </w:r>
          </w:p>
        </w:tc>
        <w:tc>
          <w:tcPr>
            <w:tcW w:w="3210" w:type="dxa"/>
            <w:tcBorders>
              <w:top w:val="none" w:sz="6" w:space="0" w:color="auto"/>
              <w:left w:val="single" w:sz="4" w:space="0" w:color="000000"/>
              <w:bottom w:val="none" w:sz="6" w:space="0" w:color="auto"/>
              <w:right w:val="single" w:sz="4" w:space="0" w:color="000000"/>
            </w:tcBorders>
          </w:tcPr>
          <w:p w14:paraId="24BA1965" w14:textId="77777777" w:rsidR="00D22BF6" w:rsidRPr="00DB45E4" w:rsidRDefault="00D22BF6" w:rsidP="00D22BF6">
            <w:pPr>
              <w:pStyle w:val="TableParagraph"/>
              <w:keepNext/>
              <w:keepLines/>
              <w:kinsoku w:val="0"/>
              <w:overflowPunct w:val="0"/>
              <w:spacing w:line="232" w:lineRule="exact"/>
              <w:ind w:right="527"/>
              <w:jc w:val="center"/>
              <w:rPr>
                <w:lang w:val="da-DK"/>
              </w:rPr>
            </w:pPr>
            <w:r w:rsidRPr="00DB45E4">
              <w:rPr>
                <w:lang w:val="da-DK"/>
              </w:rPr>
              <w:t>(0</w:t>
            </w:r>
            <w:r w:rsidRPr="003D4A39">
              <w:rPr>
                <w:lang w:val="da-DK"/>
              </w:rPr>
              <w:t>,</w:t>
            </w:r>
            <w:r w:rsidRPr="00DB45E4">
              <w:rPr>
                <w:lang w:val="da-DK"/>
              </w:rPr>
              <w:t>50-0</w:t>
            </w:r>
            <w:r w:rsidRPr="003D4A39">
              <w:rPr>
                <w:lang w:val="da-DK"/>
              </w:rPr>
              <w:t>,</w:t>
            </w:r>
            <w:r w:rsidRPr="00DB45E4">
              <w:rPr>
                <w:lang w:val="da-DK"/>
              </w:rPr>
              <w:t>75)</w:t>
            </w:r>
          </w:p>
        </w:tc>
        <w:tc>
          <w:tcPr>
            <w:tcW w:w="3210" w:type="dxa"/>
            <w:tcBorders>
              <w:top w:val="none" w:sz="6" w:space="0" w:color="auto"/>
              <w:left w:val="single" w:sz="4" w:space="0" w:color="000000"/>
              <w:bottom w:val="none" w:sz="6" w:space="0" w:color="auto"/>
              <w:right w:val="single" w:sz="4" w:space="0" w:color="000000"/>
            </w:tcBorders>
          </w:tcPr>
          <w:p w14:paraId="126CF3B6" w14:textId="77777777" w:rsidR="00D22BF6" w:rsidRPr="00DB45E4" w:rsidRDefault="00D22BF6" w:rsidP="00D22BF6">
            <w:pPr>
              <w:pStyle w:val="TableParagraph"/>
              <w:keepNext/>
              <w:keepLines/>
              <w:kinsoku w:val="0"/>
              <w:overflowPunct w:val="0"/>
              <w:spacing w:line="232" w:lineRule="exact"/>
              <w:ind w:right="300"/>
              <w:jc w:val="center"/>
              <w:rPr>
                <w:lang w:val="da-DK"/>
              </w:rPr>
            </w:pPr>
            <w:r w:rsidRPr="00DB45E4">
              <w:rPr>
                <w:lang w:val="da-DK"/>
              </w:rPr>
              <w:t>--</w:t>
            </w:r>
          </w:p>
        </w:tc>
      </w:tr>
      <w:tr w:rsidR="00D22BF6" w:rsidRPr="003D4A39" w14:paraId="56EF7509" w14:textId="77777777" w:rsidTr="00D22BF6">
        <w:trPr>
          <w:trHeight w:val="310"/>
        </w:trPr>
        <w:tc>
          <w:tcPr>
            <w:tcW w:w="3210" w:type="dxa"/>
            <w:tcBorders>
              <w:top w:val="none" w:sz="6" w:space="0" w:color="auto"/>
              <w:left w:val="single" w:sz="4" w:space="0" w:color="000000"/>
              <w:bottom w:val="single" w:sz="4" w:space="0" w:color="000000"/>
              <w:right w:val="single" w:sz="4" w:space="0" w:color="000000"/>
            </w:tcBorders>
          </w:tcPr>
          <w:p w14:paraId="1E68182C" w14:textId="77777777" w:rsidR="00D22BF6" w:rsidRPr="00DB45E4" w:rsidRDefault="00D22BF6" w:rsidP="00D22BF6">
            <w:pPr>
              <w:pStyle w:val="TableParagraph"/>
              <w:keepNext/>
              <w:keepLines/>
              <w:kinsoku w:val="0"/>
              <w:overflowPunct w:val="0"/>
              <w:spacing w:line="291" w:lineRule="exact"/>
              <w:ind w:firstLine="144"/>
              <w:rPr>
                <w:i/>
                <w:iCs/>
                <w:position w:val="6"/>
                <w:lang w:val="da-DK"/>
              </w:rPr>
            </w:pPr>
            <w:r w:rsidRPr="00DB45E4">
              <w:rPr>
                <w:lang w:val="da-DK"/>
              </w:rPr>
              <w:t>p-v</w:t>
            </w:r>
            <w:r w:rsidRPr="003D4A39">
              <w:rPr>
                <w:lang w:val="da-DK"/>
              </w:rPr>
              <w:t>ærdi</w:t>
            </w:r>
            <w:r w:rsidRPr="00DB45E4">
              <w:rPr>
                <w:i/>
                <w:iCs/>
                <w:position w:val="6"/>
                <w:lang w:val="da-DK"/>
              </w:rPr>
              <w:t>a*</w:t>
            </w:r>
          </w:p>
        </w:tc>
        <w:tc>
          <w:tcPr>
            <w:tcW w:w="3210" w:type="dxa"/>
            <w:tcBorders>
              <w:top w:val="none" w:sz="6" w:space="0" w:color="auto"/>
              <w:left w:val="single" w:sz="4" w:space="0" w:color="000000"/>
              <w:bottom w:val="single" w:sz="4" w:space="0" w:color="000000"/>
              <w:right w:val="single" w:sz="4" w:space="0" w:color="000000"/>
            </w:tcBorders>
          </w:tcPr>
          <w:p w14:paraId="1A7422A2" w14:textId="77777777" w:rsidR="00D22BF6" w:rsidRPr="00DB45E4" w:rsidRDefault="00D22BF6" w:rsidP="00D22BF6">
            <w:pPr>
              <w:pStyle w:val="TableParagraph"/>
              <w:keepNext/>
              <w:keepLines/>
              <w:kinsoku w:val="0"/>
              <w:overflowPunct w:val="0"/>
              <w:spacing w:line="248" w:lineRule="exact"/>
              <w:ind w:right="527"/>
              <w:jc w:val="center"/>
              <w:rPr>
                <w:lang w:val="da-DK"/>
              </w:rPr>
            </w:pPr>
            <w:r w:rsidRPr="00DB45E4">
              <w:rPr>
                <w:lang w:val="da-DK"/>
              </w:rPr>
              <w:t>&lt;0</w:t>
            </w:r>
            <w:r w:rsidRPr="003D4A39">
              <w:rPr>
                <w:lang w:val="da-DK"/>
              </w:rPr>
              <w:t>,</w:t>
            </w:r>
            <w:r w:rsidRPr="00DB45E4">
              <w:rPr>
                <w:lang w:val="da-DK"/>
              </w:rPr>
              <w:t>0001</w:t>
            </w:r>
          </w:p>
        </w:tc>
        <w:tc>
          <w:tcPr>
            <w:tcW w:w="3210" w:type="dxa"/>
            <w:tcBorders>
              <w:top w:val="none" w:sz="6" w:space="0" w:color="auto"/>
              <w:left w:val="single" w:sz="4" w:space="0" w:color="000000"/>
              <w:bottom w:val="single" w:sz="4" w:space="0" w:color="000000"/>
              <w:right w:val="single" w:sz="4" w:space="0" w:color="000000"/>
            </w:tcBorders>
          </w:tcPr>
          <w:p w14:paraId="746161BD" w14:textId="77777777" w:rsidR="00D22BF6" w:rsidRPr="00DB45E4" w:rsidRDefault="00D22BF6" w:rsidP="00D22BF6">
            <w:pPr>
              <w:pStyle w:val="TableParagraph"/>
              <w:keepNext/>
              <w:keepLines/>
              <w:kinsoku w:val="0"/>
              <w:overflowPunct w:val="0"/>
              <w:spacing w:line="248" w:lineRule="exact"/>
              <w:ind w:right="300"/>
              <w:jc w:val="center"/>
              <w:rPr>
                <w:lang w:val="da-DK"/>
              </w:rPr>
            </w:pPr>
            <w:r w:rsidRPr="00DB45E4">
              <w:rPr>
                <w:lang w:val="da-DK"/>
              </w:rPr>
              <w:t>--</w:t>
            </w:r>
          </w:p>
        </w:tc>
      </w:tr>
    </w:tbl>
    <w:p w14:paraId="394574C0" w14:textId="77777777" w:rsidR="00D22BF6" w:rsidRPr="00DB45E4" w:rsidRDefault="00D22BF6" w:rsidP="00D22BF6">
      <w:pPr>
        <w:rPr>
          <w:sz w:val="24"/>
          <w:szCs w:val="24"/>
        </w:rPr>
      </w:pPr>
      <w:r w:rsidRPr="00DB45E4">
        <w:rPr>
          <w:sz w:val="24"/>
          <w:szCs w:val="24"/>
          <w:vertAlign w:val="superscript"/>
        </w:rPr>
        <w:t>a</w:t>
      </w:r>
      <w:r w:rsidRPr="00DB45E4">
        <w:rPr>
          <w:sz w:val="24"/>
          <w:szCs w:val="24"/>
        </w:rPr>
        <w:t xml:space="preserve"> Tid til hændelsesvariabler: stratificeret log-rank test. </w:t>
      </w:r>
    </w:p>
    <w:p w14:paraId="389CAF5C" w14:textId="2C9413E2" w:rsidR="00D22BF6" w:rsidRPr="005D4D80" w:rsidRDefault="00D22BF6" w:rsidP="00D22BF6">
      <w:pPr>
        <w:rPr>
          <w:sz w:val="24"/>
          <w:szCs w:val="24"/>
        </w:rPr>
      </w:pPr>
      <w:r w:rsidRPr="00DB45E4">
        <w:rPr>
          <w:sz w:val="24"/>
          <w:szCs w:val="24"/>
        </w:rPr>
        <w:t>Responsratio variabler:</w:t>
      </w:r>
      <w:r w:rsidRPr="005D4D80">
        <w:rPr>
          <w:i/>
          <w:iCs/>
          <w:sz w:val="24"/>
          <w:szCs w:val="24"/>
        </w:rPr>
        <w:t xml:space="preserve"> Fisher’s Exact test</w:t>
      </w:r>
      <w:r w:rsidRPr="005D4D80">
        <w:rPr>
          <w:sz w:val="24"/>
          <w:szCs w:val="24"/>
        </w:rPr>
        <w:t xml:space="preserve"> </w:t>
      </w:r>
    </w:p>
    <w:p w14:paraId="6E002C71" w14:textId="77777777" w:rsidR="00D22BF6" w:rsidRPr="005D4D80" w:rsidRDefault="00D22BF6" w:rsidP="00D22BF6">
      <w:pPr>
        <w:rPr>
          <w:sz w:val="24"/>
          <w:szCs w:val="24"/>
        </w:rPr>
      </w:pPr>
      <w:r w:rsidRPr="005D4D80">
        <w:rPr>
          <w:sz w:val="24"/>
          <w:szCs w:val="24"/>
        </w:rPr>
        <w:t>* p-værdi for beskrivende formål</w:t>
      </w:r>
    </w:p>
    <w:p w14:paraId="17B5EAF5" w14:textId="6827A608" w:rsidR="00D22BF6" w:rsidRPr="005D4D80" w:rsidRDefault="00D22BF6" w:rsidP="00D22BF6">
      <w:pPr>
        <w:rPr>
          <w:sz w:val="24"/>
          <w:szCs w:val="24"/>
        </w:rPr>
      </w:pPr>
      <w:r w:rsidRPr="005D4D80">
        <w:rPr>
          <w:sz w:val="24"/>
          <w:szCs w:val="24"/>
        </w:rPr>
        <w:t>**PSA</w:t>
      </w:r>
      <w:r>
        <w:rPr>
          <w:sz w:val="24"/>
          <w:szCs w:val="24"/>
        </w:rPr>
        <w:t>-</w:t>
      </w:r>
      <w:r w:rsidRPr="005D4D80">
        <w:rPr>
          <w:sz w:val="24"/>
          <w:szCs w:val="24"/>
        </w:rPr>
        <w:t>respons: Prostata-specifik antigen respons: PSA</w:t>
      </w:r>
      <w:r w:rsidRPr="003D4A39">
        <w:rPr>
          <w:sz w:val="24"/>
          <w:szCs w:val="24"/>
        </w:rPr>
        <w:t>-</w:t>
      </w:r>
      <w:r w:rsidRPr="005D4D80">
        <w:rPr>
          <w:sz w:val="24"/>
          <w:szCs w:val="24"/>
        </w:rPr>
        <w:t>niveau &lt;0,2 ng/ml målte to på hinanden følgende målinger med mindst 4 ugers mellemrum.</w:t>
      </w:r>
    </w:p>
    <w:p w14:paraId="39036EE1" w14:textId="54197F4F" w:rsidR="00D22BF6" w:rsidRPr="005D4D80" w:rsidRDefault="00D22BF6" w:rsidP="00D22BF6">
      <w:pPr>
        <w:rPr>
          <w:sz w:val="24"/>
          <w:szCs w:val="24"/>
        </w:rPr>
      </w:pPr>
      <w:r w:rsidRPr="005D4D80">
        <w:rPr>
          <w:sz w:val="24"/>
          <w:szCs w:val="24"/>
          <w:vertAlign w:val="superscript"/>
        </w:rPr>
        <w:t>b</w:t>
      </w:r>
      <w:r w:rsidRPr="003D4A39">
        <w:rPr>
          <w:sz w:val="24"/>
          <w:szCs w:val="24"/>
          <w:vertAlign w:val="superscript"/>
        </w:rPr>
        <w:t xml:space="preserve"> </w:t>
      </w:r>
      <w:r w:rsidRPr="005D4D80">
        <w:rPr>
          <w:sz w:val="24"/>
          <w:szCs w:val="24"/>
        </w:rPr>
        <w:t>Tid til kastrationsresistent prostatakræft = tiden fra randomisering til PSA</w:t>
      </w:r>
      <w:r w:rsidRPr="003D4A39">
        <w:rPr>
          <w:sz w:val="24"/>
          <w:szCs w:val="24"/>
        </w:rPr>
        <w:t>-</w:t>
      </w:r>
      <w:r w:rsidRPr="005D4D80">
        <w:rPr>
          <w:sz w:val="24"/>
          <w:szCs w:val="24"/>
        </w:rPr>
        <w:t xml:space="preserve">progression eller klinisk progression (dvs. øget </w:t>
      </w:r>
      <w:proofErr w:type="gramStart"/>
      <w:r w:rsidRPr="005D4D80">
        <w:rPr>
          <w:sz w:val="24"/>
          <w:szCs w:val="24"/>
        </w:rPr>
        <w:t>sym</w:t>
      </w:r>
      <w:r w:rsidRPr="003D4A39">
        <w:rPr>
          <w:sz w:val="24"/>
          <w:szCs w:val="24"/>
        </w:rPr>
        <w:t>p</w:t>
      </w:r>
      <w:r w:rsidRPr="005D4D80">
        <w:rPr>
          <w:sz w:val="24"/>
          <w:szCs w:val="24"/>
        </w:rPr>
        <w:t>tomatisk</w:t>
      </w:r>
      <w:proofErr w:type="gramEnd"/>
      <w:r w:rsidRPr="005D4D80">
        <w:rPr>
          <w:sz w:val="24"/>
          <w:szCs w:val="24"/>
        </w:rPr>
        <w:t xml:space="preserve"> knoglemetastaser, progression pr. </w:t>
      </w:r>
      <w:r w:rsidRPr="005D4D80">
        <w:rPr>
          <w:i/>
          <w:iCs/>
          <w:sz w:val="24"/>
          <w:szCs w:val="24"/>
        </w:rPr>
        <w:t>Response Evaluation Criteria in Solid Tumours</w:t>
      </w:r>
      <w:r w:rsidRPr="005D4D80">
        <w:rPr>
          <w:sz w:val="24"/>
          <w:szCs w:val="24"/>
        </w:rPr>
        <w:t xml:space="preserve"> (RECIST) kriterier, eller klinisk forværring grundet kræft pr. Investigators opinion), alt efter hvad der forekom først.  </w:t>
      </w:r>
    </w:p>
    <w:p w14:paraId="53C17837" w14:textId="7135E3F2" w:rsidR="00D22BF6" w:rsidRPr="003D4A39" w:rsidRDefault="00D22BF6" w:rsidP="00D22BF6">
      <w:pPr>
        <w:rPr>
          <w:sz w:val="24"/>
          <w:szCs w:val="24"/>
        </w:rPr>
      </w:pPr>
      <w:r w:rsidRPr="005D4D80">
        <w:rPr>
          <w:sz w:val="24"/>
          <w:szCs w:val="24"/>
          <w:vertAlign w:val="superscript"/>
        </w:rPr>
        <w:t>c</w:t>
      </w:r>
      <w:r w:rsidRPr="003D4A39">
        <w:rPr>
          <w:sz w:val="24"/>
          <w:szCs w:val="24"/>
          <w:vertAlign w:val="superscript"/>
        </w:rPr>
        <w:t xml:space="preserve"> </w:t>
      </w:r>
      <w:r w:rsidRPr="005D4D80">
        <w:rPr>
          <w:sz w:val="24"/>
          <w:szCs w:val="24"/>
        </w:rPr>
        <w:t>Tid til klinisk progression = tiden fra randomisering til klinisk progression (dvs. øget sym</w:t>
      </w:r>
      <w:r w:rsidRPr="003D4A39">
        <w:rPr>
          <w:sz w:val="24"/>
          <w:szCs w:val="24"/>
        </w:rPr>
        <w:t>p</w:t>
      </w:r>
      <w:r w:rsidRPr="005D4D80">
        <w:rPr>
          <w:sz w:val="24"/>
          <w:szCs w:val="24"/>
        </w:rPr>
        <w:t>tomatisk</w:t>
      </w:r>
      <w:r w:rsidRPr="003D4A39">
        <w:rPr>
          <w:sz w:val="24"/>
          <w:szCs w:val="24"/>
        </w:rPr>
        <w:t>e</w:t>
      </w:r>
      <w:r w:rsidRPr="005D4D80">
        <w:rPr>
          <w:sz w:val="24"/>
          <w:szCs w:val="24"/>
        </w:rPr>
        <w:t xml:space="preserve"> knoglemetastaser, progression ifølge (RECIST) kriterier, eller klinisk forværring grundet kræft pr. Investigators opinion).</w:t>
      </w:r>
    </w:p>
    <w:p w14:paraId="402DC4F3" w14:textId="77777777" w:rsidR="00D22BF6" w:rsidRPr="003D4A39" w:rsidRDefault="00D22BF6" w:rsidP="00D22BF6">
      <w:pPr>
        <w:ind w:left="851"/>
        <w:rPr>
          <w:sz w:val="24"/>
          <w:szCs w:val="24"/>
        </w:rPr>
      </w:pPr>
    </w:p>
    <w:p w14:paraId="36E9787E" w14:textId="77777777" w:rsidR="00D22BF6" w:rsidRPr="003D4A39" w:rsidRDefault="00D22BF6" w:rsidP="00D22BF6">
      <w:pPr>
        <w:ind w:left="851"/>
        <w:rPr>
          <w:sz w:val="24"/>
          <w:szCs w:val="24"/>
        </w:rPr>
      </w:pPr>
      <w:r w:rsidRPr="003D4A39">
        <w:rPr>
          <w:i/>
          <w:iCs/>
          <w:sz w:val="24"/>
          <w:szCs w:val="24"/>
          <w:u w:val="single"/>
        </w:rPr>
        <w:t>Gastrisk adenokarcinom</w:t>
      </w:r>
    </w:p>
    <w:p w14:paraId="35C047ED" w14:textId="3B76AA7C" w:rsidR="00D22BF6" w:rsidRPr="003D4A39" w:rsidRDefault="00D22BF6" w:rsidP="00D22BF6">
      <w:pPr>
        <w:ind w:left="851"/>
        <w:rPr>
          <w:sz w:val="24"/>
          <w:szCs w:val="24"/>
        </w:rPr>
      </w:pPr>
      <w:r w:rsidRPr="003D4A39">
        <w:rPr>
          <w:sz w:val="24"/>
          <w:szCs w:val="24"/>
        </w:rPr>
        <w:t>Et multicenter, åbent, randomiseret studie har evalueret sikkerhed og effekt af docetaxel til behandling af patienter med metastatisk gastrisk adenokarcinom, inklusive adenokarcinom af den gastro</w:t>
      </w:r>
      <w:r>
        <w:rPr>
          <w:sz w:val="24"/>
          <w:szCs w:val="24"/>
        </w:rPr>
        <w:t>ø</w:t>
      </w:r>
      <w:r w:rsidRPr="003D4A39">
        <w:rPr>
          <w:sz w:val="24"/>
          <w:szCs w:val="24"/>
        </w:rPr>
        <w:t>so</w:t>
      </w:r>
      <w:r>
        <w:rPr>
          <w:sz w:val="24"/>
          <w:szCs w:val="24"/>
        </w:rPr>
        <w:t>f</w:t>
      </w:r>
      <w:r w:rsidRPr="003D4A39">
        <w:rPr>
          <w:sz w:val="24"/>
          <w:szCs w:val="24"/>
        </w:rPr>
        <w:t>age</w:t>
      </w:r>
      <w:r>
        <w:rPr>
          <w:sz w:val="24"/>
          <w:szCs w:val="24"/>
        </w:rPr>
        <w:t>a</w:t>
      </w:r>
      <w:r w:rsidRPr="003D4A39">
        <w:rPr>
          <w:sz w:val="24"/>
          <w:szCs w:val="24"/>
        </w:rPr>
        <w:t>le forbindelse. Patienterne havde ikke tidligere fået kemoterapi for metastatisk sygdom. 445 patienter med KPS &gt; 70 blev behandlet med enten docetaxel (T) (75 mg/m² på dag 1) i kombination med cisplatin (C) (75 mg/m² på dag 1) og 5</w:t>
      </w:r>
      <w:r w:rsidRPr="003D4A39">
        <w:rPr>
          <w:sz w:val="24"/>
          <w:szCs w:val="24"/>
        </w:rPr>
        <w:noBreakHyphen/>
        <w:t>fluoruracil (F) (750 mg/m² pr. dag i 5 dage) eller cisplatin (100 mg/m² på dag 1) og 5</w:t>
      </w:r>
      <w:r w:rsidRPr="003D4A39">
        <w:rPr>
          <w:sz w:val="24"/>
          <w:szCs w:val="24"/>
        </w:rPr>
        <w:noBreakHyphen/>
        <w:t>fluoruracil (1.000 mg/m² pr. dag i 5 dage). Behandlings- cyklus var på 3 uger for TCF-armen og 4 uger for CF-armen. Median-antallet af cyklusser administreret pr. patient var 6 (med en range på 1</w:t>
      </w:r>
      <w:r w:rsidRPr="003D4A39">
        <w:rPr>
          <w:sz w:val="24"/>
          <w:szCs w:val="24"/>
        </w:rPr>
        <w:noBreakHyphen/>
        <w:t>16) for TCF-armen sammenlignet med 4 (med en range på 1</w:t>
      </w:r>
      <w:r w:rsidRPr="003D4A39">
        <w:rPr>
          <w:sz w:val="24"/>
          <w:szCs w:val="24"/>
        </w:rPr>
        <w:noBreakHyphen/>
        <w:t>12) for CF-armen. Progressionstid (TTP) var det primære endepunkt. Nedsættelsen af risikoen for progression var 32,1 % og blev associeret med en signifikant længere TTP (p = 0,0004) til fordel for TCF-armen. Overlevelse i alt var også signifikant længere (p = 0,0201) til fordel for TCF- armen med en nedsættelse af risikoen for død på 22,7 %. Effektresultater er vist i den følgende tabel:</w:t>
      </w:r>
    </w:p>
    <w:p w14:paraId="4671D8B7" w14:textId="77777777" w:rsidR="006B34A1" w:rsidRPr="008D45EF" w:rsidRDefault="006B34A1" w:rsidP="0081699D">
      <w:pPr>
        <w:ind w:left="851"/>
        <w:rPr>
          <w:sz w:val="24"/>
          <w:szCs w:val="24"/>
        </w:rPr>
      </w:pPr>
    </w:p>
    <w:p w14:paraId="1893ACF0" w14:textId="77777777" w:rsidR="006B34A1" w:rsidRPr="008D45EF" w:rsidRDefault="006B34A1" w:rsidP="0081699D">
      <w:pPr>
        <w:ind w:left="851"/>
        <w:rPr>
          <w:sz w:val="24"/>
          <w:szCs w:val="24"/>
        </w:rPr>
      </w:pPr>
      <w:r w:rsidRPr="008D45EF">
        <w:rPr>
          <w:sz w:val="24"/>
          <w:szCs w:val="24"/>
          <w:u w:val="single"/>
        </w:rPr>
        <w:t>Effekten af docetaxel ved behandling af patienter med gastrisk adenokarcinom</w:t>
      </w:r>
    </w:p>
    <w:p w14:paraId="745E3F76" w14:textId="77777777" w:rsidR="006B34A1" w:rsidRPr="008D45EF" w:rsidRDefault="006B34A1" w:rsidP="0081699D">
      <w:pPr>
        <w:ind w:left="851"/>
        <w:rPr>
          <w:sz w:val="24"/>
          <w:szCs w:val="24"/>
        </w:rPr>
      </w:pPr>
    </w:p>
    <w:tbl>
      <w:tblPr>
        <w:tblW w:w="5000" w:type="pct"/>
        <w:tblCellMar>
          <w:left w:w="0" w:type="dxa"/>
          <w:right w:w="0" w:type="dxa"/>
        </w:tblCellMar>
        <w:tblLook w:val="04A0" w:firstRow="1" w:lastRow="0" w:firstColumn="1" w:lastColumn="0" w:noHBand="0" w:noVBand="1"/>
      </w:tblPr>
      <w:tblGrid>
        <w:gridCol w:w="4578"/>
        <w:gridCol w:w="2524"/>
        <w:gridCol w:w="2526"/>
      </w:tblGrid>
      <w:tr w:rsidR="009B0C24" w:rsidRPr="008D45EF" w14:paraId="2FEE0AE6" w14:textId="77777777" w:rsidTr="009B0C24">
        <w:trPr>
          <w:trHeight w:hRule="exact" w:val="706"/>
          <w:tblHeader/>
        </w:trPr>
        <w:tc>
          <w:tcPr>
            <w:tcW w:w="2377" w:type="pct"/>
            <w:tcBorders>
              <w:top w:val="single" w:sz="4" w:space="0" w:color="000000"/>
              <w:left w:val="single" w:sz="4" w:space="0" w:color="000000"/>
              <w:bottom w:val="single" w:sz="4" w:space="0" w:color="000000"/>
              <w:right w:val="single" w:sz="4" w:space="0" w:color="000000"/>
            </w:tcBorders>
            <w:hideMark/>
          </w:tcPr>
          <w:p w14:paraId="3065BD7A" w14:textId="77777777" w:rsidR="009B0C24" w:rsidRPr="008D45EF" w:rsidRDefault="009B0C24" w:rsidP="00322782">
            <w:pPr>
              <w:ind w:left="142"/>
              <w:rPr>
                <w:b/>
                <w:bCs/>
                <w:sz w:val="24"/>
                <w:szCs w:val="24"/>
              </w:rPr>
            </w:pPr>
            <w:r w:rsidRPr="008D45EF">
              <w:rPr>
                <w:b/>
                <w:bCs/>
                <w:sz w:val="24"/>
                <w:szCs w:val="24"/>
              </w:rPr>
              <w:t>Endepunkt</w:t>
            </w:r>
          </w:p>
        </w:tc>
        <w:tc>
          <w:tcPr>
            <w:tcW w:w="1311" w:type="pct"/>
            <w:tcBorders>
              <w:top w:val="single" w:sz="4" w:space="0" w:color="000000"/>
              <w:left w:val="single" w:sz="4" w:space="0" w:color="000000"/>
              <w:bottom w:val="single" w:sz="4" w:space="0" w:color="000000"/>
              <w:right w:val="single" w:sz="4" w:space="0" w:color="000000"/>
            </w:tcBorders>
            <w:hideMark/>
          </w:tcPr>
          <w:p w14:paraId="4A22BBE0" w14:textId="77777777" w:rsidR="009B0C24" w:rsidRPr="008D45EF" w:rsidRDefault="009B0C24" w:rsidP="00322782">
            <w:pPr>
              <w:ind w:left="142"/>
              <w:rPr>
                <w:sz w:val="24"/>
                <w:szCs w:val="24"/>
              </w:rPr>
            </w:pPr>
            <w:r w:rsidRPr="008D45EF">
              <w:rPr>
                <w:b/>
                <w:bCs/>
                <w:sz w:val="24"/>
                <w:szCs w:val="24"/>
              </w:rPr>
              <w:t>TCF</w:t>
            </w:r>
          </w:p>
          <w:p w14:paraId="318E4FF3" w14:textId="77777777" w:rsidR="009B0C24" w:rsidRPr="008D45EF" w:rsidRDefault="009B0C24" w:rsidP="00322782">
            <w:pPr>
              <w:ind w:left="142"/>
              <w:rPr>
                <w:sz w:val="24"/>
                <w:szCs w:val="24"/>
              </w:rPr>
            </w:pPr>
            <w:r w:rsidRPr="008D45EF">
              <w:rPr>
                <w:sz w:val="24"/>
                <w:szCs w:val="24"/>
              </w:rPr>
              <w:t>n = 221</w:t>
            </w:r>
          </w:p>
        </w:tc>
        <w:tc>
          <w:tcPr>
            <w:tcW w:w="1312" w:type="pct"/>
            <w:tcBorders>
              <w:top w:val="single" w:sz="4" w:space="0" w:color="000000"/>
              <w:left w:val="single" w:sz="4" w:space="0" w:color="000000"/>
              <w:bottom w:val="single" w:sz="4" w:space="0" w:color="000000"/>
              <w:right w:val="single" w:sz="4" w:space="0" w:color="000000"/>
            </w:tcBorders>
            <w:hideMark/>
          </w:tcPr>
          <w:p w14:paraId="3B9DF35F" w14:textId="77777777" w:rsidR="009B0C24" w:rsidRPr="008D45EF" w:rsidRDefault="009B0C24" w:rsidP="00322782">
            <w:pPr>
              <w:ind w:left="142"/>
              <w:rPr>
                <w:sz w:val="24"/>
                <w:szCs w:val="24"/>
              </w:rPr>
            </w:pPr>
            <w:r w:rsidRPr="008D45EF">
              <w:rPr>
                <w:b/>
                <w:bCs/>
                <w:sz w:val="24"/>
                <w:szCs w:val="24"/>
              </w:rPr>
              <w:t>CF</w:t>
            </w:r>
          </w:p>
          <w:p w14:paraId="358E520A" w14:textId="77777777" w:rsidR="009B0C24" w:rsidRPr="008D45EF" w:rsidRDefault="009B0C24" w:rsidP="00322782">
            <w:pPr>
              <w:ind w:left="142"/>
              <w:rPr>
                <w:sz w:val="24"/>
                <w:szCs w:val="24"/>
              </w:rPr>
            </w:pPr>
            <w:r w:rsidRPr="008D45EF">
              <w:rPr>
                <w:sz w:val="24"/>
                <w:szCs w:val="24"/>
              </w:rPr>
              <w:t>n = 224</w:t>
            </w:r>
          </w:p>
        </w:tc>
      </w:tr>
      <w:tr w:rsidR="009B0C24" w:rsidRPr="008D45EF" w14:paraId="7E2DA7E6" w14:textId="77777777" w:rsidTr="00322782">
        <w:trPr>
          <w:trHeight w:val="258"/>
        </w:trPr>
        <w:tc>
          <w:tcPr>
            <w:tcW w:w="2377" w:type="pct"/>
            <w:tcBorders>
              <w:top w:val="single" w:sz="4" w:space="0" w:color="000000"/>
              <w:left w:val="single" w:sz="4" w:space="0" w:color="000000"/>
              <w:bottom w:val="nil"/>
              <w:right w:val="single" w:sz="4" w:space="0" w:color="000000"/>
            </w:tcBorders>
            <w:hideMark/>
          </w:tcPr>
          <w:p w14:paraId="5A24D50C" w14:textId="77777777" w:rsidR="009B0C24" w:rsidRPr="008D45EF" w:rsidRDefault="009B0C24" w:rsidP="00322782">
            <w:pPr>
              <w:ind w:left="142"/>
              <w:rPr>
                <w:sz w:val="24"/>
                <w:szCs w:val="24"/>
              </w:rPr>
            </w:pPr>
            <w:r w:rsidRPr="008D45EF">
              <w:rPr>
                <w:sz w:val="24"/>
                <w:szCs w:val="24"/>
              </w:rPr>
              <w:t>Median TTP (måneder)</w:t>
            </w:r>
          </w:p>
        </w:tc>
        <w:tc>
          <w:tcPr>
            <w:tcW w:w="1311" w:type="pct"/>
            <w:vMerge w:val="restart"/>
            <w:tcBorders>
              <w:top w:val="single" w:sz="4" w:space="0" w:color="000000"/>
              <w:left w:val="single" w:sz="4" w:space="0" w:color="000000"/>
              <w:bottom w:val="single" w:sz="4" w:space="0" w:color="000000"/>
              <w:right w:val="single" w:sz="4" w:space="0" w:color="000000"/>
            </w:tcBorders>
            <w:hideMark/>
          </w:tcPr>
          <w:p w14:paraId="520E0FBD" w14:textId="77777777" w:rsidR="009B0C24" w:rsidRPr="008D45EF" w:rsidRDefault="009B0C24" w:rsidP="00322782">
            <w:pPr>
              <w:ind w:left="142"/>
              <w:rPr>
                <w:sz w:val="24"/>
                <w:szCs w:val="24"/>
              </w:rPr>
            </w:pPr>
            <w:r w:rsidRPr="008D45EF">
              <w:rPr>
                <w:sz w:val="24"/>
                <w:szCs w:val="24"/>
              </w:rPr>
              <w:t>5,6</w:t>
            </w:r>
          </w:p>
          <w:p w14:paraId="007EB276" w14:textId="77777777" w:rsidR="009B0C24" w:rsidRPr="008D45EF" w:rsidRDefault="009B0C24" w:rsidP="00322782">
            <w:pPr>
              <w:ind w:left="142"/>
              <w:rPr>
                <w:sz w:val="24"/>
                <w:szCs w:val="24"/>
              </w:rPr>
            </w:pPr>
            <w:r w:rsidRPr="008D45EF">
              <w:rPr>
                <w:sz w:val="24"/>
                <w:szCs w:val="24"/>
              </w:rPr>
              <w:t>(4,86</w:t>
            </w:r>
            <w:r w:rsidRPr="008D45EF">
              <w:rPr>
                <w:sz w:val="24"/>
                <w:szCs w:val="24"/>
              </w:rPr>
              <w:noBreakHyphen/>
              <w:t>5,91)</w:t>
            </w:r>
          </w:p>
        </w:tc>
        <w:tc>
          <w:tcPr>
            <w:tcW w:w="1312" w:type="pct"/>
            <w:vMerge w:val="restart"/>
            <w:tcBorders>
              <w:top w:val="single" w:sz="4" w:space="0" w:color="000000"/>
              <w:left w:val="single" w:sz="4" w:space="0" w:color="000000"/>
              <w:bottom w:val="single" w:sz="4" w:space="0" w:color="000000"/>
              <w:right w:val="single" w:sz="4" w:space="0" w:color="000000"/>
            </w:tcBorders>
            <w:hideMark/>
          </w:tcPr>
          <w:p w14:paraId="17910275" w14:textId="77777777" w:rsidR="009B0C24" w:rsidRPr="008D45EF" w:rsidRDefault="009B0C24" w:rsidP="00322782">
            <w:pPr>
              <w:ind w:left="142"/>
              <w:rPr>
                <w:sz w:val="24"/>
                <w:szCs w:val="24"/>
              </w:rPr>
            </w:pPr>
            <w:r w:rsidRPr="008D45EF">
              <w:rPr>
                <w:sz w:val="24"/>
                <w:szCs w:val="24"/>
              </w:rPr>
              <w:t>3,7</w:t>
            </w:r>
          </w:p>
          <w:p w14:paraId="3117EEB7" w14:textId="77777777" w:rsidR="009B0C24" w:rsidRPr="008D45EF" w:rsidRDefault="009B0C24" w:rsidP="00322782">
            <w:pPr>
              <w:ind w:left="142"/>
              <w:rPr>
                <w:sz w:val="24"/>
                <w:szCs w:val="24"/>
              </w:rPr>
            </w:pPr>
            <w:r w:rsidRPr="008D45EF">
              <w:rPr>
                <w:sz w:val="24"/>
                <w:szCs w:val="24"/>
              </w:rPr>
              <w:t>(3,45</w:t>
            </w:r>
            <w:r w:rsidRPr="008D45EF">
              <w:rPr>
                <w:sz w:val="24"/>
                <w:szCs w:val="24"/>
              </w:rPr>
              <w:noBreakHyphen/>
              <w:t>4,47)</w:t>
            </w:r>
          </w:p>
        </w:tc>
      </w:tr>
      <w:tr w:rsidR="009B0C24" w:rsidRPr="008D45EF" w14:paraId="169E008A" w14:textId="77777777" w:rsidTr="00322782">
        <w:trPr>
          <w:trHeight w:val="258"/>
        </w:trPr>
        <w:tc>
          <w:tcPr>
            <w:tcW w:w="2377" w:type="pct"/>
            <w:tcBorders>
              <w:top w:val="nil"/>
              <w:left w:val="single" w:sz="4" w:space="0" w:color="000000"/>
              <w:bottom w:val="nil"/>
              <w:right w:val="single" w:sz="4" w:space="0" w:color="000000"/>
            </w:tcBorders>
            <w:hideMark/>
          </w:tcPr>
          <w:p w14:paraId="388F1AB4" w14:textId="77777777" w:rsidR="009B0C24" w:rsidRPr="008D45EF" w:rsidRDefault="009B0C24" w:rsidP="00322782">
            <w:pPr>
              <w:ind w:left="142"/>
              <w:rPr>
                <w:sz w:val="24"/>
                <w:szCs w:val="24"/>
              </w:rPr>
            </w:pPr>
            <w:r w:rsidRPr="008D45EF">
              <w:rPr>
                <w:sz w:val="24"/>
                <w:szCs w:val="24"/>
              </w:rPr>
              <w:t>(95 %CI)</w:t>
            </w:r>
          </w:p>
        </w:tc>
        <w:tc>
          <w:tcPr>
            <w:tcW w:w="1311" w:type="pct"/>
            <w:vMerge/>
            <w:tcBorders>
              <w:top w:val="single" w:sz="4" w:space="0" w:color="000000"/>
              <w:left w:val="single" w:sz="4" w:space="0" w:color="000000"/>
              <w:bottom w:val="single" w:sz="4" w:space="0" w:color="000000"/>
              <w:right w:val="single" w:sz="4" w:space="0" w:color="000000"/>
            </w:tcBorders>
            <w:vAlign w:val="center"/>
            <w:hideMark/>
          </w:tcPr>
          <w:p w14:paraId="65003C16" w14:textId="77777777" w:rsidR="009B0C24" w:rsidRPr="008D45EF" w:rsidRDefault="009B0C24" w:rsidP="00322782">
            <w:pPr>
              <w:ind w:left="142"/>
              <w:rPr>
                <w:sz w:val="24"/>
                <w:szCs w:val="24"/>
              </w:rPr>
            </w:pPr>
          </w:p>
        </w:tc>
        <w:tc>
          <w:tcPr>
            <w:tcW w:w="1312" w:type="pct"/>
            <w:vMerge/>
            <w:tcBorders>
              <w:top w:val="single" w:sz="4" w:space="0" w:color="000000"/>
              <w:left w:val="single" w:sz="4" w:space="0" w:color="000000"/>
              <w:bottom w:val="single" w:sz="4" w:space="0" w:color="000000"/>
              <w:right w:val="single" w:sz="4" w:space="0" w:color="000000"/>
            </w:tcBorders>
            <w:vAlign w:val="center"/>
            <w:hideMark/>
          </w:tcPr>
          <w:p w14:paraId="550E09E2" w14:textId="77777777" w:rsidR="009B0C24" w:rsidRPr="008D45EF" w:rsidRDefault="009B0C24" w:rsidP="00322782">
            <w:pPr>
              <w:ind w:left="142"/>
              <w:rPr>
                <w:sz w:val="24"/>
                <w:szCs w:val="24"/>
              </w:rPr>
            </w:pPr>
          </w:p>
        </w:tc>
      </w:tr>
      <w:tr w:rsidR="009B0C24" w:rsidRPr="008D45EF" w14:paraId="035AA7A2" w14:textId="77777777" w:rsidTr="00322782">
        <w:trPr>
          <w:trHeight w:hRule="exact" w:val="258"/>
        </w:trPr>
        <w:tc>
          <w:tcPr>
            <w:tcW w:w="2377" w:type="pct"/>
            <w:tcBorders>
              <w:top w:val="nil"/>
              <w:left w:val="single" w:sz="4" w:space="0" w:color="000000"/>
              <w:bottom w:val="nil"/>
              <w:right w:val="single" w:sz="4" w:space="0" w:color="000000"/>
            </w:tcBorders>
            <w:hideMark/>
          </w:tcPr>
          <w:p w14:paraId="46877504" w14:textId="77777777" w:rsidR="009B0C24" w:rsidRPr="008D45EF" w:rsidRDefault="009B0C24" w:rsidP="00322782">
            <w:pPr>
              <w:ind w:left="142"/>
              <w:rPr>
                <w:sz w:val="24"/>
                <w:szCs w:val="24"/>
              </w:rPr>
            </w:pPr>
            <w:r w:rsidRPr="008D45EF">
              <w:rPr>
                <w:sz w:val="24"/>
                <w:szCs w:val="24"/>
              </w:rPr>
              <w:t>Hazard ratio</w:t>
            </w:r>
          </w:p>
        </w:tc>
        <w:tc>
          <w:tcPr>
            <w:tcW w:w="2623" w:type="pct"/>
            <w:gridSpan w:val="2"/>
            <w:vMerge w:val="restart"/>
            <w:tcBorders>
              <w:top w:val="single" w:sz="4" w:space="0" w:color="000000"/>
              <w:left w:val="single" w:sz="4" w:space="0" w:color="000000"/>
              <w:bottom w:val="single" w:sz="4" w:space="0" w:color="000000"/>
              <w:right w:val="single" w:sz="4" w:space="0" w:color="000000"/>
            </w:tcBorders>
            <w:hideMark/>
          </w:tcPr>
          <w:p w14:paraId="55A0EDD9" w14:textId="77777777" w:rsidR="009B0C24" w:rsidRPr="008D45EF" w:rsidRDefault="009B0C24" w:rsidP="009B0C24">
            <w:pPr>
              <w:ind w:left="142"/>
              <w:jc w:val="center"/>
              <w:rPr>
                <w:sz w:val="24"/>
                <w:szCs w:val="24"/>
              </w:rPr>
            </w:pPr>
            <w:r w:rsidRPr="008D45EF">
              <w:rPr>
                <w:sz w:val="24"/>
                <w:szCs w:val="24"/>
              </w:rPr>
              <w:t>1,473</w:t>
            </w:r>
          </w:p>
          <w:p w14:paraId="19D17E0B" w14:textId="77777777" w:rsidR="009B0C24" w:rsidRPr="008D45EF" w:rsidRDefault="009B0C24" w:rsidP="009B0C24">
            <w:pPr>
              <w:ind w:left="142"/>
              <w:jc w:val="center"/>
              <w:rPr>
                <w:sz w:val="24"/>
                <w:szCs w:val="24"/>
              </w:rPr>
            </w:pPr>
            <w:r w:rsidRPr="008D45EF">
              <w:rPr>
                <w:sz w:val="24"/>
                <w:szCs w:val="24"/>
              </w:rPr>
              <w:t>(1,189</w:t>
            </w:r>
            <w:r w:rsidRPr="008D45EF">
              <w:rPr>
                <w:sz w:val="24"/>
                <w:szCs w:val="24"/>
              </w:rPr>
              <w:noBreakHyphen/>
              <w:t>1,825)</w:t>
            </w:r>
          </w:p>
          <w:p w14:paraId="14DD282B" w14:textId="77777777" w:rsidR="009B0C24" w:rsidRPr="008D45EF" w:rsidRDefault="009B0C24" w:rsidP="009B0C24">
            <w:pPr>
              <w:ind w:left="142"/>
              <w:jc w:val="center"/>
              <w:rPr>
                <w:sz w:val="24"/>
                <w:szCs w:val="24"/>
              </w:rPr>
            </w:pPr>
            <w:r w:rsidRPr="008D45EF">
              <w:rPr>
                <w:sz w:val="24"/>
                <w:szCs w:val="24"/>
              </w:rPr>
              <w:t>0,0004</w:t>
            </w:r>
          </w:p>
        </w:tc>
      </w:tr>
      <w:tr w:rsidR="009B0C24" w:rsidRPr="008D45EF" w14:paraId="2506464A" w14:textId="77777777" w:rsidTr="00322782">
        <w:trPr>
          <w:trHeight w:val="253"/>
        </w:trPr>
        <w:tc>
          <w:tcPr>
            <w:tcW w:w="2377" w:type="pct"/>
            <w:tcBorders>
              <w:top w:val="nil"/>
              <w:left w:val="single" w:sz="4" w:space="0" w:color="000000"/>
              <w:bottom w:val="nil"/>
              <w:right w:val="single" w:sz="4" w:space="0" w:color="000000"/>
            </w:tcBorders>
            <w:hideMark/>
          </w:tcPr>
          <w:p w14:paraId="47DD9332" w14:textId="77777777" w:rsidR="009B0C24" w:rsidRPr="008D45EF" w:rsidRDefault="009B0C24" w:rsidP="00322782">
            <w:pPr>
              <w:ind w:left="142"/>
              <w:rPr>
                <w:sz w:val="24"/>
                <w:szCs w:val="24"/>
              </w:rPr>
            </w:pPr>
            <w:r w:rsidRPr="008D45EF">
              <w:rPr>
                <w:sz w:val="24"/>
                <w:szCs w:val="24"/>
              </w:rPr>
              <w:t>(95 %CI)</w:t>
            </w:r>
          </w:p>
        </w:tc>
        <w:tc>
          <w:tcPr>
            <w:tcW w:w="2623" w:type="pct"/>
            <w:gridSpan w:val="2"/>
            <w:vMerge/>
            <w:tcBorders>
              <w:top w:val="nil"/>
              <w:left w:val="single" w:sz="4" w:space="0" w:color="000000"/>
              <w:bottom w:val="nil"/>
              <w:right w:val="single" w:sz="4" w:space="0" w:color="000000"/>
            </w:tcBorders>
            <w:vAlign w:val="center"/>
            <w:hideMark/>
          </w:tcPr>
          <w:p w14:paraId="1A64B87D" w14:textId="77777777" w:rsidR="009B0C24" w:rsidRPr="008D45EF" w:rsidRDefault="009B0C24" w:rsidP="00322782">
            <w:pPr>
              <w:ind w:left="142"/>
              <w:rPr>
                <w:sz w:val="24"/>
                <w:szCs w:val="24"/>
              </w:rPr>
            </w:pPr>
          </w:p>
        </w:tc>
      </w:tr>
      <w:tr w:rsidR="009B0C24" w:rsidRPr="008D45EF" w14:paraId="6D64747C" w14:textId="77777777" w:rsidTr="00322782">
        <w:trPr>
          <w:trHeight w:val="259"/>
        </w:trPr>
        <w:tc>
          <w:tcPr>
            <w:tcW w:w="2377" w:type="pct"/>
            <w:tcBorders>
              <w:top w:val="nil"/>
              <w:left w:val="single" w:sz="4" w:space="0" w:color="000000"/>
              <w:bottom w:val="single" w:sz="4" w:space="0" w:color="000000"/>
              <w:right w:val="single" w:sz="4" w:space="0" w:color="000000"/>
            </w:tcBorders>
            <w:hideMark/>
          </w:tcPr>
          <w:p w14:paraId="7CC3452B" w14:textId="77777777" w:rsidR="009B0C24" w:rsidRPr="008D45EF" w:rsidRDefault="009B0C24" w:rsidP="00322782">
            <w:pPr>
              <w:ind w:left="142"/>
              <w:rPr>
                <w:sz w:val="24"/>
                <w:szCs w:val="24"/>
              </w:rPr>
            </w:pPr>
            <w:r w:rsidRPr="008D45EF">
              <w:rPr>
                <w:sz w:val="24"/>
                <w:szCs w:val="24"/>
              </w:rPr>
              <w:t>*p-værdi</w:t>
            </w:r>
          </w:p>
        </w:tc>
        <w:tc>
          <w:tcPr>
            <w:tcW w:w="2623" w:type="pct"/>
            <w:gridSpan w:val="2"/>
            <w:vMerge/>
            <w:tcBorders>
              <w:top w:val="nil"/>
              <w:left w:val="single" w:sz="4" w:space="0" w:color="000000"/>
              <w:bottom w:val="single" w:sz="4" w:space="0" w:color="000000"/>
              <w:right w:val="single" w:sz="4" w:space="0" w:color="000000"/>
            </w:tcBorders>
            <w:vAlign w:val="center"/>
            <w:hideMark/>
          </w:tcPr>
          <w:p w14:paraId="6A417CFA" w14:textId="77777777" w:rsidR="009B0C24" w:rsidRPr="008D45EF" w:rsidRDefault="009B0C24" w:rsidP="00322782">
            <w:pPr>
              <w:ind w:left="142"/>
              <w:rPr>
                <w:sz w:val="24"/>
                <w:szCs w:val="24"/>
              </w:rPr>
            </w:pPr>
          </w:p>
        </w:tc>
      </w:tr>
      <w:tr w:rsidR="009B0C24" w:rsidRPr="008D45EF" w14:paraId="4DF77B03" w14:textId="77777777" w:rsidTr="00322782">
        <w:trPr>
          <w:trHeight w:hRule="exact" w:val="257"/>
        </w:trPr>
        <w:tc>
          <w:tcPr>
            <w:tcW w:w="2377" w:type="pct"/>
            <w:tcBorders>
              <w:top w:val="single" w:sz="4" w:space="0" w:color="000000"/>
              <w:left w:val="single" w:sz="4" w:space="0" w:color="000000"/>
              <w:bottom w:val="nil"/>
              <w:right w:val="single" w:sz="4" w:space="0" w:color="000000"/>
            </w:tcBorders>
            <w:hideMark/>
          </w:tcPr>
          <w:p w14:paraId="41D5A7F1" w14:textId="77777777" w:rsidR="009B0C24" w:rsidRPr="008D45EF" w:rsidRDefault="009B0C24" w:rsidP="00322782">
            <w:pPr>
              <w:ind w:left="142"/>
              <w:rPr>
                <w:sz w:val="24"/>
                <w:szCs w:val="24"/>
              </w:rPr>
            </w:pPr>
            <w:r w:rsidRPr="008D45EF">
              <w:rPr>
                <w:sz w:val="24"/>
                <w:szCs w:val="24"/>
              </w:rPr>
              <w:t>Median overlevelse (måneder)</w:t>
            </w:r>
          </w:p>
        </w:tc>
        <w:tc>
          <w:tcPr>
            <w:tcW w:w="1311" w:type="pct"/>
            <w:tcBorders>
              <w:top w:val="single" w:sz="4" w:space="0" w:color="000000"/>
              <w:left w:val="single" w:sz="4" w:space="0" w:color="000000"/>
              <w:bottom w:val="nil"/>
              <w:right w:val="single" w:sz="4" w:space="0" w:color="000000"/>
            </w:tcBorders>
            <w:hideMark/>
          </w:tcPr>
          <w:p w14:paraId="3C989BCC" w14:textId="77777777" w:rsidR="009B0C24" w:rsidRPr="008D45EF" w:rsidRDefault="009B0C24" w:rsidP="00322782">
            <w:pPr>
              <w:ind w:left="142"/>
              <w:rPr>
                <w:sz w:val="24"/>
                <w:szCs w:val="24"/>
              </w:rPr>
            </w:pPr>
            <w:r w:rsidRPr="008D45EF">
              <w:rPr>
                <w:sz w:val="24"/>
                <w:szCs w:val="24"/>
              </w:rPr>
              <w:t>9,2</w:t>
            </w:r>
          </w:p>
        </w:tc>
        <w:tc>
          <w:tcPr>
            <w:tcW w:w="1312" w:type="pct"/>
            <w:tcBorders>
              <w:top w:val="single" w:sz="4" w:space="0" w:color="000000"/>
              <w:left w:val="single" w:sz="4" w:space="0" w:color="000000"/>
              <w:bottom w:val="nil"/>
              <w:right w:val="single" w:sz="4" w:space="0" w:color="000000"/>
            </w:tcBorders>
            <w:hideMark/>
          </w:tcPr>
          <w:p w14:paraId="459DB361" w14:textId="77777777" w:rsidR="009B0C24" w:rsidRPr="008D45EF" w:rsidRDefault="009B0C24" w:rsidP="00322782">
            <w:pPr>
              <w:ind w:left="142"/>
              <w:rPr>
                <w:sz w:val="24"/>
                <w:szCs w:val="24"/>
              </w:rPr>
            </w:pPr>
            <w:r w:rsidRPr="008D45EF">
              <w:rPr>
                <w:sz w:val="24"/>
                <w:szCs w:val="24"/>
              </w:rPr>
              <w:t>8,6</w:t>
            </w:r>
          </w:p>
        </w:tc>
      </w:tr>
      <w:tr w:rsidR="009B0C24" w:rsidRPr="008D45EF" w14:paraId="597E166B" w14:textId="77777777" w:rsidTr="00322782">
        <w:trPr>
          <w:trHeight w:hRule="exact" w:val="253"/>
        </w:trPr>
        <w:tc>
          <w:tcPr>
            <w:tcW w:w="2377" w:type="pct"/>
            <w:tcBorders>
              <w:top w:val="nil"/>
              <w:left w:val="single" w:sz="4" w:space="0" w:color="000000"/>
              <w:bottom w:val="nil"/>
              <w:right w:val="single" w:sz="4" w:space="0" w:color="000000"/>
            </w:tcBorders>
            <w:hideMark/>
          </w:tcPr>
          <w:p w14:paraId="2A36F5B6" w14:textId="77777777" w:rsidR="009B0C24" w:rsidRPr="008D45EF" w:rsidRDefault="009B0C24" w:rsidP="00322782">
            <w:pPr>
              <w:ind w:left="142"/>
              <w:rPr>
                <w:sz w:val="24"/>
                <w:szCs w:val="24"/>
              </w:rPr>
            </w:pPr>
            <w:r w:rsidRPr="008D45EF">
              <w:rPr>
                <w:sz w:val="24"/>
                <w:szCs w:val="24"/>
              </w:rPr>
              <w:t>(95 %CI)</w:t>
            </w:r>
          </w:p>
        </w:tc>
        <w:tc>
          <w:tcPr>
            <w:tcW w:w="1311" w:type="pct"/>
            <w:tcBorders>
              <w:top w:val="nil"/>
              <w:left w:val="single" w:sz="4" w:space="0" w:color="000000"/>
              <w:bottom w:val="nil"/>
              <w:right w:val="single" w:sz="4" w:space="0" w:color="000000"/>
            </w:tcBorders>
            <w:hideMark/>
          </w:tcPr>
          <w:p w14:paraId="197D15DF" w14:textId="77777777" w:rsidR="009B0C24" w:rsidRPr="008D45EF" w:rsidRDefault="009B0C24" w:rsidP="00322782">
            <w:pPr>
              <w:ind w:left="142"/>
              <w:rPr>
                <w:sz w:val="24"/>
                <w:szCs w:val="24"/>
              </w:rPr>
            </w:pPr>
            <w:r w:rsidRPr="008D45EF">
              <w:rPr>
                <w:sz w:val="24"/>
                <w:szCs w:val="24"/>
              </w:rPr>
              <w:t>(8,38</w:t>
            </w:r>
            <w:r w:rsidRPr="008D45EF">
              <w:rPr>
                <w:sz w:val="24"/>
                <w:szCs w:val="24"/>
              </w:rPr>
              <w:noBreakHyphen/>
              <w:t>10,58)</w:t>
            </w:r>
          </w:p>
        </w:tc>
        <w:tc>
          <w:tcPr>
            <w:tcW w:w="1312" w:type="pct"/>
            <w:tcBorders>
              <w:top w:val="nil"/>
              <w:left w:val="single" w:sz="4" w:space="0" w:color="000000"/>
              <w:bottom w:val="nil"/>
              <w:right w:val="single" w:sz="4" w:space="0" w:color="000000"/>
            </w:tcBorders>
            <w:hideMark/>
          </w:tcPr>
          <w:p w14:paraId="6EBCBBD0" w14:textId="77777777" w:rsidR="009B0C24" w:rsidRPr="008D45EF" w:rsidRDefault="009B0C24" w:rsidP="00322782">
            <w:pPr>
              <w:ind w:left="142"/>
              <w:rPr>
                <w:sz w:val="24"/>
                <w:szCs w:val="24"/>
              </w:rPr>
            </w:pPr>
            <w:r w:rsidRPr="008D45EF">
              <w:rPr>
                <w:sz w:val="24"/>
                <w:szCs w:val="24"/>
              </w:rPr>
              <w:t>(7,16</w:t>
            </w:r>
            <w:r w:rsidRPr="008D45EF">
              <w:rPr>
                <w:sz w:val="24"/>
                <w:szCs w:val="24"/>
              </w:rPr>
              <w:noBreakHyphen/>
              <w:t>9,46)</w:t>
            </w:r>
          </w:p>
        </w:tc>
      </w:tr>
      <w:tr w:rsidR="009B0C24" w:rsidRPr="008D45EF" w14:paraId="0A688985" w14:textId="77777777" w:rsidTr="00322782">
        <w:trPr>
          <w:trHeight w:hRule="exact" w:val="258"/>
        </w:trPr>
        <w:tc>
          <w:tcPr>
            <w:tcW w:w="2377" w:type="pct"/>
            <w:tcBorders>
              <w:top w:val="nil"/>
              <w:left w:val="single" w:sz="4" w:space="0" w:color="000000"/>
              <w:bottom w:val="nil"/>
              <w:right w:val="single" w:sz="4" w:space="0" w:color="000000"/>
            </w:tcBorders>
            <w:hideMark/>
          </w:tcPr>
          <w:p w14:paraId="552EEA73" w14:textId="77777777" w:rsidR="009B0C24" w:rsidRPr="008D45EF" w:rsidRDefault="009B0C24" w:rsidP="00322782">
            <w:pPr>
              <w:ind w:left="142"/>
              <w:rPr>
                <w:sz w:val="24"/>
                <w:szCs w:val="24"/>
              </w:rPr>
            </w:pPr>
            <w:r w:rsidRPr="008D45EF">
              <w:rPr>
                <w:sz w:val="24"/>
                <w:szCs w:val="24"/>
              </w:rPr>
              <w:t>2-års estimat (%)</w:t>
            </w:r>
          </w:p>
        </w:tc>
        <w:tc>
          <w:tcPr>
            <w:tcW w:w="1311" w:type="pct"/>
            <w:tcBorders>
              <w:top w:val="nil"/>
              <w:left w:val="single" w:sz="4" w:space="0" w:color="000000"/>
              <w:bottom w:val="single" w:sz="4" w:space="0" w:color="000000"/>
              <w:right w:val="single" w:sz="4" w:space="0" w:color="000000"/>
            </w:tcBorders>
            <w:hideMark/>
          </w:tcPr>
          <w:p w14:paraId="03E526FB" w14:textId="77777777" w:rsidR="009B0C24" w:rsidRPr="008D45EF" w:rsidRDefault="009B0C24" w:rsidP="00322782">
            <w:pPr>
              <w:ind w:left="142"/>
              <w:rPr>
                <w:sz w:val="24"/>
                <w:szCs w:val="24"/>
              </w:rPr>
            </w:pPr>
            <w:r w:rsidRPr="008D45EF">
              <w:rPr>
                <w:sz w:val="24"/>
                <w:szCs w:val="24"/>
              </w:rPr>
              <w:t>18,4</w:t>
            </w:r>
          </w:p>
        </w:tc>
        <w:tc>
          <w:tcPr>
            <w:tcW w:w="1312" w:type="pct"/>
            <w:tcBorders>
              <w:top w:val="nil"/>
              <w:left w:val="single" w:sz="4" w:space="0" w:color="000000"/>
              <w:bottom w:val="single" w:sz="4" w:space="0" w:color="000000"/>
              <w:right w:val="single" w:sz="4" w:space="0" w:color="000000"/>
            </w:tcBorders>
            <w:hideMark/>
          </w:tcPr>
          <w:p w14:paraId="09151F90" w14:textId="77777777" w:rsidR="009B0C24" w:rsidRPr="008D45EF" w:rsidRDefault="009B0C24" w:rsidP="00322782">
            <w:pPr>
              <w:ind w:left="142"/>
              <w:rPr>
                <w:sz w:val="24"/>
                <w:szCs w:val="24"/>
              </w:rPr>
            </w:pPr>
            <w:r w:rsidRPr="008D45EF">
              <w:rPr>
                <w:sz w:val="24"/>
                <w:szCs w:val="24"/>
              </w:rPr>
              <w:t>8,8</w:t>
            </w:r>
          </w:p>
        </w:tc>
      </w:tr>
      <w:tr w:rsidR="009B0C24" w:rsidRPr="008D45EF" w14:paraId="1692589B" w14:textId="77777777" w:rsidTr="00322782">
        <w:trPr>
          <w:trHeight w:hRule="exact" w:val="258"/>
        </w:trPr>
        <w:tc>
          <w:tcPr>
            <w:tcW w:w="2377" w:type="pct"/>
            <w:tcBorders>
              <w:top w:val="nil"/>
              <w:left w:val="single" w:sz="4" w:space="0" w:color="000000"/>
              <w:bottom w:val="nil"/>
              <w:right w:val="single" w:sz="4" w:space="0" w:color="000000"/>
            </w:tcBorders>
            <w:hideMark/>
          </w:tcPr>
          <w:p w14:paraId="67705B40" w14:textId="77777777" w:rsidR="009B0C24" w:rsidRPr="008D45EF" w:rsidRDefault="009B0C24" w:rsidP="00322782">
            <w:pPr>
              <w:ind w:left="142"/>
              <w:rPr>
                <w:sz w:val="24"/>
                <w:szCs w:val="24"/>
              </w:rPr>
            </w:pPr>
            <w:r w:rsidRPr="008D45EF">
              <w:rPr>
                <w:sz w:val="24"/>
                <w:szCs w:val="24"/>
              </w:rPr>
              <w:t>Hazard ratio</w:t>
            </w:r>
          </w:p>
        </w:tc>
        <w:tc>
          <w:tcPr>
            <w:tcW w:w="2623" w:type="pct"/>
            <w:gridSpan w:val="2"/>
            <w:vMerge w:val="restart"/>
            <w:tcBorders>
              <w:top w:val="single" w:sz="4" w:space="0" w:color="000000"/>
              <w:left w:val="single" w:sz="4" w:space="0" w:color="000000"/>
              <w:bottom w:val="single" w:sz="4" w:space="0" w:color="000000"/>
              <w:right w:val="single" w:sz="4" w:space="0" w:color="000000"/>
            </w:tcBorders>
            <w:hideMark/>
          </w:tcPr>
          <w:p w14:paraId="5C699F55" w14:textId="77777777" w:rsidR="009B0C24" w:rsidRPr="008D45EF" w:rsidRDefault="009B0C24" w:rsidP="009B0C24">
            <w:pPr>
              <w:ind w:left="142"/>
              <w:jc w:val="center"/>
              <w:rPr>
                <w:sz w:val="24"/>
                <w:szCs w:val="24"/>
              </w:rPr>
            </w:pPr>
            <w:r w:rsidRPr="008D45EF">
              <w:rPr>
                <w:sz w:val="24"/>
                <w:szCs w:val="24"/>
              </w:rPr>
              <w:t>1,293</w:t>
            </w:r>
          </w:p>
          <w:p w14:paraId="5B126E19" w14:textId="77777777" w:rsidR="009B0C24" w:rsidRPr="008D45EF" w:rsidRDefault="009B0C24" w:rsidP="009B0C24">
            <w:pPr>
              <w:ind w:left="142"/>
              <w:jc w:val="center"/>
              <w:rPr>
                <w:sz w:val="24"/>
                <w:szCs w:val="24"/>
              </w:rPr>
            </w:pPr>
            <w:r w:rsidRPr="008D45EF">
              <w:rPr>
                <w:sz w:val="24"/>
                <w:szCs w:val="24"/>
              </w:rPr>
              <w:t>(1,041</w:t>
            </w:r>
            <w:r w:rsidRPr="008D45EF">
              <w:rPr>
                <w:sz w:val="24"/>
                <w:szCs w:val="24"/>
              </w:rPr>
              <w:noBreakHyphen/>
              <w:t>1,606)</w:t>
            </w:r>
          </w:p>
          <w:p w14:paraId="6D169656" w14:textId="77777777" w:rsidR="009B0C24" w:rsidRPr="008D45EF" w:rsidRDefault="009B0C24" w:rsidP="009B0C24">
            <w:pPr>
              <w:ind w:left="142"/>
              <w:jc w:val="center"/>
              <w:rPr>
                <w:sz w:val="24"/>
                <w:szCs w:val="24"/>
              </w:rPr>
            </w:pPr>
            <w:r w:rsidRPr="008D45EF">
              <w:rPr>
                <w:sz w:val="24"/>
                <w:szCs w:val="24"/>
              </w:rPr>
              <w:t>0,0201</w:t>
            </w:r>
          </w:p>
        </w:tc>
      </w:tr>
      <w:tr w:rsidR="009B0C24" w:rsidRPr="008D45EF" w14:paraId="3539A4CB" w14:textId="77777777" w:rsidTr="00322782">
        <w:trPr>
          <w:trHeight w:val="253"/>
        </w:trPr>
        <w:tc>
          <w:tcPr>
            <w:tcW w:w="2377" w:type="pct"/>
            <w:tcBorders>
              <w:top w:val="nil"/>
              <w:left w:val="single" w:sz="4" w:space="0" w:color="000000"/>
              <w:bottom w:val="nil"/>
              <w:right w:val="single" w:sz="4" w:space="0" w:color="000000"/>
            </w:tcBorders>
            <w:hideMark/>
          </w:tcPr>
          <w:p w14:paraId="075DF36D" w14:textId="77777777" w:rsidR="009B0C24" w:rsidRPr="008D45EF" w:rsidRDefault="009B0C24" w:rsidP="00322782">
            <w:pPr>
              <w:ind w:left="142"/>
              <w:rPr>
                <w:sz w:val="24"/>
                <w:szCs w:val="24"/>
              </w:rPr>
            </w:pPr>
            <w:r w:rsidRPr="008D45EF">
              <w:rPr>
                <w:sz w:val="24"/>
                <w:szCs w:val="24"/>
              </w:rPr>
              <w:t>(95 %CI)</w:t>
            </w:r>
          </w:p>
        </w:tc>
        <w:tc>
          <w:tcPr>
            <w:tcW w:w="2623" w:type="pct"/>
            <w:gridSpan w:val="2"/>
            <w:vMerge/>
            <w:tcBorders>
              <w:top w:val="nil"/>
              <w:left w:val="single" w:sz="4" w:space="0" w:color="000000"/>
              <w:bottom w:val="nil"/>
              <w:right w:val="single" w:sz="4" w:space="0" w:color="000000"/>
            </w:tcBorders>
            <w:vAlign w:val="center"/>
            <w:hideMark/>
          </w:tcPr>
          <w:p w14:paraId="3A504A28" w14:textId="77777777" w:rsidR="009B0C24" w:rsidRPr="008D45EF" w:rsidRDefault="009B0C24" w:rsidP="00322782">
            <w:pPr>
              <w:ind w:left="142"/>
              <w:rPr>
                <w:sz w:val="24"/>
                <w:szCs w:val="24"/>
              </w:rPr>
            </w:pPr>
          </w:p>
        </w:tc>
      </w:tr>
      <w:tr w:rsidR="009B0C24" w:rsidRPr="008D45EF" w14:paraId="545ADD22" w14:textId="77777777" w:rsidTr="00322782">
        <w:trPr>
          <w:trHeight w:val="257"/>
        </w:trPr>
        <w:tc>
          <w:tcPr>
            <w:tcW w:w="2377" w:type="pct"/>
            <w:tcBorders>
              <w:top w:val="nil"/>
              <w:left w:val="single" w:sz="4" w:space="0" w:color="000000"/>
              <w:bottom w:val="single" w:sz="4" w:space="0" w:color="000000"/>
              <w:right w:val="single" w:sz="4" w:space="0" w:color="000000"/>
            </w:tcBorders>
            <w:hideMark/>
          </w:tcPr>
          <w:p w14:paraId="7F73C56D" w14:textId="77777777" w:rsidR="009B0C24" w:rsidRPr="008D45EF" w:rsidRDefault="009B0C24" w:rsidP="00322782">
            <w:pPr>
              <w:ind w:left="142"/>
              <w:rPr>
                <w:sz w:val="24"/>
                <w:szCs w:val="24"/>
              </w:rPr>
            </w:pPr>
            <w:r w:rsidRPr="008D45EF">
              <w:rPr>
                <w:sz w:val="24"/>
                <w:szCs w:val="24"/>
              </w:rPr>
              <w:t>*p-værdi</w:t>
            </w:r>
          </w:p>
        </w:tc>
        <w:tc>
          <w:tcPr>
            <w:tcW w:w="2623" w:type="pct"/>
            <w:gridSpan w:val="2"/>
            <w:vMerge/>
            <w:tcBorders>
              <w:top w:val="nil"/>
              <w:left w:val="single" w:sz="4" w:space="0" w:color="000000"/>
              <w:bottom w:val="single" w:sz="4" w:space="0" w:color="000000"/>
              <w:right w:val="single" w:sz="4" w:space="0" w:color="000000"/>
            </w:tcBorders>
            <w:vAlign w:val="center"/>
            <w:hideMark/>
          </w:tcPr>
          <w:p w14:paraId="1769E3F5" w14:textId="77777777" w:rsidR="009B0C24" w:rsidRPr="008D45EF" w:rsidRDefault="009B0C24" w:rsidP="00322782">
            <w:pPr>
              <w:ind w:left="142"/>
              <w:rPr>
                <w:sz w:val="24"/>
                <w:szCs w:val="24"/>
              </w:rPr>
            </w:pPr>
          </w:p>
        </w:tc>
      </w:tr>
      <w:tr w:rsidR="009B0C24" w:rsidRPr="008D45EF" w14:paraId="03AE15B8" w14:textId="77777777" w:rsidTr="00322782">
        <w:trPr>
          <w:trHeight w:hRule="exact" w:val="264"/>
        </w:trPr>
        <w:tc>
          <w:tcPr>
            <w:tcW w:w="2377" w:type="pct"/>
            <w:tcBorders>
              <w:top w:val="single" w:sz="4" w:space="0" w:color="000000"/>
              <w:left w:val="single" w:sz="4" w:space="0" w:color="000000"/>
              <w:bottom w:val="nil"/>
              <w:right w:val="single" w:sz="4" w:space="0" w:color="000000"/>
            </w:tcBorders>
            <w:hideMark/>
          </w:tcPr>
          <w:p w14:paraId="3CE244DB" w14:textId="77777777" w:rsidR="009B0C24" w:rsidRPr="008D45EF" w:rsidRDefault="009B0C24" w:rsidP="00322782">
            <w:pPr>
              <w:ind w:left="142"/>
              <w:rPr>
                <w:sz w:val="24"/>
                <w:szCs w:val="24"/>
              </w:rPr>
            </w:pPr>
            <w:r w:rsidRPr="008D45EF">
              <w:rPr>
                <w:sz w:val="24"/>
                <w:szCs w:val="24"/>
              </w:rPr>
              <w:t>Responsrate i alt (CR+PR) (%)</w:t>
            </w:r>
          </w:p>
        </w:tc>
        <w:tc>
          <w:tcPr>
            <w:tcW w:w="1311" w:type="pct"/>
            <w:tcBorders>
              <w:top w:val="single" w:sz="4" w:space="0" w:color="000000"/>
              <w:left w:val="single" w:sz="4" w:space="0" w:color="000000"/>
              <w:bottom w:val="single" w:sz="4" w:space="0" w:color="000000"/>
              <w:right w:val="single" w:sz="4" w:space="0" w:color="000000"/>
            </w:tcBorders>
            <w:hideMark/>
          </w:tcPr>
          <w:p w14:paraId="4F7867CA" w14:textId="77777777" w:rsidR="009B0C24" w:rsidRPr="008D45EF" w:rsidRDefault="009B0C24" w:rsidP="00322782">
            <w:pPr>
              <w:ind w:left="142"/>
              <w:rPr>
                <w:sz w:val="24"/>
                <w:szCs w:val="24"/>
              </w:rPr>
            </w:pPr>
            <w:r w:rsidRPr="008D45EF">
              <w:rPr>
                <w:sz w:val="24"/>
                <w:szCs w:val="24"/>
              </w:rPr>
              <w:t>36,7</w:t>
            </w:r>
          </w:p>
        </w:tc>
        <w:tc>
          <w:tcPr>
            <w:tcW w:w="1312" w:type="pct"/>
            <w:tcBorders>
              <w:top w:val="single" w:sz="4" w:space="0" w:color="000000"/>
              <w:left w:val="single" w:sz="4" w:space="0" w:color="000000"/>
              <w:bottom w:val="single" w:sz="4" w:space="0" w:color="000000"/>
              <w:right w:val="single" w:sz="4" w:space="0" w:color="000000"/>
            </w:tcBorders>
            <w:hideMark/>
          </w:tcPr>
          <w:p w14:paraId="59328F3E" w14:textId="77777777" w:rsidR="009B0C24" w:rsidRPr="008D45EF" w:rsidRDefault="009B0C24" w:rsidP="00322782">
            <w:pPr>
              <w:ind w:left="142"/>
              <w:rPr>
                <w:sz w:val="24"/>
                <w:szCs w:val="24"/>
              </w:rPr>
            </w:pPr>
            <w:r w:rsidRPr="008D45EF">
              <w:rPr>
                <w:sz w:val="24"/>
                <w:szCs w:val="24"/>
              </w:rPr>
              <w:t>25,4</w:t>
            </w:r>
          </w:p>
        </w:tc>
      </w:tr>
      <w:tr w:rsidR="009B0C24" w:rsidRPr="008D45EF" w14:paraId="3FEC73F5" w14:textId="77777777" w:rsidTr="00322782">
        <w:trPr>
          <w:trHeight w:hRule="exact" w:val="264"/>
        </w:trPr>
        <w:tc>
          <w:tcPr>
            <w:tcW w:w="2377" w:type="pct"/>
            <w:tcBorders>
              <w:top w:val="nil"/>
              <w:left w:val="single" w:sz="4" w:space="0" w:color="000000"/>
              <w:bottom w:val="single" w:sz="4" w:space="0" w:color="000000"/>
              <w:right w:val="single" w:sz="4" w:space="0" w:color="000000"/>
            </w:tcBorders>
            <w:hideMark/>
          </w:tcPr>
          <w:p w14:paraId="4883DF4D" w14:textId="77777777" w:rsidR="009B0C24" w:rsidRPr="008D45EF" w:rsidRDefault="009B0C24" w:rsidP="00322782">
            <w:pPr>
              <w:ind w:left="142"/>
              <w:rPr>
                <w:sz w:val="24"/>
                <w:szCs w:val="24"/>
              </w:rPr>
            </w:pPr>
            <w:r w:rsidRPr="008D45EF">
              <w:rPr>
                <w:sz w:val="24"/>
                <w:szCs w:val="24"/>
              </w:rPr>
              <w:t>p-værdi</w:t>
            </w:r>
          </w:p>
        </w:tc>
        <w:tc>
          <w:tcPr>
            <w:tcW w:w="2623" w:type="pct"/>
            <w:gridSpan w:val="2"/>
            <w:tcBorders>
              <w:top w:val="single" w:sz="4" w:space="0" w:color="000000"/>
              <w:left w:val="single" w:sz="4" w:space="0" w:color="000000"/>
              <w:bottom w:val="single" w:sz="4" w:space="0" w:color="000000"/>
              <w:right w:val="single" w:sz="4" w:space="0" w:color="000000"/>
            </w:tcBorders>
            <w:hideMark/>
          </w:tcPr>
          <w:p w14:paraId="061A744D" w14:textId="77777777" w:rsidR="009B0C24" w:rsidRPr="008D45EF" w:rsidRDefault="009B0C24" w:rsidP="009B0C24">
            <w:pPr>
              <w:ind w:left="142"/>
              <w:jc w:val="center"/>
              <w:rPr>
                <w:sz w:val="24"/>
                <w:szCs w:val="24"/>
              </w:rPr>
            </w:pPr>
            <w:r w:rsidRPr="008D45EF">
              <w:rPr>
                <w:sz w:val="24"/>
                <w:szCs w:val="24"/>
              </w:rPr>
              <w:t>0,0106</w:t>
            </w:r>
          </w:p>
        </w:tc>
      </w:tr>
      <w:tr w:rsidR="009B0C24" w:rsidRPr="008D45EF" w14:paraId="0094EEBB" w14:textId="77777777" w:rsidTr="009B0C24">
        <w:trPr>
          <w:trHeight w:hRule="exact" w:val="687"/>
        </w:trPr>
        <w:tc>
          <w:tcPr>
            <w:tcW w:w="2377" w:type="pct"/>
            <w:tcBorders>
              <w:top w:val="single" w:sz="4" w:space="0" w:color="000000"/>
              <w:left w:val="single" w:sz="4" w:space="0" w:color="000000"/>
              <w:bottom w:val="single" w:sz="4" w:space="0" w:color="000000"/>
              <w:right w:val="single" w:sz="4" w:space="0" w:color="000000"/>
            </w:tcBorders>
            <w:hideMark/>
          </w:tcPr>
          <w:p w14:paraId="6D294A81" w14:textId="77777777" w:rsidR="009B0C24" w:rsidRPr="008D45EF" w:rsidRDefault="009B0C24" w:rsidP="00322782">
            <w:pPr>
              <w:ind w:left="142"/>
              <w:rPr>
                <w:sz w:val="24"/>
                <w:szCs w:val="24"/>
              </w:rPr>
            </w:pPr>
            <w:r w:rsidRPr="008D45EF">
              <w:rPr>
                <w:sz w:val="24"/>
                <w:szCs w:val="24"/>
              </w:rPr>
              <w:t>Progressiv sygdom som bedste overlevelse respons (%)</w:t>
            </w:r>
          </w:p>
        </w:tc>
        <w:tc>
          <w:tcPr>
            <w:tcW w:w="1311" w:type="pct"/>
            <w:tcBorders>
              <w:top w:val="single" w:sz="4" w:space="0" w:color="000000"/>
              <w:left w:val="single" w:sz="4" w:space="0" w:color="000000"/>
              <w:bottom w:val="single" w:sz="4" w:space="0" w:color="000000"/>
              <w:right w:val="single" w:sz="4" w:space="0" w:color="000000"/>
            </w:tcBorders>
            <w:hideMark/>
          </w:tcPr>
          <w:p w14:paraId="641C2229" w14:textId="77777777" w:rsidR="009B0C24" w:rsidRPr="008D45EF" w:rsidRDefault="009B0C24" w:rsidP="00322782">
            <w:pPr>
              <w:ind w:left="142"/>
              <w:rPr>
                <w:sz w:val="24"/>
                <w:szCs w:val="24"/>
              </w:rPr>
            </w:pPr>
            <w:r w:rsidRPr="008D45EF">
              <w:rPr>
                <w:sz w:val="24"/>
                <w:szCs w:val="24"/>
              </w:rPr>
              <w:t>16,7</w:t>
            </w:r>
          </w:p>
        </w:tc>
        <w:tc>
          <w:tcPr>
            <w:tcW w:w="1312" w:type="pct"/>
            <w:tcBorders>
              <w:top w:val="single" w:sz="4" w:space="0" w:color="000000"/>
              <w:left w:val="single" w:sz="4" w:space="0" w:color="000000"/>
              <w:bottom w:val="single" w:sz="4" w:space="0" w:color="000000"/>
              <w:right w:val="single" w:sz="4" w:space="0" w:color="000000"/>
            </w:tcBorders>
            <w:hideMark/>
          </w:tcPr>
          <w:p w14:paraId="26575CEE" w14:textId="77777777" w:rsidR="009B0C24" w:rsidRPr="008D45EF" w:rsidRDefault="009B0C24" w:rsidP="00322782">
            <w:pPr>
              <w:ind w:left="142"/>
              <w:rPr>
                <w:sz w:val="24"/>
                <w:szCs w:val="24"/>
              </w:rPr>
            </w:pPr>
            <w:r w:rsidRPr="008D45EF">
              <w:rPr>
                <w:sz w:val="24"/>
                <w:szCs w:val="24"/>
              </w:rPr>
              <w:t>25,9</w:t>
            </w:r>
          </w:p>
        </w:tc>
      </w:tr>
    </w:tbl>
    <w:p w14:paraId="6626B90A" w14:textId="77777777" w:rsidR="006B34A1" w:rsidRPr="008D45EF" w:rsidRDefault="006B34A1" w:rsidP="0081699D">
      <w:pPr>
        <w:ind w:left="851"/>
        <w:rPr>
          <w:sz w:val="24"/>
          <w:szCs w:val="24"/>
        </w:rPr>
      </w:pPr>
      <w:r w:rsidRPr="008D45EF">
        <w:rPr>
          <w:sz w:val="24"/>
          <w:szCs w:val="24"/>
        </w:rPr>
        <w:t>*Ustratificerede logrank test</w:t>
      </w:r>
    </w:p>
    <w:p w14:paraId="7695A3E6" w14:textId="77777777" w:rsidR="006B34A1" w:rsidRPr="008D45EF" w:rsidRDefault="006B34A1" w:rsidP="0081699D">
      <w:pPr>
        <w:ind w:left="851"/>
        <w:rPr>
          <w:sz w:val="24"/>
          <w:szCs w:val="24"/>
        </w:rPr>
      </w:pPr>
    </w:p>
    <w:p w14:paraId="65BDA4A4" w14:textId="77777777" w:rsidR="006B34A1" w:rsidRPr="008D45EF" w:rsidRDefault="006B34A1" w:rsidP="0081699D">
      <w:pPr>
        <w:ind w:left="851"/>
        <w:rPr>
          <w:sz w:val="24"/>
          <w:szCs w:val="24"/>
        </w:rPr>
      </w:pPr>
      <w:r w:rsidRPr="008D45EF">
        <w:rPr>
          <w:sz w:val="24"/>
          <w:szCs w:val="24"/>
        </w:rPr>
        <w:t>Undergruppe-analyser på tværs af alder, køn og race favoriserede samstemmende TCF-armen sammenlignet med CF-armen.</w:t>
      </w:r>
    </w:p>
    <w:p w14:paraId="37620B9C" w14:textId="77777777" w:rsidR="006B34A1" w:rsidRPr="008D45EF" w:rsidRDefault="006B34A1" w:rsidP="0081699D">
      <w:pPr>
        <w:ind w:left="851"/>
        <w:rPr>
          <w:sz w:val="24"/>
          <w:szCs w:val="24"/>
        </w:rPr>
      </w:pPr>
    </w:p>
    <w:p w14:paraId="476425F4" w14:textId="77777777" w:rsidR="006B34A1" w:rsidRPr="008D45EF" w:rsidRDefault="006B34A1" w:rsidP="0081699D">
      <w:pPr>
        <w:ind w:left="851"/>
        <w:rPr>
          <w:sz w:val="24"/>
          <w:szCs w:val="24"/>
        </w:rPr>
      </w:pPr>
      <w:r w:rsidRPr="008D45EF">
        <w:rPr>
          <w:sz w:val="24"/>
          <w:szCs w:val="24"/>
        </w:rPr>
        <w:t>En opfølgende analyse af overlevelse efter en median-tid på 41,6 måneder viste ikke længere signifikant forskel, selv om TCF-regimet altid gav bedre resultater. Fordelen ved TCF-regimet kontra CF-regimet var helt tydelig mellem 18 og 30 måneders follow-up.</w:t>
      </w:r>
    </w:p>
    <w:p w14:paraId="6810EA03" w14:textId="77777777" w:rsidR="006B34A1" w:rsidRPr="008D45EF" w:rsidRDefault="006B34A1" w:rsidP="0081699D">
      <w:pPr>
        <w:ind w:left="851"/>
        <w:rPr>
          <w:sz w:val="24"/>
          <w:szCs w:val="24"/>
        </w:rPr>
      </w:pPr>
    </w:p>
    <w:p w14:paraId="6BEE7644" w14:textId="77777777" w:rsidR="006B34A1" w:rsidRPr="008D45EF" w:rsidRDefault="006B34A1" w:rsidP="0081699D">
      <w:pPr>
        <w:ind w:left="851"/>
        <w:rPr>
          <w:sz w:val="24"/>
          <w:szCs w:val="24"/>
        </w:rPr>
      </w:pPr>
      <w:r w:rsidRPr="008D45EF">
        <w:rPr>
          <w:sz w:val="24"/>
          <w:szCs w:val="24"/>
        </w:rPr>
        <w:t>Som helhed viste livskvalitet (LK) og kliniske fordele resultater i overensstemmelse med fremgang til fordel for TCF-armen. De patienter, der blev behandlet i TCF-armen, havde længere tid til 5 % definitiv forværring af den globale sundhedsstatus på QLQ</w:t>
      </w:r>
      <w:r w:rsidRPr="008D45EF">
        <w:rPr>
          <w:sz w:val="24"/>
          <w:szCs w:val="24"/>
        </w:rPr>
        <w:noBreakHyphen/>
        <w:t>C30-spørgeskemaet (p = 0,0121) og en længere tid til definitiv forværring af Karnofsky performance status (p = 0,0088) sammenlignet med patienterne, som fik behandling med CF.</w:t>
      </w:r>
    </w:p>
    <w:p w14:paraId="363BEE3D" w14:textId="77777777" w:rsidR="006B34A1" w:rsidRPr="008D45EF" w:rsidRDefault="006B34A1" w:rsidP="0081699D">
      <w:pPr>
        <w:ind w:left="851"/>
        <w:rPr>
          <w:sz w:val="24"/>
          <w:szCs w:val="24"/>
        </w:rPr>
      </w:pPr>
    </w:p>
    <w:p w14:paraId="342F646A" w14:textId="77777777" w:rsidR="006B34A1" w:rsidRDefault="006B34A1" w:rsidP="0081699D">
      <w:pPr>
        <w:ind w:left="851"/>
        <w:rPr>
          <w:iCs/>
          <w:sz w:val="24"/>
          <w:szCs w:val="24"/>
          <w:u w:val="single"/>
        </w:rPr>
      </w:pPr>
      <w:r w:rsidRPr="006E5617">
        <w:rPr>
          <w:iCs/>
          <w:sz w:val="24"/>
          <w:szCs w:val="24"/>
          <w:u w:val="single"/>
        </w:rPr>
        <w:t>Hoved- og halskræft</w:t>
      </w:r>
    </w:p>
    <w:p w14:paraId="192C1093" w14:textId="77777777" w:rsidR="00BF5698" w:rsidRPr="006E5617" w:rsidRDefault="00BF5698" w:rsidP="0081699D">
      <w:pPr>
        <w:ind w:left="851"/>
        <w:rPr>
          <w:sz w:val="24"/>
          <w:szCs w:val="24"/>
        </w:rPr>
      </w:pPr>
    </w:p>
    <w:p w14:paraId="7581300F" w14:textId="77777777" w:rsidR="00D22BF6" w:rsidRPr="003D4A39" w:rsidRDefault="00D22BF6" w:rsidP="00D22BF6">
      <w:pPr>
        <w:numPr>
          <w:ilvl w:val="0"/>
          <w:numId w:val="19"/>
        </w:numPr>
        <w:ind w:left="1276" w:hanging="425"/>
        <w:rPr>
          <w:sz w:val="24"/>
          <w:szCs w:val="24"/>
        </w:rPr>
      </w:pPr>
      <w:r w:rsidRPr="003D4A39">
        <w:rPr>
          <w:sz w:val="24"/>
          <w:szCs w:val="24"/>
        </w:rPr>
        <w:t>Induktions kemoterapi efterfulgt af strålebehandling (TAX 323)</w:t>
      </w:r>
    </w:p>
    <w:p w14:paraId="781DB079" w14:textId="39FD049F" w:rsidR="00D22BF6" w:rsidRPr="003D4A39" w:rsidRDefault="00D22BF6" w:rsidP="00D22BF6">
      <w:pPr>
        <w:ind w:left="851"/>
        <w:rPr>
          <w:sz w:val="24"/>
          <w:szCs w:val="24"/>
        </w:rPr>
      </w:pPr>
      <w:r w:rsidRPr="003D4A39">
        <w:rPr>
          <w:sz w:val="24"/>
          <w:szCs w:val="24"/>
        </w:rPr>
        <w:t>Sikkerheden og effekten af docetaxel i den indledende behandling af patienter med pladecelle</w:t>
      </w:r>
      <w:r>
        <w:rPr>
          <w:sz w:val="24"/>
          <w:szCs w:val="24"/>
        </w:rPr>
        <w:t>k</w:t>
      </w:r>
      <w:r w:rsidRPr="003D4A39">
        <w:rPr>
          <w:sz w:val="24"/>
          <w:szCs w:val="24"/>
        </w:rPr>
        <w:t>arcinom i hovedet og halsen (SCCHN) blev evalueret i et fase III, multicenter, åbent, randomiseret studie (TAX 323). I dette studie blev 358 patienter med inoperabelt, lokalt fremskreden SCCHN og WHO funktionsstatus 0 eller 1, randomiseret i en af to behandlingsarme. Patienter i docetaxel-armen fik docetaxel (T) 75 mg/m² efterfulgt af cisplatin (P) 75 mg/m² efterfulgt af 5</w:t>
      </w:r>
      <w:r w:rsidRPr="003D4A39">
        <w:rPr>
          <w:sz w:val="24"/>
          <w:szCs w:val="24"/>
        </w:rPr>
        <w:noBreakHyphen/>
        <w:t>fluoruracil 750 mg/m² daglig som en kontinuerlig infusion i 5 dage. Dette regime blev administreret hver 3. uge i 4 cyklusser i tilfælde hvor der som mindstemål blev observeret mindre respons (&gt; 25 % reduktion i den bidimensionelt målte tumorstørrelse) efter 2 cyklusser. Ved slutningen af kemoterapi fik patienter, hvis sygdomstilstand ikke var forværret, strålebehandling i 7 uger med et interval på mindst 4 uger og maksimalt 7 uger, udført efter fastlagte retningslin</w:t>
      </w:r>
      <w:r>
        <w:rPr>
          <w:sz w:val="24"/>
          <w:szCs w:val="24"/>
        </w:rPr>
        <w:t>j</w:t>
      </w:r>
      <w:r w:rsidRPr="003D4A39">
        <w:rPr>
          <w:sz w:val="24"/>
          <w:szCs w:val="24"/>
        </w:rPr>
        <w:t>er (TPF/RT) I komparator-armen af studiet fik patienterne cisplatin (P) 100 mg/m² efterfulgt af 5</w:t>
      </w:r>
      <w:r w:rsidRPr="003D4A39">
        <w:rPr>
          <w:sz w:val="24"/>
          <w:szCs w:val="24"/>
        </w:rPr>
        <w:noBreakHyphen/>
        <w:t>fluoruracil (F) 1.000 mg/m² (PF) daglig i 5 dage. Dette regime blev administreret hver 3. uge i 4 cyklusser hos patienter, hvor der som mindstemål efter 2 cyklusser blev observeret en mindre respons (≥ 25 % reduktion i den bidimensionalt målte tumor størrelse). Efter endt kemoterapi, med et minimum interval på 4 uger og et maksimum interval på 7 uger, blev de patienter, hvis sygdom ikke forværredes, strålebehandlet (RT) i 7 uger i henhold til de fastlagte retningslin</w:t>
      </w:r>
      <w:r>
        <w:rPr>
          <w:sz w:val="24"/>
          <w:szCs w:val="24"/>
        </w:rPr>
        <w:t>j</w:t>
      </w:r>
      <w:r w:rsidRPr="003D4A39">
        <w:rPr>
          <w:sz w:val="24"/>
          <w:szCs w:val="24"/>
        </w:rPr>
        <w:t>er (PF/RT). Lokoregional behandling med stråling blev givet enten med en konventionel fraktion (1,8 Gy</w:t>
      </w:r>
      <w:r w:rsidRPr="003D4A39">
        <w:rPr>
          <w:sz w:val="24"/>
          <w:szCs w:val="24"/>
        </w:rPr>
        <w:noBreakHyphen/>
        <w:t xml:space="preserve">2,0 Gy en gang daglig, 5 dage om ugen til en total dosis på 66 til 70 Gy), eller accelererede/hyperfraktionerede regimer af strålebehandling (to gange daglig, med et minimum interfraktion-interval på 6 timer, 5 dage pr. uge). I alt 70 Gy blev anbefalet til accelererede regimer og 74 Gy for hyperfraktionerede systemer. Kirurgisk resektion blev tilladt efter kemoterapi, før eller efter strålebehandling. Patienter fra TPF-armen blev behandlet med </w:t>
      </w:r>
      <w:proofErr w:type="gramStart"/>
      <w:r w:rsidRPr="003D4A39">
        <w:rPr>
          <w:sz w:val="24"/>
          <w:szCs w:val="24"/>
        </w:rPr>
        <w:t>profylaktisk</w:t>
      </w:r>
      <w:proofErr w:type="gramEnd"/>
      <w:r w:rsidRPr="003D4A39">
        <w:rPr>
          <w:sz w:val="24"/>
          <w:szCs w:val="24"/>
        </w:rPr>
        <w:t xml:space="preserve"> antibiotika med ciprofloxacin 500 mg oralt 2 gange daglig i 10 dage. Behandlingen begyndte på dag 5 i hver cyklus, eller tilsvarende.</w:t>
      </w:r>
    </w:p>
    <w:p w14:paraId="1D770E9C" w14:textId="77777777" w:rsidR="00D22BF6" w:rsidRDefault="00D22BF6" w:rsidP="0081699D">
      <w:pPr>
        <w:ind w:left="851"/>
        <w:rPr>
          <w:sz w:val="24"/>
          <w:szCs w:val="24"/>
        </w:rPr>
      </w:pPr>
    </w:p>
    <w:p w14:paraId="50653264" w14:textId="77777777" w:rsidR="00D22BF6" w:rsidRDefault="006B34A1" w:rsidP="0081699D">
      <w:pPr>
        <w:ind w:left="851"/>
        <w:rPr>
          <w:sz w:val="24"/>
          <w:szCs w:val="24"/>
        </w:rPr>
      </w:pPr>
      <w:r w:rsidRPr="008D45EF">
        <w:rPr>
          <w:sz w:val="24"/>
          <w:szCs w:val="24"/>
        </w:rPr>
        <w:t xml:space="preserve">Det primære endepunkt i dette studie, progression-fri overlevelse (PFS), var signifikant længere i TPF-armen sammenlignet med PF-armen, p = 0,0042 (median PFS: 11,4 vs. 8,3 måneder respektivt) med en samlet median opfølgningstid på 33,7 måneder. Median overlevelse i alt var også signifikant længere til fordel for TPF-armen sammenlignet med PF-armen (median OS: 18,6 vs. 14,5 måneder respektivt) med en 28 % reduktion af risikoen for død, p = 0,0128. </w:t>
      </w:r>
    </w:p>
    <w:p w14:paraId="3C885E4E" w14:textId="77777777" w:rsidR="00D22BF6" w:rsidRDefault="00D22BF6" w:rsidP="0081699D">
      <w:pPr>
        <w:ind w:left="851"/>
        <w:rPr>
          <w:sz w:val="24"/>
          <w:szCs w:val="24"/>
        </w:rPr>
      </w:pPr>
    </w:p>
    <w:p w14:paraId="700F05F2" w14:textId="554B1598" w:rsidR="006B34A1" w:rsidRPr="008D45EF" w:rsidRDefault="006B34A1" w:rsidP="0081699D">
      <w:pPr>
        <w:ind w:left="851"/>
        <w:rPr>
          <w:sz w:val="24"/>
          <w:szCs w:val="24"/>
        </w:rPr>
      </w:pPr>
      <w:r w:rsidRPr="008D45EF">
        <w:rPr>
          <w:sz w:val="24"/>
          <w:szCs w:val="24"/>
        </w:rPr>
        <w:t>Effektresultaterne er vist i tabellen nedenfor:</w:t>
      </w:r>
    </w:p>
    <w:p w14:paraId="0B63FC78" w14:textId="77777777" w:rsidR="006B34A1" w:rsidRPr="008D45EF" w:rsidRDefault="006B34A1" w:rsidP="0081699D">
      <w:pPr>
        <w:ind w:left="851"/>
        <w:rPr>
          <w:sz w:val="24"/>
          <w:szCs w:val="24"/>
        </w:rPr>
      </w:pPr>
    </w:p>
    <w:p w14:paraId="15D93C45" w14:textId="77777777" w:rsidR="006B34A1" w:rsidRPr="008D45EF" w:rsidRDefault="006B34A1" w:rsidP="0081699D">
      <w:pPr>
        <w:rPr>
          <w:sz w:val="24"/>
          <w:szCs w:val="24"/>
        </w:rPr>
      </w:pPr>
      <w:r w:rsidRPr="008D45EF">
        <w:rPr>
          <w:sz w:val="24"/>
          <w:szCs w:val="24"/>
          <w:u w:val="single"/>
        </w:rPr>
        <w:t>Effekt af docetaxel i indledende behandling til patienter med inoperable, lokale fremskredne SCCHN</w:t>
      </w:r>
      <w:r w:rsidRPr="008D45EF">
        <w:rPr>
          <w:sz w:val="24"/>
          <w:szCs w:val="24"/>
        </w:rPr>
        <w:t xml:space="preserve"> </w:t>
      </w:r>
      <w:r w:rsidRPr="008D45EF">
        <w:rPr>
          <w:sz w:val="24"/>
          <w:szCs w:val="24"/>
          <w:u w:val="single"/>
        </w:rPr>
        <w:t>(Hensigt at behandle-analyse)</w:t>
      </w:r>
    </w:p>
    <w:p w14:paraId="49E9F124" w14:textId="77777777" w:rsidR="006B34A1" w:rsidRPr="008D45EF" w:rsidRDefault="006B34A1" w:rsidP="0081699D">
      <w:pPr>
        <w:ind w:left="851"/>
        <w:rPr>
          <w:sz w:val="24"/>
          <w:szCs w:val="24"/>
        </w:rPr>
      </w:pPr>
    </w:p>
    <w:tbl>
      <w:tblPr>
        <w:tblW w:w="5000" w:type="pct"/>
        <w:tblCellMar>
          <w:left w:w="0" w:type="dxa"/>
          <w:right w:w="0" w:type="dxa"/>
        </w:tblCellMar>
        <w:tblLook w:val="04A0" w:firstRow="1" w:lastRow="0" w:firstColumn="1" w:lastColumn="0" w:noHBand="0" w:noVBand="1"/>
      </w:tblPr>
      <w:tblGrid>
        <w:gridCol w:w="4587"/>
        <w:gridCol w:w="2609"/>
        <w:gridCol w:w="2432"/>
      </w:tblGrid>
      <w:tr w:rsidR="009B0C24" w:rsidRPr="008D45EF" w14:paraId="3691B8F4" w14:textId="77777777" w:rsidTr="00322782">
        <w:trPr>
          <w:trHeight w:val="20"/>
          <w:tblHeader/>
        </w:trPr>
        <w:tc>
          <w:tcPr>
            <w:tcW w:w="2382" w:type="pct"/>
            <w:tcBorders>
              <w:top w:val="single" w:sz="4" w:space="0" w:color="000000"/>
              <w:left w:val="single" w:sz="4" w:space="0" w:color="000000"/>
              <w:bottom w:val="single" w:sz="4" w:space="0" w:color="000000"/>
              <w:right w:val="single" w:sz="4" w:space="0" w:color="000000"/>
            </w:tcBorders>
            <w:hideMark/>
          </w:tcPr>
          <w:p w14:paraId="6384CE98" w14:textId="77777777" w:rsidR="009B0C24" w:rsidRPr="008D45EF" w:rsidRDefault="009B0C24" w:rsidP="00322782">
            <w:pPr>
              <w:ind w:left="142"/>
              <w:rPr>
                <w:b/>
                <w:bCs/>
                <w:sz w:val="24"/>
                <w:szCs w:val="24"/>
              </w:rPr>
            </w:pPr>
            <w:r w:rsidRPr="008D45EF">
              <w:rPr>
                <w:b/>
                <w:bCs/>
                <w:sz w:val="24"/>
                <w:szCs w:val="24"/>
              </w:rPr>
              <w:t>Endepunkt</w:t>
            </w:r>
          </w:p>
        </w:tc>
        <w:tc>
          <w:tcPr>
            <w:tcW w:w="1355" w:type="pct"/>
            <w:tcBorders>
              <w:top w:val="single" w:sz="4" w:space="0" w:color="000000"/>
              <w:left w:val="single" w:sz="4" w:space="0" w:color="000000"/>
              <w:bottom w:val="single" w:sz="4" w:space="0" w:color="000000"/>
              <w:right w:val="single" w:sz="4" w:space="0" w:color="000000"/>
            </w:tcBorders>
            <w:hideMark/>
          </w:tcPr>
          <w:p w14:paraId="78F686F0" w14:textId="77777777" w:rsidR="009B0C24" w:rsidRPr="008D45EF" w:rsidRDefault="009B0C24" w:rsidP="00322782">
            <w:pPr>
              <w:ind w:left="142"/>
              <w:rPr>
                <w:b/>
                <w:bCs/>
                <w:sz w:val="24"/>
                <w:szCs w:val="24"/>
              </w:rPr>
            </w:pPr>
            <w:r w:rsidRPr="008D45EF">
              <w:rPr>
                <w:b/>
                <w:bCs/>
                <w:sz w:val="24"/>
                <w:szCs w:val="24"/>
              </w:rPr>
              <w:t>Docetaxel + Cis + 5-FU</w:t>
            </w:r>
          </w:p>
          <w:p w14:paraId="24A3B0B5" w14:textId="77777777" w:rsidR="009B0C24" w:rsidRPr="008D45EF" w:rsidRDefault="009B0C24" w:rsidP="00322782">
            <w:pPr>
              <w:ind w:left="142"/>
              <w:rPr>
                <w:sz w:val="24"/>
                <w:szCs w:val="24"/>
              </w:rPr>
            </w:pPr>
            <w:r w:rsidRPr="008D45EF">
              <w:rPr>
                <w:b/>
                <w:bCs/>
                <w:sz w:val="24"/>
                <w:szCs w:val="24"/>
              </w:rPr>
              <w:t>n = 255</w:t>
            </w:r>
          </w:p>
        </w:tc>
        <w:tc>
          <w:tcPr>
            <w:tcW w:w="1262" w:type="pct"/>
            <w:tcBorders>
              <w:top w:val="single" w:sz="4" w:space="0" w:color="000000"/>
              <w:left w:val="single" w:sz="4" w:space="0" w:color="000000"/>
              <w:bottom w:val="single" w:sz="4" w:space="0" w:color="000000"/>
              <w:right w:val="single" w:sz="4" w:space="0" w:color="000000"/>
            </w:tcBorders>
            <w:hideMark/>
          </w:tcPr>
          <w:p w14:paraId="36BECB9F" w14:textId="77777777" w:rsidR="009B0C24" w:rsidRPr="008D45EF" w:rsidRDefault="009B0C24" w:rsidP="00322782">
            <w:pPr>
              <w:ind w:left="142"/>
              <w:rPr>
                <w:b/>
                <w:bCs/>
                <w:sz w:val="24"/>
                <w:szCs w:val="24"/>
              </w:rPr>
            </w:pPr>
            <w:r w:rsidRPr="008D45EF">
              <w:rPr>
                <w:b/>
                <w:bCs/>
                <w:sz w:val="24"/>
                <w:szCs w:val="24"/>
              </w:rPr>
              <w:t>Cis + 5-FU</w:t>
            </w:r>
          </w:p>
          <w:p w14:paraId="5096719F" w14:textId="77777777" w:rsidR="009B0C24" w:rsidRPr="008D45EF" w:rsidRDefault="009B0C24" w:rsidP="00322782">
            <w:pPr>
              <w:ind w:left="142"/>
              <w:rPr>
                <w:sz w:val="24"/>
                <w:szCs w:val="24"/>
              </w:rPr>
            </w:pPr>
            <w:r w:rsidRPr="008D45EF">
              <w:rPr>
                <w:b/>
                <w:bCs/>
                <w:sz w:val="24"/>
                <w:szCs w:val="24"/>
              </w:rPr>
              <w:t>n = 246</w:t>
            </w:r>
          </w:p>
        </w:tc>
      </w:tr>
      <w:tr w:rsidR="009B0C24" w:rsidRPr="008D45EF" w14:paraId="4C3C08AA" w14:textId="77777777" w:rsidTr="00322782">
        <w:trPr>
          <w:trHeight w:val="20"/>
        </w:trPr>
        <w:tc>
          <w:tcPr>
            <w:tcW w:w="2382" w:type="pct"/>
            <w:vMerge w:val="restart"/>
            <w:tcBorders>
              <w:top w:val="single" w:sz="4" w:space="0" w:color="000000"/>
              <w:left w:val="single" w:sz="4" w:space="0" w:color="000000"/>
              <w:bottom w:val="nil"/>
              <w:right w:val="single" w:sz="4" w:space="0" w:color="000000"/>
            </w:tcBorders>
            <w:hideMark/>
          </w:tcPr>
          <w:p w14:paraId="0F713A77" w14:textId="77777777" w:rsidR="009B0C24" w:rsidRPr="008D45EF" w:rsidRDefault="009B0C24" w:rsidP="00322782">
            <w:pPr>
              <w:ind w:left="142"/>
              <w:rPr>
                <w:sz w:val="24"/>
                <w:szCs w:val="24"/>
              </w:rPr>
            </w:pPr>
            <w:r w:rsidRPr="008D45EF">
              <w:rPr>
                <w:sz w:val="24"/>
                <w:szCs w:val="24"/>
              </w:rPr>
              <w:t>Median overlevelse i alt (måneder)</w:t>
            </w:r>
          </w:p>
          <w:p w14:paraId="05DCA832" w14:textId="77777777" w:rsidR="009B0C24" w:rsidRPr="008D45EF" w:rsidRDefault="009B0C24" w:rsidP="00322782">
            <w:pPr>
              <w:ind w:left="142"/>
              <w:rPr>
                <w:sz w:val="24"/>
                <w:szCs w:val="24"/>
              </w:rPr>
            </w:pPr>
            <w:r w:rsidRPr="008D45EF">
              <w:rPr>
                <w:sz w:val="24"/>
                <w:szCs w:val="24"/>
              </w:rPr>
              <w:t>(95 % CI)</w:t>
            </w:r>
          </w:p>
          <w:p w14:paraId="7D2D4C25" w14:textId="77777777" w:rsidR="009B0C24" w:rsidRPr="008D45EF" w:rsidRDefault="009B0C24" w:rsidP="00322782">
            <w:pPr>
              <w:ind w:left="142"/>
              <w:rPr>
                <w:sz w:val="24"/>
                <w:szCs w:val="24"/>
              </w:rPr>
            </w:pPr>
            <w:r w:rsidRPr="008D45EF">
              <w:rPr>
                <w:sz w:val="24"/>
                <w:szCs w:val="24"/>
              </w:rPr>
              <w:t>Hazard ratio:</w:t>
            </w:r>
          </w:p>
          <w:p w14:paraId="4DCF1A4E" w14:textId="77777777" w:rsidR="009B0C24" w:rsidRPr="008D45EF" w:rsidRDefault="009B0C24" w:rsidP="00322782">
            <w:pPr>
              <w:ind w:left="142"/>
              <w:rPr>
                <w:sz w:val="24"/>
                <w:szCs w:val="24"/>
              </w:rPr>
            </w:pPr>
            <w:r w:rsidRPr="008D45EF">
              <w:rPr>
                <w:sz w:val="24"/>
                <w:szCs w:val="24"/>
              </w:rPr>
              <w:t>(95 % CI)</w:t>
            </w:r>
          </w:p>
          <w:p w14:paraId="1D310DB6" w14:textId="77777777" w:rsidR="009B0C24" w:rsidRPr="008D45EF" w:rsidRDefault="009B0C24" w:rsidP="00322782">
            <w:pPr>
              <w:ind w:left="142"/>
              <w:rPr>
                <w:sz w:val="24"/>
                <w:szCs w:val="24"/>
              </w:rPr>
            </w:pPr>
            <w:r w:rsidRPr="008D45EF">
              <w:rPr>
                <w:sz w:val="24"/>
                <w:szCs w:val="24"/>
              </w:rPr>
              <w:t>*p-værdi</w:t>
            </w:r>
          </w:p>
        </w:tc>
        <w:tc>
          <w:tcPr>
            <w:tcW w:w="1355" w:type="pct"/>
            <w:tcBorders>
              <w:top w:val="single" w:sz="4" w:space="0" w:color="000000"/>
              <w:left w:val="single" w:sz="4" w:space="0" w:color="000000"/>
              <w:bottom w:val="nil"/>
              <w:right w:val="single" w:sz="4" w:space="0" w:color="000000"/>
            </w:tcBorders>
            <w:hideMark/>
          </w:tcPr>
          <w:p w14:paraId="7DE7BDC1" w14:textId="77777777" w:rsidR="009B0C24" w:rsidRPr="008D45EF" w:rsidRDefault="009B0C24" w:rsidP="00322782">
            <w:pPr>
              <w:ind w:left="142"/>
              <w:rPr>
                <w:sz w:val="24"/>
                <w:szCs w:val="24"/>
              </w:rPr>
            </w:pPr>
            <w:r w:rsidRPr="008D45EF">
              <w:rPr>
                <w:sz w:val="24"/>
                <w:szCs w:val="24"/>
              </w:rPr>
              <w:t>70,6</w:t>
            </w:r>
          </w:p>
          <w:p w14:paraId="3E678F9F" w14:textId="77777777" w:rsidR="009B0C24" w:rsidRPr="008D45EF" w:rsidRDefault="009B0C24" w:rsidP="00322782">
            <w:pPr>
              <w:ind w:left="142"/>
              <w:rPr>
                <w:sz w:val="24"/>
                <w:szCs w:val="24"/>
              </w:rPr>
            </w:pPr>
            <w:r w:rsidRPr="008D45EF">
              <w:rPr>
                <w:sz w:val="24"/>
                <w:szCs w:val="24"/>
              </w:rPr>
              <w:t>(49,0</w:t>
            </w:r>
            <w:r w:rsidRPr="008D45EF">
              <w:rPr>
                <w:sz w:val="24"/>
                <w:szCs w:val="24"/>
              </w:rPr>
              <w:noBreakHyphen/>
              <w:t>NA)</w:t>
            </w:r>
          </w:p>
        </w:tc>
        <w:tc>
          <w:tcPr>
            <w:tcW w:w="1262" w:type="pct"/>
            <w:tcBorders>
              <w:top w:val="single" w:sz="4" w:space="0" w:color="000000"/>
              <w:left w:val="single" w:sz="4" w:space="0" w:color="000000"/>
              <w:bottom w:val="nil"/>
              <w:right w:val="single" w:sz="4" w:space="0" w:color="000000"/>
            </w:tcBorders>
            <w:hideMark/>
          </w:tcPr>
          <w:p w14:paraId="25FDA001" w14:textId="77777777" w:rsidR="009B0C24" w:rsidRPr="008D45EF" w:rsidRDefault="009B0C24" w:rsidP="00322782">
            <w:pPr>
              <w:ind w:left="142"/>
              <w:rPr>
                <w:sz w:val="24"/>
                <w:szCs w:val="24"/>
              </w:rPr>
            </w:pPr>
            <w:r w:rsidRPr="008D45EF">
              <w:rPr>
                <w:sz w:val="24"/>
                <w:szCs w:val="24"/>
              </w:rPr>
              <w:t>30,1</w:t>
            </w:r>
          </w:p>
          <w:p w14:paraId="0DF006A8" w14:textId="77777777" w:rsidR="009B0C24" w:rsidRPr="008D45EF" w:rsidRDefault="009B0C24" w:rsidP="00322782">
            <w:pPr>
              <w:ind w:left="142"/>
              <w:rPr>
                <w:sz w:val="24"/>
                <w:szCs w:val="24"/>
              </w:rPr>
            </w:pPr>
            <w:r w:rsidRPr="008D45EF">
              <w:rPr>
                <w:sz w:val="24"/>
                <w:szCs w:val="24"/>
              </w:rPr>
              <w:t>(20,9</w:t>
            </w:r>
            <w:r w:rsidRPr="008D45EF">
              <w:rPr>
                <w:sz w:val="24"/>
                <w:szCs w:val="24"/>
              </w:rPr>
              <w:noBreakHyphen/>
              <w:t>51,5)</w:t>
            </w:r>
          </w:p>
        </w:tc>
      </w:tr>
      <w:tr w:rsidR="009B0C24" w:rsidRPr="008D45EF" w14:paraId="5AD078A7" w14:textId="77777777" w:rsidTr="00322782">
        <w:trPr>
          <w:trHeight w:val="20"/>
        </w:trPr>
        <w:tc>
          <w:tcPr>
            <w:tcW w:w="2382" w:type="pct"/>
            <w:vMerge/>
            <w:tcBorders>
              <w:top w:val="single" w:sz="4" w:space="0" w:color="000000"/>
              <w:left w:val="single" w:sz="4" w:space="0" w:color="000000"/>
              <w:bottom w:val="nil"/>
              <w:right w:val="single" w:sz="4" w:space="0" w:color="000000"/>
            </w:tcBorders>
            <w:vAlign w:val="center"/>
            <w:hideMark/>
          </w:tcPr>
          <w:p w14:paraId="36252CFD" w14:textId="77777777" w:rsidR="009B0C24" w:rsidRPr="008D45EF" w:rsidRDefault="009B0C24" w:rsidP="00322782">
            <w:pPr>
              <w:ind w:left="142"/>
              <w:rPr>
                <w:sz w:val="24"/>
                <w:szCs w:val="24"/>
              </w:rPr>
            </w:pPr>
          </w:p>
        </w:tc>
        <w:tc>
          <w:tcPr>
            <w:tcW w:w="2618" w:type="pct"/>
            <w:gridSpan w:val="2"/>
            <w:tcBorders>
              <w:top w:val="single" w:sz="4" w:space="0" w:color="000000"/>
              <w:left w:val="single" w:sz="4" w:space="0" w:color="000000"/>
              <w:bottom w:val="nil"/>
              <w:right w:val="single" w:sz="4" w:space="0" w:color="000000"/>
            </w:tcBorders>
            <w:hideMark/>
          </w:tcPr>
          <w:p w14:paraId="4B3BA779" w14:textId="77777777" w:rsidR="009B0C24" w:rsidRPr="008D45EF" w:rsidRDefault="009B0C24" w:rsidP="009B0C24">
            <w:pPr>
              <w:ind w:left="142"/>
              <w:jc w:val="center"/>
              <w:rPr>
                <w:sz w:val="24"/>
                <w:szCs w:val="24"/>
              </w:rPr>
            </w:pPr>
            <w:r w:rsidRPr="008D45EF">
              <w:rPr>
                <w:sz w:val="24"/>
                <w:szCs w:val="24"/>
              </w:rPr>
              <w:t>0,70</w:t>
            </w:r>
          </w:p>
          <w:p w14:paraId="4A94A453" w14:textId="77777777" w:rsidR="009B0C24" w:rsidRPr="008D45EF" w:rsidRDefault="009B0C24" w:rsidP="009B0C24">
            <w:pPr>
              <w:ind w:left="142"/>
              <w:jc w:val="center"/>
              <w:rPr>
                <w:sz w:val="24"/>
                <w:szCs w:val="24"/>
              </w:rPr>
            </w:pPr>
            <w:r w:rsidRPr="008D45EF">
              <w:rPr>
                <w:sz w:val="24"/>
                <w:szCs w:val="24"/>
              </w:rPr>
              <w:t>(0,54</w:t>
            </w:r>
            <w:r w:rsidRPr="008D45EF">
              <w:rPr>
                <w:sz w:val="24"/>
                <w:szCs w:val="24"/>
              </w:rPr>
              <w:noBreakHyphen/>
              <w:t>0,90)</w:t>
            </w:r>
          </w:p>
          <w:p w14:paraId="4370D60D" w14:textId="77777777" w:rsidR="009B0C24" w:rsidRPr="008D45EF" w:rsidRDefault="009B0C24" w:rsidP="009B0C24">
            <w:pPr>
              <w:ind w:left="142"/>
              <w:jc w:val="center"/>
              <w:rPr>
                <w:sz w:val="24"/>
                <w:szCs w:val="24"/>
              </w:rPr>
            </w:pPr>
            <w:r w:rsidRPr="008D45EF">
              <w:rPr>
                <w:sz w:val="24"/>
                <w:szCs w:val="24"/>
              </w:rPr>
              <w:t>0,0058</w:t>
            </w:r>
          </w:p>
        </w:tc>
      </w:tr>
      <w:tr w:rsidR="009B0C24" w:rsidRPr="008D45EF" w14:paraId="2C42B76F" w14:textId="77777777" w:rsidTr="00322782">
        <w:trPr>
          <w:trHeight w:val="20"/>
        </w:trPr>
        <w:tc>
          <w:tcPr>
            <w:tcW w:w="2382" w:type="pct"/>
            <w:vMerge w:val="restart"/>
            <w:tcBorders>
              <w:top w:val="single" w:sz="4" w:space="0" w:color="000000"/>
              <w:left w:val="single" w:sz="4" w:space="0" w:color="000000"/>
              <w:bottom w:val="nil"/>
              <w:right w:val="single" w:sz="4" w:space="0" w:color="000000"/>
            </w:tcBorders>
            <w:hideMark/>
          </w:tcPr>
          <w:p w14:paraId="0AB186E6" w14:textId="77777777" w:rsidR="009B0C24" w:rsidRPr="008D45EF" w:rsidRDefault="009B0C24" w:rsidP="00322782">
            <w:pPr>
              <w:ind w:left="142"/>
              <w:rPr>
                <w:sz w:val="24"/>
                <w:szCs w:val="24"/>
              </w:rPr>
            </w:pPr>
            <w:r w:rsidRPr="008D45EF">
              <w:rPr>
                <w:sz w:val="24"/>
                <w:szCs w:val="24"/>
              </w:rPr>
              <w:t>Median progressionsfri overlevelse (måneder)</w:t>
            </w:r>
          </w:p>
          <w:p w14:paraId="5790CC11" w14:textId="77777777" w:rsidR="009B0C24" w:rsidRPr="008D45EF" w:rsidRDefault="009B0C24" w:rsidP="00322782">
            <w:pPr>
              <w:ind w:left="142"/>
              <w:rPr>
                <w:sz w:val="24"/>
                <w:szCs w:val="24"/>
              </w:rPr>
            </w:pPr>
            <w:r w:rsidRPr="008D45EF">
              <w:rPr>
                <w:sz w:val="24"/>
                <w:szCs w:val="24"/>
              </w:rPr>
              <w:t>(95 % CI)</w:t>
            </w:r>
          </w:p>
          <w:p w14:paraId="68F18FF3" w14:textId="77777777" w:rsidR="009B0C24" w:rsidRPr="008D45EF" w:rsidRDefault="009B0C24" w:rsidP="00322782">
            <w:pPr>
              <w:ind w:left="142"/>
              <w:rPr>
                <w:sz w:val="24"/>
                <w:szCs w:val="24"/>
              </w:rPr>
            </w:pPr>
            <w:r w:rsidRPr="008D45EF">
              <w:rPr>
                <w:sz w:val="24"/>
                <w:szCs w:val="24"/>
              </w:rPr>
              <w:t>Hazard ratio</w:t>
            </w:r>
          </w:p>
          <w:p w14:paraId="162C4D13" w14:textId="77777777" w:rsidR="009B0C24" w:rsidRPr="008D45EF" w:rsidRDefault="009B0C24" w:rsidP="00322782">
            <w:pPr>
              <w:ind w:left="142"/>
              <w:rPr>
                <w:sz w:val="24"/>
                <w:szCs w:val="24"/>
              </w:rPr>
            </w:pPr>
            <w:r w:rsidRPr="008D45EF">
              <w:rPr>
                <w:sz w:val="24"/>
                <w:szCs w:val="24"/>
              </w:rPr>
              <w:t>(95 % CI)</w:t>
            </w:r>
          </w:p>
          <w:p w14:paraId="3C9585AE" w14:textId="77777777" w:rsidR="009B0C24" w:rsidRPr="008D45EF" w:rsidRDefault="009B0C24" w:rsidP="00322782">
            <w:pPr>
              <w:ind w:left="142"/>
              <w:rPr>
                <w:sz w:val="24"/>
                <w:szCs w:val="24"/>
              </w:rPr>
            </w:pPr>
            <w:r w:rsidRPr="008D45EF">
              <w:rPr>
                <w:sz w:val="24"/>
                <w:szCs w:val="24"/>
              </w:rPr>
              <w:t>**p-værdi</w:t>
            </w:r>
          </w:p>
        </w:tc>
        <w:tc>
          <w:tcPr>
            <w:tcW w:w="1355" w:type="pct"/>
            <w:tcBorders>
              <w:top w:val="single" w:sz="4" w:space="0" w:color="000000"/>
              <w:left w:val="single" w:sz="4" w:space="0" w:color="000000"/>
              <w:bottom w:val="nil"/>
              <w:right w:val="single" w:sz="4" w:space="0" w:color="000000"/>
            </w:tcBorders>
            <w:hideMark/>
          </w:tcPr>
          <w:p w14:paraId="4F362B64" w14:textId="77777777" w:rsidR="009B0C24" w:rsidRPr="008D45EF" w:rsidRDefault="009B0C24" w:rsidP="00322782">
            <w:pPr>
              <w:ind w:left="142"/>
              <w:rPr>
                <w:sz w:val="24"/>
                <w:szCs w:val="24"/>
              </w:rPr>
            </w:pPr>
            <w:r w:rsidRPr="008D45EF">
              <w:rPr>
                <w:sz w:val="24"/>
                <w:szCs w:val="24"/>
              </w:rPr>
              <w:t>35,5</w:t>
            </w:r>
          </w:p>
          <w:p w14:paraId="6C2B8A98" w14:textId="77777777" w:rsidR="009B0C24" w:rsidRPr="008D45EF" w:rsidRDefault="009B0C24" w:rsidP="00322782">
            <w:pPr>
              <w:ind w:left="142"/>
              <w:rPr>
                <w:sz w:val="24"/>
                <w:szCs w:val="24"/>
              </w:rPr>
            </w:pPr>
            <w:r w:rsidRPr="008D45EF">
              <w:rPr>
                <w:sz w:val="24"/>
                <w:szCs w:val="24"/>
              </w:rPr>
              <w:t>(19,3</w:t>
            </w:r>
            <w:r w:rsidRPr="008D45EF">
              <w:rPr>
                <w:sz w:val="24"/>
                <w:szCs w:val="24"/>
              </w:rPr>
              <w:noBreakHyphen/>
              <w:t>NA)</w:t>
            </w:r>
          </w:p>
        </w:tc>
        <w:tc>
          <w:tcPr>
            <w:tcW w:w="1262" w:type="pct"/>
            <w:tcBorders>
              <w:top w:val="single" w:sz="4" w:space="0" w:color="000000"/>
              <w:left w:val="single" w:sz="4" w:space="0" w:color="000000"/>
              <w:bottom w:val="nil"/>
              <w:right w:val="single" w:sz="4" w:space="0" w:color="000000"/>
            </w:tcBorders>
            <w:hideMark/>
          </w:tcPr>
          <w:p w14:paraId="5D70DF4E" w14:textId="77777777" w:rsidR="009B0C24" w:rsidRPr="008D45EF" w:rsidRDefault="009B0C24" w:rsidP="00322782">
            <w:pPr>
              <w:ind w:left="142"/>
              <w:rPr>
                <w:sz w:val="24"/>
                <w:szCs w:val="24"/>
              </w:rPr>
            </w:pPr>
            <w:r w:rsidRPr="008D45EF">
              <w:rPr>
                <w:sz w:val="24"/>
                <w:szCs w:val="24"/>
              </w:rPr>
              <w:t>13,1</w:t>
            </w:r>
          </w:p>
          <w:p w14:paraId="4E33975D" w14:textId="77777777" w:rsidR="009B0C24" w:rsidRPr="008D45EF" w:rsidRDefault="009B0C24" w:rsidP="00322782">
            <w:pPr>
              <w:ind w:left="142"/>
              <w:rPr>
                <w:sz w:val="24"/>
                <w:szCs w:val="24"/>
              </w:rPr>
            </w:pPr>
            <w:r w:rsidRPr="008D45EF">
              <w:rPr>
                <w:sz w:val="24"/>
                <w:szCs w:val="24"/>
              </w:rPr>
              <w:t>(10,6</w:t>
            </w:r>
            <w:r w:rsidRPr="008D45EF">
              <w:rPr>
                <w:sz w:val="24"/>
                <w:szCs w:val="24"/>
              </w:rPr>
              <w:noBreakHyphen/>
              <w:t>20,2)</w:t>
            </w:r>
          </w:p>
        </w:tc>
      </w:tr>
      <w:tr w:rsidR="009B0C24" w:rsidRPr="008D45EF" w14:paraId="48F776A5" w14:textId="77777777" w:rsidTr="00322782">
        <w:trPr>
          <w:trHeight w:val="20"/>
        </w:trPr>
        <w:tc>
          <w:tcPr>
            <w:tcW w:w="2382" w:type="pct"/>
            <w:vMerge/>
            <w:tcBorders>
              <w:top w:val="single" w:sz="4" w:space="0" w:color="000000"/>
              <w:left w:val="single" w:sz="4" w:space="0" w:color="000000"/>
              <w:bottom w:val="nil"/>
              <w:right w:val="single" w:sz="4" w:space="0" w:color="000000"/>
            </w:tcBorders>
            <w:vAlign w:val="center"/>
            <w:hideMark/>
          </w:tcPr>
          <w:p w14:paraId="1683DF57" w14:textId="77777777" w:rsidR="009B0C24" w:rsidRPr="008D45EF" w:rsidRDefault="009B0C24" w:rsidP="00322782">
            <w:pPr>
              <w:ind w:left="142"/>
              <w:rPr>
                <w:sz w:val="24"/>
                <w:szCs w:val="24"/>
              </w:rPr>
            </w:pPr>
          </w:p>
        </w:tc>
        <w:tc>
          <w:tcPr>
            <w:tcW w:w="2618" w:type="pct"/>
            <w:gridSpan w:val="2"/>
            <w:tcBorders>
              <w:top w:val="single" w:sz="4" w:space="0" w:color="000000"/>
              <w:left w:val="single" w:sz="4" w:space="0" w:color="000000"/>
              <w:bottom w:val="nil"/>
              <w:right w:val="single" w:sz="4" w:space="0" w:color="000000"/>
            </w:tcBorders>
            <w:hideMark/>
          </w:tcPr>
          <w:p w14:paraId="5C1BC10E" w14:textId="77777777" w:rsidR="009B0C24" w:rsidRPr="008D45EF" w:rsidRDefault="009B0C24" w:rsidP="009B0C24">
            <w:pPr>
              <w:ind w:left="142"/>
              <w:jc w:val="center"/>
              <w:rPr>
                <w:sz w:val="24"/>
                <w:szCs w:val="24"/>
              </w:rPr>
            </w:pPr>
            <w:r w:rsidRPr="008D45EF">
              <w:rPr>
                <w:sz w:val="24"/>
                <w:szCs w:val="24"/>
              </w:rPr>
              <w:t>0,71</w:t>
            </w:r>
          </w:p>
          <w:p w14:paraId="2FCA159F" w14:textId="77777777" w:rsidR="009B0C24" w:rsidRPr="008D45EF" w:rsidRDefault="009B0C24" w:rsidP="009B0C24">
            <w:pPr>
              <w:ind w:left="142"/>
              <w:jc w:val="center"/>
              <w:rPr>
                <w:sz w:val="24"/>
                <w:szCs w:val="24"/>
              </w:rPr>
            </w:pPr>
            <w:r w:rsidRPr="008D45EF">
              <w:rPr>
                <w:sz w:val="24"/>
                <w:szCs w:val="24"/>
              </w:rPr>
              <w:t>(0,56</w:t>
            </w:r>
            <w:r w:rsidRPr="008D45EF">
              <w:rPr>
                <w:sz w:val="24"/>
                <w:szCs w:val="24"/>
              </w:rPr>
              <w:noBreakHyphen/>
              <w:t>0,90)</w:t>
            </w:r>
          </w:p>
          <w:p w14:paraId="76AC3EF0" w14:textId="77777777" w:rsidR="009B0C24" w:rsidRPr="008D45EF" w:rsidRDefault="009B0C24" w:rsidP="009B0C24">
            <w:pPr>
              <w:ind w:left="142"/>
              <w:jc w:val="center"/>
              <w:rPr>
                <w:sz w:val="24"/>
                <w:szCs w:val="24"/>
              </w:rPr>
            </w:pPr>
            <w:r w:rsidRPr="008D45EF">
              <w:rPr>
                <w:sz w:val="24"/>
                <w:szCs w:val="24"/>
              </w:rPr>
              <w:t>0,004</w:t>
            </w:r>
          </w:p>
        </w:tc>
      </w:tr>
      <w:tr w:rsidR="009B0C24" w:rsidRPr="008D45EF" w14:paraId="184083D7" w14:textId="77777777" w:rsidTr="00322782">
        <w:trPr>
          <w:trHeight w:val="20"/>
        </w:trPr>
        <w:tc>
          <w:tcPr>
            <w:tcW w:w="2382" w:type="pct"/>
            <w:vMerge w:val="restart"/>
            <w:tcBorders>
              <w:top w:val="single" w:sz="4" w:space="0" w:color="000000"/>
              <w:left w:val="single" w:sz="4" w:space="0" w:color="000000"/>
              <w:bottom w:val="single" w:sz="4" w:space="0" w:color="000000"/>
              <w:right w:val="single" w:sz="4" w:space="0" w:color="000000"/>
            </w:tcBorders>
            <w:hideMark/>
          </w:tcPr>
          <w:p w14:paraId="588F82B7" w14:textId="77777777" w:rsidR="009B0C24" w:rsidRPr="008D45EF" w:rsidRDefault="009B0C24" w:rsidP="00322782">
            <w:pPr>
              <w:ind w:left="142"/>
              <w:rPr>
                <w:sz w:val="24"/>
                <w:szCs w:val="24"/>
              </w:rPr>
            </w:pPr>
            <w:r w:rsidRPr="008D45EF">
              <w:rPr>
                <w:sz w:val="24"/>
                <w:szCs w:val="24"/>
              </w:rPr>
              <w:t>Bedste respons i alt på kemoterapi (%)</w:t>
            </w:r>
          </w:p>
          <w:p w14:paraId="14967A1A" w14:textId="77777777" w:rsidR="009B0C24" w:rsidRPr="008D45EF" w:rsidRDefault="009B0C24" w:rsidP="00322782">
            <w:pPr>
              <w:ind w:left="142"/>
              <w:rPr>
                <w:sz w:val="24"/>
                <w:szCs w:val="24"/>
              </w:rPr>
            </w:pPr>
            <w:r w:rsidRPr="008D45EF">
              <w:rPr>
                <w:sz w:val="24"/>
                <w:szCs w:val="24"/>
              </w:rPr>
              <w:t>(95 % CI)</w:t>
            </w:r>
          </w:p>
          <w:p w14:paraId="6BD70631" w14:textId="77777777" w:rsidR="009B0C24" w:rsidRPr="008D45EF" w:rsidRDefault="009B0C24" w:rsidP="00322782">
            <w:pPr>
              <w:ind w:left="142"/>
              <w:rPr>
                <w:sz w:val="24"/>
                <w:szCs w:val="24"/>
              </w:rPr>
            </w:pPr>
            <w:r w:rsidRPr="008D45EF">
              <w:rPr>
                <w:sz w:val="24"/>
                <w:szCs w:val="24"/>
              </w:rPr>
              <w:t>***p-værdi</w:t>
            </w:r>
          </w:p>
        </w:tc>
        <w:tc>
          <w:tcPr>
            <w:tcW w:w="1355" w:type="pct"/>
            <w:tcBorders>
              <w:top w:val="single" w:sz="4" w:space="0" w:color="000000"/>
              <w:left w:val="single" w:sz="4" w:space="0" w:color="000000"/>
              <w:bottom w:val="nil"/>
              <w:right w:val="single" w:sz="4" w:space="0" w:color="000000"/>
            </w:tcBorders>
            <w:hideMark/>
          </w:tcPr>
          <w:p w14:paraId="33158255" w14:textId="77777777" w:rsidR="009B0C24" w:rsidRPr="008D45EF" w:rsidRDefault="009B0C24" w:rsidP="00322782">
            <w:pPr>
              <w:ind w:left="142"/>
              <w:rPr>
                <w:sz w:val="24"/>
                <w:szCs w:val="24"/>
              </w:rPr>
            </w:pPr>
            <w:r w:rsidRPr="008D45EF">
              <w:rPr>
                <w:sz w:val="24"/>
                <w:szCs w:val="24"/>
              </w:rPr>
              <w:t>71,8</w:t>
            </w:r>
          </w:p>
          <w:p w14:paraId="5B35CC85" w14:textId="77777777" w:rsidR="009B0C24" w:rsidRPr="008D45EF" w:rsidRDefault="009B0C24" w:rsidP="00322782">
            <w:pPr>
              <w:ind w:left="142"/>
              <w:rPr>
                <w:sz w:val="24"/>
                <w:szCs w:val="24"/>
              </w:rPr>
            </w:pPr>
            <w:r w:rsidRPr="008D45EF">
              <w:rPr>
                <w:sz w:val="24"/>
                <w:szCs w:val="24"/>
              </w:rPr>
              <w:t>(65,8</w:t>
            </w:r>
            <w:r w:rsidRPr="008D45EF">
              <w:rPr>
                <w:sz w:val="24"/>
                <w:szCs w:val="24"/>
              </w:rPr>
              <w:noBreakHyphen/>
              <w:t>77,2)</w:t>
            </w:r>
          </w:p>
        </w:tc>
        <w:tc>
          <w:tcPr>
            <w:tcW w:w="1262" w:type="pct"/>
            <w:tcBorders>
              <w:top w:val="single" w:sz="4" w:space="0" w:color="000000"/>
              <w:left w:val="single" w:sz="4" w:space="0" w:color="000000"/>
              <w:bottom w:val="nil"/>
              <w:right w:val="single" w:sz="4" w:space="0" w:color="000000"/>
            </w:tcBorders>
            <w:hideMark/>
          </w:tcPr>
          <w:p w14:paraId="39F3FBC2" w14:textId="77777777" w:rsidR="009B0C24" w:rsidRPr="008D45EF" w:rsidRDefault="009B0C24" w:rsidP="00322782">
            <w:pPr>
              <w:ind w:left="142"/>
              <w:rPr>
                <w:sz w:val="24"/>
                <w:szCs w:val="24"/>
              </w:rPr>
            </w:pPr>
            <w:r w:rsidRPr="008D45EF">
              <w:rPr>
                <w:sz w:val="24"/>
                <w:szCs w:val="24"/>
              </w:rPr>
              <w:t>64,2</w:t>
            </w:r>
          </w:p>
          <w:p w14:paraId="600E1B77" w14:textId="77777777" w:rsidR="009B0C24" w:rsidRPr="008D45EF" w:rsidRDefault="009B0C24" w:rsidP="00322782">
            <w:pPr>
              <w:ind w:left="142"/>
              <w:rPr>
                <w:sz w:val="24"/>
                <w:szCs w:val="24"/>
              </w:rPr>
            </w:pPr>
            <w:r w:rsidRPr="008D45EF">
              <w:rPr>
                <w:sz w:val="24"/>
                <w:szCs w:val="24"/>
              </w:rPr>
              <w:t>(57,9</w:t>
            </w:r>
            <w:r w:rsidRPr="008D45EF">
              <w:rPr>
                <w:sz w:val="24"/>
                <w:szCs w:val="24"/>
              </w:rPr>
              <w:noBreakHyphen/>
              <w:t>70,2</w:t>
            </w:r>
          </w:p>
        </w:tc>
      </w:tr>
      <w:tr w:rsidR="009B0C24" w:rsidRPr="008D45EF" w14:paraId="70B7E1B6" w14:textId="77777777" w:rsidTr="00322782">
        <w:trPr>
          <w:trHeight w:val="20"/>
        </w:trPr>
        <w:tc>
          <w:tcPr>
            <w:tcW w:w="2382" w:type="pct"/>
            <w:vMerge/>
            <w:tcBorders>
              <w:top w:val="single" w:sz="4" w:space="0" w:color="000000"/>
              <w:left w:val="single" w:sz="4" w:space="0" w:color="000000"/>
              <w:bottom w:val="single" w:sz="4" w:space="0" w:color="000000"/>
              <w:right w:val="single" w:sz="4" w:space="0" w:color="000000"/>
            </w:tcBorders>
            <w:vAlign w:val="center"/>
            <w:hideMark/>
          </w:tcPr>
          <w:p w14:paraId="7E0EA040" w14:textId="77777777" w:rsidR="009B0C24" w:rsidRPr="008D45EF" w:rsidRDefault="009B0C24" w:rsidP="00322782">
            <w:pPr>
              <w:ind w:left="142"/>
              <w:rPr>
                <w:sz w:val="24"/>
                <w:szCs w:val="24"/>
              </w:rPr>
            </w:pPr>
          </w:p>
        </w:tc>
        <w:tc>
          <w:tcPr>
            <w:tcW w:w="2618" w:type="pct"/>
            <w:gridSpan w:val="2"/>
            <w:tcBorders>
              <w:top w:val="single" w:sz="4" w:space="0" w:color="000000"/>
              <w:left w:val="single" w:sz="4" w:space="0" w:color="000000"/>
              <w:bottom w:val="single" w:sz="4" w:space="0" w:color="000000"/>
              <w:right w:val="single" w:sz="4" w:space="0" w:color="000000"/>
            </w:tcBorders>
            <w:hideMark/>
          </w:tcPr>
          <w:p w14:paraId="1226AC97" w14:textId="77777777" w:rsidR="009B0C24" w:rsidRPr="008D45EF" w:rsidRDefault="009B0C24" w:rsidP="009B0C24">
            <w:pPr>
              <w:ind w:left="142"/>
              <w:jc w:val="center"/>
              <w:rPr>
                <w:sz w:val="24"/>
                <w:szCs w:val="24"/>
              </w:rPr>
            </w:pPr>
            <w:r w:rsidRPr="008D45EF">
              <w:rPr>
                <w:sz w:val="24"/>
                <w:szCs w:val="24"/>
              </w:rPr>
              <w:t>0,070</w:t>
            </w:r>
          </w:p>
        </w:tc>
      </w:tr>
      <w:tr w:rsidR="009B0C24" w:rsidRPr="008D45EF" w14:paraId="11492E53" w14:textId="77777777" w:rsidTr="00322782">
        <w:trPr>
          <w:trHeight w:val="20"/>
        </w:trPr>
        <w:tc>
          <w:tcPr>
            <w:tcW w:w="2382" w:type="pct"/>
            <w:vMerge w:val="restart"/>
            <w:tcBorders>
              <w:top w:val="single" w:sz="4" w:space="0" w:color="000000"/>
              <w:left w:val="single" w:sz="4" w:space="0" w:color="000000"/>
              <w:bottom w:val="single" w:sz="4" w:space="0" w:color="000000"/>
              <w:right w:val="single" w:sz="4" w:space="0" w:color="000000"/>
            </w:tcBorders>
            <w:hideMark/>
          </w:tcPr>
          <w:p w14:paraId="595B008C" w14:textId="77777777" w:rsidR="009B0C24" w:rsidRPr="008D45EF" w:rsidRDefault="009B0C24" w:rsidP="00322782">
            <w:pPr>
              <w:ind w:left="142"/>
              <w:rPr>
                <w:sz w:val="24"/>
                <w:szCs w:val="24"/>
              </w:rPr>
            </w:pPr>
            <w:r w:rsidRPr="008D45EF">
              <w:rPr>
                <w:sz w:val="24"/>
                <w:szCs w:val="24"/>
              </w:rPr>
              <w:t>Bedste respons i alt på studiebehandling</w:t>
            </w:r>
          </w:p>
          <w:p w14:paraId="1330D766" w14:textId="77777777" w:rsidR="009B0C24" w:rsidRPr="008D45EF" w:rsidRDefault="009B0C24" w:rsidP="00322782">
            <w:pPr>
              <w:ind w:left="142"/>
              <w:rPr>
                <w:sz w:val="24"/>
                <w:szCs w:val="24"/>
              </w:rPr>
            </w:pPr>
            <w:r w:rsidRPr="008D45EF">
              <w:rPr>
                <w:sz w:val="24"/>
                <w:szCs w:val="24"/>
              </w:rPr>
              <w:t>[kemoterapi +/- strålebehandling] (%)</w:t>
            </w:r>
          </w:p>
          <w:p w14:paraId="53C4240B" w14:textId="77777777" w:rsidR="009B0C24" w:rsidRPr="008D45EF" w:rsidRDefault="009B0C24" w:rsidP="00322782">
            <w:pPr>
              <w:ind w:left="142"/>
              <w:rPr>
                <w:sz w:val="24"/>
                <w:szCs w:val="24"/>
              </w:rPr>
            </w:pPr>
            <w:r w:rsidRPr="008D45EF">
              <w:rPr>
                <w:sz w:val="24"/>
                <w:szCs w:val="24"/>
              </w:rPr>
              <w:t>(95 %CI)</w:t>
            </w:r>
          </w:p>
          <w:p w14:paraId="26A7987C" w14:textId="77777777" w:rsidR="009B0C24" w:rsidRPr="008D45EF" w:rsidRDefault="009B0C24" w:rsidP="00322782">
            <w:pPr>
              <w:ind w:left="142"/>
              <w:rPr>
                <w:sz w:val="24"/>
                <w:szCs w:val="24"/>
              </w:rPr>
            </w:pPr>
            <w:r w:rsidRPr="008D45EF">
              <w:rPr>
                <w:sz w:val="24"/>
                <w:szCs w:val="24"/>
              </w:rPr>
              <w:t>***p-værdi</w:t>
            </w:r>
          </w:p>
        </w:tc>
        <w:tc>
          <w:tcPr>
            <w:tcW w:w="1355" w:type="pct"/>
            <w:tcBorders>
              <w:top w:val="single" w:sz="4" w:space="0" w:color="000000"/>
              <w:left w:val="single" w:sz="4" w:space="0" w:color="000000"/>
              <w:bottom w:val="nil"/>
              <w:right w:val="single" w:sz="4" w:space="0" w:color="000000"/>
            </w:tcBorders>
            <w:hideMark/>
          </w:tcPr>
          <w:p w14:paraId="06918266" w14:textId="77777777" w:rsidR="009B0C24" w:rsidRPr="008D45EF" w:rsidRDefault="009B0C24" w:rsidP="00322782">
            <w:pPr>
              <w:ind w:left="142"/>
              <w:rPr>
                <w:sz w:val="24"/>
                <w:szCs w:val="24"/>
              </w:rPr>
            </w:pPr>
            <w:r w:rsidRPr="008D45EF">
              <w:rPr>
                <w:sz w:val="24"/>
                <w:szCs w:val="24"/>
              </w:rPr>
              <w:t>76,5</w:t>
            </w:r>
          </w:p>
          <w:p w14:paraId="1744431F" w14:textId="77777777" w:rsidR="009B0C24" w:rsidRPr="008D45EF" w:rsidRDefault="009B0C24" w:rsidP="00322782">
            <w:pPr>
              <w:ind w:left="142"/>
              <w:rPr>
                <w:sz w:val="24"/>
                <w:szCs w:val="24"/>
              </w:rPr>
            </w:pPr>
            <w:r w:rsidRPr="008D45EF">
              <w:rPr>
                <w:sz w:val="24"/>
                <w:szCs w:val="24"/>
              </w:rPr>
              <w:t>(70,8</w:t>
            </w:r>
            <w:r w:rsidRPr="008D45EF">
              <w:rPr>
                <w:sz w:val="24"/>
                <w:szCs w:val="24"/>
              </w:rPr>
              <w:noBreakHyphen/>
              <w:t>81,5)</w:t>
            </w:r>
          </w:p>
        </w:tc>
        <w:tc>
          <w:tcPr>
            <w:tcW w:w="1262" w:type="pct"/>
            <w:tcBorders>
              <w:top w:val="single" w:sz="4" w:space="0" w:color="000000"/>
              <w:left w:val="single" w:sz="4" w:space="0" w:color="000000"/>
              <w:bottom w:val="nil"/>
              <w:right w:val="single" w:sz="4" w:space="0" w:color="000000"/>
            </w:tcBorders>
            <w:hideMark/>
          </w:tcPr>
          <w:p w14:paraId="30CFBB5A" w14:textId="77777777" w:rsidR="009B0C24" w:rsidRPr="008D45EF" w:rsidRDefault="009B0C24" w:rsidP="00322782">
            <w:pPr>
              <w:ind w:left="142"/>
              <w:rPr>
                <w:sz w:val="24"/>
                <w:szCs w:val="24"/>
              </w:rPr>
            </w:pPr>
            <w:r w:rsidRPr="008D45EF">
              <w:rPr>
                <w:sz w:val="24"/>
                <w:szCs w:val="24"/>
              </w:rPr>
              <w:t>71,5</w:t>
            </w:r>
          </w:p>
          <w:p w14:paraId="2C53434A" w14:textId="77777777" w:rsidR="009B0C24" w:rsidRPr="008D45EF" w:rsidRDefault="009B0C24" w:rsidP="00322782">
            <w:pPr>
              <w:ind w:left="142"/>
              <w:rPr>
                <w:sz w:val="24"/>
                <w:szCs w:val="24"/>
              </w:rPr>
            </w:pPr>
            <w:r w:rsidRPr="008D45EF">
              <w:rPr>
                <w:sz w:val="24"/>
                <w:szCs w:val="24"/>
              </w:rPr>
              <w:t>(65,5</w:t>
            </w:r>
            <w:r w:rsidRPr="008D45EF">
              <w:rPr>
                <w:sz w:val="24"/>
                <w:szCs w:val="24"/>
              </w:rPr>
              <w:noBreakHyphen/>
              <w:t>77,1)</w:t>
            </w:r>
          </w:p>
        </w:tc>
      </w:tr>
      <w:tr w:rsidR="009B0C24" w:rsidRPr="008D45EF" w14:paraId="5810F579" w14:textId="77777777" w:rsidTr="00322782">
        <w:trPr>
          <w:trHeight w:val="20"/>
        </w:trPr>
        <w:tc>
          <w:tcPr>
            <w:tcW w:w="2382" w:type="pct"/>
            <w:vMerge/>
            <w:tcBorders>
              <w:top w:val="single" w:sz="4" w:space="0" w:color="000000"/>
              <w:left w:val="single" w:sz="4" w:space="0" w:color="000000"/>
              <w:bottom w:val="single" w:sz="4" w:space="0" w:color="000000"/>
              <w:right w:val="single" w:sz="4" w:space="0" w:color="000000"/>
            </w:tcBorders>
            <w:vAlign w:val="center"/>
            <w:hideMark/>
          </w:tcPr>
          <w:p w14:paraId="3F82E1B8" w14:textId="77777777" w:rsidR="009B0C24" w:rsidRPr="008D45EF" w:rsidRDefault="009B0C24" w:rsidP="00322782">
            <w:pPr>
              <w:ind w:left="142"/>
              <w:rPr>
                <w:sz w:val="24"/>
                <w:szCs w:val="24"/>
              </w:rPr>
            </w:pPr>
          </w:p>
        </w:tc>
        <w:tc>
          <w:tcPr>
            <w:tcW w:w="2618" w:type="pct"/>
            <w:gridSpan w:val="2"/>
            <w:tcBorders>
              <w:top w:val="single" w:sz="4" w:space="0" w:color="000000"/>
              <w:left w:val="single" w:sz="4" w:space="0" w:color="000000"/>
              <w:bottom w:val="single" w:sz="4" w:space="0" w:color="000000"/>
              <w:right w:val="single" w:sz="4" w:space="0" w:color="000000"/>
            </w:tcBorders>
            <w:hideMark/>
          </w:tcPr>
          <w:p w14:paraId="1B1A3932" w14:textId="77777777" w:rsidR="009B0C24" w:rsidRPr="008D45EF" w:rsidRDefault="009B0C24" w:rsidP="009B0C24">
            <w:pPr>
              <w:ind w:left="142"/>
              <w:jc w:val="center"/>
              <w:rPr>
                <w:sz w:val="24"/>
                <w:szCs w:val="24"/>
              </w:rPr>
            </w:pPr>
            <w:r w:rsidRPr="008D45EF">
              <w:rPr>
                <w:sz w:val="24"/>
                <w:szCs w:val="24"/>
              </w:rPr>
              <w:t>0,209</w:t>
            </w:r>
          </w:p>
        </w:tc>
      </w:tr>
    </w:tbl>
    <w:p w14:paraId="62A578A7" w14:textId="77777777" w:rsidR="006B34A1" w:rsidRPr="008D45EF" w:rsidRDefault="006B34A1" w:rsidP="0081699D">
      <w:pPr>
        <w:ind w:left="851"/>
        <w:rPr>
          <w:sz w:val="24"/>
          <w:szCs w:val="24"/>
        </w:rPr>
      </w:pPr>
      <w:r w:rsidRPr="008D45EF">
        <w:rPr>
          <w:sz w:val="24"/>
          <w:szCs w:val="24"/>
        </w:rPr>
        <w:t>Med en hazard ratio &lt; 1 kan docetaxel</w:t>
      </w:r>
      <w:r w:rsidRPr="008D45EF">
        <w:rPr>
          <w:sz w:val="24"/>
          <w:szCs w:val="24"/>
          <w:u w:val="single"/>
        </w:rPr>
        <w:t xml:space="preserve"> </w:t>
      </w:r>
      <w:r w:rsidRPr="008D45EF">
        <w:rPr>
          <w:sz w:val="24"/>
          <w:szCs w:val="24"/>
        </w:rPr>
        <w:t>+ cisplatin+5</w:t>
      </w:r>
      <w:r w:rsidRPr="008D45EF">
        <w:rPr>
          <w:sz w:val="24"/>
          <w:szCs w:val="24"/>
        </w:rPr>
        <w:noBreakHyphen/>
        <w:t>FU anvendes med fordel</w:t>
      </w:r>
    </w:p>
    <w:p w14:paraId="01127EF4" w14:textId="77777777" w:rsidR="006B34A1" w:rsidRPr="008D45EF" w:rsidRDefault="006B34A1" w:rsidP="0081699D">
      <w:pPr>
        <w:ind w:left="851"/>
        <w:rPr>
          <w:sz w:val="24"/>
          <w:szCs w:val="24"/>
        </w:rPr>
      </w:pPr>
      <w:r w:rsidRPr="008D45EF">
        <w:rPr>
          <w:sz w:val="24"/>
          <w:szCs w:val="24"/>
        </w:rPr>
        <w:t>*Cox model (tilpasning til primær tumor, T og N kliniske stadier og PSWHO)</w:t>
      </w:r>
    </w:p>
    <w:p w14:paraId="3D9D19C7" w14:textId="77777777" w:rsidR="006B34A1" w:rsidRPr="008D45EF" w:rsidRDefault="006B34A1" w:rsidP="0081699D">
      <w:pPr>
        <w:ind w:left="851"/>
        <w:rPr>
          <w:sz w:val="24"/>
          <w:szCs w:val="24"/>
          <w:lang w:val="en-US"/>
        </w:rPr>
      </w:pPr>
      <w:r w:rsidRPr="008D45EF">
        <w:rPr>
          <w:sz w:val="24"/>
          <w:szCs w:val="24"/>
          <w:lang w:val="en-US"/>
        </w:rPr>
        <w:t>**Logrank test</w:t>
      </w:r>
    </w:p>
    <w:p w14:paraId="4EF2B78B" w14:textId="77777777" w:rsidR="006B34A1" w:rsidRPr="008D45EF" w:rsidRDefault="006B34A1" w:rsidP="0081699D">
      <w:pPr>
        <w:ind w:left="851"/>
        <w:rPr>
          <w:sz w:val="24"/>
          <w:szCs w:val="24"/>
          <w:lang w:val="en-US"/>
        </w:rPr>
      </w:pPr>
      <w:r w:rsidRPr="008D45EF">
        <w:rPr>
          <w:sz w:val="24"/>
          <w:szCs w:val="24"/>
          <w:lang w:val="en-US"/>
        </w:rPr>
        <w:t>*** Chi-square-test</w:t>
      </w:r>
    </w:p>
    <w:p w14:paraId="5078230A" w14:textId="77777777" w:rsidR="006B34A1" w:rsidRPr="008D45EF" w:rsidRDefault="006B34A1" w:rsidP="0081699D">
      <w:pPr>
        <w:ind w:left="851"/>
        <w:rPr>
          <w:sz w:val="24"/>
          <w:szCs w:val="24"/>
          <w:lang w:val="en-US"/>
        </w:rPr>
      </w:pPr>
    </w:p>
    <w:p w14:paraId="2BE524C7" w14:textId="77777777" w:rsidR="006B34A1" w:rsidRPr="008D45EF" w:rsidRDefault="006B34A1" w:rsidP="0081699D">
      <w:pPr>
        <w:ind w:left="851"/>
        <w:rPr>
          <w:sz w:val="24"/>
          <w:szCs w:val="24"/>
          <w:lang w:val="en-US"/>
        </w:rPr>
      </w:pPr>
      <w:r w:rsidRPr="008D45EF">
        <w:rPr>
          <w:i/>
          <w:iCs/>
          <w:sz w:val="24"/>
          <w:szCs w:val="24"/>
          <w:lang w:val="en-US"/>
        </w:rPr>
        <w:t>Livskvalitetsparametre</w:t>
      </w:r>
    </w:p>
    <w:p w14:paraId="10C0C096" w14:textId="77777777" w:rsidR="006B34A1" w:rsidRPr="008D45EF" w:rsidRDefault="006B34A1" w:rsidP="0081699D">
      <w:pPr>
        <w:ind w:left="851"/>
        <w:rPr>
          <w:sz w:val="24"/>
          <w:szCs w:val="24"/>
        </w:rPr>
      </w:pPr>
      <w:r w:rsidRPr="008D45EF">
        <w:rPr>
          <w:sz w:val="24"/>
          <w:szCs w:val="24"/>
        </w:rPr>
        <w:t>De patienter, der fik behandling med TPF udviklede signifikant mindre tilbagegang af deres globale sundhedsscore i forhold til patienter i behandling med PF (p = 0,01, under anvendelse af EORTC QLQ-C30-skalaen).</w:t>
      </w:r>
    </w:p>
    <w:p w14:paraId="4DA8E93F" w14:textId="77777777" w:rsidR="006B34A1" w:rsidRPr="008D45EF" w:rsidRDefault="006B34A1" w:rsidP="0081699D">
      <w:pPr>
        <w:ind w:left="851"/>
        <w:rPr>
          <w:sz w:val="24"/>
          <w:szCs w:val="24"/>
        </w:rPr>
      </w:pPr>
    </w:p>
    <w:p w14:paraId="6408FCE9" w14:textId="77777777" w:rsidR="006B34A1" w:rsidRPr="008D45EF" w:rsidRDefault="006B34A1" w:rsidP="00D22BF6">
      <w:pPr>
        <w:keepNext/>
        <w:ind w:left="851"/>
        <w:rPr>
          <w:sz w:val="24"/>
          <w:szCs w:val="24"/>
        </w:rPr>
      </w:pPr>
      <w:r w:rsidRPr="008D45EF">
        <w:rPr>
          <w:i/>
          <w:iCs/>
          <w:sz w:val="24"/>
          <w:szCs w:val="24"/>
        </w:rPr>
        <w:t>Kliniske fordelsparametre</w:t>
      </w:r>
    </w:p>
    <w:p w14:paraId="47DB6D7B" w14:textId="77777777" w:rsidR="006B34A1" w:rsidRPr="008D45EF" w:rsidRDefault="006B34A1" w:rsidP="0081699D">
      <w:pPr>
        <w:ind w:left="851"/>
        <w:rPr>
          <w:sz w:val="24"/>
          <w:szCs w:val="24"/>
        </w:rPr>
      </w:pPr>
      <w:r w:rsidRPr="008D45EF">
        <w:rPr>
          <w:sz w:val="24"/>
          <w:szCs w:val="24"/>
        </w:rPr>
        <w:t>Statusskalaen for hoved- og hals underskalaer (PSS</w:t>
      </w:r>
      <w:r w:rsidRPr="008D45EF">
        <w:rPr>
          <w:sz w:val="24"/>
          <w:szCs w:val="24"/>
        </w:rPr>
        <w:noBreakHyphen/>
        <w:t>HN) var designet til at måle sprogforståelse, evnen til at indtage føde offentligt samt en normal kost. Skalaen var signifikant til fordel for TPF i forhold til PF.</w:t>
      </w:r>
    </w:p>
    <w:p w14:paraId="4803E4AB" w14:textId="77777777" w:rsidR="006B34A1" w:rsidRPr="008D45EF" w:rsidRDefault="006B34A1" w:rsidP="0081699D">
      <w:pPr>
        <w:ind w:left="851"/>
        <w:rPr>
          <w:sz w:val="24"/>
          <w:szCs w:val="24"/>
        </w:rPr>
      </w:pPr>
      <w:r w:rsidRPr="008D45EF">
        <w:rPr>
          <w:sz w:val="24"/>
          <w:szCs w:val="24"/>
        </w:rPr>
        <w:t>Median tid til første tilbagegang af WHO performance status var signifikant længere i TPF-armen end med PF. Smerteintensitet-scoren forbedredes under behandlingen i begge grupper, hvilket indikerer en god smertekontrol.</w:t>
      </w:r>
    </w:p>
    <w:p w14:paraId="58685DEB" w14:textId="77777777" w:rsidR="006B34A1" w:rsidRPr="008D45EF" w:rsidRDefault="006B34A1" w:rsidP="0081699D">
      <w:pPr>
        <w:ind w:left="851"/>
        <w:rPr>
          <w:sz w:val="24"/>
          <w:szCs w:val="24"/>
        </w:rPr>
      </w:pPr>
    </w:p>
    <w:p w14:paraId="7DF6DBD8" w14:textId="77777777" w:rsidR="00D22BF6" w:rsidRPr="003D4A39" w:rsidRDefault="00D22BF6" w:rsidP="00D22BF6">
      <w:pPr>
        <w:numPr>
          <w:ilvl w:val="0"/>
          <w:numId w:val="19"/>
        </w:numPr>
        <w:ind w:left="1276" w:hanging="425"/>
        <w:rPr>
          <w:sz w:val="24"/>
          <w:szCs w:val="24"/>
        </w:rPr>
      </w:pPr>
      <w:r w:rsidRPr="003D4A39">
        <w:rPr>
          <w:sz w:val="24"/>
          <w:szCs w:val="24"/>
        </w:rPr>
        <w:t>Induktions kemoterapi efterfulgt af kemostråleterapi (TAX 324)</w:t>
      </w:r>
    </w:p>
    <w:p w14:paraId="025CE3A2" w14:textId="12CD25CE" w:rsidR="00D22BF6" w:rsidRDefault="00D22BF6" w:rsidP="00D22BF6">
      <w:pPr>
        <w:ind w:left="851"/>
        <w:rPr>
          <w:sz w:val="24"/>
          <w:szCs w:val="24"/>
        </w:rPr>
      </w:pPr>
      <w:r w:rsidRPr="003D4A39">
        <w:rPr>
          <w:sz w:val="24"/>
          <w:szCs w:val="24"/>
        </w:rPr>
        <w:t>Sikkerheden og effekten af docetaxel i den indledende behandling af patienter med lokalt fremskredent pladecelle</w:t>
      </w:r>
      <w:r>
        <w:rPr>
          <w:sz w:val="24"/>
          <w:szCs w:val="24"/>
        </w:rPr>
        <w:t>k</w:t>
      </w:r>
      <w:r w:rsidRPr="003D4A39">
        <w:rPr>
          <w:sz w:val="24"/>
          <w:szCs w:val="24"/>
        </w:rPr>
        <w:t>arcinom i hoved og hals (SCCHN) blev evalueret i et randomiseret, multicenter, open-label fase III</w:t>
      </w:r>
      <w:r w:rsidRPr="003D4A39">
        <w:rPr>
          <w:sz w:val="24"/>
          <w:szCs w:val="24"/>
        </w:rPr>
        <w:noBreakHyphen/>
        <w:t xml:space="preserve">studie (TAX 324). I dette studie blev 501 patienter med lokalt fremskredent SCCHN og en WHO funktionsstatus på 0 eller 1, randomiseret i en af to arme. Studiepopulationen bestod af patienter med teknisk </w:t>
      </w:r>
      <w:r>
        <w:rPr>
          <w:sz w:val="24"/>
          <w:szCs w:val="24"/>
        </w:rPr>
        <w:t>ikke-</w:t>
      </w:r>
      <w:r w:rsidRPr="003D4A39">
        <w:rPr>
          <w:sz w:val="24"/>
          <w:szCs w:val="24"/>
        </w:rPr>
        <w:t>resekterbar</w:t>
      </w:r>
      <w:r w:rsidRPr="002A14E2">
        <w:rPr>
          <w:sz w:val="24"/>
          <w:szCs w:val="24"/>
        </w:rPr>
        <w:t xml:space="preserve"> sygdom, patienter med lav chance for kirurgisk helbredelse og patienter med bevarelse af organer som mål. Evaluering af effekt og sikkerhed blev foretaget</w:t>
      </w:r>
      <w:r w:rsidRPr="003D4A39">
        <w:rPr>
          <w:sz w:val="24"/>
          <w:szCs w:val="24"/>
        </w:rPr>
        <w:t xml:space="preserve"> udelukkende ud fra kriterier om overlevelse. Succesrig organbevarelse indgik ikke formelt som succeskriterium. Patienter i docetaxel-armen fik docetaxel (T) 75 mg/m² ved intravenøs infusion på dag 1, efterfulgt af cisplatin (P) 100 mg/m² administreret som en 30 minutter til 3 timers intravenøs infusion, efterfulgt af kontinuerlig intravenøs infusion af 5</w:t>
      </w:r>
      <w:r w:rsidRPr="003D4A39">
        <w:rPr>
          <w:sz w:val="24"/>
          <w:szCs w:val="24"/>
        </w:rPr>
        <w:noBreakHyphen/>
        <w:t>fluoruracil(F) 1.000 mg/m</w:t>
      </w:r>
      <w:r w:rsidRPr="003D4A39">
        <w:rPr>
          <w:sz w:val="24"/>
          <w:szCs w:val="24"/>
          <w:vertAlign w:val="superscript"/>
        </w:rPr>
        <w:t>2</w:t>
      </w:r>
      <w:r w:rsidRPr="003D4A39">
        <w:rPr>
          <w:sz w:val="24"/>
          <w:szCs w:val="24"/>
        </w:rPr>
        <w:t>/dag fra dag 1 til dag 4. Disse cyklusser blev gentaget hver 3. uge i 3 cyklusser. Patienter uden forværret sygdom skulle ifølge protokollen modtage CRT (PF/CRT). Patienter i komparator-armen modtog cisplatin (P) 100 mg/m² administreret som en 30 minutter til 3 timers intravenøs infusion på dag 1, efterfulgt af kontinuerlig intravenøs infusion af 5</w:t>
      </w:r>
      <w:r w:rsidRPr="003D4A39">
        <w:rPr>
          <w:sz w:val="24"/>
          <w:szCs w:val="24"/>
        </w:rPr>
        <w:noBreakHyphen/>
        <w:t>fluoruracil(F) 1.000 mg/m²/dag fra dag 1 til dag 5. Disse cyklusser blev gentaget hver 3. uge i 3 cyklusser. Alle patienter uden forværret sygdom skulle ifølge protokollen modtage CRT (PF/CRT).</w:t>
      </w:r>
    </w:p>
    <w:p w14:paraId="42BE9772" w14:textId="77777777" w:rsidR="00D22BF6" w:rsidRDefault="00D22BF6" w:rsidP="0081699D">
      <w:pPr>
        <w:ind w:left="851"/>
        <w:rPr>
          <w:sz w:val="24"/>
          <w:szCs w:val="24"/>
        </w:rPr>
      </w:pPr>
    </w:p>
    <w:p w14:paraId="2BE0992D" w14:textId="77777777" w:rsidR="00D22BF6" w:rsidRDefault="006B34A1" w:rsidP="0081699D">
      <w:pPr>
        <w:ind w:left="851"/>
        <w:rPr>
          <w:sz w:val="24"/>
          <w:szCs w:val="24"/>
        </w:rPr>
      </w:pPr>
      <w:r w:rsidRPr="008D45EF">
        <w:rPr>
          <w:sz w:val="24"/>
          <w:szCs w:val="24"/>
        </w:rPr>
        <w:t>Efter induktions-kemoterapi skulle patienter i begge behandlingsarme modtage 7 ugers CRT med et minimumsinterval på 3 uger, og ikke senere end 8 uger efter påbegyndelse af sidste cyklus (dag 22 til dag 56 af sidste cyklus). Under strålebehandlingsforløbet blev der givet carboplatin (AUC 1,5) ugentligt som en 1</w:t>
      </w:r>
      <w:r w:rsidRPr="008D45EF">
        <w:rPr>
          <w:sz w:val="24"/>
          <w:szCs w:val="24"/>
        </w:rPr>
        <w:noBreakHyphen/>
        <w:t>times intravenøs infusion med et maksimum på 7 doser. Stråling blev udført med megavolt udstyr, med en daglig fraktionering (2 Gy pr. dag, 5 dage om ugen i 7 uger, dosis i alt 70</w:t>
      </w:r>
      <w:r w:rsidRPr="008D45EF">
        <w:rPr>
          <w:sz w:val="24"/>
          <w:szCs w:val="24"/>
        </w:rPr>
        <w:noBreakHyphen/>
        <w:t>72 Gy). Kirurgisk indgreb på det primære sygdomssted og/eller hals kunne overvejes når som helst efter endt CRT. Alle patienter i studiets docetaxel-arm modtog profylaktisk antibiotika. Det primære endepunkt for effektivitet i dette studie, overlevelse i alt (OS), var signifikant længere (log-rank test, p = 0,0058) i det regime, der indeholdt docetaxel sammenlignet med PF (median OS: 70,6 mod 30,1 måneder, respektivt), med en 30 % nedsat risiko i mortalitet sammenlignet med PF (hazard ratio (HR) = 0,70; 95 % konfidensinterval (CI) = 0,54</w:t>
      </w:r>
      <w:r w:rsidRPr="008D45EF">
        <w:rPr>
          <w:sz w:val="24"/>
          <w:szCs w:val="24"/>
        </w:rPr>
        <w:noBreakHyphen/>
        <w:t>0,90) med en samlet median opfølgningstid på 41,9 måneder. Det sekundære endepunkt, progressionsfri overlevelse, (PFS) viste 29 % nedsat risiko for forværring eller død og en 22 måneder forbedring i median PFS (35,5 måned for TPF og 13,1 måned for PF). Dette var også statistisk signifikant med en HR på 0,71; 95 % CI 0,56</w:t>
      </w:r>
      <w:r w:rsidRPr="008D45EF">
        <w:rPr>
          <w:sz w:val="24"/>
          <w:szCs w:val="24"/>
        </w:rPr>
        <w:noBreakHyphen/>
        <w:t xml:space="preserve">0,90; log-rank test p = 0,004. </w:t>
      </w:r>
    </w:p>
    <w:p w14:paraId="426BDA80" w14:textId="77777777" w:rsidR="00D22BF6" w:rsidRDefault="00D22BF6" w:rsidP="0081699D">
      <w:pPr>
        <w:ind w:left="851"/>
        <w:rPr>
          <w:sz w:val="24"/>
          <w:szCs w:val="24"/>
        </w:rPr>
      </w:pPr>
    </w:p>
    <w:p w14:paraId="155FAC99" w14:textId="62611B94" w:rsidR="006B34A1" w:rsidRPr="008D45EF" w:rsidRDefault="006B34A1" w:rsidP="0081699D">
      <w:pPr>
        <w:ind w:left="851"/>
        <w:rPr>
          <w:sz w:val="24"/>
          <w:szCs w:val="24"/>
        </w:rPr>
      </w:pPr>
      <w:r w:rsidRPr="008D45EF">
        <w:rPr>
          <w:sz w:val="24"/>
          <w:szCs w:val="24"/>
        </w:rPr>
        <w:t>Effekten baseret på data fra studiet kan ses i nedenstående tabel.</w:t>
      </w:r>
    </w:p>
    <w:p w14:paraId="24E2FDE4" w14:textId="77777777" w:rsidR="00D22BF6" w:rsidRDefault="00D22BF6" w:rsidP="00D22BF6">
      <w:pPr>
        <w:keepNext/>
        <w:rPr>
          <w:sz w:val="24"/>
          <w:szCs w:val="24"/>
          <w:u w:val="single"/>
        </w:rPr>
      </w:pPr>
    </w:p>
    <w:p w14:paraId="7F7954B0" w14:textId="3EAA4342" w:rsidR="006B34A1" w:rsidRPr="008D45EF" w:rsidRDefault="006B34A1" w:rsidP="00D22BF6">
      <w:pPr>
        <w:keepNext/>
        <w:rPr>
          <w:sz w:val="24"/>
          <w:szCs w:val="24"/>
          <w:u w:val="single"/>
        </w:rPr>
      </w:pPr>
      <w:r w:rsidRPr="008D45EF">
        <w:rPr>
          <w:sz w:val="24"/>
          <w:szCs w:val="24"/>
          <w:u w:val="single"/>
        </w:rPr>
        <w:t>Effekt af docetaxel i indledende behandling til patienter med lokale fremskredne SCCHN (Hensigt at behandle-analyse)</w:t>
      </w:r>
    </w:p>
    <w:p w14:paraId="6CB2D00E" w14:textId="77777777" w:rsidR="006B34A1" w:rsidRPr="008D45EF" w:rsidRDefault="006B34A1" w:rsidP="0081699D">
      <w:pPr>
        <w:ind w:left="851"/>
        <w:rPr>
          <w:sz w:val="24"/>
          <w:szCs w:val="24"/>
        </w:rPr>
      </w:pPr>
    </w:p>
    <w:tbl>
      <w:tblPr>
        <w:tblW w:w="5000" w:type="pct"/>
        <w:tblCellMar>
          <w:left w:w="0" w:type="dxa"/>
          <w:right w:w="0" w:type="dxa"/>
        </w:tblCellMar>
        <w:tblLook w:val="04A0" w:firstRow="1" w:lastRow="0" w:firstColumn="1" w:lastColumn="0" w:noHBand="0" w:noVBand="1"/>
      </w:tblPr>
      <w:tblGrid>
        <w:gridCol w:w="4587"/>
        <w:gridCol w:w="2609"/>
        <w:gridCol w:w="2432"/>
      </w:tblGrid>
      <w:tr w:rsidR="006B34A1" w:rsidRPr="008D45EF" w14:paraId="4EAD6083" w14:textId="77777777" w:rsidTr="002A7D83">
        <w:trPr>
          <w:trHeight w:val="20"/>
          <w:tblHeader/>
        </w:trPr>
        <w:tc>
          <w:tcPr>
            <w:tcW w:w="2382" w:type="pct"/>
            <w:tcBorders>
              <w:top w:val="single" w:sz="4" w:space="0" w:color="000000"/>
              <w:left w:val="single" w:sz="4" w:space="0" w:color="000000"/>
              <w:bottom w:val="single" w:sz="4" w:space="0" w:color="000000"/>
              <w:right w:val="single" w:sz="4" w:space="0" w:color="000000"/>
            </w:tcBorders>
            <w:hideMark/>
          </w:tcPr>
          <w:p w14:paraId="22E4AD7D" w14:textId="77777777" w:rsidR="006B34A1" w:rsidRPr="008D45EF" w:rsidRDefault="006B34A1" w:rsidP="0081699D">
            <w:pPr>
              <w:ind w:left="142"/>
              <w:rPr>
                <w:b/>
                <w:bCs/>
                <w:sz w:val="24"/>
                <w:szCs w:val="24"/>
              </w:rPr>
            </w:pPr>
            <w:r w:rsidRPr="008D45EF">
              <w:rPr>
                <w:b/>
                <w:bCs/>
                <w:sz w:val="24"/>
                <w:szCs w:val="24"/>
              </w:rPr>
              <w:t>Endepunkt</w:t>
            </w:r>
          </w:p>
        </w:tc>
        <w:tc>
          <w:tcPr>
            <w:tcW w:w="1355" w:type="pct"/>
            <w:tcBorders>
              <w:top w:val="single" w:sz="4" w:space="0" w:color="000000"/>
              <w:left w:val="single" w:sz="4" w:space="0" w:color="000000"/>
              <w:bottom w:val="single" w:sz="4" w:space="0" w:color="000000"/>
              <w:right w:val="single" w:sz="4" w:space="0" w:color="000000"/>
            </w:tcBorders>
            <w:hideMark/>
          </w:tcPr>
          <w:p w14:paraId="39E04663" w14:textId="77777777" w:rsidR="006B34A1" w:rsidRPr="008D45EF" w:rsidRDefault="006B34A1" w:rsidP="0081699D">
            <w:pPr>
              <w:ind w:left="142"/>
              <w:rPr>
                <w:b/>
                <w:bCs/>
                <w:sz w:val="24"/>
                <w:szCs w:val="24"/>
              </w:rPr>
            </w:pPr>
            <w:r w:rsidRPr="008D45EF">
              <w:rPr>
                <w:b/>
                <w:bCs/>
                <w:sz w:val="24"/>
                <w:szCs w:val="24"/>
              </w:rPr>
              <w:t>Docetaxel + Cis + 5-FU</w:t>
            </w:r>
          </w:p>
          <w:p w14:paraId="6BF923B9" w14:textId="77777777" w:rsidR="006B34A1" w:rsidRPr="008D45EF" w:rsidRDefault="006B34A1" w:rsidP="0081699D">
            <w:pPr>
              <w:ind w:left="142"/>
              <w:rPr>
                <w:sz w:val="24"/>
                <w:szCs w:val="24"/>
              </w:rPr>
            </w:pPr>
            <w:r w:rsidRPr="008D45EF">
              <w:rPr>
                <w:b/>
                <w:bCs/>
                <w:sz w:val="24"/>
                <w:szCs w:val="24"/>
              </w:rPr>
              <w:t>n = 255</w:t>
            </w:r>
          </w:p>
        </w:tc>
        <w:tc>
          <w:tcPr>
            <w:tcW w:w="1262" w:type="pct"/>
            <w:tcBorders>
              <w:top w:val="single" w:sz="4" w:space="0" w:color="000000"/>
              <w:left w:val="single" w:sz="4" w:space="0" w:color="000000"/>
              <w:bottom w:val="single" w:sz="4" w:space="0" w:color="000000"/>
              <w:right w:val="single" w:sz="4" w:space="0" w:color="000000"/>
            </w:tcBorders>
            <w:hideMark/>
          </w:tcPr>
          <w:p w14:paraId="4FDC4F4A" w14:textId="77777777" w:rsidR="006B34A1" w:rsidRPr="008D45EF" w:rsidRDefault="006B34A1" w:rsidP="0081699D">
            <w:pPr>
              <w:ind w:left="142"/>
              <w:rPr>
                <w:b/>
                <w:bCs/>
                <w:sz w:val="24"/>
                <w:szCs w:val="24"/>
              </w:rPr>
            </w:pPr>
            <w:r w:rsidRPr="008D45EF">
              <w:rPr>
                <w:b/>
                <w:bCs/>
                <w:sz w:val="24"/>
                <w:szCs w:val="24"/>
              </w:rPr>
              <w:t>Cis + 5-FU</w:t>
            </w:r>
          </w:p>
          <w:p w14:paraId="51DAB70D" w14:textId="77777777" w:rsidR="006B34A1" w:rsidRPr="008D45EF" w:rsidRDefault="006B34A1" w:rsidP="0081699D">
            <w:pPr>
              <w:ind w:left="142"/>
              <w:rPr>
                <w:sz w:val="24"/>
                <w:szCs w:val="24"/>
              </w:rPr>
            </w:pPr>
            <w:r w:rsidRPr="008D45EF">
              <w:rPr>
                <w:b/>
                <w:bCs/>
                <w:sz w:val="24"/>
                <w:szCs w:val="24"/>
              </w:rPr>
              <w:t>n = 246</w:t>
            </w:r>
          </w:p>
        </w:tc>
      </w:tr>
      <w:tr w:rsidR="006B34A1" w:rsidRPr="008D45EF" w14:paraId="24AE4D29" w14:textId="77777777" w:rsidTr="002A7D83">
        <w:trPr>
          <w:trHeight w:val="20"/>
        </w:trPr>
        <w:tc>
          <w:tcPr>
            <w:tcW w:w="2382" w:type="pct"/>
            <w:vMerge w:val="restart"/>
            <w:tcBorders>
              <w:top w:val="single" w:sz="4" w:space="0" w:color="000000"/>
              <w:left w:val="single" w:sz="4" w:space="0" w:color="000000"/>
              <w:bottom w:val="nil"/>
              <w:right w:val="single" w:sz="4" w:space="0" w:color="000000"/>
            </w:tcBorders>
            <w:hideMark/>
          </w:tcPr>
          <w:p w14:paraId="6C5C65EB" w14:textId="77777777" w:rsidR="006B34A1" w:rsidRPr="008D45EF" w:rsidRDefault="006B34A1" w:rsidP="0081699D">
            <w:pPr>
              <w:ind w:left="142"/>
              <w:rPr>
                <w:sz w:val="24"/>
                <w:szCs w:val="24"/>
              </w:rPr>
            </w:pPr>
            <w:r w:rsidRPr="008D45EF">
              <w:rPr>
                <w:sz w:val="24"/>
                <w:szCs w:val="24"/>
              </w:rPr>
              <w:t>Median overlevelse i alt (måneder)</w:t>
            </w:r>
          </w:p>
          <w:p w14:paraId="2FBECA87" w14:textId="77777777" w:rsidR="006B34A1" w:rsidRPr="008D45EF" w:rsidRDefault="006B34A1" w:rsidP="0081699D">
            <w:pPr>
              <w:ind w:left="142"/>
              <w:rPr>
                <w:sz w:val="24"/>
                <w:szCs w:val="24"/>
              </w:rPr>
            </w:pPr>
            <w:r w:rsidRPr="008D45EF">
              <w:rPr>
                <w:sz w:val="24"/>
                <w:szCs w:val="24"/>
              </w:rPr>
              <w:t>(95 % CI)</w:t>
            </w:r>
          </w:p>
          <w:p w14:paraId="456C7515" w14:textId="77777777" w:rsidR="006B34A1" w:rsidRPr="008D45EF" w:rsidRDefault="006B34A1" w:rsidP="0081699D">
            <w:pPr>
              <w:ind w:left="142"/>
              <w:rPr>
                <w:sz w:val="24"/>
                <w:szCs w:val="24"/>
              </w:rPr>
            </w:pPr>
            <w:r w:rsidRPr="008D45EF">
              <w:rPr>
                <w:sz w:val="24"/>
                <w:szCs w:val="24"/>
              </w:rPr>
              <w:t>Hazard ratio:</w:t>
            </w:r>
          </w:p>
          <w:p w14:paraId="6CD490E0" w14:textId="77777777" w:rsidR="006B34A1" w:rsidRPr="008D45EF" w:rsidRDefault="006B34A1" w:rsidP="0081699D">
            <w:pPr>
              <w:ind w:left="142"/>
              <w:rPr>
                <w:sz w:val="24"/>
                <w:szCs w:val="24"/>
              </w:rPr>
            </w:pPr>
            <w:r w:rsidRPr="008D45EF">
              <w:rPr>
                <w:sz w:val="24"/>
                <w:szCs w:val="24"/>
              </w:rPr>
              <w:t>(95 % CI)</w:t>
            </w:r>
          </w:p>
          <w:p w14:paraId="31C6D0F2" w14:textId="77777777" w:rsidR="006B34A1" w:rsidRPr="008D45EF" w:rsidRDefault="006B34A1" w:rsidP="0081699D">
            <w:pPr>
              <w:ind w:left="142"/>
              <w:rPr>
                <w:sz w:val="24"/>
                <w:szCs w:val="24"/>
              </w:rPr>
            </w:pPr>
            <w:r w:rsidRPr="008D45EF">
              <w:rPr>
                <w:sz w:val="24"/>
                <w:szCs w:val="24"/>
              </w:rPr>
              <w:t>*p-værdi</w:t>
            </w:r>
          </w:p>
        </w:tc>
        <w:tc>
          <w:tcPr>
            <w:tcW w:w="1355" w:type="pct"/>
            <w:tcBorders>
              <w:top w:val="single" w:sz="4" w:space="0" w:color="000000"/>
              <w:left w:val="single" w:sz="4" w:space="0" w:color="000000"/>
              <w:bottom w:val="nil"/>
              <w:right w:val="single" w:sz="4" w:space="0" w:color="000000"/>
            </w:tcBorders>
            <w:hideMark/>
          </w:tcPr>
          <w:p w14:paraId="334A9939" w14:textId="77777777" w:rsidR="006B34A1" w:rsidRPr="008D45EF" w:rsidRDefault="006B34A1" w:rsidP="0081699D">
            <w:pPr>
              <w:ind w:left="142"/>
              <w:rPr>
                <w:sz w:val="24"/>
                <w:szCs w:val="24"/>
              </w:rPr>
            </w:pPr>
            <w:r w:rsidRPr="008D45EF">
              <w:rPr>
                <w:sz w:val="24"/>
                <w:szCs w:val="24"/>
              </w:rPr>
              <w:t>70,6</w:t>
            </w:r>
          </w:p>
          <w:p w14:paraId="4FE4FA38" w14:textId="77777777" w:rsidR="006B34A1" w:rsidRPr="008D45EF" w:rsidRDefault="006B34A1" w:rsidP="0081699D">
            <w:pPr>
              <w:ind w:left="142"/>
              <w:rPr>
                <w:sz w:val="24"/>
                <w:szCs w:val="24"/>
              </w:rPr>
            </w:pPr>
            <w:r w:rsidRPr="008D45EF">
              <w:rPr>
                <w:sz w:val="24"/>
                <w:szCs w:val="24"/>
              </w:rPr>
              <w:t>(49,0</w:t>
            </w:r>
            <w:r w:rsidRPr="008D45EF">
              <w:rPr>
                <w:sz w:val="24"/>
                <w:szCs w:val="24"/>
              </w:rPr>
              <w:noBreakHyphen/>
              <w:t>NA)</w:t>
            </w:r>
          </w:p>
        </w:tc>
        <w:tc>
          <w:tcPr>
            <w:tcW w:w="1262" w:type="pct"/>
            <w:tcBorders>
              <w:top w:val="single" w:sz="4" w:space="0" w:color="000000"/>
              <w:left w:val="single" w:sz="4" w:space="0" w:color="000000"/>
              <w:bottom w:val="nil"/>
              <w:right w:val="single" w:sz="4" w:space="0" w:color="000000"/>
            </w:tcBorders>
            <w:hideMark/>
          </w:tcPr>
          <w:p w14:paraId="1E60205F" w14:textId="77777777" w:rsidR="006B34A1" w:rsidRPr="008D45EF" w:rsidRDefault="006B34A1" w:rsidP="0081699D">
            <w:pPr>
              <w:ind w:left="142"/>
              <w:rPr>
                <w:sz w:val="24"/>
                <w:szCs w:val="24"/>
              </w:rPr>
            </w:pPr>
            <w:r w:rsidRPr="008D45EF">
              <w:rPr>
                <w:sz w:val="24"/>
                <w:szCs w:val="24"/>
              </w:rPr>
              <w:t>30,1</w:t>
            </w:r>
          </w:p>
          <w:p w14:paraId="68C690CF" w14:textId="77777777" w:rsidR="006B34A1" w:rsidRPr="008D45EF" w:rsidRDefault="006B34A1" w:rsidP="0081699D">
            <w:pPr>
              <w:ind w:left="142"/>
              <w:rPr>
                <w:sz w:val="24"/>
                <w:szCs w:val="24"/>
              </w:rPr>
            </w:pPr>
            <w:r w:rsidRPr="008D45EF">
              <w:rPr>
                <w:sz w:val="24"/>
                <w:szCs w:val="24"/>
              </w:rPr>
              <w:t>(20,9</w:t>
            </w:r>
            <w:r w:rsidRPr="008D45EF">
              <w:rPr>
                <w:sz w:val="24"/>
                <w:szCs w:val="24"/>
              </w:rPr>
              <w:noBreakHyphen/>
              <w:t>51,5)</w:t>
            </w:r>
          </w:p>
        </w:tc>
      </w:tr>
      <w:tr w:rsidR="006B34A1" w:rsidRPr="008D45EF" w14:paraId="7089E9A6" w14:textId="77777777" w:rsidTr="002A7D83">
        <w:trPr>
          <w:trHeight w:val="20"/>
        </w:trPr>
        <w:tc>
          <w:tcPr>
            <w:tcW w:w="2382" w:type="pct"/>
            <w:vMerge/>
            <w:tcBorders>
              <w:top w:val="single" w:sz="4" w:space="0" w:color="000000"/>
              <w:left w:val="single" w:sz="4" w:space="0" w:color="000000"/>
              <w:bottom w:val="nil"/>
              <w:right w:val="single" w:sz="4" w:space="0" w:color="000000"/>
            </w:tcBorders>
            <w:vAlign w:val="center"/>
            <w:hideMark/>
          </w:tcPr>
          <w:p w14:paraId="4DD2F051" w14:textId="77777777" w:rsidR="006B34A1" w:rsidRPr="008D45EF" w:rsidRDefault="006B34A1" w:rsidP="0081699D">
            <w:pPr>
              <w:ind w:left="142"/>
              <w:rPr>
                <w:sz w:val="24"/>
                <w:szCs w:val="24"/>
              </w:rPr>
            </w:pPr>
          </w:p>
        </w:tc>
        <w:tc>
          <w:tcPr>
            <w:tcW w:w="2618" w:type="pct"/>
            <w:gridSpan w:val="2"/>
            <w:tcBorders>
              <w:top w:val="single" w:sz="4" w:space="0" w:color="000000"/>
              <w:left w:val="single" w:sz="4" w:space="0" w:color="000000"/>
              <w:bottom w:val="nil"/>
              <w:right w:val="single" w:sz="4" w:space="0" w:color="000000"/>
            </w:tcBorders>
            <w:hideMark/>
          </w:tcPr>
          <w:p w14:paraId="305A25C6" w14:textId="77777777" w:rsidR="006B34A1" w:rsidRPr="008D45EF" w:rsidRDefault="006B34A1" w:rsidP="0081699D">
            <w:pPr>
              <w:ind w:left="142"/>
              <w:rPr>
                <w:sz w:val="24"/>
                <w:szCs w:val="24"/>
              </w:rPr>
            </w:pPr>
            <w:r w:rsidRPr="008D45EF">
              <w:rPr>
                <w:sz w:val="24"/>
                <w:szCs w:val="24"/>
              </w:rPr>
              <w:t>0,70</w:t>
            </w:r>
          </w:p>
          <w:p w14:paraId="0D67E850" w14:textId="77777777" w:rsidR="006B34A1" w:rsidRPr="008D45EF" w:rsidRDefault="006B34A1" w:rsidP="0081699D">
            <w:pPr>
              <w:ind w:left="142"/>
              <w:rPr>
                <w:sz w:val="24"/>
                <w:szCs w:val="24"/>
              </w:rPr>
            </w:pPr>
            <w:r w:rsidRPr="008D45EF">
              <w:rPr>
                <w:sz w:val="24"/>
                <w:szCs w:val="24"/>
              </w:rPr>
              <w:t>(0,54</w:t>
            </w:r>
            <w:r w:rsidRPr="008D45EF">
              <w:rPr>
                <w:sz w:val="24"/>
                <w:szCs w:val="24"/>
              </w:rPr>
              <w:noBreakHyphen/>
              <w:t>0,90)</w:t>
            </w:r>
          </w:p>
          <w:p w14:paraId="6647EE32" w14:textId="77777777" w:rsidR="006B34A1" w:rsidRPr="008D45EF" w:rsidRDefault="006B34A1" w:rsidP="0081699D">
            <w:pPr>
              <w:ind w:left="142"/>
              <w:rPr>
                <w:sz w:val="24"/>
                <w:szCs w:val="24"/>
              </w:rPr>
            </w:pPr>
            <w:r w:rsidRPr="008D45EF">
              <w:rPr>
                <w:sz w:val="24"/>
                <w:szCs w:val="24"/>
              </w:rPr>
              <w:t>0,0058</w:t>
            </w:r>
          </w:p>
        </w:tc>
      </w:tr>
      <w:tr w:rsidR="006B34A1" w:rsidRPr="008D45EF" w14:paraId="3FBB9A3C" w14:textId="77777777" w:rsidTr="002A7D83">
        <w:trPr>
          <w:trHeight w:val="20"/>
        </w:trPr>
        <w:tc>
          <w:tcPr>
            <w:tcW w:w="2382" w:type="pct"/>
            <w:vMerge w:val="restart"/>
            <w:tcBorders>
              <w:top w:val="single" w:sz="4" w:space="0" w:color="000000"/>
              <w:left w:val="single" w:sz="4" w:space="0" w:color="000000"/>
              <w:bottom w:val="nil"/>
              <w:right w:val="single" w:sz="4" w:space="0" w:color="000000"/>
            </w:tcBorders>
            <w:hideMark/>
          </w:tcPr>
          <w:p w14:paraId="75D57E50" w14:textId="77777777" w:rsidR="006B34A1" w:rsidRPr="008D45EF" w:rsidRDefault="006B34A1" w:rsidP="0081699D">
            <w:pPr>
              <w:ind w:left="142"/>
              <w:rPr>
                <w:sz w:val="24"/>
                <w:szCs w:val="24"/>
              </w:rPr>
            </w:pPr>
            <w:r w:rsidRPr="008D45EF">
              <w:rPr>
                <w:sz w:val="24"/>
                <w:szCs w:val="24"/>
              </w:rPr>
              <w:t>Median progressionsfri overlevelse (måneder)</w:t>
            </w:r>
          </w:p>
          <w:p w14:paraId="1A5BAA64" w14:textId="77777777" w:rsidR="006B34A1" w:rsidRPr="008D45EF" w:rsidRDefault="006B34A1" w:rsidP="0081699D">
            <w:pPr>
              <w:ind w:left="142"/>
              <w:rPr>
                <w:sz w:val="24"/>
                <w:szCs w:val="24"/>
              </w:rPr>
            </w:pPr>
            <w:r w:rsidRPr="008D45EF">
              <w:rPr>
                <w:sz w:val="24"/>
                <w:szCs w:val="24"/>
              </w:rPr>
              <w:t>(95 % CI)</w:t>
            </w:r>
          </w:p>
          <w:p w14:paraId="49A48463" w14:textId="77777777" w:rsidR="006B34A1" w:rsidRPr="008D45EF" w:rsidRDefault="006B34A1" w:rsidP="0081699D">
            <w:pPr>
              <w:ind w:left="142"/>
              <w:rPr>
                <w:sz w:val="24"/>
                <w:szCs w:val="24"/>
              </w:rPr>
            </w:pPr>
            <w:r w:rsidRPr="008D45EF">
              <w:rPr>
                <w:sz w:val="24"/>
                <w:szCs w:val="24"/>
              </w:rPr>
              <w:t>Hazard ratio</w:t>
            </w:r>
          </w:p>
          <w:p w14:paraId="47779D6F" w14:textId="77777777" w:rsidR="006B34A1" w:rsidRPr="008D45EF" w:rsidRDefault="006B34A1" w:rsidP="0081699D">
            <w:pPr>
              <w:ind w:left="142"/>
              <w:rPr>
                <w:sz w:val="24"/>
                <w:szCs w:val="24"/>
              </w:rPr>
            </w:pPr>
            <w:r w:rsidRPr="008D45EF">
              <w:rPr>
                <w:sz w:val="24"/>
                <w:szCs w:val="24"/>
              </w:rPr>
              <w:t>(95 % CI)</w:t>
            </w:r>
          </w:p>
          <w:p w14:paraId="52DF9280" w14:textId="77777777" w:rsidR="006B34A1" w:rsidRPr="008D45EF" w:rsidRDefault="006B34A1" w:rsidP="0081699D">
            <w:pPr>
              <w:ind w:left="142"/>
              <w:rPr>
                <w:sz w:val="24"/>
                <w:szCs w:val="24"/>
              </w:rPr>
            </w:pPr>
            <w:r w:rsidRPr="008D45EF">
              <w:rPr>
                <w:sz w:val="24"/>
                <w:szCs w:val="24"/>
              </w:rPr>
              <w:t>**p-værdi</w:t>
            </w:r>
          </w:p>
        </w:tc>
        <w:tc>
          <w:tcPr>
            <w:tcW w:w="1355" w:type="pct"/>
            <w:tcBorders>
              <w:top w:val="single" w:sz="4" w:space="0" w:color="000000"/>
              <w:left w:val="single" w:sz="4" w:space="0" w:color="000000"/>
              <w:bottom w:val="nil"/>
              <w:right w:val="single" w:sz="4" w:space="0" w:color="000000"/>
            </w:tcBorders>
            <w:hideMark/>
          </w:tcPr>
          <w:p w14:paraId="660416E8" w14:textId="77777777" w:rsidR="006B34A1" w:rsidRPr="008D45EF" w:rsidRDefault="006B34A1" w:rsidP="0081699D">
            <w:pPr>
              <w:ind w:left="142"/>
              <w:rPr>
                <w:sz w:val="24"/>
                <w:szCs w:val="24"/>
              </w:rPr>
            </w:pPr>
            <w:r w:rsidRPr="008D45EF">
              <w:rPr>
                <w:sz w:val="24"/>
                <w:szCs w:val="24"/>
              </w:rPr>
              <w:t>35,5</w:t>
            </w:r>
          </w:p>
          <w:p w14:paraId="45EFBD63" w14:textId="77777777" w:rsidR="006B34A1" w:rsidRPr="008D45EF" w:rsidRDefault="006B34A1" w:rsidP="0081699D">
            <w:pPr>
              <w:ind w:left="142"/>
              <w:rPr>
                <w:sz w:val="24"/>
                <w:szCs w:val="24"/>
              </w:rPr>
            </w:pPr>
            <w:r w:rsidRPr="008D45EF">
              <w:rPr>
                <w:sz w:val="24"/>
                <w:szCs w:val="24"/>
              </w:rPr>
              <w:t>(19,3</w:t>
            </w:r>
            <w:r w:rsidRPr="008D45EF">
              <w:rPr>
                <w:sz w:val="24"/>
                <w:szCs w:val="24"/>
              </w:rPr>
              <w:noBreakHyphen/>
              <w:t>NA)</w:t>
            </w:r>
          </w:p>
        </w:tc>
        <w:tc>
          <w:tcPr>
            <w:tcW w:w="1262" w:type="pct"/>
            <w:tcBorders>
              <w:top w:val="single" w:sz="4" w:space="0" w:color="000000"/>
              <w:left w:val="single" w:sz="4" w:space="0" w:color="000000"/>
              <w:bottom w:val="nil"/>
              <w:right w:val="single" w:sz="4" w:space="0" w:color="000000"/>
            </w:tcBorders>
            <w:hideMark/>
          </w:tcPr>
          <w:p w14:paraId="19416984" w14:textId="77777777" w:rsidR="006B34A1" w:rsidRPr="008D45EF" w:rsidRDefault="006B34A1" w:rsidP="0081699D">
            <w:pPr>
              <w:ind w:left="142"/>
              <w:rPr>
                <w:sz w:val="24"/>
                <w:szCs w:val="24"/>
              </w:rPr>
            </w:pPr>
            <w:r w:rsidRPr="008D45EF">
              <w:rPr>
                <w:sz w:val="24"/>
                <w:szCs w:val="24"/>
              </w:rPr>
              <w:t>13,1</w:t>
            </w:r>
          </w:p>
          <w:p w14:paraId="7D79ABAA" w14:textId="77777777" w:rsidR="006B34A1" w:rsidRPr="008D45EF" w:rsidRDefault="006B34A1" w:rsidP="0081699D">
            <w:pPr>
              <w:ind w:left="142"/>
              <w:rPr>
                <w:sz w:val="24"/>
                <w:szCs w:val="24"/>
              </w:rPr>
            </w:pPr>
            <w:r w:rsidRPr="008D45EF">
              <w:rPr>
                <w:sz w:val="24"/>
                <w:szCs w:val="24"/>
              </w:rPr>
              <w:t>(10,6</w:t>
            </w:r>
            <w:r w:rsidRPr="008D45EF">
              <w:rPr>
                <w:sz w:val="24"/>
                <w:szCs w:val="24"/>
              </w:rPr>
              <w:noBreakHyphen/>
              <w:t>20,2)</w:t>
            </w:r>
          </w:p>
        </w:tc>
      </w:tr>
      <w:tr w:rsidR="006B34A1" w:rsidRPr="008D45EF" w14:paraId="5E5BAA28" w14:textId="77777777" w:rsidTr="002A7D83">
        <w:trPr>
          <w:trHeight w:val="20"/>
        </w:trPr>
        <w:tc>
          <w:tcPr>
            <w:tcW w:w="2382" w:type="pct"/>
            <w:vMerge/>
            <w:tcBorders>
              <w:top w:val="single" w:sz="4" w:space="0" w:color="000000"/>
              <w:left w:val="single" w:sz="4" w:space="0" w:color="000000"/>
              <w:bottom w:val="nil"/>
              <w:right w:val="single" w:sz="4" w:space="0" w:color="000000"/>
            </w:tcBorders>
            <w:vAlign w:val="center"/>
            <w:hideMark/>
          </w:tcPr>
          <w:p w14:paraId="1B18C4D8" w14:textId="77777777" w:rsidR="006B34A1" w:rsidRPr="008D45EF" w:rsidRDefault="006B34A1" w:rsidP="0081699D">
            <w:pPr>
              <w:ind w:left="142"/>
              <w:rPr>
                <w:sz w:val="24"/>
                <w:szCs w:val="24"/>
              </w:rPr>
            </w:pPr>
          </w:p>
        </w:tc>
        <w:tc>
          <w:tcPr>
            <w:tcW w:w="2618" w:type="pct"/>
            <w:gridSpan w:val="2"/>
            <w:tcBorders>
              <w:top w:val="single" w:sz="4" w:space="0" w:color="000000"/>
              <w:left w:val="single" w:sz="4" w:space="0" w:color="000000"/>
              <w:bottom w:val="nil"/>
              <w:right w:val="single" w:sz="4" w:space="0" w:color="000000"/>
            </w:tcBorders>
            <w:hideMark/>
          </w:tcPr>
          <w:p w14:paraId="20444C2A" w14:textId="77777777" w:rsidR="006B34A1" w:rsidRPr="008D45EF" w:rsidRDefault="006B34A1" w:rsidP="0081699D">
            <w:pPr>
              <w:ind w:left="142"/>
              <w:rPr>
                <w:sz w:val="24"/>
                <w:szCs w:val="24"/>
              </w:rPr>
            </w:pPr>
            <w:r w:rsidRPr="008D45EF">
              <w:rPr>
                <w:sz w:val="24"/>
                <w:szCs w:val="24"/>
              </w:rPr>
              <w:t>0,71</w:t>
            </w:r>
          </w:p>
          <w:p w14:paraId="772ABBD9" w14:textId="77777777" w:rsidR="006B34A1" w:rsidRPr="008D45EF" w:rsidRDefault="006B34A1" w:rsidP="0081699D">
            <w:pPr>
              <w:ind w:left="142"/>
              <w:rPr>
                <w:sz w:val="24"/>
                <w:szCs w:val="24"/>
              </w:rPr>
            </w:pPr>
            <w:r w:rsidRPr="008D45EF">
              <w:rPr>
                <w:sz w:val="24"/>
                <w:szCs w:val="24"/>
              </w:rPr>
              <w:t>(0,56</w:t>
            </w:r>
            <w:r w:rsidRPr="008D45EF">
              <w:rPr>
                <w:sz w:val="24"/>
                <w:szCs w:val="24"/>
              </w:rPr>
              <w:noBreakHyphen/>
              <w:t>0,90)</w:t>
            </w:r>
          </w:p>
          <w:p w14:paraId="3D7576CF" w14:textId="77777777" w:rsidR="006B34A1" w:rsidRPr="008D45EF" w:rsidRDefault="006B34A1" w:rsidP="0081699D">
            <w:pPr>
              <w:ind w:left="142"/>
              <w:rPr>
                <w:sz w:val="24"/>
                <w:szCs w:val="24"/>
              </w:rPr>
            </w:pPr>
            <w:r w:rsidRPr="008D45EF">
              <w:rPr>
                <w:sz w:val="24"/>
                <w:szCs w:val="24"/>
              </w:rPr>
              <w:t>0,004</w:t>
            </w:r>
          </w:p>
        </w:tc>
      </w:tr>
      <w:tr w:rsidR="006B34A1" w:rsidRPr="008D45EF" w14:paraId="68AB25A4" w14:textId="77777777" w:rsidTr="002A7D83">
        <w:trPr>
          <w:trHeight w:val="20"/>
        </w:trPr>
        <w:tc>
          <w:tcPr>
            <w:tcW w:w="2382" w:type="pct"/>
            <w:vMerge w:val="restart"/>
            <w:tcBorders>
              <w:top w:val="single" w:sz="4" w:space="0" w:color="000000"/>
              <w:left w:val="single" w:sz="4" w:space="0" w:color="000000"/>
              <w:bottom w:val="single" w:sz="4" w:space="0" w:color="000000"/>
              <w:right w:val="single" w:sz="4" w:space="0" w:color="000000"/>
            </w:tcBorders>
            <w:hideMark/>
          </w:tcPr>
          <w:p w14:paraId="7D9B9AE4" w14:textId="77777777" w:rsidR="006B34A1" w:rsidRPr="008D45EF" w:rsidRDefault="006B34A1" w:rsidP="0081699D">
            <w:pPr>
              <w:ind w:left="142"/>
              <w:rPr>
                <w:sz w:val="24"/>
                <w:szCs w:val="24"/>
              </w:rPr>
            </w:pPr>
            <w:r w:rsidRPr="008D45EF">
              <w:rPr>
                <w:sz w:val="24"/>
                <w:szCs w:val="24"/>
              </w:rPr>
              <w:t>Bedste respons i alt på kemoterapi (%)</w:t>
            </w:r>
          </w:p>
          <w:p w14:paraId="55921F47" w14:textId="77777777" w:rsidR="006B34A1" w:rsidRPr="008D45EF" w:rsidRDefault="006B34A1" w:rsidP="0081699D">
            <w:pPr>
              <w:ind w:left="142"/>
              <w:rPr>
                <w:sz w:val="24"/>
                <w:szCs w:val="24"/>
              </w:rPr>
            </w:pPr>
            <w:r w:rsidRPr="008D45EF">
              <w:rPr>
                <w:sz w:val="24"/>
                <w:szCs w:val="24"/>
              </w:rPr>
              <w:t>(95 % CI)</w:t>
            </w:r>
          </w:p>
          <w:p w14:paraId="61C6C9C6" w14:textId="77777777" w:rsidR="006B34A1" w:rsidRPr="008D45EF" w:rsidRDefault="006B34A1" w:rsidP="0081699D">
            <w:pPr>
              <w:ind w:left="142"/>
              <w:rPr>
                <w:sz w:val="24"/>
                <w:szCs w:val="24"/>
              </w:rPr>
            </w:pPr>
            <w:r w:rsidRPr="008D45EF">
              <w:rPr>
                <w:sz w:val="24"/>
                <w:szCs w:val="24"/>
              </w:rPr>
              <w:t>***p-værdi</w:t>
            </w:r>
          </w:p>
        </w:tc>
        <w:tc>
          <w:tcPr>
            <w:tcW w:w="1355" w:type="pct"/>
            <w:tcBorders>
              <w:top w:val="single" w:sz="4" w:space="0" w:color="000000"/>
              <w:left w:val="single" w:sz="4" w:space="0" w:color="000000"/>
              <w:bottom w:val="nil"/>
              <w:right w:val="single" w:sz="4" w:space="0" w:color="000000"/>
            </w:tcBorders>
            <w:hideMark/>
          </w:tcPr>
          <w:p w14:paraId="223788BF" w14:textId="77777777" w:rsidR="006B34A1" w:rsidRPr="008D45EF" w:rsidRDefault="006B34A1" w:rsidP="0081699D">
            <w:pPr>
              <w:ind w:left="142"/>
              <w:rPr>
                <w:sz w:val="24"/>
                <w:szCs w:val="24"/>
              </w:rPr>
            </w:pPr>
            <w:r w:rsidRPr="008D45EF">
              <w:rPr>
                <w:sz w:val="24"/>
                <w:szCs w:val="24"/>
              </w:rPr>
              <w:t>71,8</w:t>
            </w:r>
          </w:p>
          <w:p w14:paraId="4785DCBB" w14:textId="77777777" w:rsidR="006B34A1" w:rsidRPr="008D45EF" w:rsidRDefault="006B34A1" w:rsidP="0081699D">
            <w:pPr>
              <w:ind w:left="142"/>
              <w:rPr>
                <w:sz w:val="24"/>
                <w:szCs w:val="24"/>
              </w:rPr>
            </w:pPr>
            <w:r w:rsidRPr="008D45EF">
              <w:rPr>
                <w:sz w:val="24"/>
                <w:szCs w:val="24"/>
              </w:rPr>
              <w:t>(65,8</w:t>
            </w:r>
            <w:r w:rsidRPr="008D45EF">
              <w:rPr>
                <w:sz w:val="24"/>
                <w:szCs w:val="24"/>
              </w:rPr>
              <w:noBreakHyphen/>
              <w:t>77,2)</w:t>
            </w:r>
          </w:p>
        </w:tc>
        <w:tc>
          <w:tcPr>
            <w:tcW w:w="1262" w:type="pct"/>
            <w:tcBorders>
              <w:top w:val="single" w:sz="4" w:space="0" w:color="000000"/>
              <w:left w:val="single" w:sz="4" w:space="0" w:color="000000"/>
              <w:bottom w:val="nil"/>
              <w:right w:val="single" w:sz="4" w:space="0" w:color="000000"/>
            </w:tcBorders>
            <w:hideMark/>
          </w:tcPr>
          <w:p w14:paraId="7571C780" w14:textId="77777777" w:rsidR="006B34A1" w:rsidRPr="008D45EF" w:rsidRDefault="006B34A1" w:rsidP="0081699D">
            <w:pPr>
              <w:ind w:left="142"/>
              <w:rPr>
                <w:sz w:val="24"/>
                <w:szCs w:val="24"/>
              </w:rPr>
            </w:pPr>
            <w:r w:rsidRPr="008D45EF">
              <w:rPr>
                <w:sz w:val="24"/>
                <w:szCs w:val="24"/>
              </w:rPr>
              <w:t>64,2</w:t>
            </w:r>
          </w:p>
          <w:p w14:paraId="28FF63FA" w14:textId="77777777" w:rsidR="006B34A1" w:rsidRPr="008D45EF" w:rsidRDefault="006B34A1" w:rsidP="0081699D">
            <w:pPr>
              <w:ind w:left="142"/>
              <w:rPr>
                <w:sz w:val="24"/>
                <w:szCs w:val="24"/>
              </w:rPr>
            </w:pPr>
            <w:r w:rsidRPr="008D45EF">
              <w:rPr>
                <w:sz w:val="24"/>
                <w:szCs w:val="24"/>
              </w:rPr>
              <w:t>(57,9</w:t>
            </w:r>
            <w:r w:rsidRPr="008D45EF">
              <w:rPr>
                <w:sz w:val="24"/>
                <w:szCs w:val="24"/>
              </w:rPr>
              <w:noBreakHyphen/>
              <w:t>70,2</w:t>
            </w:r>
          </w:p>
        </w:tc>
      </w:tr>
      <w:tr w:rsidR="006B34A1" w:rsidRPr="008D45EF" w14:paraId="54766DD8" w14:textId="77777777" w:rsidTr="002A7D83">
        <w:trPr>
          <w:trHeight w:val="20"/>
        </w:trPr>
        <w:tc>
          <w:tcPr>
            <w:tcW w:w="2382" w:type="pct"/>
            <w:vMerge/>
            <w:tcBorders>
              <w:top w:val="single" w:sz="4" w:space="0" w:color="000000"/>
              <w:left w:val="single" w:sz="4" w:space="0" w:color="000000"/>
              <w:bottom w:val="single" w:sz="4" w:space="0" w:color="000000"/>
              <w:right w:val="single" w:sz="4" w:space="0" w:color="000000"/>
            </w:tcBorders>
            <w:vAlign w:val="center"/>
            <w:hideMark/>
          </w:tcPr>
          <w:p w14:paraId="08CFEAC9" w14:textId="77777777" w:rsidR="006B34A1" w:rsidRPr="008D45EF" w:rsidRDefault="006B34A1" w:rsidP="0081699D">
            <w:pPr>
              <w:ind w:left="142"/>
              <w:rPr>
                <w:sz w:val="24"/>
                <w:szCs w:val="24"/>
              </w:rPr>
            </w:pPr>
          </w:p>
        </w:tc>
        <w:tc>
          <w:tcPr>
            <w:tcW w:w="2618" w:type="pct"/>
            <w:gridSpan w:val="2"/>
            <w:tcBorders>
              <w:top w:val="single" w:sz="4" w:space="0" w:color="000000"/>
              <w:left w:val="single" w:sz="4" w:space="0" w:color="000000"/>
              <w:bottom w:val="single" w:sz="4" w:space="0" w:color="000000"/>
              <w:right w:val="single" w:sz="4" w:space="0" w:color="000000"/>
            </w:tcBorders>
            <w:hideMark/>
          </w:tcPr>
          <w:p w14:paraId="2B6ECB35" w14:textId="77777777" w:rsidR="006B34A1" w:rsidRPr="008D45EF" w:rsidRDefault="006B34A1" w:rsidP="0081699D">
            <w:pPr>
              <w:ind w:left="142"/>
              <w:rPr>
                <w:sz w:val="24"/>
                <w:szCs w:val="24"/>
              </w:rPr>
            </w:pPr>
            <w:r w:rsidRPr="008D45EF">
              <w:rPr>
                <w:sz w:val="24"/>
                <w:szCs w:val="24"/>
              </w:rPr>
              <w:t>0,070</w:t>
            </w:r>
          </w:p>
        </w:tc>
      </w:tr>
      <w:tr w:rsidR="006B34A1" w:rsidRPr="008D45EF" w14:paraId="5855E32A" w14:textId="77777777" w:rsidTr="002A7D83">
        <w:trPr>
          <w:trHeight w:val="20"/>
        </w:trPr>
        <w:tc>
          <w:tcPr>
            <w:tcW w:w="2382" w:type="pct"/>
            <w:vMerge w:val="restart"/>
            <w:tcBorders>
              <w:top w:val="single" w:sz="4" w:space="0" w:color="000000"/>
              <w:left w:val="single" w:sz="4" w:space="0" w:color="000000"/>
              <w:bottom w:val="single" w:sz="4" w:space="0" w:color="000000"/>
              <w:right w:val="single" w:sz="4" w:space="0" w:color="000000"/>
            </w:tcBorders>
            <w:hideMark/>
          </w:tcPr>
          <w:p w14:paraId="5E60DD25" w14:textId="77777777" w:rsidR="006B34A1" w:rsidRPr="008D45EF" w:rsidRDefault="006B34A1" w:rsidP="0081699D">
            <w:pPr>
              <w:ind w:left="142"/>
              <w:rPr>
                <w:sz w:val="24"/>
                <w:szCs w:val="24"/>
              </w:rPr>
            </w:pPr>
            <w:r w:rsidRPr="008D45EF">
              <w:rPr>
                <w:sz w:val="24"/>
                <w:szCs w:val="24"/>
              </w:rPr>
              <w:t>Bedste respons i alt på studiebehandling</w:t>
            </w:r>
          </w:p>
          <w:p w14:paraId="4510C0F0" w14:textId="77777777" w:rsidR="006B34A1" w:rsidRPr="008D45EF" w:rsidRDefault="006B34A1" w:rsidP="0081699D">
            <w:pPr>
              <w:ind w:left="142"/>
              <w:rPr>
                <w:sz w:val="24"/>
                <w:szCs w:val="24"/>
              </w:rPr>
            </w:pPr>
            <w:r w:rsidRPr="008D45EF">
              <w:rPr>
                <w:sz w:val="24"/>
                <w:szCs w:val="24"/>
              </w:rPr>
              <w:t>[kemoterapi +/- strålebehandling] (%)</w:t>
            </w:r>
          </w:p>
          <w:p w14:paraId="2EC691A1" w14:textId="77777777" w:rsidR="006B34A1" w:rsidRPr="008D45EF" w:rsidRDefault="006B34A1" w:rsidP="0081699D">
            <w:pPr>
              <w:ind w:left="142"/>
              <w:rPr>
                <w:sz w:val="24"/>
                <w:szCs w:val="24"/>
              </w:rPr>
            </w:pPr>
            <w:r w:rsidRPr="008D45EF">
              <w:rPr>
                <w:sz w:val="24"/>
                <w:szCs w:val="24"/>
              </w:rPr>
              <w:t>(95 %CI)</w:t>
            </w:r>
          </w:p>
          <w:p w14:paraId="12CD8A2F" w14:textId="77777777" w:rsidR="006B34A1" w:rsidRPr="008D45EF" w:rsidRDefault="006B34A1" w:rsidP="0081699D">
            <w:pPr>
              <w:ind w:left="142"/>
              <w:rPr>
                <w:sz w:val="24"/>
                <w:szCs w:val="24"/>
              </w:rPr>
            </w:pPr>
            <w:r w:rsidRPr="008D45EF">
              <w:rPr>
                <w:sz w:val="24"/>
                <w:szCs w:val="24"/>
              </w:rPr>
              <w:t>***p-værdi</w:t>
            </w:r>
          </w:p>
        </w:tc>
        <w:tc>
          <w:tcPr>
            <w:tcW w:w="1355" w:type="pct"/>
            <w:tcBorders>
              <w:top w:val="single" w:sz="4" w:space="0" w:color="000000"/>
              <w:left w:val="single" w:sz="4" w:space="0" w:color="000000"/>
              <w:bottom w:val="nil"/>
              <w:right w:val="single" w:sz="4" w:space="0" w:color="000000"/>
            </w:tcBorders>
            <w:hideMark/>
          </w:tcPr>
          <w:p w14:paraId="723AE57E" w14:textId="77777777" w:rsidR="006B34A1" w:rsidRPr="008D45EF" w:rsidRDefault="006B34A1" w:rsidP="0081699D">
            <w:pPr>
              <w:ind w:left="142"/>
              <w:rPr>
                <w:sz w:val="24"/>
                <w:szCs w:val="24"/>
              </w:rPr>
            </w:pPr>
            <w:r w:rsidRPr="008D45EF">
              <w:rPr>
                <w:sz w:val="24"/>
                <w:szCs w:val="24"/>
              </w:rPr>
              <w:t>76,5</w:t>
            </w:r>
          </w:p>
          <w:p w14:paraId="58830A5C" w14:textId="77777777" w:rsidR="006B34A1" w:rsidRPr="008D45EF" w:rsidRDefault="006B34A1" w:rsidP="0081699D">
            <w:pPr>
              <w:ind w:left="142"/>
              <w:rPr>
                <w:sz w:val="24"/>
                <w:szCs w:val="24"/>
              </w:rPr>
            </w:pPr>
            <w:r w:rsidRPr="008D45EF">
              <w:rPr>
                <w:sz w:val="24"/>
                <w:szCs w:val="24"/>
              </w:rPr>
              <w:t>(70,8</w:t>
            </w:r>
            <w:r w:rsidRPr="008D45EF">
              <w:rPr>
                <w:sz w:val="24"/>
                <w:szCs w:val="24"/>
              </w:rPr>
              <w:noBreakHyphen/>
              <w:t>81,5)</w:t>
            </w:r>
          </w:p>
        </w:tc>
        <w:tc>
          <w:tcPr>
            <w:tcW w:w="1262" w:type="pct"/>
            <w:tcBorders>
              <w:top w:val="single" w:sz="4" w:space="0" w:color="000000"/>
              <w:left w:val="single" w:sz="4" w:space="0" w:color="000000"/>
              <w:bottom w:val="nil"/>
              <w:right w:val="single" w:sz="4" w:space="0" w:color="000000"/>
            </w:tcBorders>
            <w:hideMark/>
          </w:tcPr>
          <w:p w14:paraId="3631415E" w14:textId="77777777" w:rsidR="006B34A1" w:rsidRPr="008D45EF" w:rsidRDefault="006B34A1" w:rsidP="0081699D">
            <w:pPr>
              <w:ind w:left="142"/>
              <w:rPr>
                <w:sz w:val="24"/>
                <w:szCs w:val="24"/>
              </w:rPr>
            </w:pPr>
            <w:r w:rsidRPr="008D45EF">
              <w:rPr>
                <w:sz w:val="24"/>
                <w:szCs w:val="24"/>
              </w:rPr>
              <w:t>71,5</w:t>
            </w:r>
          </w:p>
          <w:p w14:paraId="1AA573BD" w14:textId="77777777" w:rsidR="006B34A1" w:rsidRPr="008D45EF" w:rsidRDefault="006B34A1" w:rsidP="0081699D">
            <w:pPr>
              <w:ind w:left="142"/>
              <w:rPr>
                <w:sz w:val="24"/>
                <w:szCs w:val="24"/>
              </w:rPr>
            </w:pPr>
            <w:r w:rsidRPr="008D45EF">
              <w:rPr>
                <w:sz w:val="24"/>
                <w:szCs w:val="24"/>
              </w:rPr>
              <w:t>(65,5</w:t>
            </w:r>
            <w:r w:rsidRPr="008D45EF">
              <w:rPr>
                <w:sz w:val="24"/>
                <w:szCs w:val="24"/>
              </w:rPr>
              <w:noBreakHyphen/>
              <w:t>77,1)</w:t>
            </w:r>
          </w:p>
        </w:tc>
      </w:tr>
      <w:tr w:rsidR="006B34A1" w:rsidRPr="008D45EF" w14:paraId="199AB0FA" w14:textId="77777777" w:rsidTr="002A7D83">
        <w:trPr>
          <w:trHeight w:val="20"/>
        </w:trPr>
        <w:tc>
          <w:tcPr>
            <w:tcW w:w="2382" w:type="pct"/>
            <w:vMerge/>
            <w:tcBorders>
              <w:top w:val="single" w:sz="4" w:space="0" w:color="000000"/>
              <w:left w:val="single" w:sz="4" w:space="0" w:color="000000"/>
              <w:bottom w:val="single" w:sz="4" w:space="0" w:color="000000"/>
              <w:right w:val="single" w:sz="4" w:space="0" w:color="000000"/>
            </w:tcBorders>
            <w:vAlign w:val="center"/>
            <w:hideMark/>
          </w:tcPr>
          <w:p w14:paraId="71F8A35D" w14:textId="77777777" w:rsidR="006B34A1" w:rsidRPr="008D45EF" w:rsidRDefault="006B34A1" w:rsidP="0081699D">
            <w:pPr>
              <w:ind w:left="142"/>
              <w:rPr>
                <w:sz w:val="24"/>
                <w:szCs w:val="24"/>
              </w:rPr>
            </w:pPr>
          </w:p>
        </w:tc>
        <w:tc>
          <w:tcPr>
            <w:tcW w:w="2618" w:type="pct"/>
            <w:gridSpan w:val="2"/>
            <w:tcBorders>
              <w:top w:val="single" w:sz="4" w:space="0" w:color="000000"/>
              <w:left w:val="single" w:sz="4" w:space="0" w:color="000000"/>
              <w:bottom w:val="single" w:sz="4" w:space="0" w:color="000000"/>
              <w:right w:val="single" w:sz="4" w:space="0" w:color="000000"/>
            </w:tcBorders>
            <w:hideMark/>
          </w:tcPr>
          <w:p w14:paraId="6AA01035" w14:textId="77777777" w:rsidR="006B34A1" w:rsidRPr="008D45EF" w:rsidRDefault="006B34A1" w:rsidP="0081699D">
            <w:pPr>
              <w:ind w:left="142"/>
              <w:rPr>
                <w:sz w:val="24"/>
                <w:szCs w:val="24"/>
              </w:rPr>
            </w:pPr>
            <w:r w:rsidRPr="008D45EF">
              <w:rPr>
                <w:sz w:val="24"/>
                <w:szCs w:val="24"/>
              </w:rPr>
              <w:t>0,209</w:t>
            </w:r>
          </w:p>
        </w:tc>
      </w:tr>
    </w:tbl>
    <w:p w14:paraId="5E8413A0" w14:textId="77777777" w:rsidR="006B34A1" w:rsidRPr="008D45EF" w:rsidRDefault="006B34A1" w:rsidP="0081699D">
      <w:pPr>
        <w:ind w:left="851"/>
        <w:rPr>
          <w:sz w:val="24"/>
          <w:szCs w:val="24"/>
        </w:rPr>
      </w:pPr>
      <w:r w:rsidRPr="008D45EF">
        <w:rPr>
          <w:sz w:val="24"/>
          <w:szCs w:val="24"/>
        </w:rPr>
        <w:t>Med en hazard ratio &lt; 1 kan docetaxel</w:t>
      </w:r>
      <w:r w:rsidRPr="008D45EF">
        <w:rPr>
          <w:sz w:val="24"/>
          <w:szCs w:val="24"/>
          <w:u w:val="single"/>
        </w:rPr>
        <w:t xml:space="preserve"> </w:t>
      </w:r>
      <w:r w:rsidRPr="008D45EF">
        <w:rPr>
          <w:sz w:val="24"/>
          <w:szCs w:val="24"/>
        </w:rPr>
        <w:t>+ cisplatin+5</w:t>
      </w:r>
      <w:r w:rsidRPr="008D45EF">
        <w:rPr>
          <w:sz w:val="24"/>
          <w:szCs w:val="24"/>
        </w:rPr>
        <w:noBreakHyphen/>
        <w:t>FU anvendes med fordel</w:t>
      </w:r>
    </w:p>
    <w:p w14:paraId="0BF1D2CB" w14:textId="77777777" w:rsidR="006B34A1" w:rsidRPr="008D45EF" w:rsidRDefault="006B34A1" w:rsidP="0081699D">
      <w:pPr>
        <w:ind w:left="851"/>
        <w:rPr>
          <w:sz w:val="24"/>
          <w:szCs w:val="24"/>
        </w:rPr>
      </w:pPr>
      <w:r w:rsidRPr="008D45EF">
        <w:rPr>
          <w:sz w:val="24"/>
          <w:szCs w:val="24"/>
        </w:rPr>
        <w:t>* Ujusteret log-rank test</w:t>
      </w:r>
    </w:p>
    <w:p w14:paraId="57307E47" w14:textId="77777777" w:rsidR="006B34A1" w:rsidRPr="008D45EF" w:rsidRDefault="006B34A1" w:rsidP="0081699D">
      <w:pPr>
        <w:ind w:left="851"/>
        <w:rPr>
          <w:sz w:val="24"/>
          <w:szCs w:val="24"/>
        </w:rPr>
      </w:pPr>
      <w:r w:rsidRPr="008D45EF">
        <w:rPr>
          <w:sz w:val="24"/>
          <w:szCs w:val="24"/>
        </w:rPr>
        <w:t>** Ujusteret log-rank test, ikke justeret efter multipel sammenligning</w:t>
      </w:r>
    </w:p>
    <w:p w14:paraId="7A693D09" w14:textId="77777777" w:rsidR="006B34A1" w:rsidRPr="008D45EF" w:rsidRDefault="006B34A1" w:rsidP="0081699D">
      <w:pPr>
        <w:ind w:left="851"/>
        <w:rPr>
          <w:sz w:val="24"/>
          <w:szCs w:val="24"/>
        </w:rPr>
      </w:pPr>
      <w:r w:rsidRPr="008D45EF">
        <w:rPr>
          <w:sz w:val="24"/>
          <w:szCs w:val="24"/>
        </w:rPr>
        <w:t>*** Chi-square-test, ikke justeret for multipel sammenligning NA: Not Applicable</w:t>
      </w:r>
    </w:p>
    <w:p w14:paraId="32577AE8" w14:textId="77777777" w:rsidR="006B34A1" w:rsidRPr="008D45EF" w:rsidRDefault="006B34A1" w:rsidP="0081699D">
      <w:pPr>
        <w:ind w:left="851"/>
        <w:rPr>
          <w:sz w:val="24"/>
          <w:szCs w:val="24"/>
        </w:rPr>
      </w:pPr>
    </w:p>
    <w:p w14:paraId="79EB0DA2" w14:textId="77777777" w:rsidR="00D22BF6" w:rsidRPr="003D4A39" w:rsidRDefault="00D22BF6" w:rsidP="00D22BF6">
      <w:pPr>
        <w:ind w:left="851"/>
        <w:rPr>
          <w:sz w:val="24"/>
          <w:szCs w:val="24"/>
        </w:rPr>
      </w:pPr>
      <w:r w:rsidRPr="003D4A39">
        <w:rPr>
          <w:sz w:val="24"/>
          <w:szCs w:val="24"/>
          <w:u w:val="single"/>
        </w:rPr>
        <w:t>Pædiatrisk population</w:t>
      </w:r>
    </w:p>
    <w:p w14:paraId="4976F56A" w14:textId="44B6BD54" w:rsidR="00D22BF6" w:rsidRPr="003D4A39" w:rsidRDefault="00D22BF6" w:rsidP="00D22BF6">
      <w:pPr>
        <w:ind w:left="851"/>
        <w:rPr>
          <w:sz w:val="24"/>
          <w:szCs w:val="24"/>
        </w:rPr>
      </w:pPr>
      <w:r w:rsidRPr="003D4A39">
        <w:rPr>
          <w:sz w:val="24"/>
          <w:szCs w:val="24"/>
        </w:rPr>
        <w:t>Det Europæiske Lægemiddelagentur har dispenseret fra kravet om at fremlægge resultaterne af studier med docetaxel i alle undergrupper af den pædiatriske population ved brystkræft, ikke- småcellet lungekræft, prostatakræft, gastrisk adenokarcinom og hoved- og halskræft med undtagelse af type II og type III lavt differentieret nasofaryngealt karcinom (se pkt. 4.2 for oplysninger om pædiatrisk anvendelse).</w:t>
      </w:r>
    </w:p>
    <w:p w14:paraId="74FD7F43" w14:textId="77777777" w:rsidR="006B34A1" w:rsidRPr="008D45EF" w:rsidRDefault="006B34A1" w:rsidP="0081699D">
      <w:pPr>
        <w:ind w:left="851"/>
        <w:rPr>
          <w:sz w:val="24"/>
          <w:szCs w:val="24"/>
        </w:rPr>
      </w:pPr>
    </w:p>
    <w:p w14:paraId="3C082A9F" w14:textId="77777777" w:rsidR="006B34A1" w:rsidRPr="008D45EF" w:rsidRDefault="006B34A1" w:rsidP="002D7470">
      <w:pPr>
        <w:ind w:left="851" w:hanging="851"/>
        <w:rPr>
          <w:b/>
          <w:sz w:val="24"/>
          <w:szCs w:val="24"/>
        </w:rPr>
      </w:pPr>
      <w:r w:rsidRPr="008D45EF">
        <w:rPr>
          <w:b/>
          <w:sz w:val="24"/>
          <w:szCs w:val="24"/>
        </w:rPr>
        <w:t>5.2</w:t>
      </w:r>
      <w:r w:rsidRPr="008D45EF">
        <w:rPr>
          <w:b/>
          <w:sz w:val="24"/>
          <w:szCs w:val="24"/>
        </w:rPr>
        <w:tab/>
        <w:t>Farmakokinetiske egenskaber</w:t>
      </w:r>
    </w:p>
    <w:p w14:paraId="2057E437" w14:textId="77777777" w:rsidR="00BF5698" w:rsidRDefault="00BF5698" w:rsidP="0081699D">
      <w:pPr>
        <w:ind w:left="851"/>
        <w:rPr>
          <w:sz w:val="24"/>
          <w:szCs w:val="24"/>
        </w:rPr>
      </w:pPr>
    </w:p>
    <w:p w14:paraId="18E3E4F4" w14:textId="77777777" w:rsidR="009B0C24" w:rsidRPr="003D4A39" w:rsidRDefault="009B0C24" w:rsidP="009B0C24">
      <w:pPr>
        <w:ind w:left="851"/>
        <w:rPr>
          <w:sz w:val="24"/>
          <w:szCs w:val="24"/>
          <w:u w:val="single"/>
        </w:rPr>
      </w:pPr>
      <w:r w:rsidRPr="003D4A39">
        <w:rPr>
          <w:sz w:val="24"/>
          <w:szCs w:val="24"/>
          <w:u w:val="single"/>
        </w:rPr>
        <w:t>Absorption</w:t>
      </w:r>
    </w:p>
    <w:p w14:paraId="79D329A5" w14:textId="77777777" w:rsidR="009B0C24" w:rsidRPr="003D4A39" w:rsidRDefault="009B0C24" w:rsidP="009B0C24">
      <w:pPr>
        <w:ind w:left="851"/>
        <w:rPr>
          <w:sz w:val="24"/>
          <w:szCs w:val="24"/>
        </w:rPr>
      </w:pPr>
      <w:r w:rsidRPr="003D4A39">
        <w:rPr>
          <w:sz w:val="24"/>
          <w:szCs w:val="24"/>
        </w:rPr>
        <w:t>Fase I</w:t>
      </w:r>
      <w:r w:rsidRPr="003D4A39">
        <w:rPr>
          <w:sz w:val="24"/>
          <w:szCs w:val="24"/>
        </w:rPr>
        <w:noBreakHyphen/>
        <w:t>studier har undersøgt docetaxels farmakokinetiske egenskaber hos kræftpatienter efter indgift af 20</w:t>
      </w:r>
      <w:r w:rsidRPr="003D4A39">
        <w:rPr>
          <w:sz w:val="24"/>
          <w:szCs w:val="24"/>
        </w:rPr>
        <w:noBreakHyphen/>
        <w:t>115 mg/m². Docetaxels kinetiske profil er dosis-uafhængig og i overensstemmelse med en 3</w:t>
      </w:r>
      <w:r w:rsidRPr="003D4A39">
        <w:rPr>
          <w:sz w:val="24"/>
          <w:szCs w:val="24"/>
        </w:rPr>
        <w:noBreakHyphen/>
        <w:t xml:space="preserve">compartment farmakokinetisk model, med halveringstider for α, β og γ </w:t>
      </w:r>
      <w:r>
        <w:rPr>
          <w:sz w:val="24"/>
          <w:szCs w:val="24"/>
        </w:rPr>
        <w:t xml:space="preserve">(terminal) </w:t>
      </w:r>
      <w:r w:rsidRPr="003D4A39">
        <w:rPr>
          <w:sz w:val="24"/>
          <w:szCs w:val="24"/>
        </w:rPr>
        <w:t xml:space="preserve">faserne på henholdsvis 4 min., 36 min. og </w:t>
      </w:r>
      <w:r>
        <w:rPr>
          <w:sz w:val="24"/>
          <w:szCs w:val="24"/>
        </w:rPr>
        <w:t xml:space="preserve">mellem </w:t>
      </w:r>
      <w:r w:rsidRPr="003D4A39">
        <w:rPr>
          <w:sz w:val="24"/>
          <w:szCs w:val="24"/>
        </w:rPr>
        <w:t>11,1 time</w:t>
      </w:r>
      <w:r>
        <w:rPr>
          <w:sz w:val="24"/>
          <w:szCs w:val="24"/>
        </w:rPr>
        <w:t>r og 17,5 timer</w:t>
      </w:r>
      <w:r w:rsidRPr="00AE3EE1">
        <w:rPr>
          <w:sz w:val="24"/>
          <w:szCs w:val="24"/>
        </w:rPr>
        <w:t>, ved prøvetagning i op til 24</w:t>
      </w:r>
      <w:r>
        <w:rPr>
          <w:sz w:val="24"/>
          <w:szCs w:val="24"/>
        </w:rPr>
        <w:t> </w:t>
      </w:r>
      <w:r w:rsidRPr="00AE3EE1">
        <w:rPr>
          <w:sz w:val="24"/>
          <w:szCs w:val="24"/>
        </w:rPr>
        <w:t>timer</w:t>
      </w:r>
      <w:r w:rsidRPr="003D4A39">
        <w:rPr>
          <w:sz w:val="24"/>
          <w:szCs w:val="24"/>
        </w:rPr>
        <w:t xml:space="preserve">. </w:t>
      </w:r>
      <w:r w:rsidRPr="00AE3EE1">
        <w:rPr>
          <w:sz w:val="24"/>
          <w:szCs w:val="24"/>
        </w:rPr>
        <w:t>Et</w:t>
      </w:r>
      <w:r>
        <w:rPr>
          <w:sz w:val="24"/>
          <w:szCs w:val="24"/>
        </w:rPr>
        <w:t xml:space="preserve"> </w:t>
      </w:r>
      <w:r w:rsidRPr="00AE3EE1">
        <w:rPr>
          <w:sz w:val="24"/>
          <w:szCs w:val="24"/>
        </w:rPr>
        <w:t>yderligere studie, der har undersøgt docetaxels farmakokinetiske egenskaber hos patienter ved</w:t>
      </w:r>
      <w:r>
        <w:rPr>
          <w:sz w:val="24"/>
          <w:szCs w:val="24"/>
        </w:rPr>
        <w:t xml:space="preserve"> </w:t>
      </w:r>
      <w:r w:rsidRPr="00AE3EE1">
        <w:rPr>
          <w:sz w:val="24"/>
          <w:szCs w:val="24"/>
        </w:rPr>
        <w:t>lignende doser (75</w:t>
      </w:r>
      <w:r>
        <w:rPr>
          <w:sz w:val="24"/>
          <w:szCs w:val="24"/>
        </w:rPr>
        <w:noBreakHyphen/>
      </w:r>
      <w:r w:rsidRPr="00AE3EE1">
        <w:rPr>
          <w:sz w:val="24"/>
          <w:szCs w:val="24"/>
        </w:rPr>
        <w:t>100</w:t>
      </w:r>
      <w:r>
        <w:rPr>
          <w:sz w:val="24"/>
          <w:szCs w:val="24"/>
        </w:rPr>
        <w:t> </w:t>
      </w:r>
      <w:r w:rsidRPr="00AE3EE1">
        <w:rPr>
          <w:sz w:val="24"/>
          <w:szCs w:val="24"/>
        </w:rPr>
        <w:t>mg/m</w:t>
      </w:r>
      <w:r w:rsidRPr="003D4A39">
        <w:rPr>
          <w:sz w:val="24"/>
          <w:szCs w:val="24"/>
        </w:rPr>
        <w:t>²</w:t>
      </w:r>
      <w:r w:rsidRPr="00AE3EE1">
        <w:rPr>
          <w:sz w:val="24"/>
          <w:szCs w:val="24"/>
        </w:rPr>
        <w:t>), men over et længere tidsinterval (over 22</w:t>
      </w:r>
      <w:r>
        <w:rPr>
          <w:sz w:val="24"/>
          <w:szCs w:val="24"/>
        </w:rPr>
        <w:t> </w:t>
      </w:r>
      <w:r w:rsidRPr="00AE3EE1">
        <w:rPr>
          <w:sz w:val="24"/>
          <w:szCs w:val="24"/>
        </w:rPr>
        <w:t>dage), fandt en længere</w:t>
      </w:r>
      <w:r>
        <w:rPr>
          <w:sz w:val="24"/>
          <w:szCs w:val="24"/>
        </w:rPr>
        <w:t xml:space="preserve"> </w:t>
      </w:r>
      <w:r w:rsidRPr="00AE3EE1">
        <w:rPr>
          <w:sz w:val="24"/>
          <w:szCs w:val="24"/>
        </w:rPr>
        <w:t>gennemsnitlig terminal eliminationshalveringstid mellem 91 og 120</w:t>
      </w:r>
      <w:r>
        <w:rPr>
          <w:sz w:val="24"/>
          <w:szCs w:val="24"/>
        </w:rPr>
        <w:t> </w:t>
      </w:r>
      <w:r w:rsidRPr="00AE3EE1">
        <w:rPr>
          <w:sz w:val="24"/>
          <w:szCs w:val="24"/>
        </w:rPr>
        <w:t xml:space="preserve">timer. </w:t>
      </w:r>
      <w:r w:rsidRPr="003D4A39">
        <w:rPr>
          <w:sz w:val="24"/>
          <w:szCs w:val="24"/>
        </w:rPr>
        <w:t xml:space="preserve">Den sene fase skyldes til dels den relativt langsomme redistribution af docetaxel fra perifere </w:t>
      </w:r>
      <w:r w:rsidRPr="00677957">
        <w:rPr>
          <w:i/>
          <w:iCs/>
          <w:sz w:val="24"/>
          <w:szCs w:val="24"/>
        </w:rPr>
        <w:t>compartments</w:t>
      </w:r>
      <w:r w:rsidRPr="003D4A39">
        <w:rPr>
          <w:sz w:val="24"/>
          <w:szCs w:val="24"/>
        </w:rPr>
        <w:t>.</w:t>
      </w:r>
    </w:p>
    <w:p w14:paraId="54FB1D2E" w14:textId="77777777" w:rsidR="00D22BF6" w:rsidRPr="003D4A39" w:rsidRDefault="00D22BF6" w:rsidP="00D22BF6">
      <w:pPr>
        <w:ind w:left="851"/>
        <w:rPr>
          <w:sz w:val="24"/>
          <w:szCs w:val="24"/>
        </w:rPr>
      </w:pPr>
    </w:p>
    <w:p w14:paraId="409B4275" w14:textId="77777777" w:rsidR="00D22BF6" w:rsidRPr="003D4A39" w:rsidRDefault="00D22BF6" w:rsidP="00D22BF6">
      <w:pPr>
        <w:ind w:left="851"/>
        <w:rPr>
          <w:sz w:val="24"/>
          <w:szCs w:val="24"/>
          <w:u w:val="single"/>
        </w:rPr>
      </w:pPr>
      <w:r w:rsidRPr="003D4A39">
        <w:rPr>
          <w:sz w:val="24"/>
          <w:szCs w:val="24"/>
          <w:u w:val="single"/>
        </w:rPr>
        <w:t>Fordeling</w:t>
      </w:r>
    </w:p>
    <w:p w14:paraId="1F5146B1" w14:textId="0E69B1DA" w:rsidR="00D22BF6" w:rsidRPr="003D4A39" w:rsidRDefault="00D22BF6" w:rsidP="00D22BF6">
      <w:pPr>
        <w:ind w:left="851"/>
        <w:rPr>
          <w:sz w:val="24"/>
          <w:szCs w:val="24"/>
        </w:rPr>
      </w:pPr>
      <w:r w:rsidRPr="003D4A39">
        <w:rPr>
          <w:sz w:val="24"/>
          <w:szCs w:val="24"/>
        </w:rPr>
        <w:t>Efter administration af docetaxel 100 mg/m² givet som infusion over 1 time, fandtes den gennemsnitlige maksimale plasmakoncentration at være 3,7 mg/ml med et AUC på 4,6 h</w:t>
      </w:r>
      <w:r w:rsidRPr="00DB67D0">
        <w:rPr>
          <w:szCs w:val="22"/>
          <w:lang w:eastAsia="de-DE"/>
        </w:rPr>
        <w:t>•</w:t>
      </w:r>
      <w:r w:rsidRPr="003D4A39">
        <w:rPr>
          <w:sz w:val="24"/>
          <w:szCs w:val="24"/>
        </w:rPr>
        <w:t xml:space="preserve">µg/ml. Gennemsnitsværdierne for den totale </w:t>
      </w:r>
      <w:r w:rsidRPr="00DF663D">
        <w:rPr>
          <w:i/>
          <w:iCs/>
          <w:sz w:val="24"/>
          <w:szCs w:val="24"/>
        </w:rPr>
        <w:t>clearance</w:t>
      </w:r>
      <w:r w:rsidRPr="003D4A39">
        <w:rPr>
          <w:sz w:val="24"/>
          <w:szCs w:val="24"/>
        </w:rPr>
        <w:t xml:space="preserve"> og </w:t>
      </w:r>
      <w:r w:rsidRPr="005D4D80">
        <w:rPr>
          <w:i/>
          <w:iCs/>
          <w:sz w:val="24"/>
          <w:szCs w:val="24"/>
        </w:rPr>
        <w:t>steady-state</w:t>
      </w:r>
      <w:r w:rsidRPr="003D4A39">
        <w:rPr>
          <w:sz w:val="24"/>
          <w:szCs w:val="24"/>
        </w:rPr>
        <w:t xml:space="preserve"> distributionsvolumen var henholdsvis 21 l/h/m² og </w:t>
      </w:r>
      <w:smartTag w:uri="urn:schemas-microsoft-com:office:smarttags" w:element="metricconverter">
        <w:smartTagPr>
          <w:attr w:name="ProductID" w:val="113ﾠl"/>
        </w:smartTagPr>
        <w:r w:rsidRPr="003D4A39">
          <w:rPr>
            <w:sz w:val="24"/>
            <w:szCs w:val="24"/>
          </w:rPr>
          <w:t>113 l</w:t>
        </w:r>
      </w:smartTag>
      <w:r w:rsidRPr="003D4A39">
        <w:rPr>
          <w:sz w:val="24"/>
          <w:szCs w:val="24"/>
        </w:rPr>
        <w:t>. Den interindividuelle variation i total</w:t>
      </w:r>
      <w:r>
        <w:rPr>
          <w:sz w:val="24"/>
          <w:szCs w:val="24"/>
        </w:rPr>
        <w:t xml:space="preserve"> </w:t>
      </w:r>
      <w:r w:rsidRPr="00DF663D">
        <w:rPr>
          <w:i/>
          <w:iCs/>
          <w:sz w:val="24"/>
          <w:szCs w:val="24"/>
        </w:rPr>
        <w:t>clearance</w:t>
      </w:r>
      <w:r w:rsidRPr="003D4A39">
        <w:rPr>
          <w:sz w:val="24"/>
          <w:szCs w:val="24"/>
        </w:rPr>
        <w:t xml:space="preserve"> var ca. 50 %. Docetaxels plasmaproteinbinding er &gt; 95 %.</w:t>
      </w:r>
    </w:p>
    <w:p w14:paraId="0C11B305" w14:textId="77777777" w:rsidR="00D22BF6" w:rsidRPr="003D4A39" w:rsidRDefault="00D22BF6" w:rsidP="00D22BF6">
      <w:pPr>
        <w:ind w:left="851"/>
        <w:rPr>
          <w:sz w:val="24"/>
          <w:szCs w:val="24"/>
        </w:rPr>
      </w:pPr>
    </w:p>
    <w:p w14:paraId="1E0D7B91" w14:textId="77777777" w:rsidR="00D22BF6" w:rsidRPr="003D4A39" w:rsidRDefault="00D22BF6" w:rsidP="009B0C24">
      <w:pPr>
        <w:keepNext/>
        <w:ind w:left="851"/>
        <w:rPr>
          <w:sz w:val="24"/>
          <w:szCs w:val="24"/>
          <w:u w:val="single"/>
        </w:rPr>
      </w:pPr>
      <w:r w:rsidRPr="003D4A39">
        <w:rPr>
          <w:sz w:val="24"/>
          <w:szCs w:val="24"/>
          <w:u w:val="single"/>
        </w:rPr>
        <w:t>Elimination</w:t>
      </w:r>
    </w:p>
    <w:p w14:paraId="064A3EB9" w14:textId="6CAD7794" w:rsidR="00D22BF6" w:rsidRPr="003D4A39" w:rsidRDefault="00D22BF6" w:rsidP="00D22BF6">
      <w:pPr>
        <w:ind w:left="851"/>
        <w:rPr>
          <w:sz w:val="24"/>
          <w:szCs w:val="24"/>
        </w:rPr>
      </w:pPr>
      <w:r w:rsidRPr="003D4A39">
        <w:rPr>
          <w:sz w:val="24"/>
          <w:szCs w:val="24"/>
        </w:rPr>
        <w:t xml:space="preserve">Der er gennemført et studie med </w:t>
      </w:r>
      <w:r w:rsidRPr="003D4A39">
        <w:rPr>
          <w:sz w:val="24"/>
          <w:szCs w:val="24"/>
          <w:vertAlign w:val="superscript"/>
        </w:rPr>
        <w:t>14</w:t>
      </w:r>
      <w:r w:rsidRPr="003D4A39">
        <w:rPr>
          <w:sz w:val="24"/>
          <w:szCs w:val="24"/>
        </w:rPr>
        <w:t>C</w:t>
      </w:r>
      <w:r w:rsidRPr="003D4A39">
        <w:rPr>
          <w:sz w:val="24"/>
          <w:szCs w:val="24"/>
        </w:rPr>
        <w:noBreakHyphen/>
        <w:t>mærket docetaxel på 3 kræftpatienter. Docetaxel blev elimineret både i urin og fæces efter cyto</w:t>
      </w:r>
      <w:r>
        <w:rPr>
          <w:sz w:val="24"/>
          <w:szCs w:val="24"/>
        </w:rPr>
        <w:t>k</w:t>
      </w:r>
      <w:r w:rsidRPr="003D4A39">
        <w:rPr>
          <w:sz w:val="24"/>
          <w:szCs w:val="24"/>
        </w:rPr>
        <w:t>rom P</w:t>
      </w:r>
      <w:r w:rsidRPr="003D4A39">
        <w:rPr>
          <w:sz w:val="24"/>
          <w:szCs w:val="24"/>
        </w:rPr>
        <w:noBreakHyphen/>
        <w:t xml:space="preserve">450 medieret oxidativ metabolisering af tert-butylestergruppen. Inden for 7 dage udgjorde ekskretion i urin og fæces henholdsvis 6 % og 75 % af radioaktiviteten. Ca. 80 % af </w:t>
      </w:r>
      <w:r w:rsidRPr="008D45EF">
        <w:rPr>
          <w:sz w:val="24"/>
          <w:szCs w:val="24"/>
        </w:rPr>
        <w:t>radioaktiviteten</w:t>
      </w:r>
      <w:r w:rsidRPr="003D4A39">
        <w:rPr>
          <w:sz w:val="24"/>
          <w:szCs w:val="24"/>
        </w:rPr>
        <w:t xml:space="preserve"> i fæces er udskilt efter 48 timer i form af en større inaktiv og tre mindre inaktive metabolitter samt meget lave koncentrationer af uomdannet lægemiddel.</w:t>
      </w:r>
    </w:p>
    <w:p w14:paraId="2DEE5A9C" w14:textId="77777777" w:rsidR="006B34A1" w:rsidRPr="008D45EF" w:rsidRDefault="006B34A1" w:rsidP="0081699D">
      <w:pPr>
        <w:ind w:left="851"/>
        <w:rPr>
          <w:sz w:val="24"/>
          <w:szCs w:val="24"/>
        </w:rPr>
      </w:pPr>
    </w:p>
    <w:p w14:paraId="2C16E638" w14:textId="77777777" w:rsidR="006B34A1" w:rsidRPr="008D45EF" w:rsidRDefault="006B34A1" w:rsidP="0081699D">
      <w:pPr>
        <w:ind w:left="851"/>
        <w:rPr>
          <w:sz w:val="24"/>
          <w:szCs w:val="24"/>
          <w:u w:val="single"/>
        </w:rPr>
      </w:pPr>
      <w:r w:rsidRPr="008D45EF">
        <w:rPr>
          <w:sz w:val="24"/>
          <w:szCs w:val="24"/>
          <w:u w:val="single"/>
        </w:rPr>
        <w:t>Specielle populationer</w:t>
      </w:r>
    </w:p>
    <w:p w14:paraId="058ABA21" w14:textId="77777777" w:rsidR="006B34A1" w:rsidRPr="008D45EF" w:rsidRDefault="006B34A1" w:rsidP="0081699D">
      <w:pPr>
        <w:ind w:left="851"/>
        <w:rPr>
          <w:sz w:val="24"/>
          <w:szCs w:val="24"/>
        </w:rPr>
      </w:pPr>
    </w:p>
    <w:p w14:paraId="361337EA" w14:textId="77777777" w:rsidR="006B34A1" w:rsidRPr="008D45EF" w:rsidRDefault="006B34A1" w:rsidP="0081699D">
      <w:pPr>
        <w:ind w:left="851"/>
        <w:rPr>
          <w:sz w:val="24"/>
          <w:szCs w:val="24"/>
        </w:rPr>
      </w:pPr>
      <w:r w:rsidRPr="008D45EF">
        <w:rPr>
          <w:i/>
          <w:iCs/>
          <w:sz w:val="24"/>
          <w:szCs w:val="24"/>
        </w:rPr>
        <w:t>Alder og køn</w:t>
      </w:r>
    </w:p>
    <w:p w14:paraId="1A54E121" w14:textId="77777777" w:rsidR="006B34A1" w:rsidRPr="008D45EF" w:rsidRDefault="006B34A1" w:rsidP="0081699D">
      <w:pPr>
        <w:ind w:left="851"/>
        <w:rPr>
          <w:sz w:val="24"/>
          <w:szCs w:val="24"/>
        </w:rPr>
      </w:pPr>
      <w:r w:rsidRPr="008D45EF">
        <w:rPr>
          <w:sz w:val="24"/>
          <w:szCs w:val="24"/>
        </w:rPr>
        <w:t>En farmakokinetisk populationsanalyse af docetaxel er blevet gennemført hos 577 patienter.</w:t>
      </w:r>
    </w:p>
    <w:p w14:paraId="454D6FA7" w14:textId="77777777" w:rsidR="006B34A1" w:rsidRPr="008D45EF" w:rsidRDefault="006B34A1" w:rsidP="0081699D">
      <w:pPr>
        <w:ind w:left="851"/>
        <w:rPr>
          <w:sz w:val="24"/>
          <w:szCs w:val="24"/>
        </w:rPr>
      </w:pPr>
      <w:r w:rsidRPr="008D45EF">
        <w:rPr>
          <w:sz w:val="24"/>
          <w:szCs w:val="24"/>
        </w:rPr>
        <w:t>De farmakokinetiske parametre i modellen lå tæt på det, der blev observeret i fase I</w:t>
      </w:r>
      <w:r w:rsidRPr="008D45EF">
        <w:rPr>
          <w:sz w:val="24"/>
          <w:szCs w:val="24"/>
        </w:rPr>
        <w:noBreakHyphen/>
        <w:t>studier. Docetaxels farmakokinetik varierede ikke med patientens alder eller køn.</w:t>
      </w:r>
    </w:p>
    <w:p w14:paraId="46C12A24" w14:textId="77777777" w:rsidR="006B34A1" w:rsidRPr="008D45EF" w:rsidRDefault="006B34A1" w:rsidP="0081699D">
      <w:pPr>
        <w:ind w:left="851"/>
        <w:rPr>
          <w:sz w:val="24"/>
          <w:szCs w:val="24"/>
        </w:rPr>
      </w:pPr>
    </w:p>
    <w:p w14:paraId="7B7A8410" w14:textId="77777777" w:rsidR="006B34A1" w:rsidRPr="008D45EF" w:rsidRDefault="006B34A1" w:rsidP="0081699D">
      <w:pPr>
        <w:ind w:left="851"/>
        <w:rPr>
          <w:sz w:val="24"/>
          <w:szCs w:val="24"/>
        </w:rPr>
      </w:pPr>
      <w:r w:rsidRPr="008D45EF">
        <w:rPr>
          <w:i/>
          <w:iCs/>
          <w:sz w:val="24"/>
          <w:szCs w:val="24"/>
        </w:rPr>
        <w:t>Nedsat leverfunktion</w:t>
      </w:r>
    </w:p>
    <w:p w14:paraId="2629439D" w14:textId="77777777" w:rsidR="006B34A1" w:rsidRPr="008D45EF" w:rsidRDefault="006B34A1" w:rsidP="0081699D">
      <w:pPr>
        <w:ind w:left="851"/>
        <w:rPr>
          <w:sz w:val="24"/>
          <w:szCs w:val="24"/>
        </w:rPr>
      </w:pPr>
      <w:r w:rsidRPr="008D45EF">
        <w:rPr>
          <w:sz w:val="24"/>
          <w:szCs w:val="24"/>
        </w:rPr>
        <w:t>Hos et beskedent antal patienter (n = 23) med en klinisk kemi, der tydede på en let til moderat nedsat leverfunktion (ASAT og ALAT ≥ 1,5 gange øvre normalværdi og basisk fosfatase ≥ 2,5 gange øvre normalværdi), var clearance nedsat med gennemsnitlig 27 %. (se pkt. 4.2).</w:t>
      </w:r>
    </w:p>
    <w:p w14:paraId="1813A3CC" w14:textId="77777777" w:rsidR="006B34A1" w:rsidRPr="008D45EF" w:rsidRDefault="006B34A1" w:rsidP="0081699D">
      <w:pPr>
        <w:ind w:left="851"/>
        <w:rPr>
          <w:sz w:val="24"/>
          <w:szCs w:val="24"/>
        </w:rPr>
      </w:pPr>
    </w:p>
    <w:p w14:paraId="634EC0A9" w14:textId="77777777" w:rsidR="00D22BF6" w:rsidRPr="003D4A39" w:rsidRDefault="00D22BF6" w:rsidP="00D22BF6">
      <w:pPr>
        <w:keepNext/>
        <w:ind w:left="850"/>
        <w:rPr>
          <w:sz w:val="24"/>
          <w:szCs w:val="24"/>
        </w:rPr>
      </w:pPr>
      <w:r w:rsidRPr="003D4A39">
        <w:rPr>
          <w:i/>
          <w:iCs/>
          <w:sz w:val="24"/>
          <w:szCs w:val="24"/>
        </w:rPr>
        <w:t>Væskeretention</w:t>
      </w:r>
    </w:p>
    <w:p w14:paraId="5F41F938" w14:textId="77777777" w:rsidR="00D22BF6" w:rsidRPr="003D4A39" w:rsidRDefault="00D22BF6" w:rsidP="00D22BF6">
      <w:pPr>
        <w:keepNext/>
        <w:ind w:left="850"/>
        <w:rPr>
          <w:sz w:val="24"/>
          <w:szCs w:val="24"/>
        </w:rPr>
      </w:pPr>
      <w:r w:rsidRPr="003D4A39">
        <w:rPr>
          <w:sz w:val="24"/>
          <w:szCs w:val="24"/>
        </w:rPr>
        <w:t xml:space="preserve">Docetaxels </w:t>
      </w:r>
      <w:r w:rsidRPr="00DF663D">
        <w:rPr>
          <w:i/>
          <w:iCs/>
          <w:sz w:val="24"/>
          <w:szCs w:val="24"/>
        </w:rPr>
        <w:t>clearance</w:t>
      </w:r>
      <w:r w:rsidRPr="003D4A39">
        <w:rPr>
          <w:sz w:val="24"/>
          <w:szCs w:val="24"/>
        </w:rPr>
        <w:t xml:space="preserve"> var ikke påvirket hos patienter med let til moderat væskeretention, og der findes ingen data for </w:t>
      </w:r>
      <w:r w:rsidRPr="00B768BF">
        <w:rPr>
          <w:i/>
          <w:iCs/>
          <w:sz w:val="24"/>
          <w:szCs w:val="24"/>
        </w:rPr>
        <w:t>clearance</w:t>
      </w:r>
      <w:r w:rsidRPr="003D4A39">
        <w:rPr>
          <w:sz w:val="24"/>
          <w:szCs w:val="24"/>
        </w:rPr>
        <w:t xml:space="preserve"> hos patienter med svær væskeretention.</w:t>
      </w:r>
    </w:p>
    <w:p w14:paraId="64834B7D" w14:textId="77777777" w:rsidR="00D22BF6" w:rsidRPr="003D4A39" w:rsidRDefault="00D22BF6" w:rsidP="00D22BF6">
      <w:pPr>
        <w:ind w:left="851"/>
        <w:rPr>
          <w:sz w:val="24"/>
          <w:szCs w:val="24"/>
        </w:rPr>
      </w:pPr>
    </w:p>
    <w:p w14:paraId="1BF3DE38" w14:textId="77777777" w:rsidR="00D22BF6" w:rsidRPr="003D4A39" w:rsidRDefault="00D22BF6" w:rsidP="00D22BF6">
      <w:pPr>
        <w:ind w:left="851"/>
        <w:rPr>
          <w:sz w:val="24"/>
          <w:szCs w:val="24"/>
          <w:u w:val="single"/>
        </w:rPr>
      </w:pPr>
      <w:r w:rsidRPr="003D4A39">
        <w:rPr>
          <w:sz w:val="24"/>
          <w:szCs w:val="24"/>
          <w:u w:val="single"/>
        </w:rPr>
        <w:t>Kombinationsbehandling</w:t>
      </w:r>
    </w:p>
    <w:p w14:paraId="75A0C72F" w14:textId="77777777" w:rsidR="00D22BF6" w:rsidRPr="003D4A39" w:rsidRDefault="00D22BF6" w:rsidP="00D22BF6">
      <w:pPr>
        <w:ind w:left="851"/>
        <w:rPr>
          <w:sz w:val="24"/>
          <w:szCs w:val="24"/>
        </w:rPr>
      </w:pPr>
    </w:p>
    <w:p w14:paraId="340642CC" w14:textId="77777777" w:rsidR="00D22BF6" w:rsidRPr="003D4A39" w:rsidRDefault="00D22BF6" w:rsidP="00D22BF6">
      <w:pPr>
        <w:ind w:left="851"/>
        <w:rPr>
          <w:sz w:val="24"/>
          <w:szCs w:val="24"/>
        </w:rPr>
      </w:pPr>
      <w:r w:rsidRPr="003D4A39">
        <w:rPr>
          <w:i/>
          <w:iCs/>
          <w:sz w:val="24"/>
          <w:szCs w:val="24"/>
        </w:rPr>
        <w:t>Doxorubicin</w:t>
      </w:r>
    </w:p>
    <w:p w14:paraId="6F3D5529" w14:textId="49C4BF6C" w:rsidR="00D22BF6" w:rsidRPr="003D4A39" w:rsidRDefault="00D22BF6" w:rsidP="00D22BF6">
      <w:pPr>
        <w:ind w:left="851"/>
        <w:rPr>
          <w:sz w:val="24"/>
          <w:szCs w:val="24"/>
        </w:rPr>
      </w:pPr>
      <w:r w:rsidRPr="003D4A39">
        <w:rPr>
          <w:sz w:val="24"/>
          <w:szCs w:val="24"/>
        </w:rPr>
        <w:t xml:space="preserve">Docetaxel influerer ikke på </w:t>
      </w:r>
      <w:r w:rsidRPr="00DF663D">
        <w:rPr>
          <w:i/>
          <w:iCs/>
          <w:sz w:val="24"/>
          <w:szCs w:val="24"/>
        </w:rPr>
        <w:t>clearance</w:t>
      </w:r>
      <w:r w:rsidRPr="003D4A39">
        <w:rPr>
          <w:sz w:val="24"/>
          <w:szCs w:val="24"/>
        </w:rPr>
        <w:t xml:space="preserve"> af doxorubicin eller plasmaniveauet af doxorubicinol (en doxorubicinmetabolit), når det anvendes i kombination. Den samtidige administration af docetaxel, doxorubicin og cyclophosphamid påvirkede ikke deres farmakokin</w:t>
      </w:r>
      <w:r>
        <w:rPr>
          <w:sz w:val="24"/>
          <w:szCs w:val="24"/>
        </w:rPr>
        <w:t>e</w:t>
      </w:r>
      <w:r w:rsidRPr="003D4A39">
        <w:rPr>
          <w:sz w:val="24"/>
          <w:szCs w:val="24"/>
        </w:rPr>
        <w:t>tik.</w:t>
      </w:r>
    </w:p>
    <w:p w14:paraId="1EF909EC" w14:textId="77777777" w:rsidR="00D22BF6" w:rsidRPr="003D4A39" w:rsidRDefault="00D22BF6" w:rsidP="00D22BF6">
      <w:pPr>
        <w:ind w:left="851"/>
        <w:rPr>
          <w:sz w:val="24"/>
          <w:szCs w:val="24"/>
        </w:rPr>
      </w:pPr>
    </w:p>
    <w:p w14:paraId="52FE584F" w14:textId="77777777" w:rsidR="00D22BF6" w:rsidRPr="003D4A39" w:rsidRDefault="00D22BF6" w:rsidP="00D22BF6">
      <w:pPr>
        <w:ind w:left="851"/>
        <w:rPr>
          <w:sz w:val="24"/>
          <w:szCs w:val="24"/>
        </w:rPr>
      </w:pPr>
      <w:r w:rsidRPr="003D4A39">
        <w:rPr>
          <w:i/>
          <w:iCs/>
          <w:sz w:val="24"/>
          <w:szCs w:val="24"/>
        </w:rPr>
        <w:t>Capecitabin</w:t>
      </w:r>
    </w:p>
    <w:p w14:paraId="028EA3AC" w14:textId="77777777" w:rsidR="00D22BF6" w:rsidRPr="003D4A39" w:rsidRDefault="00D22BF6" w:rsidP="00D22BF6">
      <w:pPr>
        <w:ind w:left="851"/>
        <w:rPr>
          <w:sz w:val="24"/>
          <w:szCs w:val="24"/>
        </w:rPr>
      </w:pPr>
      <w:r w:rsidRPr="003D4A39">
        <w:rPr>
          <w:sz w:val="24"/>
          <w:szCs w:val="24"/>
        </w:rPr>
        <w:t>Fase I</w:t>
      </w:r>
      <w:r w:rsidRPr="003D4A39">
        <w:rPr>
          <w:sz w:val="24"/>
          <w:szCs w:val="24"/>
        </w:rPr>
        <w:noBreakHyphen/>
        <w:t xml:space="preserve">studier, som evaluerede capecitabins effekt på docetaxels farmakokinetik og </w:t>
      </w:r>
      <w:r w:rsidRPr="00DF663D">
        <w:rPr>
          <w:i/>
          <w:iCs/>
          <w:sz w:val="24"/>
          <w:szCs w:val="24"/>
        </w:rPr>
        <w:t>vice versa</w:t>
      </w:r>
      <w:r w:rsidRPr="003D4A39">
        <w:rPr>
          <w:sz w:val="24"/>
          <w:szCs w:val="24"/>
        </w:rPr>
        <w:t>, viste ingen effekt af capecitabin på docetaxels farmakokinetik (C</w:t>
      </w:r>
      <w:r w:rsidRPr="003D4A39">
        <w:rPr>
          <w:sz w:val="24"/>
          <w:szCs w:val="24"/>
          <w:vertAlign w:val="subscript"/>
        </w:rPr>
        <w:t>max</w:t>
      </w:r>
      <w:r w:rsidRPr="003D4A39">
        <w:rPr>
          <w:sz w:val="24"/>
          <w:szCs w:val="24"/>
        </w:rPr>
        <w:t xml:space="preserve"> og AUC) og ingen effekt af docetaxel på capecitabins hovedmetabolit 5’</w:t>
      </w:r>
      <w:r w:rsidRPr="003D4A39">
        <w:rPr>
          <w:sz w:val="24"/>
          <w:szCs w:val="24"/>
        </w:rPr>
        <w:noBreakHyphen/>
        <w:t>DFUR’s farmakokinetik.</w:t>
      </w:r>
    </w:p>
    <w:p w14:paraId="3529B036" w14:textId="77777777" w:rsidR="00D22BF6" w:rsidRPr="003D4A39" w:rsidRDefault="00D22BF6" w:rsidP="00D22BF6">
      <w:pPr>
        <w:ind w:left="851"/>
        <w:rPr>
          <w:sz w:val="24"/>
          <w:szCs w:val="24"/>
        </w:rPr>
      </w:pPr>
    </w:p>
    <w:p w14:paraId="1B59E056" w14:textId="77777777" w:rsidR="00D22BF6" w:rsidRPr="003D4A39" w:rsidRDefault="00D22BF6" w:rsidP="00D22BF6">
      <w:pPr>
        <w:ind w:left="851"/>
        <w:rPr>
          <w:sz w:val="24"/>
          <w:szCs w:val="24"/>
        </w:rPr>
      </w:pPr>
      <w:r w:rsidRPr="003D4A39">
        <w:rPr>
          <w:i/>
          <w:iCs/>
          <w:sz w:val="24"/>
          <w:szCs w:val="24"/>
        </w:rPr>
        <w:t>Cisplatin</w:t>
      </w:r>
    </w:p>
    <w:p w14:paraId="6200101E" w14:textId="1BF0687B" w:rsidR="00D22BF6" w:rsidRPr="003D4A39" w:rsidRDefault="00D22BF6" w:rsidP="00D22BF6">
      <w:pPr>
        <w:ind w:left="851"/>
        <w:rPr>
          <w:sz w:val="24"/>
          <w:szCs w:val="24"/>
        </w:rPr>
      </w:pPr>
      <w:r w:rsidRPr="003D4A39">
        <w:rPr>
          <w:sz w:val="24"/>
          <w:szCs w:val="24"/>
        </w:rPr>
        <w:t xml:space="preserve">Docetaxels </w:t>
      </w:r>
      <w:r w:rsidRPr="00DF663D">
        <w:rPr>
          <w:i/>
          <w:iCs/>
          <w:sz w:val="24"/>
          <w:szCs w:val="24"/>
        </w:rPr>
        <w:t>clearance</w:t>
      </w:r>
      <w:r w:rsidRPr="003D4A39">
        <w:rPr>
          <w:sz w:val="24"/>
          <w:szCs w:val="24"/>
        </w:rPr>
        <w:t xml:space="preserve"> i kombinationsterapi med cisplatin var sammenlignelig med det observerede ved monoterapi. Cisplatins farmakokinetiske profil, når det administreres kort efter infusion med docetaxel, er sammenlignelig med profilen for cisplatin, når det administreres alene.</w:t>
      </w:r>
    </w:p>
    <w:p w14:paraId="377736AD" w14:textId="77777777" w:rsidR="00D22BF6" w:rsidRPr="003D4A39" w:rsidRDefault="00D22BF6" w:rsidP="00D22BF6">
      <w:pPr>
        <w:ind w:left="851"/>
        <w:rPr>
          <w:sz w:val="24"/>
          <w:szCs w:val="24"/>
        </w:rPr>
      </w:pPr>
    </w:p>
    <w:p w14:paraId="73795446" w14:textId="70E4ECC7" w:rsidR="00D22BF6" w:rsidRPr="003D4A39" w:rsidRDefault="00D22BF6" w:rsidP="00D22BF6">
      <w:pPr>
        <w:ind w:left="851"/>
        <w:rPr>
          <w:sz w:val="24"/>
          <w:szCs w:val="24"/>
        </w:rPr>
      </w:pPr>
      <w:r w:rsidRPr="003D4A39">
        <w:rPr>
          <w:i/>
          <w:iCs/>
          <w:sz w:val="24"/>
          <w:szCs w:val="24"/>
        </w:rPr>
        <w:t>Cisplatin og 5</w:t>
      </w:r>
      <w:r w:rsidRPr="003D4A39">
        <w:rPr>
          <w:i/>
          <w:iCs/>
          <w:sz w:val="24"/>
          <w:szCs w:val="24"/>
        </w:rPr>
        <w:noBreakHyphen/>
        <w:t>fluoruracil</w:t>
      </w:r>
    </w:p>
    <w:p w14:paraId="10A301EF" w14:textId="77777777" w:rsidR="00D22BF6" w:rsidRPr="003D4A39" w:rsidRDefault="00D22BF6" w:rsidP="00D22BF6">
      <w:pPr>
        <w:ind w:left="851"/>
        <w:rPr>
          <w:sz w:val="24"/>
          <w:szCs w:val="24"/>
        </w:rPr>
      </w:pPr>
      <w:r w:rsidRPr="003D4A39">
        <w:rPr>
          <w:sz w:val="24"/>
          <w:szCs w:val="24"/>
        </w:rPr>
        <w:t>Den kombinerede administration af docetaxel, cisplatin og 5</w:t>
      </w:r>
      <w:r w:rsidRPr="003D4A39">
        <w:rPr>
          <w:sz w:val="24"/>
          <w:szCs w:val="24"/>
        </w:rPr>
        <w:noBreakHyphen/>
        <w:t>fluoruracil hos 12 patienter med massive tumorer havde ingen indflydelse på farmakokinetikken for hvert af de individuelle lægemidler.</w:t>
      </w:r>
    </w:p>
    <w:p w14:paraId="588DF514" w14:textId="77777777" w:rsidR="00D22BF6" w:rsidRPr="003D4A39" w:rsidRDefault="00D22BF6" w:rsidP="00D22BF6">
      <w:pPr>
        <w:ind w:left="851"/>
        <w:rPr>
          <w:sz w:val="24"/>
          <w:szCs w:val="24"/>
        </w:rPr>
      </w:pPr>
    </w:p>
    <w:p w14:paraId="58FFF680" w14:textId="77777777" w:rsidR="00D22BF6" w:rsidRPr="003D4A39" w:rsidRDefault="00D22BF6" w:rsidP="00D22BF6">
      <w:pPr>
        <w:keepNext/>
        <w:ind w:left="851"/>
        <w:rPr>
          <w:sz w:val="24"/>
          <w:szCs w:val="24"/>
        </w:rPr>
      </w:pPr>
      <w:r w:rsidRPr="003D4A39">
        <w:rPr>
          <w:i/>
          <w:iCs/>
          <w:sz w:val="24"/>
          <w:szCs w:val="24"/>
        </w:rPr>
        <w:t>Prednison og dexamethason</w:t>
      </w:r>
    </w:p>
    <w:p w14:paraId="6EA07E77" w14:textId="77777777" w:rsidR="00D22BF6" w:rsidRPr="003D4A39" w:rsidRDefault="00D22BF6" w:rsidP="00D22BF6">
      <w:pPr>
        <w:ind w:left="851"/>
        <w:rPr>
          <w:sz w:val="24"/>
          <w:szCs w:val="24"/>
        </w:rPr>
      </w:pPr>
      <w:r w:rsidRPr="003D4A39">
        <w:rPr>
          <w:sz w:val="24"/>
          <w:szCs w:val="24"/>
        </w:rPr>
        <w:t>Prednisons virkning på farmakokinetikken for docetaxel administreret med standard prednison præmedicinering er undersøgt hos 42 patienter.</w:t>
      </w:r>
    </w:p>
    <w:p w14:paraId="1E207FA3" w14:textId="77777777" w:rsidR="00D22BF6" w:rsidRPr="003D4A39" w:rsidRDefault="00D22BF6" w:rsidP="00D22BF6">
      <w:pPr>
        <w:ind w:left="851"/>
        <w:rPr>
          <w:sz w:val="24"/>
          <w:szCs w:val="24"/>
        </w:rPr>
      </w:pPr>
    </w:p>
    <w:p w14:paraId="5FCD52F9" w14:textId="77777777" w:rsidR="00D22BF6" w:rsidRPr="003D4A39" w:rsidRDefault="00D22BF6" w:rsidP="00D22BF6">
      <w:pPr>
        <w:ind w:left="851"/>
        <w:rPr>
          <w:sz w:val="24"/>
          <w:szCs w:val="24"/>
        </w:rPr>
      </w:pPr>
      <w:r w:rsidRPr="003D4A39">
        <w:rPr>
          <w:i/>
          <w:iCs/>
          <w:sz w:val="24"/>
          <w:szCs w:val="24"/>
        </w:rPr>
        <w:t>Prednison</w:t>
      </w:r>
    </w:p>
    <w:p w14:paraId="62F51497" w14:textId="77777777" w:rsidR="00D22BF6" w:rsidRPr="003D4A39" w:rsidRDefault="00D22BF6" w:rsidP="00D22BF6">
      <w:pPr>
        <w:ind w:left="851"/>
        <w:rPr>
          <w:sz w:val="24"/>
          <w:szCs w:val="24"/>
        </w:rPr>
      </w:pPr>
      <w:r w:rsidRPr="003D4A39">
        <w:rPr>
          <w:sz w:val="24"/>
          <w:szCs w:val="24"/>
        </w:rPr>
        <w:t>Der blev ikke observeret effekt af prednison på docetaxels farmakokinetik.</w:t>
      </w:r>
    </w:p>
    <w:p w14:paraId="0158EB6A" w14:textId="77777777" w:rsidR="006B34A1" w:rsidRPr="008D45EF" w:rsidRDefault="006B34A1" w:rsidP="0081699D">
      <w:pPr>
        <w:ind w:left="851"/>
        <w:rPr>
          <w:sz w:val="24"/>
          <w:szCs w:val="24"/>
        </w:rPr>
      </w:pPr>
    </w:p>
    <w:p w14:paraId="4B4C04A5" w14:textId="77777777" w:rsidR="006B34A1" w:rsidRPr="008D45EF" w:rsidRDefault="006B34A1" w:rsidP="002D7470">
      <w:pPr>
        <w:ind w:left="851" w:hanging="851"/>
        <w:rPr>
          <w:b/>
          <w:sz w:val="24"/>
          <w:szCs w:val="24"/>
        </w:rPr>
      </w:pPr>
      <w:r w:rsidRPr="008D45EF">
        <w:rPr>
          <w:b/>
          <w:sz w:val="24"/>
          <w:szCs w:val="24"/>
        </w:rPr>
        <w:t>5.3</w:t>
      </w:r>
      <w:r w:rsidRPr="008D45EF">
        <w:rPr>
          <w:b/>
          <w:sz w:val="24"/>
          <w:szCs w:val="24"/>
        </w:rPr>
        <w:tab/>
        <w:t>Prækliniske sikkerhedsdata</w:t>
      </w:r>
    </w:p>
    <w:p w14:paraId="6E9F73A2" w14:textId="77777777" w:rsidR="009B0C24" w:rsidRPr="003D4A39" w:rsidRDefault="009B0C24" w:rsidP="009B0C24">
      <w:pPr>
        <w:ind w:left="851"/>
        <w:rPr>
          <w:sz w:val="24"/>
          <w:szCs w:val="24"/>
        </w:rPr>
      </w:pPr>
      <w:r w:rsidRPr="003D4A39">
        <w:rPr>
          <w:sz w:val="24"/>
          <w:szCs w:val="24"/>
        </w:rPr>
        <w:t>Karcinogeniciteten af docetaxel er ikke undersøgt.</w:t>
      </w:r>
    </w:p>
    <w:p w14:paraId="7623ED88" w14:textId="644FC3A2" w:rsidR="009B0C24" w:rsidRPr="003D4A39" w:rsidRDefault="009B0C24" w:rsidP="009B0C24">
      <w:pPr>
        <w:ind w:left="851"/>
        <w:rPr>
          <w:sz w:val="24"/>
          <w:szCs w:val="24"/>
        </w:rPr>
      </w:pPr>
      <w:r w:rsidRPr="003D4A39">
        <w:rPr>
          <w:sz w:val="24"/>
          <w:szCs w:val="24"/>
        </w:rPr>
        <w:t xml:space="preserve">Docetaxel har vist sig at være </w:t>
      </w:r>
      <w:r w:rsidRPr="00AD486E">
        <w:rPr>
          <w:sz w:val="24"/>
          <w:szCs w:val="24"/>
        </w:rPr>
        <w:t xml:space="preserve">genotoksisk via </w:t>
      </w:r>
      <w:proofErr w:type="gramStart"/>
      <w:r w:rsidRPr="00AD486E">
        <w:rPr>
          <w:sz w:val="24"/>
          <w:szCs w:val="24"/>
        </w:rPr>
        <w:t>en aneugen</w:t>
      </w:r>
      <w:proofErr w:type="gramEnd"/>
      <w:r w:rsidRPr="00AD486E">
        <w:rPr>
          <w:sz w:val="24"/>
          <w:szCs w:val="24"/>
        </w:rPr>
        <w:t xml:space="preserve"> mekanisme</w:t>
      </w:r>
      <w:r>
        <w:rPr>
          <w:sz w:val="24"/>
          <w:szCs w:val="24"/>
        </w:rPr>
        <w:t xml:space="preserve"> </w:t>
      </w:r>
      <w:r w:rsidRPr="003D4A39">
        <w:rPr>
          <w:i/>
          <w:iCs/>
          <w:sz w:val="24"/>
          <w:szCs w:val="24"/>
        </w:rPr>
        <w:t xml:space="preserve">in vitro </w:t>
      </w:r>
      <w:r w:rsidRPr="003D4A39">
        <w:rPr>
          <w:sz w:val="24"/>
          <w:szCs w:val="24"/>
        </w:rPr>
        <w:t>i mikronu</w:t>
      </w:r>
      <w:r>
        <w:rPr>
          <w:sz w:val="24"/>
          <w:szCs w:val="24"/>
        </w:rPr>
        <w:t>k</w:t>
      </w:r>
      <w:r w:rsidRPr="003D4A39">
        <w:rPr>
          <w:sz w:val="24"/>
          <w:szCs w:val="24"/>
        </w:rPr>
        <w:t>leus - og kromosom-aberrationstesten i CHO</w:t>
      </w:r>
      <w:r w:rsidRPr="003D4A39">
        <w:rPr>
          <w:sz w:val="24"/>
          <w:szCs w:val="24"/>
        </w:rPr>
        <w:noBreakHyphen/>
        <w:t xml:space="preserve">K1 celler, samt </w:t>
      </w:r>
      <w:r w:rsidRPr="003D4A39">
        <w:rPr>
          <w:i/>
          <w:iCs/>
          <w:sz w:val="24"/>
          <w:szCs w:val="24"/>
        </w:rPr>
        <w:t xml:space="preserve">in vivo </w:t>
      </w:r>
      <w:r w:rsidRPr="003D4A39">
        <w:rPr>
          <w:sz w:val="24"/>
          <w:szCs w:val="24"/>
        </w:rPr>
        <w:t>i mikronu</w:t>
      </w:r>
      <w:r>
        <w:rPr>
          <w:sz w:val="24"/>
          <w:szCs w:val="24"/>
        </w:rPr>
        <w:t>k</w:t>
      </w:r>
      <w:r w:rsidRPr="003D4A39">
        <w:rPr>
          <w:sz w:val="24"/>
          <w:szCs w:val="24"/>
        </w:rPr>
        <w:t>leustesten i mus. Derimod induceredes ingen mutationer i Ames test eller i en CHO/HGPRT gen mutation assay. Disse resultater er i overensstemmelse med docetaxels farmakologiske aktivitet.</w:t>
      </w:r>
    </w:p>
    <w:p w14:paraId="05994745" w14:textId="77777777" w:rsidR="009B0C24" w:rsidRDefault="009B0C24" w:rsidP="00D22BF6">
      <w:pPr>
        <w:ind w:left="851"/>
        <w:rPr>
          <w:sz w:val="24"/>
          <w:szCs w:val="24"/>
        </w:rPr>
      </w:pPr>
    </w:p>
    <w:p w14:paraId="1F2D7EF1" w14:textId="5B5C78F5" w:rsidR="00D22BF6" w:rsidRPr="003D4A39" w:rsidRDefault="00D22BF6" w:rsidP="00D22BF6">
      <w:pPr>
        <w:ind w:left="851"/>
        <w:rPr>
          <w:sz w:val="24"/>
          <w:szCs w:val="24"/>
        </w:rPr>
      </w:pPr>
      <w:r w:rsidRPr="003D4A39">
        <w:rPr>
          <w:sz w:val="24"/>
          <w:szCs w:val="24"/>
        </w:rPr>
        <w:t>Toksikologiske studier på gnavere har vist uønskede påvirkninger af testisfunktionen. Det må derfor formodes, at også den mandlige fertilitet påvirkes af docetaxel.</w:t>
      </w:r>
    </w:p>
    <w:p w14:paraId="6DF760C5" w14:textId="77777777" w:rsidR="006B34A1" w:rsidRPr="008D45EF" w:rsidRDefault="006B34A1" w:rsidP="0081699D">
      <w:pPr>
        <w:ind w:left="851"/>
        <w:rPr>
          <w:sz w:val="24"/>
          <w:szCs w:val="24"/>
        </w:rPr>
      </w:pPr>
    </w:p>
    <w:p w14:paraId="46484C98" w14:textId="77777777" w:rsidR="006B34A1" w:rsidRPr="008D45EF" w:rsidRDefault="006B34A1" w:rsidP="0081699D">
      <w:pPr>
        <w:ind w:left="851"/>
        <w:rPr>
          <w:sz w:val="24"/>
          <w:szCs w:val="24"/>
        </w:rPr>
      </w:pPr>
    </w:p>
    <w:p w14:paraId="5EAF33C4" w14:textId="77777777" w:rsidR="006B34A1" w:rsidRPr="008D45EF" w:rsidRDefault="006B34A1" w:rsidP="0081699D">
      <w:pPr>
        <w:ind w:left="851" w:hanging="851"/>
        <w:rPr>
          <w:b/>
          <w:sz w:val="24"/>
          <w:szCs w:val="24"/>
        </w:rPr>
      </w:pPr>
      <w:r w:rsidRPr="008D45EF">
        <w:rPr>
          <w:b/>
          <w:sz w:val="24"/>
          <w:szCs w:val="24"/>
        </w:rPr>
        <w:t>6.</w:t>
      </w:r>
      <w:r w:rsidRPr="008D45EF">
        <w:rPr>
          <w:b/>
          <w:sz w:val="24"/>
          <w:szCs w:val="24"/>
        </w:rPr>
        <w:tab/>
        <w:t>FARMACEUTISKE OPLYSNINGER</w:t>
      </w:r>
    </w:p>
    <w:p w14:paraId="0261CA29" w14:textId="77777777" w:rsidR="006B34A1" w:rsidRPr="008D45EF" w:rsidRDefault="006B34A1" w:rsidP="0081699D">
      <w:pPr>
        <w:ind w:left="851"/>
        <w:rPr>
          <w:b/>
          <w:sz w:val="24"/>
          <w:szCs w:val="24"/>
        </w:rPr>
      </w:pPr>
    </w:p>
    <w:p w14:paraId="7C954635" w14:textId="77777777" w:rsidR="006B34A1" w:rsidRPr="008D45EF" w:rsidRDefault="006B34A1" w:rsidP="0081699D">
      <w:pPr>
        <w:ind w:left="851" w:hanging="851"/>
        <w:rPr>
          <w:b/>
          <w:sz w:val="24"/>
          <w:szCs w:val="24"/>
        </w:rPr>
      </w:pPr>
      <w:r w:rsidRPr="008D45EF">
        <w:rPr>
          <w:b/>
          <w:sz w:val="24"/>
          <w:szCs w:val="24"/>
        </w:rPr>
        <w:t>6.1</w:t>
      </w:r>
      <w:r w:rsidRPr="008D45EF">
        <w:rPr>
          <w:b/>
          <w:sz w:val="24"/>
          <w:szCs w:val="24"/>
        </w:rPr>
        <w:tab/>
        <w:t>Hjælpestoffer</w:t>
      </w:r>
    </w:p>
    <w:p w14:paraId="05B34BC2" w14:textId="77777777" w:rsidR="006B34A1" w:rsidRPr="008D45EF" w:rsidRDefault="006B34A1" w:rsidP="0081699D">
      <w:pPr>
        <w:ind w:left="851"/>
        <w:rPr>
          <w:sz w:val="24"/>
          <w:szCs w:val="24"/>
        </w:rPr>
      </w:pPr>
      <w:r w:rsidRPr="008D45EF">
        <w:rPr>
          <w:sz w:val="24"/>
          <w:szCs w:val="24"/>
        </w:rPr>
        <w:t>Polysorbat 80</w:t>
      </w:r>
    </w:p>
    <w:p w14:paraId="4A6DF644" w14:textId="77777777" w:rsidR="006B34A1" w:rsidRPr="008D45EF" w:rsidRDefault="006B34A1" w:rsidP="0081699D">
      <w:pPr>
        <w:ind w:left="851"/>
        <w:rPr>
          <w:sz w:val="24"/>
          <w:szCs w:val="24"/>
        </w:rPr>
      </w:pPr>
      <w:r w:rsidRPr="008D45EF">
        <w:rPr>
          <w:sz w:val="24"/>
          <w:szCs w:val="24"/>
        </w:rPr>
        <w:t>Vandfri ethanol</w:t>
      </w:r>
    </w:p>
    <w:p w14:paraId="778D6FA8" w14:textId="77777777" w:rsidR="006B34A1" w:rsidRPr="008D45EF" w:rsidRDefault="006B34A1" w:rsidP="0081699D">
      <w:pPr>
        <w:ind w:left="851"/>
        <w:rPr>
          <w:sz w:val="24"/>
          <w:szCs w:val="24"/>
        </w:rPr>
      </w:pPr>
      <w:r w:rsidRPr="008D45EF">
        <w:rPr>
          <w:sz w:val="24"/>
          <w:szCs w:val="24"/>
        </w:rPr>
        <w:t>Citronsyre, vandfri (E330)</w:t>
      </w:r>
    </w:p>
    <w:p w14:paraId="080181E3" w14:textId="77777777" w:rsidR="006B34A1" w:rsidRPr="008D45EF" w:rsidRDefault="006B34A1" w:rsidP="0081699D">
      <w:pPr>
        <w:ind w:left="851"/>
        <w:rPr>
          <w:sz w:val="24"/>
          <w:szCs w:val="24"/>
        </w:rPr>
      </w:pPr>
    </w:p>
    <w:p w14:paraId="3CE08CB3" w14:textId="77777777" w:rsidR="006B34A1" w:rsidRPr="008D45EF" w:rsidRDefault="006B34A1" w:rsidP="0081699D">
      <w:pPr>
        <w:ind w:left="851" w:hanging="851"/>
        <w:rPr>
          <w:b/>
          <w:sz w:val="24"/>
          <w:szCs w:val="24"/>
        </w:rPr>
      </w:pPr>
      <w:r w:rsidRPr="008D45EF">
        <w:rPr>
          <w:b/>
          <w:sz w:val="24"/>
          <w:szCs w:val="24"/>
        </w:rPr>
        <w:t>6.2</w:t>
      </w:r>
      <w:r w:rsidRPr="008D45EF">
        <w:rPr>
          <w:b/>
          <w:sz w:val="24"/>
          <w:szCs w:val="24"/>
        </w:rPr>
        <w:tab/>
        <w:t>Uforligeligheder</w:t>
      </w:r>
    </w:p>
    <w:p w14:paraId="0D828174" w14:textId="77777777" w:rsidR="006B34A1" w:rsidRPr="008D45EF" w:rsidRDefault="006B34A1" w:rsidP="0081699D">
      <w:pPr>
        <w:ind w:left="851"/>
        <w:rPr>
          <w:sz w:val="24"/>
          <w:szCs w:val="24"/>
        </w:rPr>
      </w:pPr>
      <w:r w:rsidRPr="008D45EF">
        <w:rPr>
          <w:sz w:val="24"/>
          <w:szCs w:val="24"/>
        </w:rPr>
        <w:t>Dette lægemiddel må ikke blandes med andre lægemidler end dem, der er anført under pkt. 6.6.</w:t>
      </w:r>
    </w:p>
    <w:p w14:paraId="62ACEB1F" w14:textId="77777777" w:rsidR="006B34A1" w:rsidRPr="008D45EF" w:rsidRDefault="006B34A1" w:rsidP="0081699D">
      <w:pPr>
        <w:ind w:left="851"/>
        <w:rPr>
          <w:sz w:val="24"/>
          <w:szCs w:val="24"/>
        </w:rPr>
      </w:pPr>
    </w:p>
    <w:p w14:paraId="051E53DE" w14:textId="602DAD6A" w:rsidR="00E3335D" w:rsidRPr="003000A9" w:rsidRDefault="006B34A1" w:rsidP="003000A9">
      <w:pPr>
        <w:ind w:left="851" w:hanging="851"/>
        <w:rPr>
          <w:b/>
          <w:sz w:val="24"/>
          <w:szCs w:val="24"/>
        </w:rPr>
      </w:pPr>
      <w:r w:rsidRPr="008D45EF">
        <w:rPr>
          <w:b/>
          <w:sz w:val="24"/>
          <w:szCs w:val="24"/>
        </w:rPr>
        <w:t>6.3</w:t>
      </w:r>
      <w:r w:rsidRPr="008D45EF">
        <w:rPr>
          <w:b/>
          <w:sz w:val="24"/>
          <w:szCs w:val="24"/>
        </w:rPr>
        <w:tab/>
        <w:t>Opbevaringstid</w:t>
      </w:r>
    </w:p>
    <w:p w14:paraId="0A25B41A" w14:textId="3E902830" w:rsidR="006B34A1" w:rsidRDefault="006B34A1" w:rsidP="0081699D">
      <w:pPr>
        <w:ind w:left="851"/>
        <w:rPr>
          <w:sz w:val="24"/>
          <w:szCs w:val="24"/>
        </w:rPr>
      </w:pPr>
    </w:p>
    <w:p w14:paraId="751C3EE0" w14:textId="77777777" w:rsidR="00E119CB" w:rsidRPr="00F5350C" w:rsidRDefault="00E119CB" w:rsidP="00E119CB">
      <w:pPr>
        <w:ind w:left="851"/>
        <w:rPr>
          <w:sz w:val="24"/>
          <w:szCs w:val="24"/>
          <w:u w:val="single"/>
        </w:rPr>
      </w:pPr>
      <w:r w:rsidRPr="00EB2BE8">
        <w:rPr>
          <w:sz w:val="24"/>
          <w:szCs w:val="24"/>
          <w:u w:val="single"/>
        </w:rPr>
        <w:t>Uåbnede hætteglas</w:t>
      </w:r>
    </w:p>
    <w:p w14:paraId="57A51734" w14:textId="77777777" w:rsidR="00E119CB" w:rsidRPr="00333325" w:rsidRDefault="00E119CB" w:rsidP="00E119CB">
      <w:pPr>
        <w:ind w:left="851"/>
        <w:rPr>
          <w:sz w:val="24"/>
          <w:szCs w:val="24"/>
        </w:rPr>
      </w:pPr>
      <w:r>
        <w:rPr>
          <w:sz w:val="24"/>
          <w:szCs w:val="24"/>
        </w:rPr>
        <w:t>Påf</w:t>
      </w:r>
      <w:r w:rsidRPr="00333325">
        <w:rPr>
          <w:sz w:val="24"/>
          <w:szCs w:val="24"/>
        </w:rPr>
        <w:t>yldningsstørrelse 20 mg/1 ml: 18 måneder</w:t>
      </w:r>
    </w:p>
    <w:p w14:paraId="7377FB3B" w14:textId="77777777" w:rsidR="00E119CB" w:rsidRPr="00333325" w:rsidRDefault="00E119CB" w:rsidP="00E119CB">
      <w:pPr>
        <w:ind w:left="851"/>
        <w:rPr>
          <w:sz w:val="24"/>
          <w:szCs w:val="24"/>
        </w:rPr>
      </w:pPr>
      <w:r>
        <w:rPr>
          <w:sz w:val="24"/>
          <w:szCs w:val="24"/>
        </w:rPr>
        <w:t>Påf</w:t>
      </w:r>
      <w:r w:rsidRPr="00333325">
        <w:rPr>
          <w:sz w:val="24"/>
          <w:szCs w:val="24"/>
        </w:rPr>
        <w:t>yldningsstørrelse 80 mg/4 ml: 2 år</w:t>
      </w:r>
    </w:p>
    <w:p w14:paraId="5CEE025D" w14:textId="77777777" w:rsidR="00E119CB" w:rsidRPr="008D45EF" w:rsidRDefault="00E119CB" w:rsidP="00E119CB">
      <w:pPr>
        <w:ind w:left="851"/>
        <w:rPr>
          <w:sz w:val="24"/>
          <w:szCs w:val="24"/>
        </w:rPr>
      </w:pPr>
      <w:r>
        <w:rPr>
          <w:sz w:val="24"/>
          <w:szCs w:val="24"/>
        </w:rPr>
        <w:t>Påf</w:t>
      </w:r>
      <w:r w:rsidRPr="00333325">
        <w:rPr>
          <w:sz w:val="24"/>
          <w:szCs w:val="24"/>
        </w:rPr>
        <w:t xml:space="preserve">yldningsstørrelse 160 mg/8 ml: </w:t>
      </w:r>
      <w:r w:rsidRPr="008D45EF">
        <w:rPr>
          <w:sz w:val="24"/>
          <w:szCs w:val="24"/>
        </w:rPr>
        <w:t>2 år</w:t>
      </w:r>
      <w:r>
        <w:rPr>
          <w:sz w:val="24"/>
          <w:szCs w:val="24"/>
        </w:rPr>
        <w:t>.</w:t>
      </w:r>
    </w:p>
    <w:p w14:paraId="1F30A639" w14:textId="77777777" w:rsidR="00E119CB" w:rsidRDefault="00E119CB" w:rsidP="0081699D">
      <w:pPr>
        <w:ind w:left="851"/>
        <w:rPr>
          <w:sz w:val="24"/>
          <w:szCs w:val="24"/>
        </w:rPr>
      </w:pPr>
    </w:p>
    <w:p w14:paraId="637AF5F3" w14:textId="77777777" w:rsidR="006B34A1" w:rsidRPr="008D45EF" w:rsidRDefault="006B34A1" w:rsidP="0081699D">
      <w:pPr>
        <w:ind w:left="851"/>
        <w:rPr>
          <w:sz w:val="24"/>
          <w:szCs w:val="24"/>
        </w:rPr>
      </w:pPr>
      <w:r w:rsidRPr="008D45EF">
        <w:rPr>
          <w:sz w:val="24"/>
          <w:szCs w:val="24"/>
          <w:u w:val="single"/>
        </w:rPr>
        <w:t>Efter anbrud af hætteglasset</w:t>
      </w:r>
    </w:p>
    <w:p w14:paraId="7F3A676E" w14:textId="77777777" w:rsidR="006B34A1" w:rsidRPr="008D45EF" w:rsidRDefault="006B34A1" w:rsidP="0081699D">
      <w:pPr>
        <w:ind w:left="851"/>
        <w:rPr>
          <w:sz w:val="24"/>
          <w:szCs w:val="24"/>
        </w:rPr>
      </w:pPr>
      <w:r w:rsidRPr="008D45EF">
        <w:rPr>
          <w:sz w:val="24"/>
          <w:szCs w:val="24"/>
        </w:rPr>
        <w:t xml:space="preserve">Hvert hætteglas er til engangsbrug. Fra et mikrobiologisk synspunkt skal produktet straks anvendes. Hvis det ikke anvendes straks, er opbevaringstid og –forhold inden brug brugerens ansvar, og de er normalt ikke længere end 24 timer ved 2 til </w:t>
      </w:r>
      <w:smartTag w:uri="urn:schemas-microsoft-com:office:smarttags" w:element="metricconverter">
        <w:smartTagPr>
          <w:attr w:name="ProductID" w:val="8ﾠﾰC"/>
        </w:smartTagPr>
        <w:r w:rsidRPr="008D45EF">
          <w:rPr>
            <w:sz w:val="24"/>
            <w:szCs w:val="24"/>
          </w:rPr>
          <w:t>8 °C</w:t>
        </w:r>
      </w:smartTag>
      <w:r w:rsidRPr="008D45EF">
        <w:rPr>
          <w:sz w:val="24"/>
          <w:szCs w:val="24"/>
        </w:rPr>
        <w:t>.</w:t>
      </w:r>
    </w:p>
    <w:p w14:paraId="7E9EE656" w14:textId="77777777" w:rsidR="006B34A1" w:rsidRPr="008D45EF" w:rsidRDefault="006B34A1" w:rsidP="0081699D">
      <w:pPr>
        <w:ind w:left="851"/>
        <w:rPr>
          <w:sz w:val="24"/>
          <w:szCs w:val="24"/>
        </w:rPr>
      </w:pPr>
      <w:r w:rsidRPr="008D45EF">
        <w:rPr>
          <w:sz w:val="24"/>
          <w:szCs w:val="24"/>
        </w:rPr>
        <w:t xml:space="preserve">Kemisk og fysisk stabilitet under brug er blevet påvist i 4 uger ved 2 til </w:t>
      </w:r>
      <w:smartTag w:uri="urn:schemas-microsoft-com:office:smarttags" w:element="metricconverter">
        <w:smartTagPr>
          <w:attr w:name="ProductID" w:val="8ﾠﾰC"/>
        </w:smartTagPr>
        <w:r w:rsidRPr="008D45EF">
          <w:rPr>
            <w:sz w:val="24"/>
            <w:szCs w:val="24"/>
          </w:rPr>
          <w:t>8 °C</w:t>
        </w:r>
      </w:smartTag>
      <w:r w:rsidRPr="008D45EF">
        <w:rPr>
          <w:sz w:val="24"/>
          <w:szCs w:val="24"/>
        </w:rPr>
        <w:t>.</w:t>
      </w:r>
    </w:p>
    <w:p w14:paraId="30F7695A" w14:textId="77777777" w:rsidR="006B34A1" w:rsidRPr="008D45EF" w:rsidRDefault="006B34A1" w:rsidP="0081699D">
      <w:pPr>
        <w:ind w:left="851"/>
        <w:rPr>
          <w:sz w:val="24"/>
          <w:szCs w:val="24"/>
        </w:rPr>
      </w:pPr>
    </w:p>
    <w:p w14:paraId="1E918221" w14:textId="77777777" w:rsidR="006B34A1" w:rsidRPr="008D45EF" w:rsidRDefault="006B34A1" w:rsidP="0081699D">
      <w:pPr>
        <w:ind w:left="851"/>
        <w:rPr>
          <w:sz w:val="24"/>
          <w:szCs w:val="24"/>
        </w:rPr>
      </w:pPr>
      <w:r w:rsidRPr="008D45EF">
        <w:rPr>
          <w:sz w:val="24"/>
          <w:szCs w:val="24"/>
          <w:u w:val="single"/>
        </w:rPr>
        <w:t>Efter tilsætning til infusionspose</w:t>
      </w:r>
    </w:p>
    <w:p w14:paraId="4F39FD0F" w14:textId="77777777" w:rsidR="006B34A1" w:rsidRPr="008D45EF" w:rsidRDefault="006B34A1" w:rsidP="0081699D">
      <w:pPr>
        <w:ind w:left="851"/>
        <w:rPr>
          <w:sz w:val="24"/>
          <w:szCs w:val="24"/>
        </w:rPr>
      </w:pPr>
      <w:r w:rsidRPr="008D45EF">
        <w:rPr>
          <w:sz w:val="24"/>
          <w:szCs w:val="24"/>
        </w:rPr>
        <w:t xml:space="preserve">Fra et mikrobiologisk synspunkt skal produktet anvendes straks. Hvis det ikke anvendes straks, er opbevaringstid og -forhold før brug brugerens ansvar og vil normalt ikke være længere end 24 timer ved 2 til </w:t>
      </w:r>
      <w:smartTag w:uri="urn:schemas-microsoft-com:office:smarttags" w:element="metricconverter">
        <w:smartTagPr>
          <w:attr w:name="ProductID" w:val="8ﾠﾰC"/>
        </w:smartTagPr>
        <w:r w:rsidRPr="008D45EF">
          <w:rPr>
            <w:sz w:val="24"/>
            <w:szCs w:val="24"/>
          </w:rPr>
          <w:t>8 °C</w:t>
        </w:r>
      </w:smartTag>
      <w:r w:rsidRPr="008D45EF">
        <w:rPr>
          <w:sz w:val="24"/>
          <w:szCs w:val="24"/>
        </w:rPr>
        <w:t>, medmindre fortyndelsen har fundet sted under kontrollerede og validerede aseptiske forhold.</w:t>
      </w:r>
    </w:p>
    <w:p w14:paraId="7EAE16D1" w14:textId="77777777" w:rsidR="006B34A1" w:rsidRPr="008D45EF" w:rsidRDefault="006B34A1" w:rsidP="0081699D">
      <w:pPr>
        <w:ind w:left="851"/>
        <w:rPr>
          <w:sz w:val="24"/>
          <w:szCs w:val="24"/>
        </w:rPr>
      </w:pPr>
      <w:r w:rsidRPr="008D45EF">
        <w:rPr>
          <w:sz w:val="24"/>
          <w:szCs w:val="24"/>
        </w:rPr>
        <w:t xml:space="preserve">Kemisk og fysisk stabilitet under brug er blevet påvist i polyolefin-poser i 72 timer mellem </w:t>
      </w:r>
      <w:smartTag w:uri="urn:schemas-microsoft-com:office:smarttags" w:element="metricconverter">
        <w:smartTagPr>
          <w:attr w:name="ProductID" w:val="2ﾠﾰC"/>
        </w:smartTagPr>
        <w:r w:rsidRPr="008D45EF">
          <w:rPr>
            <w:sz w:val="24"/>
            <w:szCs w:val="24"/>
          </w:rPr>
          <w:t>2 °C</w:t>
        </w:r>
      </w:smartTag>
      <w:r w:rsidRPr="008D45EF">
        <w:rPr>
          <w:sz w:val="24"/>
          <w:szCs w:val="24"/>
        </w:rPr>
        <w:t xml:space="preserve"> og </w:t>
      </w:r>
      <w:smartTag w:uri="urn:schemas-microsoft-com:office:smarttags" w:element="metricconverter">
        <w:smartTagPr>
          <w:attr w:name="ProductID" w:val="8ﾠﾰC"/>
        </w:smartTagPr>
        <w:r w:rsidRPr="008D45EF">
          <w:rPr>
            <w:sz w:val="24"/>
            <w:szCs w:val="24"/>
          </w:rPr>
          <w:t>8 °C</w:t>
        </w:r>
      </w:smartTag>
      <w:r w:rsidRPr="008D45EF">
        <w:rPr>
          <w:sz w:val="24"/>
          <w:szCs w:val="24"/>
        </w:rPr>
        <w:t xml:space="preserve"> og i 8 timer ved </w:t>
      </w:r>
      <w:smartTag w:uri="urn:schemas-microsoft-com:office:smarttags" w:element="metricconverter">
        <w:smartTagPr>
          <w:attr w:name="ProductID" w:val="25ﾠﾰC"/>
        </w:smartTagPr>
        <w:r w:rsidRPr="008D45EF">
          <w:rPr>
            <w:sz w:val="24"/>
            <w:szCs w:val="24"/>
          </w:rPr>
          <w:t>25 °C</w:t>
        </w:r>
      </w:smartTag>
      <w:r w:rsidRPr="008D45EF">
        <w:rPr>
          <w:sz w:val="24"/>
          <w:szCs w:val="24"/>
        </w:rPr>
        <w:t>.</w:t>
      </w:r>
    </w:p>
    <w:p w14:paraId="77AE3F1E" w14:textId="77777777" w:rsidR="006B34A1" w:rsidRPr="008D45EF" w:rsidRDefault="006B34A1" w:rsidP="0081699D">
      <w:pPr>
        <w:ind w:left="851"/>
        <w:rPr>
          <w:sz w:val="24"/>
          <w:szCs w:val="24"/>
        </w:rPr>
      </w:pPr>
    </w:p>
    <w:p w14:paraId="72B85104" w14:textId="77777777" w:rsidR="006B34A1" w:rsidRPr="008D45EF" w:rsidRDefault="006B34A1" w:rsidP="0081699D">
      <w:pPr>
        <w:ind w:left="851"/>
        <w:rPr>
          <w:sz w:val="24"/>
          <w:szCs w:val="24"/>
        </w:rPr>
      </w:pPr>
      <w:r w:rsidRPr="008D45EF">
        <w:rPr>
          <w:sz w:val="24"/>
          <w:szCs w:val="24"/>
        </w:rPr>
        <w:t>Docetaxel-infusionsvæsken er overmættet, den kan derfor udkrystallisere over tid. Hvis der forekommer krystaller, må opløsningen ikke længere anvendes, men skal kasseres.</w:t>
      </w:r>
    </w:p>
    <w:p w14:paraId="2408EEAE" w14:textId="77777777" w:rsidR="006B34A1" w:rsidRPr="008D45EF" w:rsidRDefault="006B34A1" w:rsidP="0081699D">
      <w:pPr>
        <w:ind w:left="851"/>
        <w:rPr>
          <w:sz w:val="24"/>
          <w:szCs w:val="24"/>
        </w:rPr>
      </w:pPr>
    </w:p>
    <w:p w14:paraId="05B9562B" w14:textId="77777777" w:rsidR="006B34A1" w:rsidRPr="008D45EF" w:rsidRDefault="006B34A1" w:rsidP="003000A9">
      <w:pPr>
        <w:keepNext/>
        <w:ind w:left="851" w:hanging="851"/>
        <w:rPr>
          <w:b/>
          <w:sz w:val="24"/>
          <w:szCs w:val="24"/>
        </w:rPr>
      </w:pPr>
      <w:r w:rsidRPr="008D45EF">
        <w:rPr>
          <w:b/>
          <w:sz w:val="24"/>
          <w:szCs w:val="24"/>
        </w:rPr>
        <w:t>6.4</w:t>
      </w:r>
      <w:r w:rsidRPr="008D45EF">
        <w:rPr>
          <w:b/>
          <w:sz w:val="24"/>
          <w:szCs w:val="24"/>
        </w:rPr>
        <w:tab/>
        <w:t>Særlige opbevaringsforhold</w:t>
      </w:r>
    </w:p>
    <w:p w14:paraId="06CFD958" w14:textId="7193D63C" w:rsidR="003000A9" w:rsidRPr="003D4A39" w:rsidRDefault="003000A9" w:rsidP="003000A9">
      <w:pPr>
        <w:ind w:left="851"/>
        <w:rPr>
          <w:sz w:val="24"/>
          <w:szCs w:val="24"/>
        </w:rPr>
      </w:pPr>
      <w:r w:rsidRPr="003D4A39">
        <w:rPr>
          <w:sz w:val="24"/>
          <w:szCs w:val="24"/>
        </w:rPr>
        <w:t>Må ikke opbevares ved temperaturer over 25 ºC.</w:t>
      </w:r>
    </w:p>
    <w:p w14:paraId="6ED1B419" w14:textId="4F8EB003" w:rsidR="003000A9" w:rsidRPr="003D4A39" w:rsidRDefault="003000A9" w:rsidP="003000A9">
      <w:pPr>
        <w:ind w:left="851"/>
        <w:rPr>
          <w:sz w:val="24"/>
          <w:szCs w:val="24"/>
        </w:rPr>
      </w:pPr>
      <w:r w:rsidRPr="003D4A39">
        <w:rPr>
          <w:sz w:val="24"/>
          <w:szCs w:val="24"/>
        </w:rPr>
        <w:t>Opbevares i den originale yderpakning for at beskytte mod lys.</w:t>
      </w:r>
    </w:p>
    <w:p w14:paraId="7DF70695" w14:textId="30033271" w:rsidR="003000A9" w:rsidRPr="003D4A39" w:rsidRDefault="003000A9" w:rsidP="003000A9">
      <w:pPr>
        <w:ind w:left="851"/>
        <w:rPr>
          <w:sz w:val="24"/>
          <w:szCs w:val="24"/>
        </w:rPr>
      </w:pPr>
      <w:r w:rsidRPr="003D4A39">
        <w:rPr>
          <w:sz w:val="24"/>
          <w:szCs w:val="24"/>
        </w:rPr>
        <w:t>Må ikke nedfryses.</w:t>
      </w:r>
    </w:p>
    <w:p w14:paraId="08C48ABA" w14:textId="77777777" w:rsidR="003000A9" w:rsidRPr="003D4A39" w:rsidRDefault="003000A9" w:rsidP="003000A9">
      <w:pPr>
        <w:ind w:left="851"/>
        <w:rPr>
          <w:sz w:val="24"/>
          <w:szCs w:val="24"/>
        </w:rPr>
      </w:pPr>
    </w:p>
    <w:p w14:paraId="770ABA23" w14:textId="05B2DA3E" w:rsidR="003000A9" w:rsidRPr="003D4A39" w:rsidRDefault="003000A9" w:rsidP="003000A9">
      <w:pPr>
        <w:ind w:left="851"/>
        <w:rPr>
          <w:sz w:val="24"/>
          <w:szCs w:val="24"/>
        </w:rPr>
      </w:pPr>
      <w:r w:rsidRPr="003D4A39">
        <w:rPr>
          <w:sz w:val="24"/>
          <w:szCs w:val="24"/>
        </w:rPr>
        <w:t>For opbevaringsforhold for det fortyndede lægemiddel, se pkt. 6.3.</w:t>
      </w:r>
    </w:p>
    <w:p w14:paraId="34AE21B3" w14:textId="77777777" w:rsidR="006B34A1" w:rsidRPr="008D45EF" w:rsidRDefault="006B34A1" w:rsidP="0081699D">
      <w:pPr>
        <w:ind w:left="851"/>
        <w:rPr>
          <w:sz w:val="24"/>
          <w:szCs w:val="24"/>
        </w:rPr>
      </w:pPr>
    </w:p>
    <w:p w14:paraId="174FA260" w14:textId="63110613" w:rsidR="006B34A1" w:rsidRPr="008D45EF" w:rsidRDefault="006B34A1" w:rsidP="0081699D">
      <w:pPr>
        <w:ind w:left="851" w:hanging="851"/>
        <w:rPr>
          <w:b/>
          <w:sz w:val="24"/>
          <w:szCs w:val="24"/>
        </w:rPr>
      </w:pPr>
      <w:r w:rsidRPr="008D45EF">
        <w:rPr>
          <w:b/>
          <w:sz w:val="24"/>
          <w:szCs w:val="24"/>
        </w:rPr>
        <w:t>6.5</w:t>
      </w:r>
      <w:r w:rsidRPr="008D45EF">
        <w:rPr>
          <w:b/>
          <w:sz w:val="24"/>
          <w:szCs w:val="24"/>
        </w:rPr>
        <w:tab/>
        <w:t>Emballagetype og pakningsstørrelser</w:t>
      </w:r>
    </w:p>
    <w:p w14:paraId="526F0DC5" w14:textId="1BFFF35A" w:rsidR="003000A9" w:rsidRPr="003D4A39" w:rsidRDefault="003000A9" w:rsidP="003000A9">
      <w:pPr>
        <w:ind w:left="851"/>
        <w:rPr>
          <w:sz w:val="24"/>
          <w:szCs w:val="24"/>
        </w:rPr>
      </w:pPr>
      <w:r w:rsidRPr="003D4A39">
        <w:rPr>
          <w:sz w:val="24"/>
          <w:szCs w:val="24"/>
        </w:rPr>
        <w:t xml:space="preserve">Klart glas (type I) hætteglas med </w:t>
      </w:r>
      <w:r>
        <w:rPr>
          <w:sz w:val="24"/>
          <w:szCs w:val="24"/>
        </w:rPr>
        <w:t>ch</w:t>
      </w:r>
      <w:r w:rsidRPr="003D4A39">
        <w:rPr>
          <w:sz w:val="24"/>
          <w:szCs w:val="24"/>
        </w:rPr>
        <w:t>lorbutyl-gummiprop, en aluminiumforsegling og en plastik-afrivningshætte indeholdende 1 ml, 4 ml eller 8 ml koncentrat.</w:t>
      </w:r>
    </w:p>
    <w:p w14:paraId="09701A5B" w14:textId="77777777" w:rsidR="003000A9" w:rsidRPr="003D4A39" w:rsidRDefault="003000A9" w:rsidP="003000A9">
      <w:pPr>
        <w:ind w:left="851"/>
        <w:rPr>
          <w:sz w:val="24"/>
          <w:szCs w:val="24"/>
        </w:rPr>
      </w:pPr>
    </w:p>
    <w:p w14:paraId="2CAFDC18" w14:textId="452778AB" w:rsidR="003000A9" w:rsidRPr="003D4A39" w:rsidRDefault="003000A9" w:rsidP="003000A9">
      <w:pPr>
        <w:ind w:left="851"/>
        <w:rPr>
          <w:sz w:val="24"/>
          <w:szCs w:val="24"/>
        </w:rPr>
      </w:pPr>
      <w:r w:rsidRPr="003D4A39">
        <w:rPr>
          <w:sz w:val="24"/>
          <w:szCs w:val="24"/>
        </w:rPr>
        <w:t>Hver karton indeholder et hætteglas.</w:t>
      </w:r>
    </w:p>
    <w:p w14:paraId="719B3FAF" w14:textId="77777777" w:rsidR="003000A9" w:rsidRPr="003D4A39" w:rsidRDefault="003000A9" w:rsidP="003000A9">
      <w:pPr>
        <w:ind w:left="851"/>
        <w:rPr>
          <w:sz w:val="24"/>
          <w:szCs w:val="24"/>
        </w:rPr>
      </w:pPr>
    </w:p>
    <w:p w14:paraId="6BE71AE7" w14:textId="164D2213" w:rsidR="003000A9" w:rsidRPr="003D4A39" w:rsidRDefault="003000A9" w:rsidP="003000A9">
      <w:pPr>
        <w:ind w:left="851"/>
        <w:rPr>
          <w:sz w:val="24"/>
          <w:szCs w:val="24"/>
        </w:rPr>
      </w:pPr>
      <w:r w:rsidRPr="003D4A39">
        <w:rPr>
          <w:sz w:val="24"/>
          <w:szCs w:val="24"/>
        </w:rPr>
        <w:t>Ikke alle pakningsstørrelser er nødvendigvis markedsført.</w:t>
      </w:r>
    </w:p>
    <w:p w14:paraId="7DCD1CE1" w14:textId="77777777" w:rsidR="006B34A1" w:rsidRPr="008D45EF" w:rsidRDefault="006B34A1" w:rsidP="0081699D">
      <w:pPr>
        <w:ind w:left="851"/>
        <w:rPr>
          <w:sz w:val="24"/>
          <w:szCs w:val="24"/>
        </w:rPr>
      </w:pPr>
    </w:p>
    <w:p w14:paraId="40D9EF7B" w14:textId="7D8F8515" w:rsidR="006B34A1" w:rsidRPr="008D45EF" w:rsidRDefault="006B34A1" w:rsidP="0081699D">
      <w:pPr>
        <w:ind w:left="851" w:hanging="851"/>
        <w:rPr>
          <w:b/>
          <w:sz w:val="24"/>
          <w:szCs w:val="24"/>
        </w:rPr>
      </w:pPr>
      <w:r w:rsidRPr="008D45EF">
        <w:rPr>
          <w:b/>
          <w:sz w:val="24"/>
          <w:szCs w:val="24"/>
        </w:rPr>
        <w:t>6.6</w:t>
      </w:r>
      <w:r w:rsidRPr="008D45EF">
        <w:rPr>
          <w:b/>
          <w:sz w:val="24"/>
          <w:szCs w:val="24"/>
        </w:rPr>
        <w:tab/>
        <w:t xml:space="preserve">Regler for </w:t>
      </w:r>
      <w:r w:rsidR="009B0C24">
        <w:rPr>
          <w:b/>
          <w:sz w:val="24"/>
          <w:szCs w:val="24"/>
        </w:rPr>
        <w:t>bortskaffelse</w:t>
      </w:r>
      <w:r w:rsidRPr="008D45EF">
        <w:rPr>
          <w:b/>
          <w:sz w:val="24"/>
          <w:szCs w:val="24"/>
        </w:rPr>
        <w:t xml:space="preserve"> og anden håndtering</w:t>
      </w:r>
    </w:p>
    <w:p w14:paraId="01DB3845" w14:textId="256767ED" w:rsidR="003000A9" w:rsidRPr="003D4A39" w:rsidRDefault="003000A9" w:rsidP="003000A9">
      <w:pPr>
        <w:ind w:left="851"/>
        <w:rPr>
          <w:sz w:val="24"/>
          <w:szCs w:val="24"/>
        </w:rPr>
      </w:pPr>
      <w:r w:rsidRPr="003D4A39">
        <w:rPr>
          <w:sz w:val="24"/>
          <w:szCs w:val="24"/>
        </w:rPr>
        <w:t>Docetaxel er et antineoplastisk stof, og ligesom andre potentielle toksiske stoffer skal det behandles med forsigtighed ved håndtering og tilberedning af docetaxel-opløsningerne. Det anbefales, at man anvender handsker.</w:t>
      </w:r>
    </w:p>
    <w:p w14:paraId="520A69E2" w14:textId="77777777" w:rsidR="003000A9" w:rsidRPr="003D4A39" w:rsidRDefault="003000A9" w:rsidP="003000A9">
      <w:pPr>
        <w:ind w:left="851"/>
        <w:rPr>
          <w:sz w:val="24"/>
          <w:szCs w:val="24"/>
        </w:rPr>
      </w:pPr>
    </w:p>
    <w:p w14:paraId="748CF37E" w14:textId="0B0AA713" w:rsidR="003000A9" w:rsidRPr="003D4A39" w:rsidRDefault="003000A9" w:rsidP="003000A9">
      <w:pPr>
        <w:ind w:left="851"/>
        <w:rPr>
          <w:sz w:val="24"/>
          <w:szCs w:val="24"/>
        </w:rPr>
      </w:pPr>
      <w:r w:rsidRPr="003D4A39">
        <w:rPr>
          <w:sz w:val="24"/>
          <w:szCs w:val="24"/>
        </w:rPr>
        <w:t>Hvis docetaxel infusionskoncentrat eller infusionsvæske skulle komme på huden, så vask omgående og grundigt med sæbe og vand. Hvis docetaxel infusionskoncentrat eller infusionsvæske skulle komme i kontakt med slimhinderne, så vask omgående og grundigt med vand.</w:t>
      </w:r>
    </w:p>
    <w:p w14:paraId="5E662B4C" w14:textId="77777777" w:rsidR="003000A9" w:rsidRPr="003D4A39" w:rsidRDefault="003000A9" w:rsidP="003000A9">
      <w:pPr>
        <w:ind w:left="851"/>
        <w:rPr>
          <w:sz w:val="24"/>
          <w:szCs w:val="24"/>
        </w:rPr>
      </w:pPr>
    </w:p>
    <w:p w14:paraId="1097ECA3" w14:textId="32B82B51" w:rsidR="003000A9" w:rsidRPr="003D4A39" w:rsidRDefault="003000A9" w:rsidP="003000A9">
      <w:pPr>
        <w:ind w:left="851"/>
        <w:rPr>
          <w:sz w:val="24"/>
          <w:szCs w:val="24"/>
          <w:u w:val="single"/>
        </w:rPr>
      </w:pPr>
      <w:r w:rsidRPr="003D4A39">
        <w:rPr>
          <w:sz w:val="24"/>
          <w:szCs w:val="24"/>
          <w:u w:val="single"/>
        </w:rPr>
        <w:t>Tilberedning for intravenøs admin</w:t>
      </w:r>
      <w:r>
        <w:rPr>
          <w:sz w:val="24"/>
          <w:szCs w:val="24"/>
          <w:u w:val="single"/>
        </w:rPr>
        <w:t>i</w:t>
      </w:r>
      <w:r w:rsidRPr="003D4A39">
        <w:rPr>
          <w:sz w:val="24"/>
          <w:szCs w:val="24"/>
          <w:u w:val="single"/>
        </w:rPr>
        <w:t>stration</w:t>
      </w:r>
    </w:p>
    <w:p w14:paraId="2F5DDD84" w14:textId="77777777" w:rsidR="003000A9" w:rsidRPr="003D4A39" w:rsidRDefault="003000A9" w:rsidP="003000A9">
      <w:pPr>
        <w:ind w:left="851"/>
        <w:rPr>
          <w:sz w:val="24"/>
          <w:szCs w:val="24"/>
        </w:rPr>
      </w:pPr>
    </w:p>
    <w:p w14:paraId="3F07E28D" w14:textId="77777777" w:rsidR="003000A9" w:rsidRPr="003D4A39" w:rsidRDefault="003000A9" w:rsidP="003000A9">
      <w:pPr>
        <w:ind w:left="851"/>
        <w:rPr>
          <w:i/>
          <w:sz w:val="24"/>
          <w:szCs w:val="24"/>
        </w:rPr>
      </w:pPr>
      <w:r w:rsidRPr="003D4A39">
        <w:rPr>
          <w:i/>
          <w:sz w:val="24"/>
          <w:szCs w:val="24"/>
          <w:u w:val="single"/>
        </w:rPr>
        <w:t>Tilberedning af infusionsvæsken</w:t>
      </w:r>
    </w:p>
    <w:p w14:paraId="2C8B0DA5" w14:textId="77777777" w:rsidR="003000A9" w:rsidRPr="003D4A39" w:rsidRDefault="003000A9" w:rsidP="003000A9">
      <w:pPr>
        <w:ind w:left="851"/>
        <w:rPr>
          <w:bCs/>
          <w:sz w:val="24"/>
          <w:szCs w:val="24"/>
        </w:rPr>
      </w:pPr>
      <w:r w:rsidRPr="003D4A39">
        <w:rPr>
          <w:bCs/>
          <w:sz w:val="24"/>
          <w:szCs w:val="24"/>
        </w:rPr>
        <w:t>Anvend IKKE andre docetaxellægemidler bestående af 2 hætteglas (koncentrat og solvens) sammen med dette lægemiddel.</w:t>
      </w:r>
    </w:p>
    <w:p w14:paraId="6D974549" w14:textId="5E628ABB" w:rsidR="003000A9" w:rsidRPr="005D4D80" w:rsidRDefault="003000A9" w:rsidP="003000A9">
      <w:pPr>
        <w:pStyle w:val="Listeafsnit"/>
        <w:numPr>
          <w:ilvl w:val="0"/>
          <w:numId w:val="22"/>
        </w:numPr>
        <w:rPr>
          <w:bCs/>
          <w:sz w:val="24"/>
          <w:szCs w:val="24"/>
        </w:rPr>
      </w:pPr>
      <w:r w:rsidRPr="005D4D80">
        <w:rPr>
          <w:bCs/>
          <w:sz w:val="24"/>
          <w:szCs w:val="24"/>
        </w:rPr>
        <w:t xml:space="preserve">Docetaxel </w:t>
      </w:r>
      <w:proofErr w:type="gramStart"/>
      <w:r w:rsidRPr="005D4D80">
        <w:rPr>
          <w:bCs/>
          <w:sz w:val="24"/>
          <w:szCs w:val="24"/>
        </w:rPr>
        <w:t>Nordic  20</w:t>
      </w:r>
      <w:proofErr w:type="gramEnd"/>
      <w:r w:rsidRPr="005D4D80">
        <w:rPr>
          <w:bCs/>
          <w:sz w:val="24"/>
          <w:szCs w:val="24"/>
        </w:rPr>
        <w:t xml:space="preserve"> mg/ml koncentrat til infusionsvæske, opløsning, som kun indeholder </w:t>
      </w:r>
      <w:r w:rsidRPr="005D4D80">
        <w:rPr>
          <w:sz w:val="24"/>
          <w:szCs w:val="24"/>
        </w:rPr>
        <w:t>1</w:t>
      </w:r>
      <w:r w:rsidRPr="005D4D80">
        <w:rPr>
          <w:bCs/>
          <w:sz w:val="24"/>
          <w:szCs w:val="24"/>
        </w:rPr>
        <w:t> hætteglas med 1 ml (20 mg/1 ml).</w:t>
      </w:r>
    </w:p>
    <w:p w14:paraId="5F49F342" w14:textId="05710CA4" w:rsidR="003000A9" w:rsidRPr="003D4A39" w:rsidRDefault="003000A9" w:rsidP="003000A9">
      <w:pPr>
        <w:numPr>
          <w:ilvl w:val="0"/>
          <w:numId w:val="22"/>
        </w:numPr>
        <w:rPr>
          <w:bCs/>
          <w:sz w:val="24"/>
          <w:szCs w:val="24"/>
        </w:rPr>
      </w:pPr>
      <w:r w:rsidRPr="003D4A39">
        <w:rPr>
          <w:bCs/>
          <w:sz w:val="24"/>
          <w:szCs w:val="24"/>
        </w:rPr>
        <w:t>Docetaxel Nordic 20 mg/ml koncentrat til infusionsvæske, opløsning, som kun indeholder 1 hætteglas med 4 ml (80 mg/4 ml).</w:t>
      </w:r>
    </w:p>
    <w:p w14:paraId="330620FD" w14:textId="5CFEA7D9" w:rsidR="003000A9" w:rsidRPr="003D4A39" w:rsidRDefault="003000A9" w:rsidP="003000A9">
      <w:pPr>
        <w:numPr>
          <w:ilvl w:val="0"/>
          <w:numId w:val="22"/>
        </w:numPr>
        <w:rPr>
          <w:bCs/>
          <w:sz w:val="24"/>
          <w:szCs w:val="24"/>
        </w:rPr>
      </w:pPr>
      <w:r w:rsidRPr="003D4A39">
        <w:rPr>
          <w:bCs/>
          <w:sz w:val="24"/>
          <w:szCs w:val="24"/>
        </w:rPr>
        <w:t>Docetaxel Nordic 20 mg/ml koncentrat til infusionsvæske, opløsning, som kun indeholder 1 hætteglas med 8 ml (160 mg/8 ml).</w:t>
      </w:r>
    </w:p>
    <w:p w14:paraId="0D2C66F9" w14:textId="77777777" w:rsidR="003000A9" w:rsidRPr="003D4A39" w:rsidRDefault="003000A9" w:rsidP="003000A9">
      <w:pPr>
        <w:ind w:left="851"/>
        <w:rPr>
          <w:sz w:val="24"/>
          <w:szCs w:val="24"/>
        </w:rPr>
      </w:pPr>
    </w:p>
    <w:p w14:paraId="7B7728DC" w14:textId="307A197B" w:rsidR="003000A9" w:rsidRPr="003D4A39" w:rsidRDefault="003000A9" w:rsidP="003000A9">
      <w:pPr>
        <w:ind w:left="851"/>
        <w:rPr>
          <w:b/>
          <w:sz w:val="24"/>
          <w:szCs w:val="24"/>
        </w:rPr>
      </w:pPr>
      <w:r w:rsidRPr="003D4A39">
        <w:rPr>
          <w:b/>
          <w:sz w:val="24"/>
          <w:szCs w:val="24"/>
        </w:rPr>
        <w:t xml:space="preserve">Docetaxel </w:t>
      </w:r>
      <w:proofErr w:type="gramStart"/>
      <w:r w:rsidRPr="003D4A39">
        <w:rPr>
          <w:b/>
          <w:sz w:val="24"/>
          <w:szCs w:val="24"/>
        </w:rPr>
        <w:t xml:space="preserve">Nordic, </w:t>
      </w:r>
      <w:r w:rsidRPr="003D4A39">
        <w:rPr>
          <w:b/>
          <w:bCs/>
          <w:sz w:val="24"/>
          <w:szCs w:val="24"/>
        </w:rPr>
        <w:t xml:space="preserve"> 20</w:t>
      </w:r>
      <w:proofErr w:type="gramEnd"/>
      <w:r w:rsidRPr="003D4A39">
        <w:rPr>
          <w:b/>
          <w:bCs/>
          <w:sz w:val="24"/>
          <w:szCs w:val="24"/>
        </w:rPr>
        <w:t> mg/ml koncentrat til infusionsvæske, opløsning, kræver INGEN forudgående fortynding med en solvens, men er klar til tilsætning til infusionsvæske.</w:t>
      </w:r>
    </w:p>
    <w:p w14:paraId="4F22F076" w14:textId="77777777" w:rsidR="006B34A1" w:rsidRPr="008D45EF" w:rsidRDefault="006B34A1" w:rsidP="003000A9">
      <w:pPr>
        <w:rPr>
          <w:sz w:val="24"/>
          <w:szCs w:val="24"/>
        </w:rPr>
      </w:pPr>
    </w:p>
    <w:p w14:paraId="0A6FAE12" w14:textId="77777777" w:rsidR="006B34A1" w:rsidRPr="008D45EF" w:rsidRDefault="006B34A1" w:rsidP="0081699D">
      <w:pPr>
        <w:ind w:left="851"/>
        <w:rPr>
          <w:sz w:val="24"/>
          <w:szCs w:val="24"/>
        </w:rPr>
      </w:pPr>
      <w:r w:rsidRPr="008D45EF">
        <w:rPr>
          <w:sz w:val="24"/>
          <w:szCs w:val="24"/>
        </w:rPr>
        <w:t>Hvert hætteglas er til engangsbrug og bør anvendes straks.</w:t>
      </w:r>
    </w:p>
    <w:p w14:paraId="79759BC9" w14:textId="77777777" w:rsidR="006B34A1" w:rsidRPr="008D45EF" w:rsidRDefault="006B34A1" w:rsidP="0081699D">
      <w:pPr>
        <w:ind w:left="851"/>
        <w:rPr>
          <w:sz w:val="24"/>
          <w:szCs w:val="24"/>
        </w:rPr>
      </w:pPr>
    </w:p>
    <w:p w14:paraId="2FE67784" w14:textId="77777777" w:rsidR="006B34A1" w:rsidRPr="008D45EF" w:rsidRDefault="006B34A1" w:rsidP="0081699D">
      <w:pPr>
        <w:ind w:left="851"/>
        <w:rPr>
          <w:sz w:val="24"/>
          <w:szCs w:val="24"/>
        </w:rPr>
      </w:pPr>
      <w:r w:rsidRPr="008D45EF">
        <w:rPr>
          <w:sz w:val="24"/>
          <w:szCs w:val="24"/>
        </w:rPr>
        <w:t>Hvis hætteglassene opbevares i køleskab, skal det nødvendige antal pakninger med docetaxel koncentrat til infusionsvæske, opløsning, stå ved 20</w:t>
      </w:r>
      <w:r w:rsidRPr="008D45EF">
        <w:rPr>
          <w:sz w:val="24"/>
          <w:szCs w:val="24"/>
        </w:rPr>
        <w:noBreakHyphen/>
        <w:t xml:space="preserve">25 °C i 5 minutter før brug. </w:t>
      </w:r>
    </w:p>
    <w:p w14:paraId="3783C26B" w14:textId="77777777" w:rsidR="006B34A1" w:rsidRPr="008D45EF" w:rsidRDefault="006B34A1" w:rsidP="0081699D">
      <w:pPr>
        <w:ind w:left="851"/>
        <w:rPr>
          <w:sz w:val="24"/>
          <w:szCs w:val="24"/>
        </w:rPr>
      </w:pPr>
    </w:p>
    <w:p w14:paraId="54C656F1" w14:textId="77777777" w:rsidR="006B34A1" w:rsidRPr="008D45EF" w:rsidRDefault="006B34A1" w:rsidP="0081699D">
      <w:pPr>
        <w:ind w:left="851"/>
        <w:rPr>
          <w:sz w:val="24"/>
          <w:szCs w:val="24"/>
        </w:rPr>
      </w:pPr>
      <w:r w:rsidRPr="008D45EF">
        <w:rPr>
          <w:sz w:val="24"/>
          <w:szCs w:val="24"/>
        </w:rPr>
        <w:t>For at kunne udtage den korrekte dosis til patienten kan det være nødvendigt at anvende mere end et hætteglas docetaxel koncentrat til infusionsvæske, opløsning. Udtag den ønskede mængde docetaxel koncentrat til infusionsvæske, opløsning, aseptisk med en kalibreret sprøjte påsat en 21G</w:t>
      </w:r>
      <w:r w:rsidRPr="008D45EF">
        <w:rPr>
          <w:sz w:val="24"/>
          <w:szCs w:val="24"/>
        </w:rPr>
        <w:noBreakHyphen/>
        <w:t>kanyle.</w:t>
      </w:r>
    </w:p>
    <w:p w14:paraId="58022DBF" w14:textId="77777777" w:rsidR="006B34A1" w:rsidRPr="008D45EF" w:rsidRDefault="006B34A1" w:rsidP="0081699D">
      <w:pPr>
        <w:ind w:left="851"/>
        <w:rPr>
          <w:b/>
          <w:sz w:val="24"/>
          <w:szCs w:val="24"/>
        </w:rPr>
      </w:pPr>
    </w:p>
    <w:p w14:paraId="66A1DC30" w14:textId="77777777" w:rsidR="006B34A1" w:rsidRPr="008D45EF" w:rsidRDefault="006B34A1" w:rsidP="003000A9">
      <w:pPr>
        <w:keepNext/>
        <w:ind w:left="851"/>
        <w:rPr>
          <w:sz w:val="24"/>
          <w:szCs w:val="24"/>
        </w:rPr>
      </w:pPr>
      <w:r w:rsidRPr="008D45EF">
        <w:rPr>
          <w:b/>
          <w:sz w:val="24"/>
          <w:szCs w:val="24"/>
        </w:rPr>
        <w:t>Hver ml lægemiddel indeholder 20 mg docetaxel.</w:t>
      </w:r>
    </w:p>
    <w:p w14:paraId="6A891B8A" w14:textId="77777777" w:rsidR="006B34A1" w:rsidRPr="008D45EF" w:rsidRDefault="006B34A1" w:rsidP="0081699D">
      <w:pPr>
        <w:ind w:left="851"/>
        <w:rPr>
          <w:sz w:val="24"/>
          <w:szCs w:val="24"/>
        </w:rPr>
      </w:pPr>
    </w:p>
    <w:p w14:paraId="28F271DF" w14:textId="77777777" w:rsidR="006B34A1" w:rsidRPr="008D45EF" w:rsidRDefault="006B34A1" w:rsidP="0081699D">
      <w:pPr>
        <w:ind w:left="851"/>
        <w:rPr>
          <w:sz w:val="24"/>
          <w:szCs w:val="24"/>
        </w:rPr>
      </w:pPr>
      <w:r w:rsidRPr="008D45EF">
        <w:rPr>
          <w:sz w:val="24"/>
          <w:szCs w:val="24"/>
        </w:rPr>
        <w:t>Den nødvendige mængde docetaxel koncentrat til infusionsvæske, opløsning, skal via en enkelt injektion (et skud) injiceres i en 250 ml infusionspose eller -flaske indeholdende enten 5 % glucoseinfusionsvæske eller 0,9 % natriumchloridinfusionsvæske.</w:t>
      </w:r>
    </w:p>
    <w:p w14:paraId="780751B3" w14:textId="77777777" w:rsidR="006B34A1" w:rsidRPr="008D45EF" w:rsidRDefault="006B34A1" w:rsidP="0081699D">
      <w:pPr>
        <w:ind w:left="851"/>
        <w:rPr>
          <w:sz w:val="24"/>
          <w:szCs w:val="24"/>
        </w:rPr>
      </w:pPr>
    </w:p>
    <w:p w14:paraId="4BD62A20" w14:textId="77777777" w:rsidR="006B34A1" w:rsidRPr="008D45EF" w:rsidRDefault="006B34A1" w:rsidP="0081699D">
      <w:pPr>
        <w:ind w:left="851"/>
        <w:rPr>
          <w:sz w:val="24"/>
          <w:szCs w:val="24"/>
        </w:rPr>
      </w:pPr>
      <w:r w:rsidRPr="008D45EF">
        <w:rPr>
          <w:sz w:val="24"/>
          <w:szCs w:val="24"/>
        </w:rPr>
        <w:t>Hvis det er nødvendigt at anvende doser, som er større end 190 mg docetaxel, skal der anvendes et større volumen af infusionsvæsken, så man ikke overstiger en koncentration på 0,74 mg docetaxel/ml.</w:t>
      </w:r>
    </w:p>
    <w:p w14:paraId="721AEF41" w14:textId="77777777" w:rsidR="006B34A1" w:rsidRPr="008D45EF" w:rsidRDefault="006B34A1" w:rsidP="0081699D">
      <w:pPr>
        <w:ind w:left="851"/>
        <w:rPr>
          <w:sz w:val="24"/>
          <w:szCs w:val="24"/>
        </w:rPr>
      </w:pPr>
    </w:p>
    <w:p w14:paraId="0E598475" w14:textId="77777777" w:rsidR="006B34A1" w:rsidRPr="008D45EF" w:rsidRDefault="006B34A1" w:rsidP="0081699D">
      <w:pPr>
        <w:ind w:left="851"/>
        <w:rPr>
          <w:sz w:val="24"/>
          <w:szCs w:val="24"/>
        </w:rPr>
      </w:pPr>
      <w:r w:rsidRPr="008D45EF">
        <w:rPr>
          <w:sz w:val="24"/>
          <w:szCs w:val="24"/>
        </w:rPr>
        <w:t>Bland manuelt opløsningen i infusionsposen eller -flasken med vippende bevægelser.</w:t>
      </w:r>
    </w:p>
    <w:p w14:paraId="1B3B2917" w14:textId="77777777" w:rsidR="006B34A1" w:rsidRPr="008D45EF" w:rsidRDefault="006B34A1" w:rsidP="0081699D">
      <w:pPr>
        <w:ind w:left="851"/>
        <w:rPr>
          <w:sz w:val="24"/>
          <w:szCs w:val="24"/>
        </w:rPr>
      </w:pPr>
    </w:p>
    <w:p w14:paraId="47A40DC1" w14:textId="77777777" w:rsidR="006B34A1" w:rsidRPr="008D45EF" w:rsidRDefault="006B34A1" w:rsidP="0081699D">
      <w:pPr>
        <w:ind w:left="851"/>
        <w:rPr>
          <w:sz w:val="24"/>
          <w:szCs w:val="24"/>
        </w:rPr>
      </w:pPr>
      <w:r w:rsidRPr="008D45EF">
        <w:rPr>
          <w:sz w:val="24"/>
          <w:szCs w:val="24"/>
        </w:rPr>
        <w:t xml:space="preserve">Posen med infusionsopløsningen skal bruges inden for 8 timer ved opbevaring under </w:t>
      </w:r>
      <w:smartTag w:uri="urn:schemas-microsoft-com:office:smarttags" w:element="metricconverter">
        <w:smartTagPr>
          <w:attr w:name="ProductID" w:val="25ﾠﾰC"/>
        </w:smartTagPr>
        <w:r w:rsidRPr="008D45EF">
          <w:rPr>
            <w:sz w:val="24"/>
            <w:szCs w:val="24"/>
          </w:rPr>
          <w:t>25 °C</w:t>
        </w:r>
      </w:smartTag>
      <w:r w:rsidRPr="008D45EF">
        <w:rPr>
          <w:sz w:val="24"/>
          <w:szCs w:val="24"/>
        </w:rPr>
        <w:t xml:space="preserve"> inklusive den time, patienten får infusionen.</w:t>
      </w:r>
    </w:p>
    <w:p w14:paraId="7BB07A01" w14:textId="77777777" w:rsidR="006B34A1" w:rsidRPr="008D45EF" w:rsidRDefault="006B34A1" w:rsidP="0081699D">
      <w:pPr>
        <w:ind w:left="851"/>
        <w:rPr>
          <w:sz w:val="24"/>
          <w:szCs w:val="24"/>
        </w:rPr>
      </w:pPr>
    </w:p>
    <w:p w14:paraId="065684AD" w14:textId="174E35E4" w:rsidR="003000A9" w:rsidRPr="003D4A39" w:rsidRDefault="003000A9" w:rsidP="003000A9">
      <w:pPr>
        <w:ind w:left="851"/>
        <w:rPr>
          <w:sz w:val="24"/>
          <w:szCs w:val="24"/>
        </w:rPr>
      </w:pPr>
      <w:r w:rsidRPr="003D4A39">
        <w:rPr>
          <w:sz w:val="24"/>
          <w:szCs w:val="24"/>
        </w:rPr>
        <w:t>Selvom kontakttiden er meget lille, anbefales der som en forsigtighedsregel kun slanger og administrationssæt uden PVC.</w:t>
      </w:r>
    </w:p>
    <w:p w14:paraId="402CA33C" w14:textId="77777777" w:rsidR="003000A9" w:rsidRPr="003D4A39" w:rsidRDefault="003000A9" w:rsidP="003000A9">
      <w:pPr>
        <w:ind w:left="851"/>
        <w:rPr>
          <w:sz w:val="24"/>
          <w:szCs w:val="24"/>
        </w:rPr>
      </w:pPr>
    </w:p>
    <w:p w14:paraId="0B7F0C18" w14:textId="2E763C3A" w:rsidR="003000A9" w:rsidRPr="003D4A39" w:rsidRDefault="003000A9" w:rsidP="003000A9">
      <w:pPr>
        <w:ind w:left="851"/>
        <w:rPr>
          <w:sz w:val="24"/>
          <w:szCs w:val="24"/>
        </w:rPr>
      </w:pPr>
      <w:r w:rsidRPr="003D4A39">
        <w:rPr>
          <w:sz w:val="24"/>
          <w:szCs w:val="24"/>
        </w:rPr>
        <w:t>Som ved alle andre parenterale lægemidler skal Docetaxel Nordic infusionsvæske kontrolleres visuelt for uklarheder, og opløsninger med udfældning skal kasseres.</w:t>
      </w:r>
    </w:p>
    <w:p w14:paraId="23FF9949" w14:textId="77777777" w:rsidR="003000A9" w:rsidRPr="003D4A39" w:rsidRDefault="003000A9" w:rsidP="003000A9">
      <w:pPr>
        <w:ind w:left="851"/>
        <w:rPr>
          <w:sz w:val="24"/>
          <w:szCs w:val="24"/>
        </w:rPr>
      </w:pPr>
    </w:p>
    <w:p w14:paraId="1FA85193" w14:textId="77777777" w:rsidR="003000A9" w:rsidRDefault="003000A9" w:rsidP="003000A9">
      <w:pPr>
        <w:ind w:left="851"/>
        <w:rPr>
          <w:sz w:val="24"/>
          <w:szCs w:val="24"/>
        </w:rPr>
      </w:pPr>
      <w:r w:rsidRPr="003D4A39">
        <w:rPr>
          <w:sz w:val="24"/>
          <w:szCs w:val="24"/>
        </w:rPr>
        <w:t>Ikke anvendt lægemiddel samt affald heraf skal bortskaffes i henhold til lokale retningslinjer.</w:t>
      </w:r>
    </w:p>
    <w:p w14:paraId="50A023E1" w14:textId="77777777" w:rsidR="006B34A1" w:rsidRPr="008D45EF" w:rsidRDefault="006B34A1" w:rsidP="0081699D">
      <w:pPr>
        <w:ind w:left="851"/>
        <w:jc w:val="both"/>
        <w:rPr>
          <w:sz w:val="24"/>
          <w:szCs w:val="24"/>
        </w:rPr>
      </w:pPr>
    </w:p>
    <w:p w14:paraId="2A8D4E80" w14:textId="77777777" w:rsidR="006B34A1" w:rsidRPr="008D45EF" w:rsidRDefault="006B34A1" w:rsidP="0081699D">
      <w:pPr>
        <w:ind w:left="851" w:hanging="851"/>
        <w:rPr>
          <w:b/>
          <w:sz w:val="24"/>
          <w:szCs w:val="24"/>
        </w:rPr>
      </w:pPr>
      <w:r w:rsidRPr="008D45EF">
        <w:rPr>
          <w:b/>
          <w:sz w:val="24"/>
          <w:szCs w:val="24"/>
        </w:rPr>
        <w:t>7.</w:t>
      </w:r>
      <w:r w:rsidRPr="008D45EF">
        <w:rPr>
          <w:b/>
          <w:sz w:val="24"/>
          <w:szCs w:val="24"/>
        </w:rPr>
        <w:tab/>
        <w:t>INDEHAVER AF MARKEDSFØRINGSTILLADELSEN</w:t>
      </w:r>
    </w:p>
    <w:p w14:paraId="0A093D39" w14:textId="77777777" w:rsidR="00B53BC4" w:rsidRPr="00922A8B" w:rsidRDefault="00B53BC4" w:rsidP="00B53BC4">
      <w:pPr>
        <w:ind w:left="851"/>
        <w:rPr>
          <w:sz w:val="24"/>
          <w:szCs w:val="24"/>
        </w:rPr>
      </w:pPr>
      <w:r w:rsidRPr="00922A8B">
        <w:rPr>
          <w:sz w:val="24"/>
          <w:szCs w:val="24"/>
        </w:rPr>
        <w:t>Nordic Group B.V.</w:t>
      </w:r>
    </w:p>
    <w:p w14:paraId="1F7E7A71" w14:textId="77777777" w:rsidR="00B53BC4" w:rsidRPr="00B53BC4" w:rsidRDefault="00B53BC4" w:rsidP="00B53BC4">
      <w:pPr>
        <w:ind w:left="851"/>
        <w:rPr>
          <w:sz w:val="24"/>
          <w:szCs w:val="24"/>
          <w:lang w:val="en-US"/>
        </w:rPr>
      </w:pPr>
      <w:r w:rsidRPr="00B53BC4">
        <w:rPr>
          <w:sz w:val="24"/>
          <w:szCs w:val="24"/>
          <w:lang w:val="en-US"/>
        </w:rPr>
        <w:t>Siriusdreef 41</w:t>
      </w:r>
    </w:p>
    <w:p w14:paraId="522C0682" w14:textId="77777777" w:rsidR="00B53BC4" w:rsidRPr="00922A8B" w:rsidRDefault="00B53BC4" w:rsidP="00B53BC4">
      <w:pPr>
        <w:ind w:left="851"/>
        <w:rPr>
          <w:sz w:val="24"/>
          <w:szCs w:val="24"/>
          <w:lang w:val="en-US"/>
        </w:rPr>
      </w:pPr>
      <w:r w:rsidRPr="00922A8B">
        <w:rPr>
          <w:sz w:val="24"/>
          <w:szCs w:val="24"/>
          <w:lang w:val="en-US"/>
        </w:rPr>
        <w:t>2132 WT Hoofddorp</w:t>
      </w:r>
    </w:p>
    <w:p w14:paraId="7E0291AC" w14:textId="77777777" w:rsidR="00B53BC4" w:rsidRPr="00922A8B" w:rsidRDefault="00B53BC4" w:rsidP="00B53BC4">
      <w:pPr>
        <w:ind w:left="851"/>
        <w:rPr>
          <w:sz w:val="24"/>
          <w:szCs w:val="24"/>
          <w:lang w:val="en-US"/>
        </w:rPr>
      </w:pPr>
      <w:r w:rsidRPr="00922A8B">
        <w:rPr>
          <w:sz w:val="24"/>
          <w:szCs w:val="24"/>
          <w:lang w:val="en-US"/>
        </w:rPr>
        <w:t>Holland</w:t>
      </w:r>
    </w:p>
    <w:p w14:paraId="439B7BA1" w14:textId="77777777" w:rsidR="00B53BC4" w:rsidRPr="00922A8B" w:rsidRDefault="00B53BC4" w:rsidP="00B53BC4">
      <w:pPr>
        <w:ind w:left="851"/>
        <w:rPr>
          <w:sz w:val="24"/>
          <w:szCs w:val="24"/>
          <w:lang w:val="en-US"/>
        </w:rPr>
      </w:pPr>
    </w:p>
    <w:p w14:paraId="3EE2AAFA" w14:textId="77777777" w:rsidR="00B53BC4" w:rsidRPr="00922A8B" w:rsidRDefault="00B4276F" w:rsidP="00B53BC4">
      <w:pPr>
        <w:ind w:left="851"/>
        <w:rPr>
          <w:b/>
          <w:sz w:val="24"/>
          <w:szCs w:val="24"/>
          <w:lang w:val="en-US"/>
        </w:rPr>
      </w:pPr>
      <w:r w:rsidRPr="00922A8B">
        <w:rPr>
          <w:b/>
          <w:sz w:val="24"/>
          <w:szCs w:val="24"/>
          <w:lang w:val="en-US"/>
        </w:rPr>
        <w:t>R</w:t>
      </w:r>
      <w:r w:rsidR="00B53BC4" w:rsidRPr="00922A8B">
        <w:rPr>
          <w:b/>
          <w:sz w:val="24"/>
          <w:szCs w:val="24"/>
          <w:lang w:val="en-US"/>
        </w:rPr>
        <w:t>epræsentant</w:t>
      </w:r>
    </w:p>
    <w:p w14:paraId="18C60A58" w14:textId="77777777" w:rsidR="00B53BC4" w:rsidRPr="00922A8B" w:rsidRDefault="00B53BC4" w:rsidP="00B53BC4">
      <w:pPr>
        <w:ind w:left="851"/>
        <w:rPr>
          <w:sz w:val="24"/>
          <w:szCs w:val="24"/>
          <w:lang w:val="en-US"/>
        </w:rPr>
      </w:pPr>
      <w:bookmarkStart w:id="0" w:name="_Hlk76726792"/>
      <w:r w:rsidRPr="00922A8B">
        <w:rPr>
          <w:sz w:val="24"/>
          <w:szCs w:val="24"/>
          <w:lang w:val="en-US"/>
        </w:rPr>
        <w:t>Nordic Drugs AB</w:t>
      </w:r>
    </w:p>
    <w:p w14:paraId="00879D6D" w14:textId="77777777" w:rsidR="002806A0" w:rsidRPr="00922A8B" w:rsidRDefault="00B4276F" w:rsidP="00B53BC4">
      <w:pPr>
        <w:ind w:left="851"/>
        <w:rPr>
          <w:sz w:val="24"/>
          <w:szCs w:val="24"/>
          <w:lang w:val="en-US"/>
        </w:rPr>
      </w:pPr>
      <w:r w:rsidRPr="00922A8B">
        <w:rPr>
          <w:sz w:val="24"/>
          <w:szCs w:val="24"/>
          <w:lang w:val="en-US"/>
        </w:rPr>
        <w:t>Geijersgatan 2 A</w:t>
      </w:r>
    </w:p>
    <w:p w14:paraId="6DAF0EB3" w14:textId="77777777" w:rsidR="00B53BC4" w:rsidRPr="00B53BC4" w:rsidRDefault="00B53BC4" w:rsidP="00B53BC4">
      <w:pPr>
        <w:ind w:left="851"/>
        <w:rPr>
          <w:sz w:val="24"/>
          <w:szCs w:val="24"/>
        </w:rPr>
      </w:pPr>
      <w:r w:rsidRPr="00B53BC4">
        <w:rPr>
          <w:sz w:val="24"/>
          <w:szCs w:val="24"/>
        </w:rPr>
        <w:t xml:space="preserve">Box 300 35 </w:t>
      </w:r>
    </w:p>
    <w:p w14:paraId="6FD3DA64" w14:textId="77777777" w:rsidR="00B53BC4" w:rsidRPr="00B53BC4" w:rsidRDefault="00B53BC4" w:rsidP="00B53BC4">
      <w:pPr>
        <w:ind w:left="851"/>
        <w:rPr>
          <w:sz w:val="24"/>
          <w:szCs w:val="24"/>
        </w:rPr>
      </w:pPr>
      <w:r w:rsidRPr="00B53BC4">
        <w:rPr>
          <w:sz w:val="24"/>
          <w:szCs w:val="24"/>
        </w:rPr>
        <w:t xml:space="preserve">200 61 Limhamn </w:t>
      </w:r>
    </w:p>
    <w:p w14:paraId="2D6E3354" w14:textId="77777777" w:rsidR="00B53BC4" w:rsidRPr="00B53BC4" w:rsidRDefault="00B53BC4" w:rsidP="00B53BC4">
      <w:pPr>
        <w:ind w:left="851"/>
        <w:rPr>
          <w:sz w:val="24"/>
          <w:szCs w:val="24"/>
        </w:rPr>
      </w:pPr>
      <w:r w:rsidRPr="00B53BC4">
        <w:rPr>
          <w:sz w:val="24"/>
          <w:szCs w:val="24"/>
        </w:rPr>
        <w:t xml:space="preserve">Sverige </w:t>
      </w:r>
    </w:p>
    <w:bookmarkEnd w:id="0"/>
    <w:p w14:paraId="77B3E0E0" w14:textId="77777777" w:rsidR="006B34A1" w:rsidRPr="008D45EF" w:rsidRDefault="006B34A1" w:rsidP="0081699D">
      <w:pPr>
        <w:ind w:left="851"/>
        <w:rPr>
          <w:sz w:val="24"/>
          <w:szCs w:val="24"/>
        </w:rPr>
      </w:pPr>
    </w:p>
    <w:p w14:paraId="4AC6D687" w14:textId="05F17C61" w:rsidR="006B34A1" w:rsidRPr="008D45EF" w:rsidRDefault="006B34A1" w:rsidP="0081699D">
      <w:pPr>
        <w:ind w:left="851" w:hanging="851"/>
        <w:rPr>
          <w:b/>
          <w:sz w:val="24"/>
          <w:szCs w:val="24"/>
        </w:rPr>
      </w:pPr>
      <w:r w:rsidRPr="008D45EF">
        <w:rPr>
          <w:b/>
          <w:sz w:val="24"/>
          <w:szCs w:val="24"/>
        </w:rPr>
        <w:t>8.</w:t>
      </w:r>
      <w:r w:rsidRPr="008D45EF">
        <w:rPr>
          <w:b/>
          <w:sz w:val="24"/>
          <w:szCs w:val="24"/>
        </w:rPr>
        <w:tab/>
        <w:t>MARKEDSFØRINGSTILLADELSESNUMMER (</w:t>
      </w:r>
      <w:r w:rsidR="009B0C24">
        <w:rPr>
          <w:b/>
          <w:sz w:val="24"/>
          <w:szCs w:val="24"/>
        </w:rPr>
        <w:t>-</w:t>
      </w:r>
      <w:r w:rsidRPr="008D45EF">
        <w:rPr>
          <w:b/>
          <w:sz w:val="24"/>
          <w:szCs w:val="24"/>
        </w:rPr>
        <w:t>NUMRE)</w:t>
      </w:r>
    </w:p>
    <w:p w14:paraId="4920DB46" w14:textId="77777777" w:rsidR="006B34A1" w:rsidRPr="008D45EF" w:rsidRDefault="006B34A1" w:rsidP="0081699D">
      <w:pPr>
        <w:ind w:left="851"/>
        <w:rPr>
          <w:sz w:val="24"/>
          <w:szCs w:val="24"/>
        </w:rPr>
      </w:pPr>
      <w:r>
        <w:rPr>
          <w:sz w:val="24"/>
          <w:szCs w:val="24"/>
        </w:rPr>
        <w:t>49986</w:t>
      </w:r>
    </w:p>
    <w:p w14:paraId="0C88EB4B" w14:textId="77777777" w:rsidR="006B34A1" w:rsidRPr="008D45EF" w:rsidRDefault="006B34A1" w:rsidP="0081699D">
      <w:pPr>
        <w:ind w:left="851"/>
        <w:jc w:val="both"/>
        <w:rPr>
          <w:sz w:val="24"/>
          <w:szCs w:val="24"/>
        </w:rPr>
      </w:pPr>
    </w:p>
    <w:p w14:paraId="7BB74E12" w14:textId="77777777" w:rsidR="006B34A1" w:rsidRPr="008D45EF" w:rsidRDefault="006B34A1" w:rsidP="0081699D">
      <w:pPr>
        <w:ind w:left="851" w:hanging="851"/>
        <w:rPr>
          <w:b/>
          <w:sz w:val="24"/>
          <w:szCs w:val="24"/>
        </w:rPr>
      </w:pPr>
      <w:r w:rsidRPr="008D45EF">
        <w:rPr>
          <w:b/>
          <w:sz w:val="24"/>
          <w:szCs w:val="24"/>
        </w:rPr>
        <w:t>9.</w:t>
      </w:r>
      <w:r w:rsidRPr="008D45EF">
        <w:rPr>
          <w:b/>
          <w:sz w:val="24"/>
          <w:szCs w:val="24"/>
        </w:rPr>
        <w:tab/>
        <w:t>DATO FOR FØRSTE MARKEDSFØRINGSTILLADELSE</w:t>
      </w:r>
    </w:p>
    <w:p w14:paraId="423B00B9" w14:textId="77777777" w:rsidR="006B34A1" w:rsidRPr="008D45EF" w:rsidRDefault="006B34A1" w:rsidP="0081699D">
      <w:pPr>
        <w:ind w:left="851"/>
        <w:rPr>
          <w:sz w:val="24"/>
          <w:szCs w:val="24"/>
        </w:rPr>
      </w:pPr>
      <w:r>
        <w:rPr>
          <w:sz w:val="24"/>
          <w:szCs w:val="24"/>
        </w:rPr>
        <w:t>12. juni 2014</w:t>
      </w:r>
    </w:p>
    <w:p w14:paraId="6C97A088" w14:textId="77777777" w:rsidR="006B34A1" w:rsidRPr="008D45EF" w:rsidRDefault="006B34A1" w:rsidP="0081699D">
      <w:pPr>
        <w:ind w:left="851"/>
        <w:rPr>
          <w:sz w:val="24"/>
          <w:szCs w:val="24"/>
        </w:rPr>
      </w:pPr>
    </w:p>
    <w:p w14:paraId="0FF66DC1" w14:textId="77777777" w:rsidR="006B34A1" w:rsidRPr="008D45EF" w:rsidRDefault="006B34A1" w:rsidP="0081699D">
      <w:pPr>
        <w:ind w:left="851" w:hanging="851"/>
        <w:rPr>
          <w:b/>
          <w:sz w:val="24"/>
          <w:szCs w:val="24"/>
        </w:rPr>
      </w:pPr>
      <w:r w:rsidRPr="008D45EF">
        <w:rPr>
          <w:b/>
          <w:sz w:val="24"/>
          <w:szCs w:val="24"/>
        </w:rPr>
        <w:t>10.</w:t>
      </w:r>
      <w:r w:rsidRPr="008D45EF">
        <w:rPr>
          <w:b/>
          <w:sz w:val="24"/>
          <w:szCs w:val="24"/>
        </w:rPr>
        <w:tab/>
        <w:t>DATO FOR ÆNDRING AF TEKSTEN</w:t>
      </w:r>
    </w:p>
    <w:p w14:paraId="7BDD51C3" w14:textId="6D710075" w:rsidR="009260DE" w:rsidRPr="002A7D83" w:rsidRDefault="002535BC" w:rsidP="0081699D">
      <w:pPr>
        <w:ind w:left="851"/>
        <w:rPr>
          <w:sz w:val="24"/>
          <w:szCs w:val="24"/>
        </w:rPr>
      </w:pPr>
      <w:r>
        <w:rPr>
          <w:sz w:val="24"/>
          <w:szCs w:val="24"/>
        </w:rPr>
        <w:t>20</w:t>
      </w:r>
      <w:bookmarkStart w:id="1" w:name="_GoBack"/>
      <w:bookmarkEnd w:id="1"/>
      <w:r w:rsidR="00505D09">
        <w:rPr>
          <w:sz w:val="24"/>
          <w:szCs w:val="24"/>
        </w:rPr>
        <w:t>. februar 2025</w:t>
      </w:r>
    </w:p>
    <w:sectPr w:rsidR="009260DE" w:rsidRPr="002A7D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8CC56" w14:textId="77777777" w:rsidR="00505D09" w:rsidRDefault="00505D09">
      <w:r>
        <w:separator/>
      </w:r>
    </w:p>
  </w:endnote>
  <w:endnote w:type="continuationSeparator" w:id="0">
    <w:p w14:paraId="07B8C540" w14:textId="77777777" w:rsidR="00505D09" w:rsidRDefault="0050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29A6C" w14:textId="77777777" w:rsidR="00505D09" w:rsidRDefault="00505D09">
    <w:pPr>
      <w:pStyle w:val="Sidefod"/>
      <w:pBdr>
        <w:bottom w:val="single" w:sz="6" w:space="1" w:color="auto"/>
      </w:pBdr>
    </w:pPr>
  </w:p>
  <w:p w14:paraId="342B00FE" w14:textId="77777777" w:rsidR="00505D09" w:rsidRDefault="00505D09" w:rsidP="00C42586">
    <w:pPr>
      <w:pStyle w:val="Sidefod"/>
      <w:tabs>
        <w:tab w:val="clear" w:pos="4819"/>
        <w:tab w:val="left" w:pos="8505"/>
      </w:tabs>
      <w:rPr>
        <w:i/>
        <w:sz w:val="18"/>
        <w:szCs w:val="18"/>
      </w:rPr>
    </w:pPr>
  </w:p>
  <w:p w14:paraId="70D1EF5B" w14:textId="77777777" w:rsidR="00505D09" w:rsidRPr="00B373D7" w:rsidRDefault="00505D0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Docetaxel Nordic, koncentrat til infusionsvæske, opløsning 20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872C0" w14:textId="77777777" w:rsidR="00505D09" w:rsidRDefault="00505D09">
      <w:r>
        <w:separator/>
      </w:r>
    </w:p>
  </w:footnote>
  <w:footnote w:type="continuationSeparator" w:id="0">
    <w:p w14:paraId="559B6ACC" w14:textId="77777777" w:rsidR="00505D09" w:rsidRDefault="00505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037F5"/>
    <w:multiLevelType w:val="hybridMultilevel"/>
    <w:tmpl w:val="E6282DB4"/>
    <w:lvl w:ilvl="0" w:tplc="04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lvl>
    <w:lvl w:ilvl="5">
      <w:start w:val="1"/>
      <w:numFmt w:val="lowerLetter"/>
      <w:lvlText w:val="%6)"/>
      <w:lvlJc w:val="left"/>
      <w:pPr>
        <w:tabs>
          <w:tab w:val="num" w:pos="1663"/>
        </w:tabs>
        <w:ind w:left="1663" w:hanging="432"/>
      </w:pPr>
    </w:lvl>
    <w:lvl w:ilvl="6">
      <w:start w:val="1"/>
      <w:numFmt w:val="lowerRoman"/>
      <w:lvlText w:val="%7)"/>
      <w:lvlJc w:val="right"/>
      <w:pPr>
        <w:tabs>
          <w:tab w:val="num" w:pos="1807"/>
        </w:tabs>
        <w:ind w:left="1807" w:hanging="288"/>
      </w:pPr>
    </w:lvl>
    <w:lvl w:ilvl="7">
      <w:start w:val="1"/>
      <w:numFmt w:val="lowerLetter"/>
      <w:lvlText w:val="%8."/>
      <w:lvlJc w:val="left"/>
      <w:pPr>
        <w:tabs>
          <w:tab w:val="num" w:pos="1951"/>
        </w:tabs>
        <w:ind w:left="1951" w:hanging="432"/>
      </w:p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FD45C54"/>
    <w:multiLevelType w:val="hybridMultilevel"/>
    <w:tmpl w:val="DB144BFC"/>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40455C14"/>
    <w:multiLevelType w:val="hybridMultilevel"/>
    <w:tmpl w:val="CE006CDE"/>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FC91F82"/>
    <w:multiLevelType w:val="hybridMultilevel"/>
    <w:tmpl w:val="996C2D9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0"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5D232BD"/>
    <w:multiLevelType w:val="hybridMultilevel"/>
    <w:tmpl w:val="163C6FD8"/>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3" w15:restartNumberingAfterBreak="0">
    <w:nsid w:val="5EB875DE"/>
    <w:multiLevelType w:val="hybridMultilevel"/>
    <w:tmpl w:val="49220966"/>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75412326"/>
    <w:multiLevelType w:val="hybridMultilevel"/>
    <w:tmpl w:val="A224E8D6"/>
    <w:lvl w:ilvl="0" w:tplc="04070001">
      <w:start w:val="1"/>
      <w:numFmt w:val="bullet"/>
      <w:lvlText w:val=""/>
      <w:lvlJc w:val="left"/>
      <w:pPr>
        <w:ind w:left="1713"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763A6E1F"/>
    <w:multiLevelType w:val="hybridMultilevel"/>
    <w:tmpl w:val="F32689CE"/>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7" w15:restartNumberingAfterBreak="0">
    <w:nsid w:val="7D2017CE"/>
    <w:multiLevelType w:val="hybridMultilevel"/>
    <w:tmpl w:val="E822F306"/>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8"/>
  </w:num>
  <w:num w:numId="8">
    <w:abstractNumId w:val="10"/>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num>
  <w:num w:numId="16">
    <w:abstractNumId w:val="16"/>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4A1"/>
    <w:rsid w:val="000100C4"/>
    <w:rsid w:val="000259B9"/>
    <w:rsid w:val="00041491"/>
    <w:rsid w:val="00050D16"/>
    <w:rsid w:val="00074186"/>
    <w:rsid w:val="00074F2A"/>
    <w:rsid w:val="0007731F"/>
    <w:rsid w:val="000A1CA8"/>
    <w:rsid w:val="000A466B"/>
    <w:rsid w:val="000A7B44"/>
    <w:rsid w:val="000B058C"/>
    <w:rsid w:val="000B3D5B"/>
    <w:rsid w:val="000B6330"/>
    <w:rsid w:val="000E4EE6"/>
    <w:rsid w:val="000E6038"/>
    <w:rsid w:val="000F0CB1"/>
    <w:rsid w:val="000F565C"/>
    <w:rsid w:val="001454E2"/>
    <w:rsid w:val="001720C9"/>
    <w:rsid w:val="00177079"/>
    <w:rsid w:val="00193F94"/>
    <w:rsid w:val="001E7DF2"/>
    <w:rsid w:val="001E7E8A"/>
    <w:rsid w:val="001F1F5B"/>
    <w:rsid w:val="001F3283"/>
    <w:rsid w:val="00206CE8"/>
    <w:rsid w:val="0021526C"/>
    <w:rsid w:val="00216C17"/>
    <w:rsid w:val="00231685"/>
    <w:rsid w:val="00236AB2"/>
    <w:rsid w:val="00240D34"/>
    <w:rsid w:val="002535BC"/>
    <w:rsid w:val="00260EFB"/>
    <w:rsid w:val="002806A0"/>
    <w:rsid w:val="00283A2B"/>
    <w:rsid w:val="002A3294"/>
    <w:rsid w:val="002A7D83"/>
    <w:rsid w:val="002B30AD"/>
    <w:rsid w:val="002C2C01"/>
    <w:rsid w:val="002D24FF"/>
    <w:rsid w:val="002D7470"/>
    <w:rsid w:val="002F3AAC"/>
    <w:rsid w:val="003000A9"/>
    <w:rsid w:val="00305502"/>
    <w:rsid w:val="003A29AE"/>
    <w:rsid w:val="003A32D7"/>
    <w:rsid w:val="003B4074"/>
    <w:rsid w:val="003C0E9E"/>
    <w:rsid w:val="003C769A"/>
    <w:rsid w:val="003D2435"/>
    <w:rsid w:val="003F1838"/>
    <w:rsid w:val="003F7CA6"/>
    <w:rsid w:val="0045746C"/>
    <w:rsid w:val="0049104B"/>
    <w:rsid w:val="004A74A0"/>
    <w:rsid w:val="004D0B60"/>
    <w:rsid w:val="004E3B12"/>
    <w:rsid w:val="00505D09"/>
    <w:rsid w:val="00526DA0"/>
    <w:rsid w:val="00532310"/>
    <w:rsid w:val="00560ECC"/>
    <w:rsid w:val="00565F0F"/>
    <w:rsid w:val="00594A86"/>
    <w:rsid w:val="00596D86"/>
    <w:rsid w:val="005F2FEB"/>
    <w:rsid w:val="00637F5A"/>
    <w:rsid w:val="006440EE"/>
    <w:rsid w:val="006560B1"/>
    <w:rsid w:val="006756DD"/>
    <w:rsid w:val="006B34A1"/>
    <w:rsid w:val="006E5617"/>
    <w:rsid w:val="00737275"/>
    <w:rsid w:val="00740EEC"/>
    <w:rsid w:val="0078011A"/>
    <w:rsid w:val="00782AF4"/>
    <w:rsid w:val="00790EE7"/>
    <w:rsid w:val="007B0EA5"/>
    <w:rsid w:val="007B6649"/>
    <w:rsid w:val="007B6FF9"/>
    <w:rsid w:val="0081546F"/>
    <w:rsid w:val="0081699D"/>
    <w:rsid w:val="00822F6D"/>
    <w:rsid w:val="0082576E"/>
    <w:rsid w:val="008E4B56"/>
    <w:rsid w:val="008F52C0"/>
    <w:rsid w:val="00907F75"/>
    <w:rsid w:val="00921F1F"/>
    <w:rsid w:val="00922A8B"/>
    <w:rsid w:val="009260DE"/>
    <w:rsid w:val="0093258A"/>
    <w:rsid w:val="00943A0F"/>
    <w:rsid w:val="009B0C24"/>
    <w:rsid w:val="009C7BA3"/>
    <w:rsid w:val="009D1F5A"/>
    <w:rsid w:val="009F4B4B"/>
    <w:rsid w:val="009F6348"/>
    <w:rsid w:val="00A06FCF"/>
    <w:rsid w:val="00B003BF"/>
    <w:rsid w:val="00B373D7"/>
    <w:rsid w:val="00B4276F"/>
    <w:rsid w:val="00B53BC4"/>
    <w:rsid w:val="00B913CA"/>
    <w:rsid w:val="00BD0174"/>
    <w:rsid w:val="00BF5698"/>
    <w:rsid w:val="00C36276"/>
    <w:rsid w:val="00C42586"/>
    <w:rsid w:val="00C60CCD"/>
    <w:rsid w:val="00C74148"/>
    <w:rsid w:val="00C84483"/>
    <w:rsid w:val="00C95551"/>
    <w:rsid w:val="00CB20D7"/>
    <w:rsid w:val="00D020B0"/>
    <w:rsid w:val="00D04707"/>
    <w:rsid w:val="00D11748"/>
    <w:rsid w:val="00D22BF6"/>
    <w:rsid w:val="00D22F1E"/>
    <w:rsid w:val="00D346CC"/>
    <w:rsid w:val="00D366CF"/>
    <w:rsid w:val="00D6661A"/>
    <w:rsid w:val="00D73EEE"/>
    <w:rsid w:val="00DB555E"/>
    <w:rsid w:val="00DE2452"/>
    <w:rsid w:val="00E108AA"/>
    <w:rsid w:val="00E119CB"/>
    <w:rsid w:val="00E31812"/>
    <w:rsid w:val="00E3335D"/>
    <w:rsid w:val="00E33BE9"/>
    <w:rsid w:val="00E3749A"/>
    <w:rsid w:val="00E7437F"/>
    <w:rsid w:val="00E865B8"/>
    <w:rsid w:val="00EC0B9B"/>
    <w:rsid w:val="00ED5E9F"/>
    <w:rsid w:val="00EF7BEB"/>
    <w:rsid w:val="00F3435C"/>
    <w:rsid w:val="00F66D4F"/>
    <w:rsid w:val="00F775C2"/>
    <w:rsid w:val="00FB6D01"/>
    <w:rsid w:val="00FE26C0"/>
    <w:rsid w:val="00FE4E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C309D68"/>
  <w15:chartTrackingRefBased/>
  <w15:docId w15:val="{CFC97C1A-0534-466A-B25A-EC8A466F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character" w:styleId="Pladsholdertekst">
    <w:name w:val="Placeholder Text"/>
    <w:basedOn w:val="Standardskrifttypeiafsnit"/>
    <w:uiPriority w:val="99"/>
    <w:semiHidden/>
    <w:rsid w:val="006B34A1"/>
    <w:rPr>
      <w:color w:val="808080"/>
    </w:rPr>
  </w:style>
  <w:style w:type="character" w:customStyle="1" w:styleId="Overskrift1Tegn">
    <w:name w:val="Overskrift 1 Tegn"/>
    <w:basedOn w:val="Standardskrifttypeiafsnit"/>
    <w:link w:val="Overskrift1"/>
    <w:uiPriority w:val="1"/>
    <w:rsid w:val="006B34A1"/>
    <w:rPr>
      <w:rFonts w:ascii="Arial" w:hAnsi="Arial"/>
      <w:b/>
      <w:kern w:val="28"/>
      <w:sz w:val="28"/>
      <w:lang w:eastAsia="en-US"/>
    </w:rPr>
  </w:style>
  <w:style w:type="character" w:styleId="Hyperlink">
    <w:name w:val="Hyperlink"/>
    <w:uiPriority w:val="99"/>
    <w:unhideWhenUsed/>
    <w:rsid w:val="006B34A1"/>
    <w:rPr>
      <w:color w:val="0000FF"/>
      <w:u w:val="single"/>
    </w:rPr>
  </w:style>
  <w:style w:type="character" w:styleId="BesgtLink">
    <w:name w:val="FollowedHyperlink"/>
    <w:basedOn w:val="Standardskrifttypeiafsnit"/>
    <w:uiPriority w:val="99"/>
    <w:semiHidden/>
    <w:unhideWhenUsed/>
    <w:rsid w:val="006B34A1"/>
    <w:rPr>
      <w:color w:val="954F72" w:themeColor="followedHyperlink"/>
      <w:u w:val="single"/>
    </w:rPr>
  </w:style>
  <w:style w:type="character" w:customStyle="1" w:styleId="SidefodTegn">
    <w:name w:val="Sidefod Tegn"/>
    <w:basedOn w:val="Standardskrifttypeiafsnit"/>
    <w:link w:val="Sidefod"/>
    <w:uiPriority w:val="99"/>
    <w:rsid w:val="006B34A1"/>
    <w:rPr>
      <w:sz w:val="23"/>
      <w:lang w:eastAsia="en-US"/>
    </w:rPr>
  </w:style>
  <w:style w:type="paragraph" w:styleId="Brdtekst">
    <w:name w:val="Body Text"/>
    <w:basedOn w:val="Normal"/>
    <w:link w:val="BrdtekstTegn"/>
    <w:uiPriority w:val="1"/>
    <w:semiHidden/>
    <w:unhideWhenUsed/>
    <w:qFormat/>
    <w:rsid w:val="006B34A1"/>
    <w:pPr>
      <w:autoSpaceDE w:val="0"/>
      <w:autoSpaceDN w:val="0"/>
      <w:adjustRightInd w:val="0"/>
      <w:ind w:left="118"/>
    </w:pPr>
    <w:rPr>
      <w:rFonts w:eastAsia="SimSun"/>
      <w:sz w:val="22"/>
      <w:szCs w:val="22"/>
      <w:lang w:val="de-DE" w:eastAsia="zh-CN"/>
    </w:rPr>
  </w:style>
  <w:style w:type="character" w:customStyle="1" w:styleId="BrdtekstTegn">
    <w:name w:val="Brødtekst Tegn"/>
    <w:basedOn w:val="Standardskrifttypeiafsnit"/>
    <w:link w:val="Brdtekst"/>
    <w:uiPriority w:val="1"/>
    <w:semiHidden/>
    <w:rsid w:val="006B34A1"/>
    <w:rPr>
      <w:rFonts w:eastAsia="SimSun"/>
      <w:sz w:val="22"/>
      <w:szCs w:val="22"/>
      <w:lang w:val="de-DE" w:eastAsia="zh-CN"/>
    </w:rPr>
  </w:style>
  <w:style w:type="character" w:customStyle="1" w:styleId="MarkeringsbobletekstTegn">
    <w:name w:val="Markeringsbobletekst Tegn"/>
    <w:basedOn w:val="Standardskrifttypeiafsnit"/>
    <w:link w:val="Markeringsbobletekst"/>
    <w:semiHidden/>
    <w:rsid w:val="006B34A1"/>
    <w:rPr>
      <w:rFonts w:ascii="Tahoma" w:hAnsi="Tahoma" w:cs="Tahoma"/>
      <w:sz w:val="16"/>
      <w:szCs w:val="16"/>
      <w:lang w:eastAsia="en-US"/>
    </w:rPr>
  </w:style>
  <w:style w:type="paragraph" w:customStyle="1" w:styleId="Listeafsnit1">
    <w:name w:val="Listeafsnit1"/>
    <w:basedOn w:val="Normal"/>
    <w:uiPriority w:val="1"/>
    <w:qFormat/>
    <w:rsid w:val="006B34A1"/>
    <w:pPr>
      <w:autoSpaceDE w:val="0"/>
      <w:autoSpaceDN w:val="0"/>
      <w:adjustRightInd w:val="0"/>
    </w:pPr>
    <w:rPr>
      <w:rFonts w:eastAsia="SimSun"/>
      <w:sz w:val="24"/>
      <w:szCs w:val="24"/>
      <w:lang w:val="de-DE" w:eastAsia="zh-CN"/>
    </w:rPr>
  </w:style>
  <w:style w:type="paragraph" w:customStyle="1" w:styleId="TableParagraph">
    <w:name w:val="Table Paragraph"/>
    <w:basedOn w:val="Normal"/>
    <w:uiPriority w:val="1"/>
    <w:qFormat/>
    <w:rsid w:val="006B34A1"/>
    <w:pPr>
      <w:autoSpaceDE w:val="0"/>
      <w:autoSpaceDN w:val="0"/>
      <w:adjustRightInd w:val="0"/>
    </w:pPr>
    <w:rPr>
      <w:rFonts w:eastAsia="SimSun"/>
      <w:sz w:val="24"/>
      <w:szCs w:val="24"/>
      <w:lang w:val="de-DE" w:eastAsia="zh-CN"/>
    </w:rPr>
  </w:style>
  <w:style w:type="paragraph" w:customStyle="1" w:styleId="Default">
    <w:name w:val="Default"/>
    <w:rsid w:val="006B34A1"/>
    <w:pPr>
      <w:autoSpaceDE w:val="0"/>
      <w:autoSpaceDN w:val="0"/>
      <w:adjustRightInd w:val="0"/>
    </w:pPr>
    <w:rPr>
      <w:rFonts w:eastAsia="SimSun"/>
      <w:color w:val="000000"/>
      <w:sz w:val="24"/>
      <w:szCs w:val="24"/>
      <w:lang w:val="de-DE" w:eastAsia="zh-CN"/>
    </w:rPr>
  </w:style>
  <w:style w:type="paragraph" w:customStyle="1" w:styleId="AHeader1">
    <w:name w:val="AHeader 1"/>
    <w:basedOn w:val="Normal"/>
    <w:rsid w:val="006B34A1"/>
    <w:pPr>
      <w:numPr>
        <w:numId w:val="12"/>
      </w:numPr>
      <w:spacing w:after="120"/>
    </w:pPr>
    <w:rPr>
      <w:rFonts w:ascii="Arial" w:hAnsi="Arial" w:cs="Arial"/>
      <w:b/>
      <w:bCs/>
      <w:sz w:val="24"/>
      <w:lang w:val="en-GB"/>
    </w:rPr>
  </w:style>
  <w:style w:type="paragraph" w:customStyle="1" w:styleId="AHeader2">
    <w:name w:val="AHeader 2"/>
    <w:basedOn w:val="AHeader1"/>
    <w:rsid w:val="006B34A1"/>
    <w:pPr>
      <w:numPr>
        <w:ilvl w:val="1"/>
      </w:numPr>
      <w:tabs>
        <w:tab w:val="num" w:pos="360"/>
      </w:tabs>
    </w:pPr>
    <w:rPr>
      <w:sz w:val="22"/>
    </w:rPr>
  </w:style>
  <w:style w:type="paragraph" w:customStyle="1" w:styleId="AHeader3">
    <w:name w:val="AHeader 3"/>
    <w:basedOn w:val="AHeader2"/>
    <w:rsid w:val="006B34A1"/>
    <w:pPr>
      <w:numPr>
        <w:ilvl w:val="2"/>
      </w:numPr>
      <w:tabs>
        <w:tab w:val="num" w:pos="360"/>
        <w:tab w:val="num" w:pos="709"/>
      </w:tabs>
    </w:pPr>
  </w:style>
  <w:style w:type="paragraph" w:customStyle="1" w:styleId="AHeader2abc">
    <w:name w:val="AHeader 2 abc"/>
    <w:basedOn w:val="AHeader3"/>
    <w:rsid w:val="006B34A1"/>
    <w:pPr>
      <w:numPr>
        <w:ilvl w:val="3"/>
      </w:numPr>
      <w:tabs>
        <w:tab w:val="num" w:pos="360"/>
        <w:tab w:val="num" w:pos="709"/>
      </w:tabs>
      <w:jc w:val="both"/>
    </w:pPr>
    <w:rPr>
      <w:b w:val="0"/>
      <w:bCs w:val="0"/>
    </w:rPr>
  </w:style>
  <w:style w:type="paragraph" w:customStyle="1" w:styleId="AHeader3abc">
    <w:name w:val="AHeader 3 abc"/>
    <w:basedOn w:val="AHeader2abc"/>
    <w:rsid w:val="006B34A1"/>
    <w:pPr>
      <w:numPr>
        <w:ilvl w:val="4"/>
      </w:numPr>
      <w:tabs>
        <w:tab w:val="num" w:pos="360"/>
        <w:tab w:val="num" w:pos="709"/>
      </w:tabs>
    </w:pPr>
  </w:style>
  <w:style w:type="paragraph" w:customStyle="1" w:styleId="Korrektur1">
    <w:name w:val="Korrektur1"/>
    <w:uiPriority w:val="99"/>
    <w:semiHidden/>
    <w:rsid w:val="006B34A1"/>
    <w:rPr>
      <w:rFonts w:eastAsia="SimSun"/>
      <w:sz w:val="24"/>
      <w:szCs w:val="24"/>
      <w:lang w:val="de-DE" w:eastAsia="zh-CN"/>
    </w:rPr>
  </w:style>
  <w:style w:type="paragraph" w:customStyle="1" w:styleId="berarbeitung">
    <w:name w:val="Überarbeitung"/>
    <w:uiPriority w:val="99"/>
    <w:semiHidden/>
    <w:rsid w:val="006B34A1"/>
    <w:rPr>
      <w:rFonts w:eastAsia="SimSun"/>
      <w:sz w:val="24"/>
      <w:szCs w:val="24"/>
      <w:lang w:val="de-DE" w:eastAsia="zh-CN"/>
    </w:rPr>
  </w:style>
  <w:style w:type="table" w:styleId="Tabel-Gitter">
    <w:name w:val="Table Grid"/>
    <w:basedOn w:val="Tabel-Normal"/>
    <w:uiPriority w:val="59"/>
    <w:rsid w:val="006B34A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0E6038"/>
    <w:pPr>
      <w:ind w:left="720"/>
      <w:contextualSpacing/>
    </w:pPr>
  </w:style>
  <w:style w:type="character" w:styleId="Ulstomtale">
    <w:name w:val="Unresolved Mention"/>
    <w:basedOn w:val="Standardskrifttypeiafsnit"/>
    <w:uiPriority w:val="99"/>
    <w:semiHidden/>
    <w:unhideWhenUsed/>
    <w:rsid w:val="000E6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51</Pages>
  <Words>16815</Words>
  <Characters>104395</Characters>
  <Application>Microsoft Office Word</Application>
  <DocSecurity>0</DocSecurity>
  <Lines>869</Lines>
  <Paragraphs>241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2024070363 - pkt. 4.4, 4.6, 5.1, 5.2, 5.3_x000d_
</dc:description>
  <cp:lastModifiedBy>Gitte Ronnovius</cp:lastModifiedBy>
  <cp:revision>4</cp:revision>
  <cp:lastPrinted>2012-08-22T08:53:00Z</cp:lastPrinted>
  <dcterms:created xsi:type="dcterms:W3CDTF">2025-02-16T22:23:00Z</dcterms:created>
  <dcterms:modified xsi:type="dcterms:W3CDTF">2025-02-20T08:44:00Z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