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A98B0" w14:textId="77777777" w:rsidR="004A3BF4" w:rsidRPr="00312F3E" w:rsidRDefault="00056601" w:rsidP="004A3BF4">
      <w:pPr>
        <w:rPr>
          <w:sz w:val="24"/>
          <w:szCs w:val="24"/>
          <w:lang w:val="en-GB"/>
        </w:rPr>
      </w:pPr>
      <w:bookmarkStart w:id="0" w:name="_GoBack"/>
      <w:bookmarkEnd w:id="0"/>
      <w:r w:rsidRPr="00312F3E">
        <w:rPr>
          <w:noProof/>
          <w:sz w:val="24"/>
          <w:szCs w:val="24"/>
          <w:lang w:val="en-GB"/>
        </w:rPr>
        <w:drawing>
          <wp:inline distT="0" distB="0" distL="0" distR="0" wp14:anchorId="03E2C6D2" wp14:editId="2DF21977">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EF077D9" w14:textId="77777777" w:rsidR="006B3847" w:rsidRPr="00312F3E" w:rsidRDefault="006B3847" w:rsidP="006B3847">
      <w:pPr>
        <w:rPr>
          <w:sz w:val="24"/>
          <w:szCs w:val="24"/>
          <w:lang w:val="en-GB"/>
        </w:rPr>
      </w:pPr>
    </w:p>
    <w:p w14:paraId="5A32867D" w14:textId="69CFBE88" w:rsidR="006B3847" w:rsidRPr="00312F3E" w:rsidRDefault="006B3847" w:rsidP="006B3847">
      <w:pPr>
        <w:tabs>
          <w:tab w:val="right" w:pos="9356"/>
        </w:tabs>
        <w:rPr>
          <w:b/>
          <w:sz w:val="24"/>
          <w:szCs w:val="24"/>
          <w:lang w:val="en-GB"/>
        </w:rPr>
      </w:pPr>
      <w:r w:rsidRPr="00312F3E">
        <w:rPr>
          <w:b/>
          <w:sz w:val="24"/>
          <w:szCs w:val="24"/>
          <w:lang w:val="en-GB"/>
        </w:rPr>
        <w:tab/>
      </w:r>
      <w:r w:rsidR="006A7320">
        <w:rPr>
          <w:b/>
          <w:sz w:val="24"/>
          <w:szCs w:val="24"/>
          <w:lang w:val="en-GB"/>
        </w:rPr>
        <w:t>3 September 2025</w:t>
      </w:r>
    </w:p>
    <w:p w14:paraId="5F5E4E43" w14:textId="77777777" w:rsidR="006B3847" w:rsidRPr="00312F3E" w:rsidRDefault="006B3847" w:rsidP="006B3847">
      <w:pPr>
        <w:rPr>
          <w:sz w:val="24"/>
          <w:szCs w:val="24"/>
          <w:lang w:val="en-GB"/>
        </w:rPr>
      </w:pPr>
    </w:p>
    <w:p w14:paraId="3FED4CE9" w14:textId="77777777" w:rsidR="007C5D2A" w:rsidRPr="00312F3E" w:rsidRDefault="007C5D2A" w:rsidP="007C5D2A">
      <w:pPr>
        <w:rPr>
          <w:sz w:val="24"/>
          <w:szCs w:val="24"/>
          <w:lang w:val="en-GB"/>
        </w:rPr>
      </w:pPr>
    </w:p>
    <w:p w14:paraId="0DAC680E" w14:textId="77777777" w:rsidR="007C5D2A" w:rsidRPr="00312F3E" w:rsidRDefault="007C5D2A" w:rsidP="007C5D2A">
      <w:pPr>
        <w:rPr>
          <w:sz w:val="24"/>
          <w:szCs w:val="24"/>
          <w:lang w:val="en-GB"/>
        </w:rPr>
      </w:pPr>
    </w:p>
    <w:p w14:paraId="2A2099A9" w14:textId="77777777" w:rsidR="007C5D2A" w:rsidRPr="00312F3E" w:rsidRDefault="007C5D2A" w:rsidP="007C5D2A">
      <w:pPr>
        <w:jc w:val="center"/>
        <w:rPr>
          <w:b/>
          <w:sz w:val="24"/>
          <w:szCs w:val="24"/>
          <w:lang w:val="en-GB"/>
        </w:rPr>
      </w:pPr>
      <w:bookmarkStart w:id="1" w:name="_Hlk49158549"/>
      <w:r w:rsidRPr="00312F3E">
        <w:rPr>
          <w:b/>
          <w:sz w:val="24"/>
          <w:szCs w:val="24"/>
          <w:lang w:val="en-GB"/>
        </w:rPr>
        <w:t>SUMMARY OF PRODUCT CHARACTERISTICS</w:t>
      </w:r>
    </w:p>
    <w:bookmarkEnd w:id="1"/>
    <w:p w14:paraId="3FB3A131" w14:textId="77777777" w:rsidR="007C5D2A" w:rsidRPr="00312F3E" w:rsidRDefault="007C5D2A" w:rsidP="007C5D2A">
      <w:pPr>
        <w:jc w:val="center"/>
        <w:rPr>
          <w:sz w:val="24"/>
          <w:szCs w:val="24"/>
          <w:lang w:val="en-GB"/>
        </w:rPr>
      </w:pPr>
    </w:p>
    <w:p w14:paraId="693BA280" w14:textId="77777777" w:rsidR="007C5D2A" w:rsidRPr="00312F3E" w:rsidRDefault="007C5D2A" w:rsidP="007C5D2A">
      <w:pPr>
        <w:jc w:val="center"/>
        <w:rPr>
          <w:b/>
          <w:sz w:val="24"/>
          <w:szCs w:val="24"/>
          <w:lang w:val="en-GB"/>
        </w:rPr>
      </w:pPr>
      <w:r w:rsidRPr="00312F3E">
        <w:rPr>
          <w:b/>
          <w:sz w:val="24"/>
          <w:szCs w:val="24"/>
          <w:lang w:val="en-GB"/>
        </w:rPr>
        <w:t>for</w:t>
      </w:r>
    </w:p>
    <w:p w14:paraId="2FD5F034" w14:textId="77777777" w:rsidR="007C5D2A" w:rsidRPr="00312F3E" w:rsidRDefault="007C5D2A" w:rsidP="007C5D2A">
      <w:pPr>
        <w:jc w:val="center"/>
        <w:rPr>
          <w:sz w:val="24"/>
          <w:szCs w:val="24"/>
          <w:lang w:val="en-GB"/>
        </w:rPr>
      </w:pPr>
    </w:p>
    <w:p w14:paraId="3D6CBD5A" w14:textId="338103DB" w:rsidR="007C5D2A" w:rsidRPr="00312F3E" w:rsidRDefault="009702C4" w:rsidP="007C5D2A">
      <w:pPr>
        <w:jc w:val="center"/>
        <w:rPr>
          <w:b/>
          <w:sz w:val="24"/>
          <w:szCs w:val="24"/>
          <w:lang w:val="en-GB"/>
        </w:rPr>
      </w:pPr>
      <w:proofErr w:type="spellStart"/>
      <w:r w:rsidRPr="00312F3E">
        <w:rPr>
          <w:b/>
          <w:sz w:val="24"/>
          <w:szCs w:val="24"/>
          <w:lang w:val="en-GB"/>
        </w:rPr>
        <w:t>Dofliga</w:t>
      </w:r>
      <w:proofErr w:type="spellEnd"/>
      <w:r w:rsidRPr="00312F3E">
        <w:rPr>
          <w:b/>
          <w:sz w:val="24"/>
          <w:szCs w:val="24"/>
          <w:lang w:val="en-GB"/>
        </w:rPr>
        <w:t>, film-coated tablets</w:t>
      </w:r>
    </w:p>
    <w:p w14:paraId="0FA903F5" w14:textId="77777777" w:rsidR="007C5D2A" w:rsidRPr="00312F3E" w:rsidRDefault="007C5D2A" w:rsidP="007C5D2A">
      <w:pPr>
        <w:jc w:val="both"/>
        <w:rPr>
          <w:sz w:val="24"/>
          <w:szCs w:val="24"/>
          <w:lang w:val="en-GB"/>
        </w:rPr>
      </w:pPr>
    </w:p>
    <w:p w14:paraId="620994CF" w14:textId="77777777" w:rsidR="0042292D" w:rsidRPr="00312F3E" w:rsidRDefault="0042292D" w:rsidP="007C5D2A">
      <w:pPr>
        <w:jc w:val="both"/>
        <w:rPr>
          <w:sz w:val="24"/>
          <w:szCs w:val="24"/>
          <w:lang w:val="en-GB"/>
        </w:rPr>
      </w:pPr>
    </w:p>
    <w:p w14:paraId="249EBBFE" w14:textId="77777777" w:rsidR="008F2F8C" w:rsidRPr="00312F3E" w:rsidRDefault="008F2F8C" w:rsidP="008F2F8C">
      <w:pPr>
        <w:tabs>
          <w:tab w:val="left" w:pos="8222"/>
        </w:tabs>
        <w:ind w:left="851" w:hanging="851"/>
        <w:rPr>
          <w:b/>
          <w:sz w:val="24"/>
          <w:szCs w:val="24"/>
          <w:lang w:val="en-GB"/>
        </w:rPr>
      </w:pPr>
      <w:r w:rsidRPr="00312F3E">
        <w:rPr>
          <w:b/>
          <w:sz w:val="24"/>
          <w:szCs w:val="24"/>
          <w:lang w:val="en-GB"/>
        </w:rPr>
        <w:t>0.</w:t>
      </w:r>
      <w:r w:rsidRPr="00312F3E">
        <w:rPr>
          <w:b/>
          <w:sz w:val="24"/>
          <w:szCs w:val="24"/>
          <w:lang w:val="en-GB"/>
        </w:rPr>
        <w:tab/>
      </w:r>
      <w:proofErr w:type="gramStart"/>
      <w:r w:rsidRPr="00312F3E">
        <w:rPr>
          <w:b/>
          <w:sz w:val="24"/>
          <w:szCs w:val="24"/>
          <w:lang w:val="en-GB"/>
        </w:rPr>
        <w:t>D.SP.NO</w:t>
      </w:r>
      <w:proofErr w:type="gramEnd"/>
      <w:r w:rsidRPr="00312F3E">
        <w:rPr>
          <w:b/>
          <w:sz w:val="24"/>
          <w:szCs w:val="24"/>
          <w:lang w:val="en-GB"/>
        </w:rPr>
        <w:t>.</w:t>
      </w:r>
    </w:p>
    <w:p w14:paraId="789EBD3C" w14:textId="35BC622E" w:rsidR="008F2F8C" w:rsidRPr="00312F3E" w:rsidRDefault="009702C4" w:rsidP="008F2F8C">
      <w:pPr>
        <w:tabs>
          <w:tab w:val="left" w:pos="8222"/>
        </w:tabs>
        <w:ind w:left="851"/>
        <w:rPr>
          <w:sz w:val="24"/>
          <w:szCs w:val="24"/>
          <w:lang w:val="en-GB"/>
        </w:rPr>
      </w:pPr>
      <w:r w:rsidRPr="00312F3E">
        <w:rPr>
          <w:sz w:val="24"/>
          <w:szCs w:val="24"/>
          <w:lang w:val="en-GB"/>
        </w:rPr>
        <w:t>34038</w:t>
      </w:r>
    </w:p>
    <w:p w14:paraId="7CCEAF50" w14:textId="77777777" w:rsidR="007C5D2A" w:rsidRPr="00312F3E" w:rsidRDefault="007C5D2A" w:rsidP="007C5D2A">
      <w:pPr>
        <w:tabs>
          <w:tab w:val="left" w:pos="851"/>
        </w:tabs>
        <w:jc w:val="both"/>
        <w:rPr>
          <w:sz w:val="24"/>
          <w:szCs w:val="24"/>
          <w:lang w:val="en-GB"/>
        </w:rPr>
      </w:pPr>
    </w:p>
    <w:p w14:paraId="20288E78" w14:textId="77777777" w:rsidR="007C5D2A" w:rsidRPr="00312F3E" w:rsidRDefault="009925C9" w:rsidP="007C5D2A">
      <w:pPr>
        <w:tabs>
          <w:tab w:val="left" w:pos="851"/>
        </w:tabs>
        <w:ind w:left="851" w:hanging="851"/>
        <w:rPr>
          <w:sz w:val="24"/>
          <w:szCs w:val="24"/>
          <w:lang w:val="en-GB"/>
        </w:rPr>
      </w:pPr>
      <w:r w:rsidRPr="00312F3E">
        <w:rPr>
          <w:b/>
          <w:sz w:val="24"/>
          <w:szCs w:val="24"/>
          <w:lang w:val="en-GB"/>
        </w:rPr>
        <w:t>1.</w:t>
      </w:r>
      <w:r w:rsidR="007C5D2A" w:rsidRPr="00312F3E">
        <w:rPr>
          <w:b/>
          <w:sz w:val="24"/>
          <w:szCs w:val="24"/>
          <w:lang w:val="en-GB"/>
        </w:rPr>
        <w:tab/>
        <w:t>NAME OF THE MEDICINAL PRODUCT</w:t>
      </w:r>
    </w:p>
    <w:p w14:paraId="4EEE558E" w14:textId="3E44DA21" w:rsidR="007C5D2A" w:rsidRPr="00312F3E" w:rsidRDefault="009702C4" w:rsidP="004A3BF4">
      <w:pPr>
        <w:tabs>
          <w:tab w:val="left" w:pos="851"/>
        </w:tabs>
        <w:ind w:left="851"/>
        <w:rPr>
          <w:sz w:val="24"/>
          <w:szCs w:val="24"/>
          <w:lang w:val="en-GB"/>
        </w:rPr>
      </w:pPr>
      <w:proofErr w:type="spellStart"/>
      <w:r w:rsidRPr="00312F3E">
        <w:rPr>
          <w:sz w:val="24"/>
          <w:szCs w:val="24"/>
          <w:lang w:val="en-GB"/>
        </w:rPr>
        <w:t>Dofliga</w:t>
      </w:r>
      <w:proofErr w:type="spellEnd"/>
    </w:p>
    <w:p w14:paraId="2854F8C3" w14:textId="77777777" w:rsidR="007C5D2A" w:rsidRPr="00312F3E" w:rsidRDefault="007C5D2A" w:rsidP="004A3BF4">
      <w:pPr>
        <w:tabs>
          <w:tab w:val="left" w:pos="851"/>
        </w:tabs>
        <w:ind w:left="851"/>
        <w:rPr>
          <w:sz w:val="24"/>
          <w:szCs w:val="24"/>
          <w:lang w:val="en-GB"/>
        </w:rPr>
      </w:pPr>
    </w:p>
    <w:p w14:paraId="5ED811F3" w14:textId="77777777" w:rsidR="007C5D2A" w:rsidRPr="00312F3E" w:rsidRDefault="009925C9" w:rsidP="007C5D2A">
      <w:pPr>
        <w:ind w:left="851" w:hanging="851"/>
        <w:rPr>
          <w:b/>
          <w:sz w:val="24"/>
          <w:szCs w:val="24"/>
          <w:lang w:val="en-GB"/>
        </w:rPr>
      </w:pPr>
      <w:r w:rsidRPr="00312F3E">
        <w:rPr>
          <w:b/>
          <w:sz w:val="24"/>
          <w:szCs w:val="24"/>
          <w:lang w:val="en-GB"/>
        </w:rPr>
        <w:t>2.</w:t>
      </w:r>
      <w:r w:rsidR="007C5D2A" w:rsidRPr="00312F3E">
        <w:rPr>
          <w:b/>
          <w:sz w:val="24"/>
          <w:szCs w:val="24"/>
          <w:lang w:val="en-GB"/>
        </w:rPr>
        <w:tab/>
        <w:t>QUALITATIVE AND QUANTITATIVE COMPOSITION</w:t>
      </w:r>
    </w:p>
    <w:p w14:paraId="3D39ACBE" w14:textId="77777777" w:rsidR="00312F3E" w:rsidRDefault="00312F3E" w:rsidP="0029430D">
      <w:pPr>
        <w:ind w:left="851"/>
        <w:rPr>
          <w:sz w:val="24"/>
          <w:szCs w:val="24"/>
          <w:lang w:val="en-US"/>
        </w:rPr>
      </w:pPr>
    </w:p>
    <w:p w14:paraId="1C23E765" w14:textId="19892413" w:rsidR="0029430D" w:rsidRPr="00312F3E" w:rsidRDefault="00312F3E" w:rsidP="0029430D">
      <w:pPr>
        <w:ind w:left="851"/>
        <w:rPr>
          <w:sz w:val="24"/>
          <w:szCs w:val="24"/>
          <w:u w:val="single"/>
          <w:lang w:val="en-US"/>
        </w:rPr>
      </w:pPr>
      <w:proofErr w:type="spellStart"/>
      <w:r w:rsidRPr="00312F3E">
        <w:rPr>
          <w:sz w:val="24"/>
          <w:szCs w:val="24"/>
          <w:u w:val="single"/>
          <w:lang w:val="en-US"/>
        </w:rPr>
        <w:t>Dofliga</w:t>
      </w:r>
      <w:proofErr w:type="spellEnd"/>
      <w:r w:rsidR="0029430D" w:rsidRPr="00312F3E">
        <w:rPr>
          <w:sz w:val="24"/>
          <w:szCs w:val="24"/>
          <w:u w:val="single"/>
          <w:lang w:val="en-US"/>
        </w:rPr>
        <w:t xml:space="preserve"> 5 mg film-coated tablets</w:t>
      </w:r>
    </w:p>
    <w:p w14:paraId="0958F8AB" w14:textId="77777777" w:rsidR="0029430D" w:rsidRPr="00312F3E" w:rsidRDefault="0029430D" w:rsidP="0029430D">
      <w:pPr>
        <w:ind w:left="851"/>
        <w:rPr>
          <w:sz w:val="24"/>
          <w:szCs w:val="24"/>
          <w:lang w:val="en-US"/>
        </w:rPr>
      </w:pPr>
      <w:r w:rsidRPr="00312F3E">
        <w:rPr>
          <w:sz w:val="24"/>
          <w:szCs w:val="24"/>
          <w:lang w:val="en-US"/>
        </w:rPr>
        <w:t>Each tablet contains 5 mg of dapagliflozin.</w:t>
      </w:r>
    </w:p>
    <w:p w14:paraId="35485E30" w14:textId="77777777" w:rsidR="0029430D" w:rsidRPr="00312F3E" w:rsidRDefault="0029430D" w:rsidP="0029430D">
      <w:pPr>
        <w:ind w:left="851"/>
        <w:rPr>
          <w:sz w:val="24"/>
          <w:szCs w:val="24"/>
          <w:lang w:val="en-GB"/>
        </w:rPr>
      </w:pPr>
    </w:p>
    <w:p w14:paraId="34521567" w14:textId="77777777" w:rsidR="0029430D" w:rsidRPr="00312F3E" w:rsidRDefault="0029430D" w:rsidP="0029430D">
      <w:pPr>
        <w:ind w:left="851"/>
        <w:rPr>
          <w:i/>
          <w:iCs/>
          <w:sz w:val="24"/>
          <w:szCs w:val="24"/>
          <w:u w:val="single"/>
          <w:lang w:val="en-US"/>
        </w:rPr>
      </w:pPr>
      <w:r w:rsidRPr="00312F3E">
        <w:rPr>
          <w:i/>
          <w:iCs/>
          <w:sz w:val="24"/>
          <w:szCs w:val="24"/>
          <w:u w:val="single"/>
          <w:lang w:val="en-US"/>
        </w:rPr>
        <w:t>Excipient with known effect</w:t>
      </w:r>
    </w:p>
    <w:p w14:paraId="4C0BF293" w14:textId="77777777" w:rsidR="0029430D" w:rsidRPr="00312F3E" w:rsidRDefault="0029430D" w:rsidP="0029430D">
      <w:pPr>
        <w:ind w:left="851"/>
        <w:rPr>
          <w:sz w:val="24"/>
          <w:szCs w:val="24"/>
          <w:lang w:val="en-US"/>
        </w:rPr>
      </w:pPr>
      <w:r w:rsidRPr="00312F3E">
        <w:rPr>
          <w:sz w:val="24"/>
          <w:szCs w:val="24"/>
          <w:lang w:val="en-US"/>
        </w:rPr>
        <w:t>Each 5 mg tablet contains 55.05 mg of lactose monohydrate.</w:t>
      </w:r>
    </w:p>
    <w:p w14:paraId="0165C94C" w14:textId="77777777" w:rsidR="0029430D" w:rsidRPr="00312F3E" w:rsidRDefault="0029430D" w:rsidP="0029430D">
      <w:pPr>
        <w:ind w:left="851"/>
        <w:rPr>
          <w:sz w:val="24"/>
          <w:szCs w:val="24"/>
          <w:lang w:val="en-US"/>
        </w:rPr>
      </w:pPr>
    </w:p>
    <w:p w14:paraId="38E81E8F" w14:textId="2FD02C58" w:rsidR="0029430D" w:rsidRPr="00312F3E" w:rsidRDefault="00312F3E" w:rsidP="0029430D">
      <w:pPr>
        <w:ind w:left="851"/>
        <w:rPr>
          <w:sz w:val="24"/>
          <w:szCs w:val="24"/>
          <w:u w:val="single"/>
          <w:lang w:val="en-US"/>
        </w:rPr>
      </w:pPr>
      <w:proofErr w:type="spellStart"/>
      <w:r w:rsidRPr="00312F3E">
        <w:rPr>
          <w:sz w:val="24"/>
          <w:szCs w:val="24"/>
          <w:u w:val="single"/>
          <w:lang w:val="en-US"/>
        </w:rPr>
        <w:t>Dofliga</w:t>
      </w:r>
      <w:proofErr w:type="spellEnd"/>
      <w:r w:rsidR="0029430D" w:rsidRPr="00312F3E">
        <w:rPr>
          <w:sz w:val="24"/>
          <w:szCs w:val="24"/>
          <w:u w:val="single"/>
          <w:lang w:val="en-US"/>
        </w:rPr>
        <w:t xml:space="preserve"> 10 mg film-coated tablets</w:t>
      </w:r>
    </w:p>
    <w:p w14:paraId="7A4C8A00" w14:textId="77777777" w:rsidR="0029430D" w:rsidRPr="00312F3E" w:rsidRDefault="0029430D" w:rsidP="0029430D">
      <w:pPr>
        <w:ind w:left="851"/>
        <w:rPr>
          <w:sz w:val="24"/>
          <w:szCs w:val="24"/>
          <w:lang w:val="en-US"/>
        </w:rPr>
      </w:pPr>
      <w:r w:rsidRPr="00312F3E">
        <w:rPr>
          <w:sz w:val="24"/>
          <w:szCs w:val="24"/>
          <w:lang w:val="en-US"/>
        </w:rPr>
        <w:t>Each tablet contains 10 mg of dapagliflozin.</w:t>
      </w:r>
    </w:p>
    <w:p w14:paraId="65571AEF" w14:textId="77777777" w:rsidR="0029430D" w:rsidRPr="00312F3E" w:rsidRDefault="0029430D" w:rsidP="0029430D">
      <w:pPr>
        <w:ind w:left="851"/>
        <w:rPr>
          <w:sz w:val="24"/>
          <w:szCs w:val="24"/>
          <w:lang w:val="en-US"/>
        </w:rPr>
      </w:pPr>
    </w:p>
    <w:p w14:paraId="59B12341" w14:textId="77777777" w:rsidR="0029430D" w:rsidRPr="00312F3E" w:rsidRDefault="0029430D" w:rsidP="0029430D">
      <w:pPr>
        <w:ind w:left="851"/>
        <w:rPr>
          <w:i/>
          <w:iCs/>
          <w:sz w:val="24"/>
          <w:szCs w:val="24"/>
          <w:u w:val="single"/>
          <w:lang w:val="en-US"/>
        </w:rPr>
      </w:pPr>
      <w:r w:rsidRPr="00312F3E">
        <w:rPr>
          <w:i/>
          <w:iCs/>
          <w:sz w:val="24"/>
          <w:szCs w:val="24"/>
          <w:u w:val="single"/>
          <w:lang w:val="en-US"/>
        </w:rPr>
        <w:t>Excipient with known effect</w:t>
      </w:r>
    </w:p>
    <w:p w14:paraId="7BA26C0C" w14:textId="77777777" w:rsidR="0029430D" w:rsidRPr="00312F3E" w:rsidRDefault="0029430D" w:rsidP="0029430D">
      <w:pPr>
        <w:ind w:left="851"/>
        <w:rPr>
          <w:sz w:val="24"/>
          <w:szCs w:val="24"/>
          <w:lang w:val="en-US"/>
        </w:rPr>
      </w:pPr>
      <w:r w:rsidRPr="00312F3E">
        <w:rPr>
          <w:sz w:val="24"/>
          <w:szCs w:val="24"/>
          <w:lang w:val="en-US"/>
        </w:rPr>
        <w:t>Each 10 mg tablet contains 110.10 mg of lactose monohydrate.</w:t>
      </w:r>
    </w:p>
    <w:p w14:paraId="2117F6BB" w14:textId="77777777" w:rsidR="0029430D" w:rsidRPr="00312F3E" w:rsidRDefault="0029430D" w:rsidP="0029430D">
      <w:pPr>
        <w:ind w:left="851"/>
        <w:rPr>
          <w:sz w:val="24"/>
          <w:szCs w:val="24"/>
          <w:lang w:val="en-US"/>
        </w:rPr>
      </w:pPr>
    </w:p>
    <w:p w14:paraId="2F612CD7" w14:textId="77777777" w:rsidR="0029430D" w:rsidRPr="00312F3E" w:rsidRDefault="0029430D" w:rsidP="0029430D">
      <w:pPr>
        <w:ind w:left="851"/>
        <w:rPr>
          <w:sz w:val="24"/>
          <w:szCs w:val="24"/>
          <w:lang w:val="en-US"/>
        </w:rPr>
      </w:pPr>
      <w:r w:rsidRPr="00312F3E">
        <w:rPr>
          <w:sz w:val="24"/>
          <w:szCs w:val="24"/>
          <w:lang w:val="en-US"/>
        </w:rPr>
        <w:t>For the full list of excipients, see section 6.1.</w:t>
      </w:r>
    </w:p>
    <w:p w14:paraId="7C1E0592" w14:textId="77777777" w:rsidR="007C5D2A" w:rsidRPr="00312F3E" w:rsidRDefault="007C5D2A" w:rsidP="004A3BF4">
      <w:pPr>
        <w:tabs>
          <w:tab w:val="left" w:pos="851"/>
        </w:tabs>
        <w:ind w:left="851"/>
        <w:rPr>
          <w:sz w:val="24"/>
          <w:szCs w:val="24"/>
          <w:lang w:val="en-GB"/>
        </w:rPr>
      </w:pPr>
    </w:p>
    <w:p w14:paraId="26C89E16"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3.</w:t>
      </w:r>
      <w:r w:rsidRPr="00312F3E">
        <w:rPr>
          <w:b/>
          <w:sz w:val="24"/>
          <w:szCs w:val="24"/>
          <w:lang w:val="en-GB"/>
        </w:rPr>
        <w:tab/>
        <w:t>PHARMACEUTICAL FORM</w:t>
      </w:r>
    </w:p>
    <w:p w14:paraId="0E81C152" w14:textId="69BBD6F3" w:rsidR="0029430D" w:rsidRPr="00312F3E" w:rsidRDefault="0029430D" w:rsidP="0029430D">
      <w:pPr>
        <w:ind w:left="851"/>
        <w:rPr>
          <w:sz w:val="24"/>
          <w:szCs w:val="24"/>
          <w:lang w:val="en-US"/>
        </w:rPr>
      </w:pPr>
      <w:r w:rsidRPr="00312F3E">
        <w:rPr>
          <w:sz w:val="24"/>
          <w:szCs w:val="24"/>
          <w:lang w:val="en-US"/>
        </w:rPr>
        <w:t>Film-coated tablet</w:t>
      </w:r>
      <w:r w:rsidR="00312F3E">
        <w:rPr>
          <w:sz w:val="24"/>
          <w:szCs w:val="24"/>
          <w:lang w:val="en-US"/>
        </w:rPr>
        <w:t>s</w:t>
      </w:r>
      <w:r w:rsidRPr="00312F3E">
        <w:rPr>
          <w:sz w:val="24"/>
          <w:szCs w:val="24"/>
          <w:lang w:val="en-US"/>
        </w:rPr>
        <w:t xml:space="preserve"> (tablet</w:t>
      </w:r>
      <w:r w:rsidR="00312F3E">
        <w:rPr>
          <w:sz w:val="24"/>
          <w:szCs w:val="24"/>
          <w:lang w:val="en-US"/>
        </w:rPr>
        <w:t>s</w:t>
      </w:r>
      <w:r w:rsidRPr="00312F3E">
        <w:rPr>
          <w:sz w:val="24"/>
          <w:szCs w:val="24"/>
          <w:lang w:val="en-US"/>
        </w:rPr>
        <w:t>)</w:t>
      </w:r>
    </w:p>
    <w:p w14:paraId="22E222BC" w14:textId="77777777" w:rsidR="0029430D" w:rsidRPr="00312F3E" w:rsidRDefault="0029430D" w:rsidP="0029430D">
      <w:pPr>
        <w:ind w:left="851"/>
        <w:rPr>
          <w:sz w:val="24"/>
          <w:szCs w:val="24"/>
          <w:lang w:val="en-US"/>
        </w:rPr>
      </w:pPr>
    </w:p>
    <w:p w14:paraId="585B45C3" w14:textId="5CA12D81" w:rsidR="0029430D" w:rsidRPr="00312F3E" w:rsidRDefault="00312F3E" w:rsidP="0029430D">
      <w:pPr>
        <w:ind w:left="851"/>
        <w:rPr>
          <w:sz w:val="24"/>
          <w:szCs w:val="24"/>
          <w:u w:val="single"/>
          <w:lang w:val="en-US"/>
        </w:rPr>
      </w:pPr>
      <w:proofErr w:type="spellStart"/>
      <w:r>
        <w:rPr>
          <w:sz w:val="24"/>
          <w:szCs w:val="24"/>
          <w:u w:val="single"/>
          <w:lang w:val="en-US"/>
        </w:rPr>
        <w:t>Dofliga</w:t>
      </w:r>
      <w:proofErr w:type="spellEnd"/>
      <w:r w:rsidR="0029430D" w:rsidRPr="00312F3E">
        <w:rPr>
          <w:sz w:val="24"/>
          <w:szCs w:val="24"/>
          <w:u w:val="single"/>
          <w:lang w:val="en-US"/>
        </w:rPr>
        <w:t xml:space="preserve"> 5 mg film-coated tablets</w:t>
      </w:r>
    </w:p>
    <w:p w14:paraId="40901DE9" w14:textId="77777777" w:rsidR="0029430D" w:rsidRPr="00312F3E" w:rsidRDefault="0029430D" w:rsidP="0029430D">
      <w:pPr>
        <w:ind w:left="851"/>
        <w:rPr>
          <w:sz w:val="24"/>
          <w:szCs w:val="24"/>
          <w:lang w:val="en-US"/>
        </w:rPr>
      </w:pPr>
      <w:r w:rsidRPr="00312F3E">
        <w:rPr>
          <w:sz w:val="24"/>
          <w:szCs w:val="24"/>
          <w:lang w:val="en-US"/>
        </w:rPr>
        <w:t>Yellow colored, biconvex, round shaped, film coated tablets engraved with ‘5’ on one side and plain on other side and with diameter 7.2 mm approximately.</w:t>
      </w:r>
    </w:p>
    <w:p w14:paraId="73D845D7" w14:textId="77777777" w:rsidR="0029430D" w:rsidRPr="00312F3E" w:rsidRDefault="0029430D" w:rsidP="0029430D">
      <w:pPr>
        <w:ind w:left="851"/>
        <w:rPr>
          <w:sz w:val="24"/>
          <w:szCs w:val="24"/>
          <w:lang w:val="en-GB"/>
        </w:rPr>
      </w:pPr>
    </w:p>
    <w:p w14:paraId="4AFC2CE9" w14:textId="09DEE5A4" w:rsidR="0029430D" w:rsidRPr="00312F3E" w:rsidRDefault="00312F3E" w:rsidP="0029430D">
      <w:pPr>
        <w:ind w:left="851"/>
        <w:rPr>
          <w:sz w:val="24"/>
          <w:szCs w:val="24"/>
          <w:u w:val="single"/>
          <w:lang w:val="en-US"/>
        </w:rPr>
      </w:pPr>
      <w:proofErr w:type="spellStart"/>
      <w:r w:rsidRPr="00312F3E">
        <w:rPr>
          <w:sz w:val="24"/>
          <w:szCs w:val="24"/>
          <w:u w:val="single"/>
          <w:lang w:val="en-US"/>
        </w:rPr>
        <w:t>Dofliga</w:t>
      </w:r>
      <w:proofErr w:type="spellEnd"/>
      <w:r w:rsidR="0029430D" w:rsidRPr="00312F3E">
        <w:rPr>
          <w:sz w:val="24"/>
          <w:szCs w:val="24"/>
          <w:u w:val="single"/>
          <w:lang w:val="en-US"/>
        </w:rPr>
        <w:t xml:space="preserve"> 10 mg film-coated tablets</w:t>
      </w:r>
    </w:p>
    <w:p w14:paraId="4753BE63" w14:textId="7BADC2EC" w:rsidR="0029430D" w:rsidRPr="00312F3E" w:rsidRDefault="0029430D" w:rsidP="0029430D">
      <w:pPr>
        <w:ind w:left="851"/>
        <w:rPr>
          <w:sz w:val="24"/>
          <w:szCs w:val="24"/>
          <w:lang w:val="en-US"/>
        </w:rPr>
      </w:pPr>
      <w:r w:rsidRPr="00312F3E">
        <w:rPr>
          <w:sz w:val="24"/>
          <w:szCs w:val="24"/>
          <w:lang w:val="en-US"/>
        </w:rPr>
        <w:t xml:space="preserve">Yellow colored, biconvex, diamond shaped, film coated tablets engraved with ‘10’ on one side and score line on other side and with dimensions 11.1 </w:t>
      </w:r>
      <w:r w:rsidR="00583F33">
        <w:rPr>
          <w:sz w:val="24"/>
          <w:szCs w:val="24"/>
          <w:lang w:val="en-US"/>
        </w:rPr>
        <w:t>×</w:t>
      </w:r>
      <w:r w:rsidRPr="00312F3E">
        <w:rPr>
          <w:sz w:val="24"/>
          <w:szCs w:val="24"/>
          <w:lang w:val="en-US"/>
        </w:rPr>
        <w:t xml:space="preserve"> 8.1 mm approximately.</w:t>
      </w:r>
    </w:p>
    <w:p w14:paraId="72BBAA56" w14:textId="77777777" w:rsidR="0029430D" w:rsidRPr="00312F3E" w:rsidRDefault="0029430D" w:rsidP="0029430D">
      <w:pPr>
        <w:ind w:left="851"/>
        <w:rPr>
          <w:sz w:val="24"/>
          <w:szCs w:val="24"/>
          <w:lang w:val="en-US"/>
        </w:rPr>
      </w:pPr>
      <w:r w:rsidRPr="00312F3E">
        <w:rPr>
          <w:sz w:val="24"/>
          <w:szCs w:val="24"/>
          <w:lang w:val="en-US"/>
        </w:rPr>
        <w:t>The tablet can be divided into equal doses.</w:t>
      </w:r>
    </w:p>
    <w:p w14:paraId="474AC0B5" w14:textId="77777777" w:rsidR="007C5D2A" w:rsidRPr="00312F3E" w:rsidRDefault="007C5D2A" w:rsidP="004A3BF4">
      <w:pPr>
        <w:tabs>
          <w:tab w:val="left" w:pos="851"/>
        </w:tabs>
        <w:ind w:left="851"/>
        <w:rPr>
          <w:sz w:val="24"/>
          <w:szCs w:val="24"/>
          <w:lang w:val="en-GB"/>
        </w:rPr>
      </w:pPr>
    </w:p>
    <w:p w14:paraId="19CFB433" w14:textId="77777777" w:rsidR="007C5D2A" w:rsidRPr="00312F3E" w:rsidRDefault="007C5D2A" w:rsidP="004A3BF4">
      <w:pPr>
        <w:tabs>
          <w:tab w:val="left" w:pos="851"/>
        </w:tabs>
        <w:ind w:left="851"/>
        <w:rPr>
          <w:sz w:val="24"/>
          <w:szCs w:val="24"/>
          <w:lang w:val="en-GB"/>
        </w:rPr>
      </w:pPr>
    </w:p>
    <w:p w14:paraId="5040D734" w14:textId="77777777" w:rsidR="007C5D2A" w:rsidRPr="00312F3E" w:rsidRDefault="007C5D2A" w:rsidP="007C5D2A">
      <w:pPr>
        <w:ind w:left="851" w:hanging="851"/>
        <w:rPr>
          <w:b/>
          <w:sz w:val="24"/>
          <w:szCs w:val="24"/>
          <w:lang w:val="en-GB"/>
        </w:rPr>
      </w:pPr>
      <w:r w:rsidRPr="00312F3E">
        <w:rPr>
          <w:b/>
          <w:sz w:val="24"/>
          <w:szCs w:val="24"/>
          <w:lang w:val="en-GB"/>
        </w:rPr>
        <w:lastRenderedPageBreak/>
        <w:t>4.</w:t>
      </w:r>
      <w:r w:rsidRPr="00312F3E">
        <w:rPr>
          <w:b/>
          <w:sz w:val="24"/>
          <w:szCs w:val="24"/>
          <w:lang w:val="en-GB"/>
        </w:rPr>
        <w:tab/>
        <w:t>CLINICAL PARTICULARS</w:t>
      </w:r>
    </w:p>
    <w:p w14:paraId="628CB517" w14:textId="77777777" w:rsidR="007C5D2A" w:rsidRPr="00312F3E" w:rsidRDefault="007C5D2A" w:rsidP="004A3BF4">
      <w:pPr>
        <w:tabs>
          <w:tab w:val="left" w:pos="851"/>
        </w:tabs>
        <w:ind w:left="851"/>
        <w:rPr>
          <w:sz w:val="24"/>
          <w:szCs w:val="24"/>
          <w:lang w:val="en-GB"/>
        </w:rPr>
      </w:pPr>
    </w:p>
    <w:p w14:paraId="4B0C0CF8" w14:textId="77777777" w:rsidR="007C5D2A" w:rsidRPr="00312F3E" w:rsidRDefault="007C5D2A" w:rsidP="007C5D2A">
      <w:pPr>
        <w:ind w:left="851" w:hanging="851"/>
        <w:rPr>
          <w:b/>
          <w:sz w:val="24"/>
          <w:szCs w:val="24"/>
          <w:u w:val="single"/>
          <w:lang w:val="en-GB"/>
        </w:rPr>
      </w:pPr>
      <w:r w:rsidRPr="00312F3E">
        <w:rPr>
          <w:b/>
          <w:sz w:val="24"/>
          <w:szCs w:val="24"/>
          <w:lang w:val="en-GB"/>
        </w:rPr>
        <w:t>4.1</w:t>
      </w:r>
      <w:r w:rsidRPr="00312F3E">
        <w:rPr>
          <w:b/>
          <w:sz w:val="24"/>
          <w:szCs w:val="24"/>
          <w:lang w:val="en-GB"/>
        </w:rPr>
        <w:tab/>
        <w:t>Therapeutic indications</w:t>
      </w:r>
    </w:p>
    <w:p w14:paraId="487A837D" w14:textId="77777777" w:rsidR="00583F33" w:rsidRDefault="00583F33" w:rsidP="0029430D">
      <w:pPr>
        <w:ind w:left="851"/>
        <w:rPr>
          <w:sz w:val="24"/>
          <w:szCs w:val="24"/>
          <w:lang w:val="en-US"/>
        </w:rPr>
      </w:pPr>
    </w:p>
    <w:p w14:paraId="1662F75C" w14:textId="541BC5A7" w:rsidR="0029430D" w:rsidRPr="00583F33" w:rsidRDefault="0029430D" w:rsidP="0029430D">
      <w:pPr>
        <w:ind w:left="851"/>
        <w:rPr>
          <w:sz w:val="24"/>
          <w:szCs w:val="24"/>
          <w:u w:val="single"/>
          <w:lang w:val="en-US"/>
        </w:rPr>
      </w:pPr>
      <w:r w:rsidRPr="00583F33">
        <w:rPr>
          <w:sz w:val="24"/>
          <w:szCs w:val="24"/>
          <w:u w:val="single"/>
          <w:lang w:val="en-US"/>
        </w:rPr>
        <w:t>Type 2 diabetes mellitus</w:t>
      </w:r>
    </w:p>
    <w:p w14:paraId="6DB8320D" w14:textId="77777777" w:rsidR="0029430D" w:rsidRPr="00312F3E" w:rsidRDefault="0029430D" w:rsidP="0029430D">
      <w:pPr>
        <w:ind w:left="851"/>
        <w:rPr>
          <w:sz w:val="24"/>
          <w:szCs w:val="24"/>
          <w:lang w:val="en-US"/>
        </w:rPr>
      </w:pPr>
    </w:p>
    <w:p w14:paraId="4E650E50" w14:textId="2C334BDE" w:rsidR="0029430D" w:rsidRPr="00312F3E" w:rsidRDefault="00312F3E" w:rsidP="0029430D">
      <w:pPr>
        <w:ind w:left="851"/>
        <w:rPr>
          <w:sz w:val="24"/>
          <w:szCs w:val="24"/>
          <w:lang w:val="en-US"/>
        </w:rPr>
      </w:pPr>
      <w:proofErr w:type="spellStart"/>
      <w:r>
        <w:rPr>
          <w:sz w:val="24"/>
          <w:szCs w:val="24"/>
          <w:lang w:val="en-US"/>
        </w:rPr>
        <w:t>Dofliga</w:t>
      </w:r>
      <w:proofErr w:type="spellEnd"/>
      <w:r w:rsidR="0029430D" w:rsidRPr="00312F3E">
        <w:rPr>
          <w:sz w:val="24"/>
          <w:szCs w:val="24"/>
          <w:lang w:val="en-US"/>
        </w:rPr>
        <w:t xml:space="preserve"> is indicated in adults and children aged 10 years and above for the treatment of insufficiently controlled type 2 diabetes mellitus as an adjunct to diet and exercise </w:t>
      </w:r>
    </w:p>
    <w:p w14:paraId="15E2FAFE" w14:textId="77777777" w:rsidR="0029430D" w:rsidRPr="00312F3E" w:rsidRDefault="0029430D" w:rsidP="0029430D">
      <w:pPr>
        <w:ind w:left="851"/>
        <w:rPr>
          <w:sz w:val="24"/>
          <w:szCs w:val="24"/>
          <w:lang w:val="en-US"/>
        </w:rPr>
      </w:pPr>
      <w:r w:rsidRPr="00312F3E">
        <w:rPr>
          <w:sz w:val="24"/>
          <w:szCs w:val="24"/>
          <w:lang w:val="en-US"/>
        </w:rPr>
        <w:t>- as monotherapy when metformin is considered inappropriate due to intolerance.</w:t>
      </w:r>
    </w:p>
    <w:p w14:paraId="3FC39347" w14:textId="77777777" w:rsidR="0029430D" w:rsidRPr="00312F3E" w:rsidRDefault="0029430D" w:rsidP="0029430D">
      <w:pPr>
        <w:ind w:left="851"/>
        <w:rPr>
          <w:sz w:val="24"/>
          <w:szCs w:val="24"/>
          <w:lang w:val="en-US"/>
        </w:rPr>
      </w:pPr>
      <w:r w:rsidRPr="00312F3E">
        <w:rPr>
          <w:sz w:val="24"/>
          <w:szCs w:val="24"/>
          <w:lang w:val="en-US"/>
        </w:rPr>
        <w:t>- in addition to other medicinal products for the treatment of type 2 diabetes.</w:t>
      </w:r>
    </w:p>
    <w:p w14:paraId="4CF5DCB0" w14:textId="77777777" w:rsidR="0029430D" w:rsidRPr="00312F3E" w:rsidRDefault="0029430D" w:rsidP="0029430D">
      <w:pPr>
        <w:ind w:left="851"/>
        <w:rPr>
          <w:sz w:val="24"/>
          <w:szCs w:val="24"/>
          <w:lang w:val="en-US"/>
        </w:rPr>
      </w:pPr>
    </w:p>
    <w:p w14:paraId="0F203A3C" w14:textId="77777777" w:rsidR="0029430D" w:rsidRPr="00312F3E" w:rsidRDefault="0029430D" w:rsidP="0029430D">
      <w:pPr>
        <w:ind w:left="851"/>
        <w:rPr>
          <w:sz w:val="24"/>
          <w:szCs w:val="24"/>
          <w:lang w:val="en-US"/>
        </w:rPr>
      </w:pPr>
      <w:r w:rsidRPr="00312F3E">
        <w:rPr>
          <w:sz w:val="24"/>
          <w:szCs w:val="24"/>
          <w:lang w:val="en-US"/>
        </w:rPr>
        <w:t xml:space="preserve">For study results with respect to combination of therapies, effects on </w:t>
      </w:r>
      <w:proofErr w:type="spellStart"/>
      <w:r w:rsidRPr="00312F3E">
        <w:rPr>
          <w:sz w:val="24"/>
          <w:szCs w:val="24"/>
          <w:lang w:val="en-US"/>
        </w:rPr>
        <w:t>glycaemic</w:t>
      </w:r>
      <w:proofErr w:type="spellEnd"/>
      <w:r w:rsidRPr="00312F3E">
        <w:rPr>
          <w:sz w:val="24"/>
          <w:szCs w:val="24"/>
          <w:lang w:val="en-US"/>
        </w:rPr>
        <w:t xml:space="preserve"> control, cardiovascular and renal events, and the populations studied, see sections 4.4, 4.5 and 5.1.</w:t>
      </w:r>
    </w:p>
    <w:p w14:paraId="6266D1A8" w14:textId="77777777" w:rsidR="0029430D" w:rsidRPr="00312F3E" w:rsidRDefault="0029430D" w:rsidP="0029430D">
      <w:pPr>
        <w:ind w:left="851"/>
        <w:rPr>
          <w:sz w:val="24"/>
          <w:szCs w:val="24"/>
          <w:lang w:val="en-US"/>
        </w:rPr>
      </w:pPr>
    </w:p>
    <w:p w14:paraId="1D860D46" w14:textId="77777777" w:rsidR="0029430D" w:rsidRPr="00312F3E" w:rsidRDefault="0029430D" w:rsidP="0029430D">
      <w:pPr>
        <w:ind w:left="851"/>
        <w:rPr>
          <w:sz w:val="24"/>
          <w:szCs w:val="24"/>
          <w:u w:val="single"/>
          <w:lang w:val="en-US"/>
        </w:rPr>
      </w:pPr>
      <w:r w:rsidRPr="00312F3E">
        <w:rPr>
          <w:sz w:val="24"/>
          <w:szCs w:val="24"/>
          <w:u w:val="single"/>
          <w:lang w:val="en-US"/>
        </w:rPr>
        <w:t>Heart failure</w:t>
      </w:r>
    </w:p>
    <w:p w14:paraId="3AB7F7D8" w14:textId="77777777" w:rsidR="0029430D" w:rsidRPr="00312F3E" w:rsidRDefault="0029430D" w:rsidP="0029430D">
      <w:pPr>
        <w:ind w:left="851"/>
        <w:rPr>
          <w:sz w:val="24"/>
          <w:szCs w:val="24"/>
          <w:lang w:val="en-US"/>
        </w:rPr>
      </w:pPr>
    </w:p>
    <w:p w14:paraId="3EABE2E6" w14:textId="5AD3F7C3" w:rsidR="0029430D" w:rsidRPr="00312F3E" w:rsidRDefault="00312F3E" w:rsidP="0029430D">
      <w:pPr>
        <w:ind w:left="851"/>
        <w:rPr>
          <w:sz w:val="24"/>
          <w:szCs w:val="24"/>
          <w:lang w:val="en-US"/>
        </w:rPr>
      </w:pPr>
      <w:proofErr w:type="spellStart"/>
      <w:r>
        <w:rPr>
          <w:sz w:val="24"/>
          <w:szCs w:val="24"/>
          <w:lang w:val="en-US"/>
        </w:rPr>
        <w:t>Dofliga</w:t>
      </w:r>
      <w:proofErr w:type="spellEnd"/>
      <w:r w:rsidR="0029430D" w:rsidRPr="00312F3E">
        <w:rPr>
          <w:sz w:val="24"/>
          <w:szCs w:val="24"/>
          <w:lang w:val="en-US"/>
        </w:rPr>
        <w:t xml:space="preserve"> is indicated in adults for the treatment of symptomatic chronic heart failure.</w:t>
      </w:r>
    </w:p>
    <w:p w14:paraId="632C6BB1" w14:textId="77777777" w:rsidR="0029430D" w:rsidRPr="00312F3E" w:rsidRDefault="0029430D" w:rsidP="0029430D">
      <w:pPr>
        <w:ind w:left="851"/>
        <w:rPr>
          <w:sz w:val="24"/>
          <w:szCs w:val="24"/>
          <w:lang w:val="en-US"/>
        </w:rPr>
      </w:pPr>
    </w:p>
    <w:p w14:paraId="3A2C52D9" w14:textId="77777777" w:rsidR="0029430D" w:rsidRPr="00312F3E" w:rsidRDefault="0029430D" w:rsidP="0029430D">
      <w:pPr>
        <w:ind w:left="851"/>
        <w:rPr>
          <w:sz w:val="24"/>
          <w:szCs w:val="24"/>
          <w:u w:val="single"/>
          <w:lang w:val="en-US"/>
        </w:rPr>
      </w:pPr>
      <w:r w:rsidRPr="00312F3E">
        <w:rPr>
          <w:sz w:val="24"/>
          <w:szCs w:val="24"/>
          <w:u w:val="single"/>
          <w:lang w:val="en-US"/>
        </w:rPr>
        <w:t>Chronic kidney disease</w:t>
      </w:r>
    </w:p>
    <w:p w14:paraId="517317BD" w14:textId="77777777" w:rsidR="0029430D" w:rsidRPr="00312F3E" w:rsidRDefault="0029430D" w:rsidP="0029430D">
      <w:pPr>
        <w:ind w:left="851"/>
        <w:rPr>
          <w:sz w:val="24"/>
          <w:szCs w:val="24"/>
          <w:lang w:val="en-US"/>
        </w:rPr>
      </w:pPr>
    </w:p>
    <w:p w14:paraId="47627D62" w14:textId="5119A468" w:rsidR="0029430D" w:rsidRPr="00312F3E" w:rsidRDefault="00312F3E" w:rsidP="0029430D">
      <w:pPr>
        <w:ind w:left="851"/>
        <w:rPr>
          <w:sz w:val="24"/>
          <w:szCs w:val="24"/>
          <w:lang w:val="en-US"/>
        </w:rPr>
      </w:pPr>
      <w:proofErr w:type="spellStart"/>
      <w:r>
        <w:rPr>
          <w:sz w:val="24"/>
          <w:szCs w:val="24"/>
          <w:lang w:val="en-US"/>
        </w:rPr>
        <w:t>Dofliga</w:t>
      </w:r>
      <w:proofErr w:type="spellEnd"/>
      <w:r w:rsidR="0029430D" w:rsidRPr="00312F3E">
        <w:rPr>
          <w:sz w:val="24"/>
          <w:szCs w:val="24"/>
          <w:lang w:val="en-US"/>
        </w:rPr>
        <w:t xml:space="preserve"> is indicated in adults for the treatment of chronic kidney disease.</w:t>
      </w:r>
    </w:p>
    <w:p w14:paraId="2F839576" w14:textId="77777777" w:rsidR="007C5D2A" w:rsidRPr="00312F3E" w:rsidRDefault="007C5D2A" w:rsidP="00A85D26">
      <w:pPr>
        <w:tabs>
          <w:tab w:val="left" w:pos="851"/>
        </w:tabs>
        <w:ind w:left="851"/>
        <w:rPr>
          <w:sz w:val="24"/>
          <w:szCs w:val="24"/>
          <w:lang w:val="en-GB"/>
        </w:rPr>
      </w:pPr>
    </w:p>
    <w:p w14:paraId="66099CF7" w14:textId="77777777" w:rsidR="007C5D2A" w:rsidRPr="00312F3E" w:rsidRDefault="009925C9" w:rsidP="007C5D2A">
      <w:pPr>
        <w:tabs>
          <w:tab w:val="left" w:pos="851"/>
        </w:tabs>
        <w:ind w:left="851" w:hanging="851"/>
        <w:rPr>
          <w:sz w:val="24"/>
          <w:szCs w:val="24"/>
          <w:lang w:val="en-GB"/>
        </w:rPr>
      </w:pPr>
      <w:r w:rsidRPr="00312F3E">
        <w:rPr>
          <w:b/>
          <w:sz w:val="24"/>
          <w:szCs w:val="24"/>
          <w:lang w:val="en-GB"/>
        </w:rPr>
        <w:t>4.2</w:t>
      </w:r>
      <w:r w:rsidR="007C5D2A" w:rsidRPr="00312F3E">
        <w:rPr>
          <w:b/>
          <w:sz w:val="24"/>
          <w:szCs w:val="24"/>
          <w:lang w:val="en-GB"/>
        </w:rPr>
        <w:tab/>
        <w:t>Posology and method of administration</w:t>
      </w:r>
    </w:p>
    <w:p w14:paraId="2A53CA5F" w14:textId="77777777" w:rsidR="00312F3E" w:rsidRDefault="00312F3E" w:rsidP="0029430D">
      <w:pPr>
        <w:ind w:left="851"/>
        <w:rPr>
          <w:sz w:val="24"/>
          <w:szCs w:val="24"/>
          <w:lang w:val="en-US"/>
        </w:rPr>
      </w:pPr>
    </w:p>
    <w:p w14:paraId="19F7B341" w14:textId="663214C6" w:rsidR="0029430D" w:rsidRPr="00312F3E" w:rsidRDefault="0029430D" w:rsidP="0029430D">
      <w:pPr>
        <w:ind w:left="851"/>
        <w:rPr>
          <w:sz w:val="24"/>
          <w:szCs w:val="24"/>
          <w:u w:val="single"/>
          <w:lang w:val="en-US"/>
        </w:rPr>
      </w:pPr>
      <w:r w:rsidRPr="00312F3E">
        <w:rPr>
          <w:sz w:val="24"/>
          <w:szCs w:val="24"/>
          <w:u w:val="single"/>
          <w:lang w:val="en-US"/>
        </w:rPr>
        <w:t>Posology</w:t>
      </w:r>
    </w:p>
    <w:p w14:paraId="4EA489FF" w14:textId="77777777" w:rsidR="0029430D" w:rsidRPr="00312F3E" w:rsidRDefault="0029430D" w:rsidP="0029430D">
      <w:pPr>
        <w:ind w:left="851"/>
        <w:rPr>
          <w:sz w:val="24"/>
          <w:szCs w:val="24"/>
          <w:lang w:val="en-US"/>
        </w:rPr>
      </w:pPr>
    </w:p>
    <w:p w14:paraId="194EDD1F"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Type 2 diabetes mellitus</w:t>
      </w:r>
    </w:p>
    <w:p w14:paraId="0185ADCE" w14:textId="77777777" w:rsidR="0029430D" w:rsidRPr="00312F3E" w:rsidRDefault="0029430D" w:rsidP="0029430D">
      <w:pPr>
        <w:ind w:left="851"/>
        <w:rPr>
          <w:bCs/>
          <w:sz w:val="24"/>
          <w:szCs w:val="24"/>
          <w:lang w:val="en-US"/>
        </w:rPr>
      </w:pPr>
      <w:r w:rsidRPr="00312F3E">
        <w:rPr>
          <w:bCs/>
          <w:sz w:val="24"/>
          <w:szCs w:val="24"/>
          <w:lang w:val="en-US"/>
        </w:rPr>
        <w:t>The recommended dose is 10 mg dapagliflozin once daily.</w:t>
      </w:r>
    </w:p>
    <w:p w14:paraId="00696C84" w14:textId="77777777" w:rsidR="0029430D" w:rsidRPr="00312F3E" w:rsidRDefault="0029430D" w:rsidP="0029430D">
      <w:pPr>
        <w:ind w:left="851"/>
        <w:rPr>
          <w:bCs/>
          <w:sz w:val="24"/>
          <w:szCs w:val="24"/>
          <w:lang w:val="en-US"/>
        </w:rPr>
      </w:pPr>
    </w:p>
    <w:p w14:paraId="6774ABAA" w14:textId="77777777" w:rsidR="0029430D" w:rsidRPr="00312F3E" w:rsidRDefault="0029430D" w:rsidP="0029430D">
      <w:pPr>
        <w:ind w:left="851"/>
        <w:rPr>
          <w:bCs/>
          <w:sz w:val="24"/>
          <w:szCs w:val="24"/>
          <w:lang w:val="en-US"/>
        </w:rPr>
      </w:pPr>
      <w:r w:rsidRPr="00312F3E">
        <w:rPr>
          <w:bCs/>
          <w:sz w:val="24"/>
          <w:szCs w:val="24"/>
          <w:lang w:val="en-US"/>
        </w:rPr>
        <w:t xml:space="preserve">When dapagliflozin is used in combination with insulin or an insulin secretagogue, such as a </w:t>
      </w:r>
      <w:proofErr w:type="spellStart"/>
      <w:r w:rsidRPr="00312F3E">
        <w:rPr>
          <w:bCs/>
          <w:sz w:val="24"/>
          <w:szCs w:val="24"/>
          <w:lang w:val="en-US"/>
        </w:rPr>
        <w:t>sulphonylurea</w:t>
      </w:r>
      <w:proofErr w:type="spellEnd"/>
      <w:r w:rsidRPr="00312F3E">
        <w:rPr>
          <w:bCs/>
          <w:sz w:val="24"/>
          <w:szCs w:val="24"/>
          <w:lang w:val="en-US"/>
        </w:rPr>
        <w:t xml:space="preserve">, a lower dose of insulin or insulin secretagogue may be considered to reduce the risk of </w:t>
      </w:r>
      <w:proofErr w:type="spellStart"/>
      <w:r w:rsidRPr="00312F3E">
        <w:rPr>
          <w:bCs/>
          <w:sz w:val="24"/>
          <w:szCs w:val="24"/>
          <w:lang w:val="en-US"/>
        </w:rPr>
        <w:t>hypoglycaemia</w:t>
      </w:r>
      <w:proofErr w:type="spellEnd"/>
      <w:r w:rsidRPr="00312F3E">
        <w:rPr>
          <w:bCs/>
          <w:sz w:val="24"/>
          <w:szCs w:val="24"/>
          <w:lang w:val="en-US"/>
        </w:rPr>
        <w:t xml:space="preserve"> (see sections 4.5 and 4.8).</w:t>
      </w:r>
    </w:p>
    <w:p w14:paraId="01EA8871" w14:textId="77777777" w:rsidR="0029430D" w:rsidRPr="00312F3E" w:rsidRDefault="0029430D" w:rsidP="0029430D">
      <w:pPr>
        <w:ind w:left="851"/>
        <w:rPr>
          <w:bCs/>
          <w:i/>
          <w:iCs/>
          <w:sz w:val="24"/>
          <w:szCs w:val="24"/>
          <w:lang w:val="en-US"/>
        </w:rPr>
      </w:pPr>
    </w:p>
    <w:p w14:paraId="1D80FF71"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Heart failure</w:t>
      </w:r>
    </w:p>
    <w:p w14:paraId="78D441DB" w14:textId="77777777" w:rsidR="0029430D" w:rsidRPr="00312F3E" w:rsidRDefault="0029430D" w:rsidP="0029430D">
      <w:pPr>
        <w:ind w:left="851"/>
        <w:rPr>
          <w:bCs/>
          <w:sz w:val="24"/>
          <w:szCs w:val="24"/>
          <w:lang w:val="en-US"/>
        </w:rPr>
      </w:pPr>
      <w:r w:rsidRPr="00312F3E">
        <w:rPr>
          <w:bCs/>
          <w:sz w:val="24"/>
          <w:szCs w:val="24"/>
          <w:lang w:val="en-US"/>
        </w:rPr>
        <w:t>The recommended dose is 10 mg dapagliflozin once daily.</w:t>
      </w:r>
    </w:p>
    <w:p w14:paraId="01EF5B0F" w14:textId="77777777" w:rsidR="0029430D" w:rsidRPr="00312F3E" w:rsidRDefault="0029430D" w:rsidP="0029430D">
      <w:pPr>
        <w:ind w:left="851"/>
        <w:rPr>
          <w:bCs/>
          <w:sz w:val="24"/>
          <w:szCs w:val="24"/>
          <w:lang w:val="en-US"/>
        </w:rPr>
      </w:pPr>
    </w:p>
    <w:p w14:paraId="56850286"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Chronic kidney disease</w:t>
      </w:r>
    </w:p>
    <w:p w14:paraId="47BEB1BD" w14:textId="77777777" w:rsidR="0029430D" w:rsidRPr="00312F3E" w:rsidRDefault="0029430D" w:rsidP="0029430D">
      <w:pPr>
        <w:ind w:left="851"/>
        <w:rPr>
          <w:bCs/>
          <w:sz w:val="24"/>
          <w:szCs w:val="24"/>
          <w:lang w:val="en-US"/>
        </w:rPr>
      </w:pPr>
      <w:r w:rsidRPr="00312F3E">
        <w:rPr>
          <w:bCs/>
          <w:sz w:val="24"/>
          <w:szCs w:val="24"/>
          <w:lang w:val="en-US"/>
        </w:rPr>
        <w:t>The recommended dose is 10 mg dapagliflozin once daily.</w:t>
      </w:r>
    </w:p>
    <w:p w14:paraId="79B56F15" w14:textId="77777777" w:rsidR="0029430D" w:rsidRPr="00312F3E" w:rsidRDefault="0029430D" w:rsidP="0029430D">
      <w:pPr>
        <w:ind w:left="851"/>
        <w:rPr>
          <w:bCs/>
          <w:sz w:val="24"/>
          <w:szCs w:val="24"/>
          <w:lang w:val="en-US"/>
        </w:rPr>
      </w:pPr>
    </w:p>
    <w:p w14:paraId="40736726"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Special populations</w:t>
      </w:r>
    </w:p>
    <w:p w14:paraId="2648F3A6" w14:textId="77777777" w:rsidR="0029430D" w:rsidRPr="00312F3E" w:rsidRDefault="0029430D" w:rsidP="0029430D">
      <w:pPr>
        <w:ind w:left="851"/>
        <w:rPr>
          <w:bCs/>
          <w:i/>
          <w:iCs/>
          <w:sz w:val="24"/>
          <w:szCs w:val="24"/>
          <w:lang w:val="en-US"/>
        </w:rPr>
      </w:pPr>
      <w:r w:rsidRPr="00312F3E">
        <w:rPr>
          <w:bCs/>
          <w:i/>
          <w:iCs/>
          <w:sz w:val="24"/>
          <w:szCs w:val="24"/>
          <w:lang w:val="en-US"/>
        </w:rPr>
        <w:t>Renal impairment</w:t>
      </w:r>
    </w:p>
    <w:p w14:paraId="57B7EEC9" w14:textId="77777777" w:rsidR="0029430D" w:rsidRPr="00312F3E" w:rsidRDefault="0029430D" w:rsidP="0029430D">
      <w:pPr>
        <w:ind w:left="851"/>
        <w:rPr>
          <w:bCs/>
          <w:sz w:val="24"/>
          <w:szCs w:val="24"/>
          <w:lang w:val="en-US"/>
        </w:rPr>
      </w:pPr>
      <w:r w:rsidRPr="00312F3E">
        <w:rPr>
          <w:bCs/>
          <w:sz w:val="24"/>
          <w:szCs w:val="24"/>
          <w:lang w:val="en-US"/>
        </w:rPr>
        <w:t>No dose adjustment is required based on renal function.</w:t>
      </w:r>
    </w:p>
    <w:p w14:paraId="465079CC" w14:textId="77777777" w:rsidR="0029430D" w:rsidRPr="00312F3E" w:rsidRDefault="0029430D" w:rsidP="0029430D">
      <w:pPr>
        <w:ind w:left="851"/>
        <w:rPr>
          <w:bCs/>
          <w:sz w:val="24"/>
          <w:szCs w:val="24"/>
          <w:lang w:val="en-US"/>
        </w:rPr>
      </w:pPr>
    </w:p>
    <w:p w14:paraId="185D6CB7" w14:textId="77777777" w:rsidR="0029430D" w:rsidRPr="00312F3E" w:rsidRDefault="0029430D" w:rsidP="0029430D">
      <w:pPr>
        <w:ind w:left="851"/>
        <w:rPr>
          <w:bCs/>
          <w:sz w:val="24"/>
          <w:szCs w:val="24"/>
          <w:lang w:val="en-US"/>
        </w:rPr>
      </w:pPr>
      <w:r w:rsidRPr="00312F3E">
        <w:rPr>
          <w:bCs/>
          <w:sz w:val="24"/>
          <w:szCs w:val="24"/>
          <w:lang w:val="en-US"/>
        </w:rPr>
        <w:t>Due to limited experience, it is not recommended to initiate treatment with dapagliflozin in patients with GFR &lt; 25 mL/min.</w:t>
      </w:r>
    </w:p>
    <w:p w14:paraId="532067A5" w14:textId="77777777" w:rsidR="0029430D" w:rsidRPr="00312F3E" w:rsidRDefault="0029430D" w:rsidP="0029430D">
      <w:pPr>
        <w:ind w:left="851"/>
        <w:rPr>
          <w:bCs/>
          <w:sz w:val="24"/>
          <w:szCs w:val="24"/>
          <w:lang w:val="en-US"/>
        </w:rPr>
      </w:pPr>
    </w:p>
    <w:p w14:paraId="1D350381" w14:textId="77777777" w:rsidR="0029430D" w:rsidRPr="00312F3E" w:rsidRDefault="0029430D" w:rsidP="0029430D">
      <w:pPr>
        <w:ind w:left="851"/>
        <w:rPr>
          <w:bCs/>
          <w:sz w:val="24"/>
          <w:szCs w:val="24"/>
          <w:lang w:val="en-US"/>
        </w:rPr>
      </w:pPr>
      <w:r w:rsidRPr="00312F3E">
        <w:rPr>
          <w:bCs/>
          <w:sz w:val="24"/>
          <w:szCs w:val="24"/>
          <w:lang w:val="en-US"/>
        </w:rPr>
        <w:t xml:space="preserve">In patients with type 2 diabetes mellitus, the glucose lowering efficacy of dapagliflozin is reduced when the glomerular filtration rate (GFR) is &lt; 45 mL/min and is likely absent in patients with severe renal impairment. Therefore, if GFR falls below 45 mL/min, additional glucose lowering treatment should be considered in patients with type 2 diabetes mellitus if further </w:t>
      </w:r>
      <w:proofErr w:type="spellStart"/>
      <w:r w:rsidRPr="00312F3E">
        <w:rPr>
          <w:bCs/>
          <w:sz w:val="24"/>
          <w:szCs w:val="24"/>
          <w:lang w:val="en-US"/>
        </w:rPr>
        <w:t>glycaemic</w:t>
      </w:r>
      <w:proofErr w:type="spellEnd"/>
      <w:r w:rsidRPr="00312F3E">
        <w:rPr>
          <w:bCs/>
          <w:sz w:val="24"/>
          <w:szCs w:val="24"/>
          <w:lang w:val="en-US"/>
        </w:rPr>
        <w:t xml:space="preserve"> control is needed (see sections 4.4, 4.8, 5.1 and 5.2).</w:t>
      </w:r>
    </w:p>
    <w:p w14:paraId="15D4282F" w14:textId="77777777" w:rsidR="0029430D" w:rsidRPr="00312F3E" w:rsidRDefault="0029430D" w:rsidP="0029430D">
      <w:pPr>
        <w:ind w:left="851"/>
        <w:rPr>
          <w:bCs/>
          <w:sz w:val="24"/>
          <w:szCs w:val="24"/>
          <w:lang w:val="en-US"/>
        </w:rPr>
      </w:pPr>
    </w:p>
    <w:p w14:paraId="07164F05" w14:textId="77777777" w:rsidR="0029430D" w:rsidRPr="00312F3E" w:rsidRDefault="0029430D" w:rsidP="0029430D">
      <w:pPr>
        <w:ind w:left="851"/>
        <w:rPr>
          <w:bCs/>
          <w:i/>
          <w:iCs/>
          <w:sz w:val="24"/>
          <w:szCs w:val="24"/>
          <w:lang w:val="en-US"/>
        </w:rPr>
      </w:pPr>
      <w:r w:rsidRPr="00312F3E">
        <w:rPr>
          <w:bCs/>
          <w:i/>
          <w:iCs/>
          <w:sz w:val="24"/>
          <w:szCs w:val="24"/>
          <w:lang w:val="en-US"/>
        </w:rPr>
        <w:t>Hepatic impairment</w:t>
      </w:r>
    </w:p>
    <w:p w14:paraId="7DE23247" w14:textId="77777777" w:rsidR="0029430D" w:rsidRPr="00312F3E" w:rsidRDefault="0029430D" w:rsidP="0029430D">
      <w:pPr>
        <w:ind w:left="851"/>
        <w:rPr>
          <w:bCs/>
          <w:sz w:val="24"/>
          <w:szCs w:val="24"/>
          <w:lang w:val="en-US"/>
        </w:rPr>
      </w:pPr>
      <w:r w:rsidRPr="00312F3E">
        <w:rPr>
          <w:bCs/>
          <w:sz w:val="24"/>
          <w:szCs w:val="24"/>
          <w:lang w:val="en-US"/>
        </w:rPr>
        <w:t>No dose adjustment is necessary for patients with mild or moderate hepatic impairment. In patients with severe hepatic impairment, a starting dose of 5 mg is recommended. If well tolerated, the dose may be increased to 10 mg (see sections 4.4 and 5.2).</w:t>
      </w:r>
    </w:p>
    <w:p w14:paraId="69AFC839" w14:textId="77777777" w:rsidR="0029430D" w:rsidRPr="00312F3E" w:rsidRDefault="0029430D" w:rsidP="0029430D">
      <w:pPr>
        <w:ind w:left="851"/>
        <w:rPr>
          <w:bCs/>
          <w:sz w:val="24"/>
          <w:szCs w:val="24"/>
          <w:lang w:val="en-US"/>
        </w:rPr>
      </w:pPr>
    </w:p>
    <w:p w14:paraId="17A12B6B" w14:textId="77777777" w:rsidR="0029430D" w:rsidRPr="00312F3E" w:rsidRDefault="0029430D" w:rsidP="0029430D">
      <w:pPr>
        <w:ind w:left="851"/>
        <w:rPr>
          <w:bCs/>
          <w:i/>
          <w:iCs/>
          <w:sz w:val="24"/>
          <w:szCs w:val="24"/>
          <w:lang w:val="en-US"/>
        </w:rPr>
      </w:pPr>
      <w:r w:rsidRPr="00312F3E">
        <w:rPr>
          <w:bCs/>
          <w:i/>
          <w:iCs/>
          <w:sz w:val="24"/>
          <w:szCs w:val="24"/>
          <w:lang w:val="en-US"/>
        </w:rPr>
        <w:t>Elderly (≥ 65 years)</w:t>
      </w:r>
    </w:p>
    <w:p w14:paraId="1D0B7340" w14:textId="77777777" w:rsidR="0029430D" w:rsidRPr="00312F3E" w:rsidRDefault="0029430D" w:rsidP="0029430D">
      <w:pPr>
        <w:ind w:left="851"/>
        <w:rPr>
          <w:bCs/>
          <w:sz w:val="24"/>
          <w:szCs w:val="24"/>
          <w:lang w:val="en-US"/>
        </w:rPr>
      </w:pPr>
      <w:r w:rsidRPr="00312F3E">
        <w:rPr>
          <w:bCs/>
          <w:sz w:val="24"/>
          <w:szCs w:val="24"/>
          <w:lang w:val="en-US"/>
        </w:rPr>
        <w:t>No dose adjustment is recommended based on age.</w:t>
      </w:r>
    </w:p>
    <w:p w14:paraId="5B512DBF" w14:textId="77777777" w:rsidR="0029430D" w:rsidRPr="00312F3E" w:rsidRDefault="0029430D" w:rsidP="0029430D">
      <w:pPr>
        <w:ind w:left="851"/>
        <w:rPr>
          <w:bCs/>
          <w:sz w:val="24"/>
          <w:szCs w:val="24"/>
          <w:lang w:val="en-US"/>
        </w:rPr>
      </w:pPr>
    </w:p>
    <w:p w14:paraId="5454EDE0" w14:textId="77777777" w:rsidR="0029430D" w:rsidRPr="00312F3E" w:rsidRDefault="0029430D" w:rsidP="0029430D">
      <w:pPr>
        <w:ind w:left="851"/>
        <w:rPr>
          <w:bCs/>
          <w:i/>
          <w:iCs/>
          <w:sz w:val="24"/>
          <w:szCs w:val="24"/>
          <w:lang w:val="en-US"/>
        </w:rPr>
      </w:pPr>
      <w:r w:rsidRPr="00312F3E">
        <w:rPr>
          <w:bCs/>
          <w:i/>
          <w:iCs/>
          <w:sz w:val="24"/>
          <w:szCs w:val="24"/>
          <w:lang w:val="en-US"/>
        </w:rPr>
        <w:t>Paediatric population</w:t>
      </w:r>
    </w:p>
    <w:p w14:paraId="59367D05" w14:textId="77777777" w:rsidR="0029430D" w:rsidRPr="00312F3E" w:rsidRDefault="0029430D" w:rsidP="0029430D">
      <w:pPr>
        <w:ind w:left="851"/>
        <w:rPr>
          <w:bCs/>
          <w:sz w:val="24"/>
          <w:szCs w:val="24"/>
          <w:lang w:val="en-US"/>
        </w:rPr>
      </w:pPr>
      <w:r w:rsidRPr="00312F3E">
        <w:rPr>
          <w:bCs/>
          <w:sz w:val="24"/>
          <w:szCs w:val="24"/>
          <w:lang w:val="en-US"/>
        </w:rPr>
        <w:t>No dose adjustment is required for the treatment of type 2 diabetes mellitus in children aged 10 years and above (see sections 5.1 and 5.2). No data are available for children below 10 years of age.</w:t>
      </w:r>
    </w:p>
    <w:p w14:paraId="1A671012" w14:textId="77777777" w:rsidR="0029430D" w:rsidRPr="00312F3E" w:rsidRDefault="0029430D" w:rsidP="0029430D">
      <w:pPr>
        <w:ind w:left="851"/>
        <w:rPr>
          <w:bCs/>
          <w:sz w:val="24"/>
          <w:szCs w:val="24"/>
          <w:lang w:val="en-US"/>
        </w:rPr>
      </w:pPr>
    </w:p>
    <w:p w14:paraId="7EE0418D" w14:textId="77777777" w:rsidR="0029430D" w:rsidRPr="00312F3E" w:rsidRDefault="0029430D" w:rsidP="0029430D">
      <w:pPr>
        <w:ind w:left="851"/>
        <w:rPr>
          <w:bCs/>
          <w:sz w:val="24"/>
          <w:szCs w:val="24"/>
          <w:lang w:val="en-US"/>
        </w:rPr>
      </w:pPr>
      <w:r w:rsidRPr="00312F3E">
        <w:rPr>
          <w:bCs/>
          <w:sz w:val="24"/>
          <w:szCs w:val="24"/>
          <w:lang w:val="en-US"/>
        </w:rPr>
        <w:t>The safety and efficacy of dapagliflozin for the treatment of heart failure or for the treatment of chronic kidney disease in children &lt; 18 years have not yet been established. No data are available.</w:t>
      </w:r>
    </w:p>
    <w:p w14:paraId="7C3FB535" w14:textId="77777777" w:rsidR="0029430D" w:rsidRPr="004C0E01" w:rsidRDefault="0029430D" w:rsidP="0029430D">
      <w:pPr>
        <w:ind w:left="851"/>
        <w:rPr>
          <w:sz w:val="24"/>
          <w:szCs w:val="24"/>
          <w:lang w:val="en-US"/>
        </w:rPr>
      </w:pPr>
    </w:p>
    <w:p w14:paraId="33179D2D" w14:textId="77777777" w:rsidR="0029430D" w:rsidRPr="004C0E01" w:rsidRDefault="0029430D" w:rsidP="0029430D">
      <w:pPr>
        <w:ind w:left="851"/>
        <w:rPr>
          <w:sz w:val="24"/>
          <w:szCs w:val="24"/>
          <w:u w:val="single"/>
          <w:lang w:val="en-US"/>
        </w:rPr>
      </w:pPr>
      <w:r w:rsidRPr="004C0E01">
        <w:rPr>
          <w:sz w:val="24"/>
          <w:szCs w:val="24"/>
          <w:u w:val="single"/>
          <w:lang w:val="en-US"/>
        </w:rPr>
        <w:t xml:space="preserve">Method of administration </w:t>
      </w:r>
    </w:p>
    <w:p w14:paraId="2BF5A8FB" w14:textId="77777777" w:rsidR="0029430D" w:rsidRPr="004C0E01" w:rsidRDefault="0029430D" w:rsidP="0029430D">
      <w:pPr>
        <w:ind w:left="851"/>
        <w:rPr>
          <w:sz w:val="24"/>
          <w:szCs w:val="24"/>
          <w:lang w:val="en-US"/>
        </w:rPr>
      </w:pPr>
    </w:p>
    <w:p w14:paraId="0A6072AA" w14:textId="2328E7F2" w:rsidR="0029430D" w:rsidRPr="00312F3E" w:rsidRDefault="00312F3E" w:rsidP="0029430D">
      <w:pPr>
        <w:ind w:left="851"/>
        <w:rPr>
          <w:iCs/>
          <w:sz w:val="24"/>
          <w:szCs w:val="24"/>
          <w:lang w:val="en-US"/>
        </w:rPr>
      </w:pPr>
      <w:proofErr w:type="spellStart"/>
      <w:r>
        <w:rPr>
          <w:iCs/>
          <w:sz w:val="24"/>
          <w:szCs w:val="24"/>
          <w:lang w:val="en-US"/>
        </w:rPr>
        <w:t>Dofliga</w:t>
      </w:r>
      <w:proofErr w:type="spellEnd"/>
      <w:r w:rsidR="0029430D" w:rsidRPr="00312F3E">
        <w:rPr>
          <w:iCs/>
          <w:sz w:val="24"/>
          <w:szCs w:val="24"/>
          <w:lang w:val="en-US"/>
        </w:rPr>
        <w:t xml:space="preserve"> can be taken orally once daily at any time of day with or without food. Tablets are to be swallowed whole.</w:t>
      </w:r>
      <w:r w:rsidR="0029430D" w:rsidRPr="00312F3E">
        <w:rPr>
          <w:i/>
          <w:iCs/>
          <w:sz w:val="24"/>
          <w:szCs w:val="24"/>
          <w:lang w:val="en-US"/>
        </w:rPr>
        <w:t xml:space="preserve"> </w:t>
      </w:r>
      <w:r w:rsidR="0029430D" w:rsidRPr="00312F3E">
        <w:rPr>
          <w:sz w:val="24"/>
          <w:szCs w:val="24"/>
          <w:lang w:val="en-US"/>
        </w:rPr>
        <w:t>Alternatively, only for the 10 mg strength, use the score line to break the tablet into two equal halves.</w:t>
      </w:r>
    </w:p>
    <w:p w14:paraId="01FE1B94" w14:textId="77777777" w:rsidR="007C5D2A" w:rsidRPr="00312F3E" w:rsidRDefault="007C5D2A" w:rsidP="00A85D26">
      <w:pPr>
        <w:tabs>
          <w:tab w:val="left" w:pos="851"/>
        </w:tabs>
        <w:ind w:left="851"/>
        <w:rPr>
          <w:sz w:val="24"/>
          <w:szCs w:val="24"/>
          <w:lang w:val="en-GB"/>
        </w:rPr>
      </w:pPr>
    </w:p>
    <w:p w14:paraId="0C74B1AB"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4.3</w:t>
      </w:r>
      <w:r w:rsidRPr="00312F3E">
        <w:rPr>
          <w:b/>
          <w:sz w:val="24"/>
          <w:szCs w:val="24"/>
          <w:lang w:val="en-GB"/>
        </w:rPr>
        <w:tab/>
        <w:t>Contraindications</w:t>
      </w:r>
    </w:p>
    <w:p w14:paraId="0F1D9A8F" w14:textId="77777777" w:rsidR="0029430D" w:rsidRPr="00312F3E" w:rsidRDefault="0029430D" w:rsidP="0029430D">
      <w:pPr>
        <w:ind w:left="851"/>
        <w:rPr>
          <w:sz w:val="24"/>
          <w:szCs w:val="24"/>
          <w:lang w:val="en-US"/>
        </w:rPr>
      </w:pPr>
      <w:r w:rsidRPr="00312F3E">
        <w:rPr>
          <w:sz w:val="24"/>
          <w:szCs w:val="24"/>
          <w:lang w:val="en-US"/>
        </w:rPr>
        <w:t>Hypersensitivity to the active substance or to any of the excipients listed in section 6.1.</w:t>
      </w:r>
    </w:p>
    <w:p w14:paraId="270CA679" w14:textId="77777777" w:rsidR="007C5D2A" w:rsidRPr="00312F3E" w:rsidRDefault="007C5D2A" w:rsidP="003E0341">
      <w:pPr>
        <w:tabs>
          <w:tab w:val="left" w:pos="851"/>
        </w:tabs>
        <w:ind w:left="851"/>
        <w:rPr>
          <w:sz w:val="24"/>
          <w:szCs w:val="24"/>
          <w:lang w:val="en-GB"/>
        </w:rPr>
      </w:pPr>
    </w:p>
    <w:p w14:paraId="2B5B2D06" w14:textId="77777777" w:rsidR="007C5D2A" w:rsidRPr="00312F3E" w:rsidRDefault="007C5D2A" w:rsidP="007C5D2A">
      <w:pPr>
        <w:tabs>
          <w:tab w:val="left" w:pos="851"/>
        </w:tabs>
        <w:rPr>
          <w:b/>
          <w:sz w:val="24"/>
          <w:szCs w:val="24"/>
          <w:lang w:val="en-GB"/>
        </w:rPr>
      </w:pPr>
      <w:r w:rsidRPr="00312F3E">
        <w:rPr>
          <w:b/>
          <w:sz w:val="24"/>
          <w:szCs w:val="24"/>
          <w:lang w:val="en-GB"/>
        </w:rPr>
        <w:t>4.4</w:t>
      </w:r>
      <w:r w:rsidRPr="00312F3E">
        <w:rPr>
          <w:b/>
          <w:sz w:val="24"/>
          <w:szCs w:val="24"/>
          <w:lang w:val="en-GB"/>
        </w:rPr>
        <w:tab/>
        <w:t>Special warnings and precautions for use</w:t>
      </w:r>
    </w:p>
    <w:p w14:paraId="0D567343" w14:textId="77777777" w:rsidR="004C0E01" w:rsidRDefault="004C0E01" w:rsidP="0029430D">
      <w:pPr>
        <w:ind w:left="851"/>
        <w:rPr>
          <w:sz w:val="24"/>
          <w:szCs w:val="24"/>
          <w:lang w:val="en-GB"/>
        </w:rPr>
      </w:pPr>
    </w:p>
    <w:p w14:paraId="28FACD97" w14:textId="0103E435" w:rsidR="0029430D" w:rsidRPr="004C0E01" w:rsidRDefault="0029430D" w:rsidP="0029430D">
      <w:pPr>
        <w:ind w:left="851"/>
        <w:rPr>
          <w:sz w:val="24"/>
          <w:szCs w:val="24"/>
          <w:u w:val="single"/>
          <w:lang w:val="en-US"/>
        </w:rPr>
      </w:pPr>
      <w:r w:rsidRPr="004C0E01">
        <w:rPr>
          <w:sz w:val="24"/>
          <w:szCs w:val="24"/>
          <w:u w:val="single"/>
          <w:lang w:val="en-US"/>
        </w:rPr>
        <w:t>General</w:t>
      </w:r>
    </w:p>
    <w:p w14:paraId="38ADDB58" w14:textId="77777777" w:rsidR="0029430D" w:rsidRPr="00312F3E" w:rsidRDefault="0029430D" w:rsidP="0029430D">
      <w:pPr>
        <w:ind w:left="851"/>
        <w:rPr>
          <w:sz w:val="24"/>
          <w:szCs w:val="24"/>
          <w:lang w:val="en-US"/>
        </w:rPr>
      </w:pPr>
    </w:p>
    <w:p w14:paraId="0FBCDF2B" w14:textId="6E4C402E" w:rsidR="0029430D" w:rsidRPr="00312F3E" w:rsidRDefault="0029430D" w:rsidP="0029430D">
      <w:pPr>
        <w:ind w:left="851"/>
        <w:rPr>
          <w:sz w:val="24"/>
          <w:szCs w:val="24"/>
          <w:lang w:val="en-US"/>
        </w:rPr>
      </w:pPr>
      <w:r w:rsidRPr="00312F3E">
        <w:rPr>
          <w:sz w:val="24"/>
          <w:szCs w:val="24"/>
          <w:lang w:val="en-US"/>
        </w:rPr>
        <w:t>Dapagliflozin should not be used in patients with type 1 diabetes mellitus (see “Diabetic ketoacidosis”</w:t>
      </w:r>
      <w:r w:rsidR="004C0E01">
        <w:rPr>
          <w:sz w:val="24"/>
          <w:szCs w:val="24"/>
          <w:lang w:val="en-US"/>
        </w:rPr>
        <w:t xml:space="preserve"> </w:t>
      </w:r>
      <w:r w:rsidRPr="00312F3E">
        <w:rPr>
          <w:sz w:val="24"/>
          <w:szCs w:val="24"/>
          <w:lang w:val="en-US"/>
        </w:rPr>
        <w:t>in section 4.4).</w:t>
      </w:r>
    </w:p>
    <w:p w14:paraId="5BCA3C2D" w14:textId="77777777" w:rsidR="0029430D" w:rsidRPr="00312F3E" w:rsidRDefault="0029430D" w:rsidP="0029430D">
      <w:pPr>
        <w:ind w:left="851"/>
        <w:rPr>
          <w:sz w:val="24"/>
          <w:szCs w:val="24"/>
          <w:lang w:val="en-US"/>
        </w:rPr>
      </w:pPr>
    </w:p>
    <w:p w14:paraId="78738198" w14:textId="77777777" w:rsidR="0029430D" w:rsidRPr="004C0E01" w:rsidRDefault="0029430D" w:rsidP="0029430D">
      <w:pPr>
        <w:ind w:left="851"/>
        <w:rPr>
          <w:sz w:val="24"/>
          <w:szCs w:val="24"/>
          <w:u w:val="single"/>
          <w:lang w:val="en-US" w:eastAsia="en-GB"/>
        </w:rPr>
      </w:pPr>
      <w:r w:rsidRPr="004C0E01">
        <w:rPr>
          <w:sz w:val="24"/>
          <w:szCs w:val="24"/>
          <w:u w:val="single"/>
          <w:lang w:val="en-US" w:eastAsia="en-GB"/>
        </w:rPr>
        <w:t>Renal impairment</w:t>
      </w:r>
    </w:p>
    <w:p w14:paraId="023F9451" w14:textId="77777777" w:rsidR="0029430D" w:rsidRPr="00312F3E" w:rsidRDefault="0029430D" w:rsidP="0029430D">
      <w:pPr>
        <w:ind w:left="851"/>
        <w:rPr>
          <w:sz w:val="24"/>
          <w:szCs w:val="24"/>
          <w:lang w:val="en-US" w:eastAsia="en-GB"/>
        </w:rPr>
      </w:pPr>
    </w:p>
    <w:p w14:paraId="5C2990B6" w14:textId="77777777" w:rsidR="0029430D" w:rsidRPr="00312F3E" w:rsidRDefault="0029430D" w:rsidP="0029430D">
      <w:pPr>
        <w:ind w:left="851"/>
        <w:rPr>
          <w:sz w:val="24"/>
          <w:szCs w:val="24"/>
          <w:lang w:val="en-US" w:eastAsia="en-GB"/>
        </w:rPr>
      </w:pPr>
      <w:r w:rsidRPr="00312F3E">
        <w:rPr>
          <w:sz w:val="24"/>
          <w:szCs w:val="24"/>
          <w:lang w:val="en-US" w:eastAsia="en-GB"/>
        </w:rPr>
        <w:t>Due to limited experience, it is not recommended to initiate treatment with dapagliflozin in patients with GFR &lt; 25 mL/min.</w:t>
      </w:r>
    </w:p>
    <w:p w14:paraId="41A1732E" w14:textId="77777777" w:rsidR="0029430D" w:rsidRPr="00312F3E" w:rsidRDefault="0029430D" w:rsidP="0029430D">
      <w:pPr>
        <w:ind w:left="851"/>
        <w:rPr>
          <w:sz w:val="24"/>
          <w:szCs w:val="24"/>
          <w:lang w:val="en-US" w:eastAsia="en-GB"/>
        </w:rPr>
      </w:pPr>
    </w:p>
    <w:p w14:paraId="69CC8D1E" w14:textId="77777777" w:rsidR="0029430D" w:rsidRPr="00312F3E" w:rsidRDefault="0029430D" w:rsidP="0029430D">
      <w:pPr>
        <w:ind w:left="851"/>
        <w:rPr>
          <w:sz w:val="24"/>
          <w:szCs w:val="24"/>
          <w:lang w:val="en-US" w:eastAsia="en-GB"/>
        </w:rPr>
      </w:pPr>
      <w:r w:rsidRPr="00312F3E">
        <w:rPr>
          <w:sz w:val="24"/>
          <w:szCs w:val="24"/>
          <w:lang w:val="en-US" w:eastAsia="en-GB"/>
        </w:rPr>
        <w:t>The glucose lowering efficacy of dapagliflozin is dependent on renal function and is reduced in patients with GFR &lt; 45 mL/min and is likely absent in patients with severe renal impairment (see sections 4.2, 5.1 and 5.2).</w:t>
      </w:r>
    </w:p>
    <w:p w14:paraId="674E96D5" w14:textId="77777777" w:rsidR="0029430D" w:rsidRPr="00312F3E" w:rsidRDefault="0029430D" w:rsidP="0029430D">
      <w:pPr>
        <w:ind w:left="851"/>
        <w:rPr>
          <w:sz w:val="24"/>
          <w:szCs w:val="24"/>
          <w:lang w:val="en-US" w:eastAsia="en-GB"/>
        </w:rPr>
      </w:pPr>
    </w:p>
    <w:p w14:paraId="2BD4A3D6" w14:textId="06B9C0DD" w:rsidR="0029430D" w:rsidRPr="00312F3E" w:rsidRDefault="0029430D" w:rsidP="0029430D">
      <w:pPr>
        <w:ind w:left="851"/>
        <w:rPr>
          <w:sz w:val="24"/>
          <w:szCs w:val="24"/>
          <w:lang w:val="en-US" w:eastAsia="en-US"/>
        </w:rPr>
      </w:pPr>
      <w:r w:rsidRPr="00312F3E">
        <w:rPr>
          <w:sz w:val="24"/>
          <w:szCs w:val="24"/>
          <w:lang w:val="en-US" w:eastAsia="en-GB"/>
        </w:rPr>
        <w:t>In one study in patients with type 2 diabetes mellitus with moderate renal impairment</w:t>
      </w:r>
      <w:r w:rsidR="004C0E01">
        <w:rPr>
          <w:sz w:val="24"/>
          <w:szCs w:val="24"/>
          <w:lang w:val="en-US" w:eastAsia="en-GB"/>
        </w:rPr>
        <w:t xml:space="preserve"> </w:t>
      </w:r>
      <w:r w:rsidRPr="00312F3E">
        <w:rPr>
          <w:sz w:val="24"/>
          <w:szCs w:val="24"/>
          <w:lang w:val="en-US" w:eastAsia="en-GB"/>
        </w:rPr>
        <w:t>(GFR &lt; 60 mL/min), a higher proportion of patients treated with dapagliflozin had adverse reactions of increase in creatinine, phosphorus, parathyroid hormone (PTH) and hypotension, compared with placebo.</w:t>
      </w:r>
    </w:p>
    <w:p w14:paraId="179E0A15" w14:textId="1F133ADD" w:rsidR="00583F33" w:rsidRDefault="00583F33">
      <w:pPr>
        <w:rPr>
          <w:sz w:val="24"/>
          <w:szCs w:val="24"/>
          <w:lang w:val="en-US"/>
        </w:rPr>
      </w:pPr>
      <w:r>
        <w:rPr>
          <w:sz w:val="24"/>
          <w:szCs w:val="24"/>
          <w:lang w:val="en-US"/>
        </w:rPr>
        <w:br w:type="page"/>
      </w:r>
    </w:p>
    <w:p w14:paraId="3FC5EBB4" w14:textId="77777777" w:rsidR="0029430D" w:rsidRPr="004C0E01" w:rsidRDefault="0029430D" w:rsidP="0029430D">
      <w:pPr>
        <w:ind w:left="851"/>
        <w:rPr>
          <w:sz w:val="24"/>
          <w:szCs w:val="24"/>
          <w:lang w:val="en-US"/>
        </w:rPr>
      </w:pPr>
    </w:p>
    <w:p w14:paraId="24F58A18" w14:textId="77777777" w:rsidR="0029430D" w:rsidRPr="004C0E01" w:rsidRDefault="0029430D" w:rsidP="0029430D">
      <w:pPr>
        <w:ind w:left="851"/>
        <w:rPr>
          <w:bCs/>
          <w:sz w:val="24"/>
          <w:szCs w:val="24"/>
          <w:u w:val="single"/>
          <w:lang w:val="en-US"/>
        </w:rPr>
      </w:pPr>
      <w:r w:rsidRPr="004C0E01">
        <w:rPr>
          <w:bCs/>
          <w:sz w:val="24"/>
          <w:szCs w:val="24"/>
          <w:u w:val="single"/>
          <w:lang w:val="en-US"/>
        </w:rPr>
        <w:t>Hepatic impairment</w:t>
      </w:r>
    </w:p>
    <w:p w14:paraId="7ABF729D" w14:textId="77777777" w:rsidR="0029430D" w:rsidRPr="00312F3E" w:rsidRDefault="0029430D" w:rsidP="0029430D">
      <w:pPr>
        <w:ind w:left="851"/>
        <w:rPr>
          <w:bCs/>
          <w:sz w:val="24"/>
          <w:szCs w:val="24"/>
          <w:lang w:val="en-US"/>
        </w:rPr>
      </w:pPr>
    </w:p>
    <w:p w14:paraId="1D9CDE35" w14:textId="77777777" w:rsidR="0029430D" w:rsidRPr="00312F3E" w:rsidRDefault="0029430D" w:rsidP="0029430D">
      <w:pPr>
        <w:ind w:left="851"/>
        <w:rPr>
          <w:bCs/>
          <w:sz w:val="24"/>
          <w:szCs w:val="24"/>
          <w:lang w:val="en-US"/>
        </w:rPr>
      </w:pPr>
      <w:r w:rsidRPr="00312F3E">
        <w:rPr>
          <w:bCs/>
          <w:sz w:val="24"/>
          <w:szCs w:val="24"/>
          <w:lang w:val="en-US"/>
        </w:rPr>
        <w:t>There is limited experience in clinical studies in patients with hepatic impairment. Dapagliflozin exposure is increased in patients with severe hepatic impairment (see sections 4.2 and 5.2).</w:t>
      </w:r>
    </w:p>
    <w:p w14:paraId="260563C2" w14:textId="77777777" w:rsidR="0029430D" w:rsidRPr="00312F3E" w:rsidRDefault="0029430D" w:rsidP="0029430D">
      <w:pPr>
        <w:ind w:left="851"/>
        <w:rPr>
          <w:bCs/>
          <w:sz w:val="24"/>
          <w:szCs w:val="24"/>
          <w:lang w:val="en-US"/>
        </w:rPr>
      </w:pPr>
    </w:p>
    <w:p w14:paraId="37D0CE69" w14:textId="77777777" w:rsidR="0029430D" w:rsidRPr="004C0E01" w:rsidRDefault="0029430D" w:rsidP="0029430D">
      <w:pPr>
        <w:ind w:left="851"/>
        <w:rPr>
          <w:bCs/>
          <w:sz w:val="24"/>
          <w:szCs w:val="24"/>
          <w:u w:val="single"/>
          <w:lang w:val="en-US"/>
        </w:rPr>
      </w:pPr>
      <w:r w:rsidRPr="004C0E01">
        <w:rPr>
          <w:bCs/>
          <w:sz w:val="24"/>
          <w:szCs w:val="24"/>
          <w:u w:val="single"/>
          <w:lang w:val="en-US"/>
        </w:rPr>
        <w:t>Use in patients at risk for volume depletion and/or hypotension</w:t>
      </w:r>
    </w:p>
    <w:p w14:paraId="608B702E" w14:textId="77777777" w:rsidR="0029430D" w:rsidRPr="00312F3E" w:rsidRDefault="0029430D" w:rsidP="0029430D">
      <w:pPr>
        <w:ind w:left="851"/>
        <w:rPr>
          <w:bCs/>
          <w:sz w:val="24"/>
          <w:szCs w:val="24"/>
          <w:lang w:val="en-US"/>
        </w:rPr>
      </w:pPr>
    </w:p>
    <w:p w14:paraId="605B6CFA" w14:textId="77777777" w:rsidR="0029430D" w:rsidRPr="00312F3E" w:rsidRDefault="0029430D" w:rsidP="0029430D">
      <w:pPr>
        <w:ind w:left="851"/>
        <w:rPr>
          <w:bCs/>
          <w:sz w:val="24"/>
          <w:szCs w:val="24"/>
          <w:lang w:val="en-US"/>
        </w:rPr>
      </w:pPr>
      <w:r w:rsidRPr="00312F3E">
        <w:rPr>
          <w:bCs/>
          <w:sz w:val="24"/>
          <w:szCs w:val="24"/>
          <w:lang w:val="en-US"/>
        </w:rPr>
        <w:t>Due to its mechanism of action, dapagliflozin increases diuresis which may lead to the modest decrease in blood pressure observed in clinical studies (see section 5.1). It may be more pronounced in patients with very high blood glucose concentrations.</w:t>
      </w:r>
    </w:p>
    <w:p w14:paraId="2E708B9D" w14:textId="77777777" w:rsidR="0029430D" w:rsidRPr="00312F3E" w:rsidRDefault="0029430D" w:rsidP="0029430D">
      <w:pPr>
        <w:ind w:left="851"/>
        <w:rPr>
          <w:bCs/>
          <w:sz w:val="24"/>
          <w:szCs w:val="24"/>
          <w:lang w:val="en-US"/>
        </w:rPr>
      </w:pPr>
    </w:p>
    <w:p w14:paraId="2EA8C2E1" w14:textId="77777777" w:rsidR="0029430D" w:rsidRPr="00312F3E" w:rsidRDefault="0029430D" w:rsidP="0029430D">
      <w:pPr>
        <w:ind w:left="851"/>
        <w:rPr>
          <w:bCs/>
          <w:sz w:val="24"/>
          <w:szCs w:val="24"/>
          <w:lang w:val="en-US"/>
        </w:rPr>
      </w:pPr>
      <w:r w:rsidRPr="00312F3E">
        <w:rPr>
          <w:bCs/>
          <w:sz w:val="24"/>
          <w:szCs w:val="24"/>
          <w:lang w:val="en-US"/>
        </w:rPr>
        <w:t>Caution should be exercised in patients for whom a dapagliflozin-induced drop in blood pressure could pose a risk, such as patients on anti-hypertensive therapy with a history of hypotension or elderly patients.</w:t>
      </w:r>
    </w:p>
    <w:p w14:paraId="1B48F819" w14:textId="77777777" w:rsidR="0029430D" w:rsidRPr="00312F3E" w:rsidRDefault="0029430D" w:rsidP="0029430D">
      <w:pPr>
        <w:ind w:left="851"/>
        <w:rPr>
          <w:bCs/>
          <w:sz w:val="24"/>
          <w:szCs w:val="24"/>
          <w:lang w:val="en-US"/>
        </w:rPr>
      </w:pPr>
    </w:p>
    <w:p w14:paraId="5962A010" w14:textId="77777777" w:rsidR="0029430D" w:rsidRPr="00312F3E" w:rsidRDefault="0029430D" w:rsidP="0029430D">
      <w:pPr>
        <w:ind w:left="851"/>
        <w:rPr>
          <w:bCs/>
          <w:sz w:val="24"/>
          <w:szCs w:val="24"/>
          <w:lang w:val="en-US"/>
        </w:rPr>
      </w:pPr>
      <w:r w:rsidRPr="00312F3E">
        <w:rPr>
          <w:bCs/>
          <w:sz w:val="24"/>
          <w:szCs w:val="24"/>
          <w:lang w:val="en-US"/>
        </w:rPr>
        <w:t xml:space="preserve">In case of intercurrent conditions that may lead to volume depletion (e.g. gastrointestinal illness), careful monitoring of volume status (e.g. physical examination, blood pressure measurements, laboratory tests including </w:t>
      </w:r>
      <w:proofErr w:type="spellStart"/>
      <w:r w:rsidRPr="00312F3E">
        <w:rPr>
          <w:bCs/>
          <w:sz w:val="24"/>
          <w:szCs w:val="24"/>
          <w:lang w:val="en-US"/>
        </w:rPr>
        <w:t>haematocrit</w:t>
      </w:r>
      <w:proofErr w:type="spellEnd"/>
      <w:r w:rsidRPr="00312F3E">
        <w:rPr>
          <w:bCs/>
          <w:sz w:val="24"/>
          <w:szCs w:val="24"/>
          <w:lang w:val="en-US"/>
        </w:rPr>
        <w:t xml:space="preserve"> and electrolytes) is recommended. Temporary interruption of treatment with dapagliflozin is recommended for patients who develop volume depletion until the depletion is corrected (see section 4.8).</w:t>
      </w:r>
    </w:p>
    <w:p w14:paraId="37A35C81" w14:textId="77777777" w:rsidR="0029430D" w:rsidRPr="00312F3E" w:rsidRDefault="0029430D" w:rsidP="0029430D">
      <w:pPr>
        <w:ind w:left="851"/>
        <w:rPr>
          <w:bCs/>
          <w:sz w:val="24"/>
          <w:szCs w:val="24"/>
          <w:lang w:val="en-US"/>
        </w:rPr>
      </w:pPr>
    </w:p>
    <w:p w14:paraId="1120A0C6" w14:textId="77777777" w:rsidR="0029430D" w:rsidRPr="004C0E01" w:rsidRDefault="0029430D" w:rsidP="0029430D">
      <w:pPr>
        <w:ind w:left="851"/>
        <w:rPr>
          <w:bCs/>
          <w:sz w:val="24"/>
          <w:szCs w:val="24"/>
          <w:u w:val="single"/>
          <w:lang w:val="en-US"/>
        </w:rPr>
      </w:pPr>
      <w:r w:rsidRPr="004C0E01">
        <w:rPr>
          <w:bCs/>
          <w:sz w:val="24"/>
          <w:szCs w:val="24"/>
          <w:u w:val="single"/>
          <w:lang w:val="en-US"/>
        </w:rPr>
        <w:t>Diabetic ketoacidosis</w:t>
      </w:r>
    </w:p>
    <w:p w14:paraId="2BC49297" w14:textId="77777777" w:rsidR="0029430D" w:rsidRPr="00312F3E" w:rsidRDefault="0029430D" w:rsidP="0029430D">
      <w:pPr>
        <w:ind w:left="851"/>
        <w:rPr>
          <w:bCs/>
          <w:sz w:val="24"/>
          <w:szCs w:val="24"/>
          <w:lang w:val="en-US"/>
        </w:rPr>
      </w:pPr>
    </w:p>
    <w:p w14:paraId="2F386959" w14:textId="73F3A5EC" w:rsidR="0029430D" w:rsidRPr="00312F3E" w:rsidRDefault="0029430D" w:rsidP="0029430D">
      <w:pPr>
        <w:ind w:left="851"/>
        <w:rPr>
          <w:bCs/>
          <w:sz w:val="24"/>
          <w:szCs w:val="24"/>
          <w:lang w:val="en-US"/>
        </w:rPr>
      </w:pPr>
      <w:r w:rsidRPr="00312F3E">
        <w:rPr>
          <w:bCs/>
          <w:sz w:val="24"/>
          <w:szCs w:val="24"/>
          <w:lang w:val="en-US"/>
        </w:rPr>
        <w:t>Rare cases of diabetic ketoacidosis (DKA), including life-threatening and fatal cases, have been reported in patients treated with sodium-glucose co-transporter 2 (SGLT2) inhibitors, including dapagliflozin. In a number of cases, the presentation of the condition was atypical with only moderately increased blood glucose values, below 14 mmol/L (250</w:t>
      </w:r>
      <w:r w:rsidR="004C0E01">
        <w:rPr>
          <w:bCs/>
          <w:sz w:val="24"/>
          <w:szCs w:val="24"/>
          <w:lang w:val="en-US"/>
        </w:rPr>
        <w:t> </w:t>
      </w:r>
      <w:r w:rsidRPr="00312F3E">
        <w:rPr>
          <w:bCs/>
          <w:sz w:val="24"/>
          <w:szCs w:val="24"/>
          <w:lang w:val="en-US"/>
        </w:rPr>
        <w:t xml:space="preserve">mg/dL). </w:t>
      </w:r>
    </w:p>
    <w:p w14:paraId="222E418B" w14:textId="77777777" w:rsidR="0029430D" w:rsidRPr="00312F3E" w:rsidRDefault="0029430D" w:rsidP="0029430D">
      <w:pPr>
        <w:ind w:left="851"/>
        <w:rPr>
          <w:bCs/>
          <w:sz w:val="24"/>
          <w:szCs w:val="24"/>
          <w:lang w:val="en-US"/>
        </w:rPr>
      </w:pPr>
    </w:p>
    <w:p w14:paraId="63952C8A" w14:textId="77777777" w:rsidR="0029430D" w:rsidRPr="00312F3E" w:rsidRDefault="0029430D" w:rsidP="0029430D">
      <w:pPr>
        <w:ind w:left="851"/>
        <w:rPr>
          <w:bCs/>
          <w:sz w:val="24"/>
          <w:szCs w:val="24"/>
          <w:lang w:val="en-US"/>
        </w:rPr>
      </w:pPr>
      <w:r w:rsidRPr="00312F3E">
        <w:rPr>
          <w:bCs/>
          <w:sz w:val="24"/>
          <w:szCs w:val="24"/>
          <w:lang w:val="en-US"/>
        </w:rPr>
        <w:t>The risk of diabetic ketoacidosis must be considered in the event of non-specific symptoms such as nausea, vomiting, anorexia, abdominal pain, excessive thirst, difficulty breathing, confusion, unusual fatigue or sleepiness. Patients should be assessed for ketoacidosis immediately if these symptoms occur, regardless of blood glucose level.</w:t>
      </w:r>
    </w:p>
    <w:p w14:paraId="6CDA8911" w14:textId="77777777" w:rsidR="0029430D" w:rsidRPr="00312F3E" w:rsidRDefault="0029430D" w:rsidP="0029430D">
      <w:pPr>
        <w:ind w:left="851"/>
        <w:rPr>
          <w:bCs/>
          <w:sz w:val="24"/>
          <w:szCs w:val="24"/>
          <w:lang w:val="en-US"/>
        </w:rPr>
      </w:pPr>
    </w:p>
    <w:p w14:paraId="16C93056" w14:textId="77777777" w:rsidR="0029430D" w:rsidRPr="00312F3E" w:rsidRDefault="0029430D" w:rsidP="0029430D">
      <w:pPr>
        <w:ind w:left="851"/>
        <w:rPr>
          <w:bCs/>
          <w:sz w:val="24"/>
          <w:szCs w:val="24"/>
          <w:lang w:val="en-US"/>
        </w:rPr>
      </w:pPr>
      <w:r w:rsidRPr="00312F3E">
        <w:rPr>
          <w:bCs/>
          <w:sz w:val="24"/>
          <w:szCs w:val="24"/>
          <w:lang w:val="en-US"/>
        </w:rPr>
        <w:t>In patients where DKA is suspected or diagnosed, dapagliflozin treatment should be stopped immediately.</w:t>
      </w:r>
    </w:p>
    <w:p w14:paraId="3F502118" w14:textId="77777777" w:rsidR="0029430D" w:rsidRPr="00312F3E" w:rsidRDefault="0029430D" w:rsidP="0029430D">
      <w:pPr>
        <w:ind w:left="851"/>
        <w:rPr>
          <w:bCs/>
          <w:sz w:val="24"/>
          <w:szCs w:val="24"/>
          <w:lang w:val="en-US"/>
        </w:rPr>
      </w:pPr>
    </w:p>
    <w:p w14:paraId="001264FF" w14:textId="77777777" w:rsidR="0029430D" w:rsidRPr="00312F3E" w:rsidRDefault="0029430D" w:rsidP="0029430D">
      <w:pPr>
        <w:ind w:left="851"/>
        <w:rPr>
          <w:bCs/>
          <w:sz w:val="24"/>
          <w:szCs w:val="24"/>
          <w:lang w:val="en-US"/>
        </w:rPr>
      </w:pPr>
      <w:r w:rsidRPr="00312F3E">
        <w:rPr>
          <w:bCs/>
          <w:sz w:val="24"/>
          <w:szCs w:val="24"/>
          <w:lang w:val="en-US"/>
        </w:rPr>
        <w:t xml:space="preserve">Treatment should be interrupted in patients who are </w:t>
      </w:r>
      <w:proofErr w:type="spellStart"/>
      <w:r w:rsidRPr="00312F3E">
        <w:rPr>
          <w:bCs/>
          <w:sz w:val="24"/>
          <w:szCs w:val="24"/>
          <w:lang w:val="en-US"/>
        </w:rPr>
        <w:t>hospitalised</w:t>
      </w:r>
      <w:proofErr w:type="spellEnd"/>
      <w:r w:rsidRPr="00312F3E">
        <w:rPr>
          <w:bCs/>
          <w:sz w:val="24"/>
          <w:szCs w:val="24"/>
          <w:lang w:val="en-US"/>
        </w:rPr>
        <w:t xml:space="preserve"> for major surgical procedures or acute serious medical illnesses. Monitoring of ketones is recommended in these patients. Measurement of blood ketone levels is preferred to urine. Treatment with dapagliflozin may be restarted when the ketone values are normal and the patient’s condition has </w:t>
      </w:r>
      <w:proofErr w:type="spellStart"/>
      <w:r w:rsidRPr="00312F3E">
        <w:rPr>
          <w:bCs/>
          <w:sz w:val="24"/>
          <w:szCs w:val="24"/>
          <w:lang w:val="en-US"/>
        </w:rPr>
        <w:t>stabilised</w:t>
      </w:r>
      <w:proofErr w:type="spellEnd"/>
      <w:r w:rsidRPr="00312F3E">
        <w:rPr>
          <w:bCs/>
          <w:sz w:val="24"/>
          <w:szCs w:val="24"/>
          <w:lang w:val="en-US"/>
        </w:rPr>
        <w:t>.</w:t>
      </w:r>
    </w:p>
    <w:p w14:paraId="5CB944DB" w14:textId="77777777" w:rsidR="0029430D" w:rsidRPr="00312F3E" w:rsidRDefault="0029430D" w:rsidP="0029430D">
      <w:pPr>
        <w:ind w:left="851"/>
        <w:rPr>
          <w:bCs/>
          <w:sz w:val="24"/>
          <w:szCs w:val="24"/>
          <w:lang w:val="en-US"/>
        </w:rPr>
      </w:pPr>
    </w:p>
    <w:p w14:paraId="4A936492" w14:textId="77777777" w:rsidR="0029430D" w:rsidRPr="00312F3E" w:rsidRDefault="0029430D" w:rsidP="0029430D">
      <w:pPr>
        <w:ind w:left="851"/>
        <w:rPr>
          <w:bCs/>
          <w:sz w:val="24"/>
          <w:szCs w:val="24"/>
          <w:lang w:val="en-US"/>
        </w:rPr>
      </w:pPr>
      <w:r w:rsidRPr="00312F3E">
        <w:rPr>
          <w:bCs/>
          <w:sz w:val="24"/>
          <w:szCs w:val="24"/>
          <w:lang w:val="en-US"/>
        </w:rPr>
        <w:t>Before initiating dapagliflozin, factors in the patient history that may predispose to ketoacidosis should be considered.</w:t>
      </w:r>
    </w:p>
    <w:p w14:paraId="13860271" w14:textId="77777777" w:rsidR="0029430D" w:rsidRPr="00312F3E" w:rsidRDefault="0029430D" w:rsidP="0029430D">
      <w:pPr>
        <w:ind w:left="851"/>
        <w:rPr>
          <w:bCs/>
          <w:sz w:val="24"/>
          <w:szCs w:val="24"/>
          <w:lang w:val="en-US"/>
        </w:rPr>
      </w:pPr>
    </w:p>
    <w:p w14:paraId="171874E2" w14:textId="77777777" w:rsidR="0029430D" w:rsidRPr="00312F3E" w:rsidRDefault="0029430D" w:rsidP="0029430D">
      <w:pPr>
        <w:ind w:left="851"/>
        <w:rPr>
          <w:bCs/>
          <w:sz w:val="24"/>
          <w:szCs w:val="24"/>
          <w:lang w:val="en-US"/>
        </w:rPr>
      </w:pPr>
      <w:r w:rsidRPr="00312F3E">
        <w:rPr>
          <w:bCs/>
          <w:sz w:val="24"/>
          <w:szCs w:val="24"/>
          <w:lang w:val="en-US"/>
        </w:rPr>
        <w:t>Patients who may be at higher risk of DKA include patients with a low beta-cell function reserve (e.g. type 2 diabetes patients with low C-peptide or latent autoimmune diabetes in adults (LADA) or patients with a history of pancreatitis), patients with conditions that lead to restricted food intake or severe dehydration, patients for whom insulin doses are reduced and patients with increased insulin requirements due to acute medical illness, surgery or alcohol abuse. SGLT2 inhibitors should be used with caution in these patients.</w:t>
      </w:r>
    </w:p>
    <w:p w14:paraId="2048AEB0" w14:textId="77777777" w:rsidR="0029430D" w:rsidRPr="00312F3E" w:rsidRDefault="0029430D" w:rsidP="0029430D">
      <w:pPr>
        <w:ind w:left="851"/>
        <w:rPr>
          <w:bCs/>
          <w:sz w:val="24"/>
          <w:szCs w:val="24"/>
          <w:lang w:val="en-US"/>
        </w:rPr>
      </w:pPr>
    </w:p>
    <w:p w14:paraId="1F624C56" w14:textId="77777777" w:rsidR="0029430D" w:rsidRPr="00312F3E" w:rsidRDefault="0029430D" w:rsidP="0029430D">
      <w:pPr>
        <w:ind w:left="851"/>
        <w:rPr>
          <w:bCs/>
          <w:sz w:val="24"/>
          <w:szCs w:val="24"/>
          <w:lang w:val="en-US"/>
        </w:rPr>
      </w:pPr>
      <w:r w:rsidRPr="00312F3E">
        <w:rPr>
          <w:bCs/>
          <w:sz w:val="24"/>
          <w:szCs w:val="24"/>
          <w:lang w:val="en-US"/>
        </w:rPr>
        <w:t xml:space="preserve">Restarting SGLT2 inhibitor treatment in patients experiencing a DKA while on SGLT2 inhibitor treatment is not recommended, unless another clear precipitating factor is identified and resolved. </w:t>
      </w:r>
    </w:p>
    <w:p w14:paraId="19175423" w14:textId="77777777" w:rsidR="0029430D" w:rsidRPr="00312F3E" w:rsidRDefault="0029430D" w:rsidP="0029430D">
      <w:pPr>
        <w:ind w:left="851"/>
        <w:rPr>
          <w:bCs/>
          <w:sz w:val="24"/>
          <w:szCs w:val="24"/>
          <w:lang w:val="en-US"/>
        </w:rPr>
      </w:pPr>
    </w:p>
    <w:p w14:paraId="2F0394D6" w14:textId="77777777" w:rsidR="0029430D" w:rsidRPr="00312F3E" w:rsidRDefault="0029430D" w:rsidP="0029430D">
      <w:pPr>
        <w:ind w:left="851"/>
        <w:rPr>
          <w:bCs/>
          <w:sz w:val="24"/>
          <w:szCs w:val="24"/>
          <w:lang w:val="en-US"/>
        </w:rPr>
      </w:pPr>
      <w:r w:rsidRPr="00312F3E">
        <w:rPr>
          <w:bCs/>
          <w:sz w:val="24"/>
          <w:szCs w:val="24"/>
          <w:lang w:val="en-US"/>
        </w:rPr>
        <w:t>In type 1 diabetes mellitus studies with dapagliflozin, DKA was reported with common frequency.</w:t>
      </w:r>
    </w:p>
    <w:p w14:paraId="3771B294" w14:textId="77777777" w:rsidR="0029430D" w:rsidRPr="00312F3E" w:rsidRDefault="0029430D" w:rsidP="0029430D">
      <w:pPr>
        <w:ind w:left="851"/>
        <w:rPr>
          <w:bCs/>
          <w:sz w:val="24"/>
          <w:szCs w:val="24"/>
          <w:lang w:val="en-US"/>
        </w:rPr>
      </w:pPr>
      <w:r w:rsidRPr="00312F3E">
        <w:rPr>
          <w:bCs/>
          <w:sz w:val="24"/>
          <w:szCs w:val="24"/>
          <w:lang w:val="en-US"/>
        </w:rPr>
        <w:t>Dapagliflozin should not be used for treatment of patients with type 1 diabetes.</w:t>
      </w:r>
    </w:p>
    <w:p w14:paraId="1FDCB3A1" w14:textId="77777777" w:rsidR="0029430D" w:rsidRPr="00312F3E" w:rsidRDefault="0029430D" w:rsidP="0029430D">
      <w:pPr>
        <w:ind w:left="851"/>
        <w:rPr>
          <w:bCs/>
          <w:sz w:val="24"/>
          <w:szCs w:val="24"/>
          <w:lang w:val="en-US"/>
        </w:rPr>
      </w:pPr>
    </w:p>
    <w:p w14:paraId="70E3F57C" w14:textId="77777777" w:rsidR="0029430D" w:rsidRPr="004C0E01" w:rsidRDefault="0029430D" w:rsidP="0029430D">
      <w:pPr>
        <w:ind w:left="851"/>
        <w:rPr>
          <w:bCs/>
          <w:sz w:val="24"/>
          <w:szCs w:val="24"/>
          <w:u w:val="single"/>
          <w:lang w:val="en-US"/>
        </w:rPr>
      </w:pPr>
      <w:proofErr w:type="spellStart"/>
      <w:r w:rsidRPr="004C0E01">
        <w:rPr>
          <w:bCs/>
          <w:sz w:val="24"/>
          <w:szCs w:val="24"/>
          <w:u w:val="single"/>
          <w:lang w:val="en-US"/>
        </w:rPr>
        <w:t>Necrotising</w:t>
      </w:r>
      <w:proofErr w:type="spellEnd"/>
      <w:r w:rsidRPr="004C0E01">
        <w:rPr>
          <w:bCs/>
          <w:sz w:val="24"/>
          <w:szCs w:val="24"/>
          <w:u w:val="single"/>
          <w:lang w:val="en-US"/>
        </w:rPr>
        <w:t xml:space="preserve"> fasciitis of the perineum (Fournier’s gangrene)</w:t>
      </w:r>
    </w:p>
    <w:p w14:paraId="744D999E" w14:textId="77777777" w:rsidR="0029430D" w:rsidRPr="00312F3E" w:rsidRDefault="0029430D" w:rsidP="0029430D">
      <w:pPr>
        <w:ind w:left="851"/>
        <w:rPr>
          <w:bCs/>
          <w:sz w:val="24"/>
          <w:szCs w:val="24"/>
          <w:lang w:val="en-US"/>
        </w:rPr>
      </w:pPr>
    </w:p>
    <w:p w14:paraId="600B411A" w14:textId="77777777" w:rsidR="0029430D" w:rsidRPr="00312F3E" w:rsidRDefault="0029430D" w:rsidP="0029430D">
      <w:pPr>
        <w:ind w:left="851"/>
        <w:rPr>
          <w:bCs/>
          <w:sz w:val="24"/>
          <w:szCs w:val="24"/>
          <w:lang w:val="en-US"/>
        </w:rPr>
      </w:pPr>
      <w:proofErr w:type="spellStart"/>
      <w:r w:rsidRPr="00312F3E">
        <w:rPr>
          <w:bCs/>
          <w:sz w:val="24"/>
          <w:szCs w:val="24"/>
          <w:lang w:val="en-US"/>
        </w:rPr>
        <w:t>Postmarketing</w:t>
      </w:r>
      <w:proofErr w:type="spellEnd"/>
      <w:r w:rsidRPr="00312F3E">
        <w:rPr>
          <w:bCs/>
          <w:sz w:val="24"/>
          <w:szCs w:val="24"/>
          <w:lang w:val="en-US"/>
        </w:rPr>
        <w:t xml:space="preserve"> cases of </w:t>
      </w:r>
      <w:proofErr w:type="spellStart"/>
      <w:r w:rsidRPr="00312F3E">
        <w:rPr>
          <w:bCs/>
          <w:sz w:val="24"/>
          <w:szCs w:val="24"/>
          <w:lang w:val="en-US"/>
        </w:rPr>
        <w:t>necrotising</w:t>
      </w:r>
      <w:proofErr w:type="spellEnd"/>
      <w:r w:rsidRPr="00312F3E">
        <w:rPr>
          <w:bCs/>
          <w:sz w:val="24"/>
          <w:szCs w:val="24"/>
          <w:lang w:val="en-US"/>
        </w:rPr>
        <w:t xml:space="preserve"> fasciitis of the perineum (also known as Fournier’s gangrene) have been reported in female and male patients taking SGLT2 inhibitors (see section 4.8). This is a rare but serious and potentially life-threatening event that requires urgent surgical intervention and antibiotic treatment.</w:t>
      </w:r>
    </w:p>
    <w:p w14:paraId="2ACD6248" w14:textId="77777777" w:rsidR="0029430D" w:rsidRPr="00312F3E" w:rsidRDefault="0029430D" w:rsidP="0029430D">
      <w:pPr>
        <w:ind w:left="851"/>
        <w:rPr>
          <w:bCs/>
          <w:sz w:val="24"/>
          <w:szCs w:val="24"/>
          <w:lang w:val="en-US"/>
        </w:rPr>
      </w:pPr>
    </w:p>
    <w:p w14:paraId="244023D9" w14:textId="6A5FA3A8" w:rsidR="0029430D" w:rsidRPr="00312F3E" w:rsidRDefault="0029430D" w:rsidP="0029430D">
      <w:pPr>
        <w:ind w:left="851"/>
        <w:rPr>
          <w:bCs/>
          <w:sz w:val="24"/>
          <w:szCs w:val="24"/>
          <w:lang w:val="en-US"/>
        </w:rPr>
      </w:pPr>
      <w:r w:rsidRPr="00312F3E">
        <w:rPr>
          <w:bCs/>
          <w:sz w:val="24"/>
          <w:szCs w:val="24"/>
          <w:lang w:val="en-US"/>
        </w:rPr>
        <w:t xml:space="preserve">Patients should be advised to seek medical attention if they experience a combination of symptoms of pain, tenderness, erythema, or swelling in the genital or perineal area, with fever or malaise. Be aware that either </w:t>
      </w:r>
      <w:proofErr w:type="spellStart"/>
      <w:r w:rsidRPr="00312F3E">
        <w:rPr>
          <w:bCs/>
          <w:sz w:val="24"/>
          <w:szCs w:val="24"/>
          <w:lang w:val="en-US"/>
        </w:rPr>
        <w:t>uro</w:t>
      </w:r>
      <w:proofErr w:type="spellEnd"/>
      <w:r w:rsidRPr="00312F3E">
        <w:rPr>
          <w:bCs/>
          <w:sz w:val="24"/>
          <w:szCs w:val="24"/>
          <w:lang w:val="en-US"/>
        </w:rPr>
        <w:t xml:space="preserve">-genital infection or perineal abscess may precede </w:t>
      </w:r>
      <w:proofErr w:type="spellStart"/>
      <w:r w:rsidRPr="00312F3E">
        <w:rPr>
          <w:bCs/>
          <w:sz w:val="24"/>
          <w:szCs w:val="24"/>
          <w:lang w:val="en-US"/>
        </w:rPr>
        <w:t>necrotising</w:t>
      </w:r>
      <w:proofErr w:type="spellEnd"/>
      <w:r w:rsidRPr="00312F3E">
        <w:rPr>
          <w:bCs/>
          <w:sz w:val="24"/>
          <w:szCs w:val="24"/>
          <w:lang w:val="en-US"/>
        </w:rPr>
        <w:t xml:space="preserve"> fasciitis. If Fournier’s gangrene is suspected, </w:t>
      </w:r>
      <w:proofErr w:type="spellStart"/>
      <w:r w:rsidR="00312F3E">
        <w:rPr>
          <w:bCs/>
          <w:sz w:val="24"/>
          <w:szCs w:val="24"/>
          <w:lang w:val="en-US"/>
        </w:rPr>
        <w:t>Dofliga</w:t>
      </w:r>
      <w:proofErr w:type="spellEnd"/>
      <w:r w:rsidRPr="00312F3E">
        <w:rPr>
          <w:bCs/>
          <w:sz w:val="24"/>
          <w:szCs w:val="24"/>
          <w:lang w:val="en-US"/>
        </w:rPr>
        <w:t xml:space="preserve"> should be discontinued and prompt treatment (including antibiotics and surgical debridement) should be instituted.</w:t>
      </w:r>
    </w:p>
    <w:p w14:paraId="4BABFE71" w14:textId="77777777" w:rsidR="0029430D" w:rsidRPr="00312F3E" w:rsidRDefault="0029430D" w:rsidP="0029430D">
      <w:pPr>
        <w:ind w:left="851"/>
        <w:rPr>
          <w:bCs/>
          <w:sz w:val="24"/>
          <w:szCs w:val="24"/>
          <w:lang w:val="en-US"/>
        </w:rPr>
      </w:pPr>
    </w:p>
    <w:p w14:paraId="204D2140" w14:textId="77777777" w:rsidR="0029430D" w:rsidRPr="004C0E01" w:rsidRDefault="0029430D" w:rsidP="0029430D">
      <w:pPr>
        <w:ind w:left="851"/>
        <w:rPr>
          <w:bCs/>
          <w:sz w:val="24"/>
          <w:szCs w:val="24"/>
          <w:u w:val="single"/>
          <w:lang w:val="en-US"/>
        </w:rPr>
      </w:pPr>
      <w:r w:rsidRPr="004C0E01">
        <w:rPr>
          <w:bCs/>
          <w:sz w:val="24"/>
          <w:szCs w:val="24"/>
          <w:u w:val="single"/>
          <w:lang w:val="en-US"/>
        </w:rPr>
        <w:t>Urinary tract infections</w:t>
      </w:r>
    </w:p>
    <w:p w14:paraId="4A0152D1" w14:textId="77777777" w:rsidR="0029430D" w:rsidRPr="00312F3E" w:rsidRDefault="0029430D" w:rsidP="0029430D">
      <w:pPr>
        <w:ind w:left="851"/>
        <w:rPr>
          <w:bCs/>
          <w:sz w:val="24"/>
          <w:szCs w:val="24"/>
          <w:lang w:val="en-US"/>
        </w:rPr>
      </w:pPr>
    </w:p>
    <w:p w14:paraId="2FD2E91A" w14:textId="77777777" w:rsidR="0029430D" w:rsidRPr="00312F3E" w:rsidRDefault="0029430D" w:rsidP="0029430D">
      <w:pPr>
        <w:ind w:left="851"/>
        <w:rPr>
          <w:bCs/>
          <w:sz w:val="24"/>
          <w:szCs w:val="24"/>
          <w:lang w:val="en-US"/>
        </w:rPr>
      </w:pPr>
      <w:r w:rsidRPr="00312F3E">
        <w:rPr>
          <w:bCs/>
          <w:sz w:val="24"/>
          <w:szCs w:val="24"/>
          <w:lang w:val="en-US"/>
        </w:rPr>
        <w:t>Urinary glucose excretion may be associated with an increased risk of urinary tract infection; therefore, temporary interruption of dapagliflozin should be considered when treating pyelonephritis or urosepsis.</w:t>
      </w:r>
    </w:p>
    <w:p w14:paraId="494567BB" w14:textId="77777777" w:rsidR="0029430D" w:rsidRPr="00312F3E" w:rsidRDefault="0029430D" w:rsidP="0029430D">
      <w:pPr>
        <w:ind w:left="851"/>
        <w:rPr>
          <w:bCs/>
          <w:sz w:val="24"/>
          <w:szCs w:val="24"/>
          <w:lang w:val="en-US"/>
        </w:rPr>
      </w:pPr>
    </w:p>
    <w:p w14:paraId="06A9503F" w14:textId="77777777" w:rsidR="0029430D" w:rsidRPr="004C0E01" w:rsidRDefault="0029430D" w:rsidP="0029430D">
      <w:pPr>
        <w:ind w:left="851"/>
        <w:rPr>
          <w:bCs/>
          <w:sz w:val="24"/>
          <w:szCs w:val="24"/>
          <w:u w:val="single"/>
          <w:lang w:val="en-US"/>
        </w:rPr>
      </w:pPr>
      <w:r w:rsidRPr="004C0E01">
        <w:rPr>
          <w:bCs/>
          <w:sz w:val="24"/>
          <w:szCs w:val="24"/>
          <w:u w:val="single"/>
          <w:lang w:val="en-US"/>
        </w:rPr>
        <w:t>Elderly (≥ 65 years)</w:t>
      </w:r>
    </w:p>
    <w:p w14:paraId="2878362A" w14:textId="77777777" w:rsidR="0029430D" w:rsidRPr="00312F3E" w:rsidRDefault="0029430D" w:rsidP="0029430D">
      <w:pPr>
        <w:ind w:left="851"/>
        <w:rPr>
          <w:bCs/>
          <w:sz w:val="24"/>
          <w:szCs w:val="24"/>
          <w:lang w:val="en-US"/>
        </w:rPr>
      </w:pPr>
    </w:p>
    <w:p w14:paraId="13DB4046" w14:textId="2C1C0810" w:rsidR="0029430D" w:rsidRPr="00312F3E" w:rsidRDefault="0029430D" w:rsidP="0029430D">
      <w:pPr>
        <w:ind w:left="851"/>
        <w:rPr>
          <w:bCs/>
          <w:sz w:val="24"/>
          <w:szCs w:val="24"/>
          <w:lang w:val="en-US"/>
        </w:rPr>
      </w:pPr>
      <w:r w:rsidRPr="00312F3E">
        <w:rPr>
          <w:bCs/>
          <w:sz w:val="24"/>
          <w:szCs w:val="24"/>
          <w:lang w:val="en-US"/>
        </w:rPr>
        <w:t>Elderly patients may be at a greater risk for volume depletion and are more likely to be treated with</w:t>
      </w:r>
      <w:r w:rsidR="004C0E01">
        <w:rPr>
          <w:bCs/>
          <w:sz w:val="24"/>
          <w:szCs w:val="24"/>
          <w:lang w:val="en-US"/>
        </w:rPr>
        <w:t xml:space="preserve"> </w:t>
      </w:r>
      <w:r w:rsidRPr="00312F3E">
        <w:rPr>
          <w:bCs/>
          <w:sz w:val="24"/>
          <w:szCs w:val="24"/>
          <w:lang w:val="en-US"/>
        </w:rPr>
        <w:t>diuretics.</w:t>
      </w:r>
    </w:p>
    <w:p w14:paraId="5D3D6E48" w14:textId="77777777" w:rsidR="0029430D" w:rsidRPr="00312F3E" w:rsidRDefault="0029430D" w:rsidP="0029430D">
      <w:pPr>
        <w:ind w:left="851"/>
        <w:rPr>
          <w:bCs/>
          <w:sz w:val="24"/>
          <w:szCs w:val="24"/>
          <w:lang w:val="en-US"/>
        </w:rPr>
      </w:pPr>
    </w:p>
    <w:p w14:paraId="18BCAA7B" w14:textId="77777777" w:rsidR="0029430D" w:rsidRPr="00312F3E" w:rsidRDefault="0029430D" w:rsidP="0029430D">
      <w:pPr>
        <w:ind w:left="851"/>
        <w:rPr>
          <w:bCs/>
          <w:sz w:val="24"/>
          <w:szCs w:val="24"/>
          <w:lang w:val="en-US"/>
        </w:rPr>
      </w:pPr>
      <w:r w:rsidRPr="00312F3E">
        <w:rPr>
          <w:bCs/>
          <w:sz w:val="24"/>
          <w:szCs w:val="24"/>
          <w:lang w:val="en-US"/>
        </w:rPr>
        <w:t>Elderly patients are more likely to have impaired renal function, and/or to be treated with anti-hypertensive medicinal products that may cause changes in renal function such as angiotensin-converting enzyme inhibitors (ACE-I) and angiotensin II type 1 receptor blockers (ARB).</w:t>
      </w:r>
    </w:p>
    <w:p w14:paraId="245EB909" w14:textId="7B1A0FB2" w:rsidR="0029430D" w:rsidRPr="00312F3E" w:rsidRDefault="0029430D" w:rsidP="0029430D">
      <w:pPr>
        <w:ind w:left="851"/>
        <w:rPr>
          <w:bCs/>
          <w:sz w:val="24"/>
          <w:szCs w:val="24"/>
          <w:lang w:val="en-US"/>
        </w:rPr>
      </w:pPr>
      <w:r w:rsidRPr="00312F3E">
        <w:rPr>
          <w:bCs/>
          <w:sz w:val="24"/>
          <w:szCs w:val="24"/>
          <w:lang w:val="en-US"/>
        </w:rPr>
        <w:t>The same recommendations for renal function apply to elderly patients as to all patients (see</w:t>
      </w:r>
      <w:r w:rsidR="004C0E01">
        <w:rPr>
          <w:bCs/>
          <w:sz w:val="24"/>
          <w:szCs w:val="24"/>
          <w:lang w:val="en-US"/>
        </w:rPr>
        <w:t xml:space="preserve"> </w:t>
      </w:r>
      <w:r w:rsidRPr="00312F3E">
        <w:rPr>
          <w:bCs/>
          <w:sz w:val="24"/>
          <w:szCs w:val="24"/>
          <w:lang w:val="en-US"/>
        </w:rPr>
        <w:t>sections 4.2, 4.4, 4.8 and 5.1).</w:t>
      </w:r>
    </w:p>
    <w:p w14:paraId="60ED6230" w14:textId="77777777" w:rsidR="0029430D" w:rsidRPr="00312F3E" w:rsidRDefault="0029430D" w:rsidP="0029430D">
      <w:pPr>
        <w:ind w:left="851"/>
        <w:rPr>
          <w:bCs/>
          <w:sz w:val="24"/>
          <w:szCs w:val="24"/>
          <w:lang w:val="en-US"/>
        </w:rPr>
      </w:pPr>
    </w:p>
    <w:p w14:paraId="0DDCB610" w14:textId="77777777" w:rsidR="0029430D" w:rsidRPr="004C0E01" w:rsidRDefault="0029430D" w:rsidP="0029430D">
      <w:pPr>
        <w:ind w:left="851"/>
        <w:rPr>
          <w:bCs/>
          <w:sz w:val="24"/>
          <w:szCs w:val="24"/>
          <w:u w:val="single"/>
          <w:lang w:val="en-US"/>
        </w:rPr>
      </w:pPr>
      <w:r w:rsidRPr="004C0E01">
        <w:rPr>
          <w:bCs/>
          <w:sz w:val="24"/>
          <w:szCs w:val="24"/>
          <w:u w:val="single"/>
          <w:lang w:val="en-US"/>
        </w:rPr>
        <w:t>Cardiac failure</w:t>
      </w:r>
    </w:p>
    <w:p w14:paraId="6741497E" w14:textId="77777777" w:rsidR="0029430D" w:rsidRPr="00312F3E" w:rsidRDefault="0029430D" w:rsidP="0029430D">
      <w:pPr>
        <w:ind w:left="851"/>
        <w:rPr>
          <w:bCs/>
          <w:sz w:val="24"/>
          <w:szCs w:val="24"/>
          <w:lang w:val="en-US"/>
        </w:rPr>
      </w:pPr>
    </w:p>
    <w:p w14:paraId="4EAD6421" w14:textId="77777777" w:rsidR="0029430D" w:rsidRPr="00312F3E" w:rsidRDefault="0029430D" w:rsidP="0029430D">
      <w:pPr>
        <w:ind w:left="851"/>
        <w:rPr>
          <w:bCs/>
          <w:sz w:val="24"/>
          <w:szCs w:val="24"/>
          <w:lang w:val="en-US"/>
        </w:rPr>
      </w:pPr>
      <w:r w:rsidRPr="00312F3E">
        <w:rPr>
          <w:bCs/>
          <w:sz w:val="24"/>
          <w:szCs w:val="24"/>
          <w:lang w:val="en-US"/>
        </w:rPr>
        <w:t>Experience with dapagliflozin in NYHA class IV is limited.</w:t>
      </w:r>
    </w:p>
    <w:p w14:paraId="6CE71B67" w14:textId="77777777" w:rsidR="0029430D" w:rsidRPr="00312F3E" w:rsidRDefault="0029430D" w:rsidP="0029430D">
      <w:pPr>
        <w:ind w:left="851"/>
        <w:rPr>
          <w:bCs/>
          <w:sz w:val="24"/>
          <w:szCs w:val="24"/>
          <w:lang w:val="en-US"/>
        </w:rPr>
      </w:pPr>
    </w:p>
    <w:p w14:paraId="79134151" w14:textId="77777777" w:rsidR="0029430D" w:rsidRPr="004C0E01" w:rsidRDefault="0029430D" w:rsidP="0029430D">
      <w:pPr>
        <w:ind w:left="851"/>
        <w:rPr>
          <w:bCs/>
          <w:sz w:val="24"/>
          <w:szCs w:val="24"/>
          <w:u w:val="single"/>
          <w:lang w:val="en-US"/>
        </w:rPr>
      </w:pPr>
      <w:r w:rsidRPr="004C0E01">
        <w:rPr>
          <w:bCs/>
          <w:sz w:val="24"/>
          <w:szCs w:val="24"/>
          <w:u w:val="single"/>
          <w:lang w:val="en-US"/>
        </w:rPr>
        <w:t>Infiltrative cardiomyopathy</w:t>
      </w:r>
    </w:p>
    <w:p w14:paraId="72BDA6DA" w14:textId="77777777" w:rsidR="0029430D" w:rsidRPr="00312F3E" w:rsidRDefault="0029430D" w:rsidP="0029430D">
      <w:pPr>
        <w:ind w:left="851"/>
        <w:rPr>
          <w:bCs/>
          <w:sz w:val="24"/>
          <w:szCs w:val="24"/>
          <w:lang w:val="en-US"/>
        </w:rPr>
      </w:pPr>
    </w:p>
    <w:p w14:paraId="70B6DEB8" w14:textId="77777777" w:rsidR="0029430D" w:rsidRPr="00312F3E" w:rsidRDefault="0029430D" w:rsidP="0029430D">
      <w:pPr>
        <w:ind w:left="851"/>
        <w:rPr>
          <w:bCs/>
          <w:sz w:val="24"/>
          <w:szCs w:val="24"/>
          <w:lang w:val="en-US"/>
        </w:rPr>
      </w:pPr>
      <w:r w:rsidRPr="00312F3E">
        <w:rPr>
          <w:bCs/>
          <w:sz w:val="24"/>
          <w:szCs w:val="24"/>
          <w:lang w:val="en-US"/>
        </w:rPr>
        <w:t>Patients with infiltrative cardiomyopathy have not been studied.</w:t>
      </w:r>
    </w:p>
    <w:p w14:paraId="328B3DD8" w14:textId="77777777" w:rsidR="0029430D" w:rsidRPr="00312F3E" w:rsidRDefault="0029430D" w:rsidP="0029430D">
      <w:pPr>
        <w:ind w:left="851"/>
        <w:rPr>
          <w:bCs/>
          <w:sz w:val="24"/>
          <w:szCs w:val="24"/>
          <w:lang w:val="en-US"/>
        </w:rPr>
      </w:pPr>
    </w:p>
    <w:p w14:paraId="22D04AD5" w14:textId="77777777" w:rsidR="0029430D" w:rsidRPr="004C0E01" w:rsidRDefault="0029430D" w:rsidP="0029430D">
      <w:pPr>
        <w:ind w:left="851"/>
        <w:rPr>
          <w:bCs/>
          <w:sz w:val="24"/>
          <w:szCs w:val="24"/>
          <w:u w:val="single"/>
          <w:lang w:val="en-US"/>
        </w:rPr>
      </w:pPr>
      <w:r w:rsidRPr="004C0E01">
        <w:rPr>
          <w:bCs/>
          <w:sz w:val="24"/>
          <w:szCs w:val="24"/>
          <w:u w:val="single"/>
          <w:lang w:val="en-US"/>
        </w:rPr>
        <w:t>Chronic kidney disease</w:t>
      </w:r>
    </w:p>
    <w:p w14:paraId="2BD38C2C" w14:textId="77777777" w:rsidR="0029430D" w:rsidRPr="00312F3E" w:rsidRDefault="0029430D" w:rsidP="0029430D">
      <w:pPr>
        <w:ind w:left="851"/>
        <w:rPr>
          <w:bCs/>
          <w:sz w:val="24"/>
          <w:szCs w:val="24"/>
          <w:lang w:val="en-US"/>
        </w:rPr>
      </w:pPr>
    </w:p>
    <w:p w14:paraId="6DB52FB3" w14:textId="77777777" w:rsidR="0029430D" w:rsidRPr="00312F3E" w:rsidRDefault="0029430D" w:rsidP="0029430D">
      <w:pPr>
        <w:ind w:left="851"/>
        <w:rPr>
          <w:bCs/>
          <w:sz w:val="24"/>
          <w:szCs w:val="24"/>
          <w:lang w:val="en-US"/>
        </w:rPr>
      </w:pPr>
      <w:r w:rsidRPr="00312F3E">
        <w:rPr>
          <w:bCs/>
          <w:sz w:val="24"/>
          <w:szCs w:val="24"/>
          <w:lang w:val="en-US"/>
        </w:rPr>
        <w:t>There is no experience with dapagliflozin for the treatment of chronic kidney disease in patients without diabetes who do not have albuminuria. Patients with albuminuria may benefit more from treatment with dapagliflozin.</w:t>
      </w:r>
    </w:p>
    <w:p w14:paraId="5AF3DD50" w14:textId="77777777" w:rsidR="0029430D" w:rsidRPr="00312F3E" w:rsidRDefault="0029430D" w:rsidP="0029430D">
      <w:pPr>
        <w:ind w:left="851"/>
        <w:rPr>
          <w:bCs/>
          <w:sz w:val="24"/>
          <w:szCs w:val="24"/>
          <w:lang w:val="en-US"/>
        </w:rPr>
      </w:pPr>
    </w:p>
    <w:p w14:paraId="587E267E" w14:textId="77777777" w:rsidR="0029430D" w:rsidRPr="006A7320" w:rsidRDefault="0029430D" w:rsidP="0029430D">
      <w:pPr>
        <w:ind w:left="851"/>
        <w:rPr>
          <w:bCs/>
          <w:sz w:val="24"/>
          <w:szCs w:val="24"/>
          <w:u w:val="single"/>
          <w:lang w:val="en-US"/>
        </w:rPr>
      </w:pPr>
      <w:r w:rsidRPr="006A7320">
        <w:rPr>
          <w:bCs/>
          <w:sz w:val="24"/>
          <w:szCs w:val="24"/>
          <w:u w:val="single"/>
          <w:lang w:val="en-US"/>
        </w:rPr>
        <w:t xml:space="preserve">Increased </w:t>
      </w:r>
      <w:proofErr w:type="spellStart"/>
      <w:r w:rsidRPr="006A7320">
        <w:rPr>
          <w:bCs/>
          <w:sz w:val="24"/>
          <w:szCs w:val="24"/>
          <w:u w:val="single"/>
          <w:lang w:val="en-US"/>
        </w:rPr>
        <w:t>haematocrit</w:t>
      </w:r>
      <w:proofErr w:type="spellEnd"/>
      <w:r w:rsidRPr="006A7320">
        <w:rPr>
          <w:bCs/>
          <w:sz w:val="24"/>
          <w:szCs w:val="24"/>
          <w:u w:val="single"/>
          <w:lang w:val="en-US"/>
        </w:rPr>
        <w:t xml:space="preserve"> </w:t>
      </w:r>
    </w:p>
    <w:p w14:paraId="7A97A735" w14:textId="77777777" w:rsidR="0029430D" w:rsidRPr="006A7320" w:rsidRDefault="0029430D" w:rsidP="0029430D">
      <w:pPr>
        <w:ind w:left="851"/>
        <w:rPr>
          <w:bCs/>
          <w:sz w:val="24"/>
          <w:szCs w:val="24"/>
          <w:lang w:val="en-US"/>
        </w:rPr>
      </w:pPr>
    </w:p>
    <w:p w14:paraId="26F68AA0" w14:textId="77777777" w:rsidR="0029430D" w:rsidRPr="00312F3E" w:rsidRDefault="0029430D" w:rsidP="0029430D">
      <w:pPr>
        <w:ind w:left="851"/>
        <w:rPr>
          <w:bCs/>
          <w:sz w:val="24"/>
          <w:szCs w:val="24"/>
          <w:lang w:val="en-GB"/>
        </w:rPr>
      </w:pPr>
      <w:r w:rsidRPr="006A7320">
        <w:rPr>
          <w:bCs/>
          <w:sz w:val="24"/>
          <w:szCs w:val="24"/>
          <w:lang w:val="en-US"/>
        </w:rPr>
        <w:t xml:space="preserve">Increased </w:t>
      </w:r>
      <w:proofErr w:type="spellStart"/>
      <w:r w:rsidRPr="006A7320">
        <w:rPr>
          <w:bCs/>
          <w:sz w:val="24"/>
          <w:szCs w:val="24"/>
          <w:lang w:val="en-US"/>
        </w:rPr>
        <w:t>haematocrit</w:t>
      </w:r>
      <w:proofErr w:type="spellEnd"/>
      <w:r w:rsidRPr="006A7320">
        <w:rPr>
          <w:bCs/>
          <w:sz w:val="24"/>
          <w:szCs w:val="24"/>
          <w:lang w:val="en-US"/>
        </w:rPr>
        <w:t xml:space="preserve"> has been observed with dapagliflozin treatment (see section 4.8). Patients with pronounced elevations in </w:t>
      </w:r>
      <w:proofErr w:type="spellStart"/>
      <w:r w:rsidRPr="006A7320">
        <w:rPr>
          <w:bCs/>
          <w:sz w:val="24"/>
          <w:szCs w:val="24"/>
          <w:lang w:val="en-US"/>
        </w:rPr>
        <w:t>haematocrit</w:t>
      </w:r>
      <w:proofErr w:type="spellEnd"/>
      <w:r w:rsidRPr="006A7320">
        <w:rPr>
          <w:bCs/>
          <w:sz w:val="24"/>
          <w:szCs w:val="24"/>
          <w:lang w:val="en-US"/>
        </w:rPr>
        <w:t xml:space="preserve"> should be monitored and investigated for underlying </w:t>
      </w:r>
      <w:proofErr w:type="spellStart"/>
      <w:r w:rsidRPr="006A7320">
        <w:rPr>
          <w:bCs/>
          <w:sz w:val="24"/>
          <w:szCs w:val="24"/>
          <w:lang w:val="en-US"/>
        </w:rPr>
        <w:t>haematological</w:t>
      </w:r>
      <w:proofErr w:type="spellEnd"/>
      <w:r w:rsidRPr="006A7320">
        <w:rPr>
          <w:bCs/>
          <w:sz w:val="24"/>
          <w:szCs w:val="24"/>
          <w:lang w:val="en-US"/>
        </w:rPr>
        <w:t xml:space="preserve"> disease.</w:t>
      </w:r>
    </w:p>
    <w:p w14:paraId="5B30E507" w14:textId="77777777" w:rsidR="0029430D" w:rsidRPr="00312F3E" w:rsidRDefault="0029430D" w:rsidP="0029430D">
      <w:pPr>
        <w:ind w:left="851"/>
        <w:rPr>
          <w:bCs/>
          <w:sz w:val="24"/>
          <w:szCs w:val="24"/>
          <w:lang w:val="en-US"/>
        </w:rPr>
      </w:pPr>
    </w:p>
    <w:p w14:paraId="7DCF33A0" w14:textId="77777777" w:rsidR="0029430D" w:rsidRPr="004C0E01" w:rsidRDefault="0029430D" w:rsidP="0029430D">
      <w:pPr>
        <w:ind w:left="851"/>
        <w:rPr>
          <w:bCs/>
          <w:sz w:val="24"/>
          <w:szCs w:val="24"/>
          <w:u w:val="single"/>
          <w:lang w:val="en-US"/>
        </w:rPr>
      </w:pPr>
      <w:r w:rsidRPr="004C0E01">
        <w:rPr>
          <w:bCs/>
          <w:sz w:val="24"/>
          <w:szCs w:val="24"/>
          <w:u w:val="single"/>
          <w:lang w:val="en-US"/>
        </w:rPr>
        <w:t>Lower limb amputations</w:t>
      </w:r>
    </w:p>
    <w:p w14:paraId="10FC8B85" w14:textId="77777777" w:rsidR="0029430D" w:rsidRPr="00312F3E" w:rsidRDefault="0029430D" w:rsidP="0029430D">
      <w:pPr>
        <w:ind w:left="851"/>
        <w:rPr>
          <w:bCs/>
          <w:sz w:val="24"/>
          <w:szCs w:val="24"/>
          <w:lang w:val="en-US"/>
        </w:rPr>
      </w:pPr>
    </w:p>
    <w:p w14:paraId="438133AD" w14:textId="77777777" w:rsidR="0029430D" w:rsidRPr="00312F3E" w:rsidRDefault="0029430D" w:rsidP="0029430D">
      <w:pPr>
        <w:ind w:left="851"/>
        <w:rPr>
          <w:bCs/>
          <w:sz w:val="24"/>
          <w:szCs w:val="24"/>
          <w:lang w:val="en-US"/>
        </w:rPr>
      </w:pPr>
      <w:r w:rsidRPr="00312F3E">
        <w:rPr>
          <w:bCs/>
          <w:sz w:val="24"/>
          <w:szCs w:val="24"/>
          <w:lang w:val="en-US"/>
        </w:rPr>
        <w:t>An increase in cases of lower limb amputation (primarily of the toe) has been observed in long-term, clinical studies in type 2 diabetes mellitus with SGLT2 inhibitors. It is unknown whether this constitutes a class effect. It is important to counsel patients with diabetes on routine preventative foot care.</w:t>
      </w:r>
    </w:p>
    <w:p w14:paraId="4EA83CD4" w14:textId="77777777" w:rsidR="0029430D" w:rsidRPr="00312F3E" w:rsidRDefault="0029430D" w:rsidP="0029430D">
      <w:pPr>
        <w:ind w:left="851"/>
        <w:rPr>
          <w:bCs/>
          <w:sz w:val="24"/>
          <w:szCs w:val="24"/>
          <w:lang w:val="en-US"/>
        </w:rPr>
      </w:pPr>
    </w:p>
    <w:p w14:paraId="273267B6" w14:textId="77777777" w:rsidR="0029430D" w:rsidRPr="004C0E01" w:rsidRDefault="0029430D" w:rsidP="0029430D">
      <w:pPr>
        <w:ind w:left="851"/>
        <w:rPr>
          <w:bCs/>
          <w:sz w:val="24"/>
          <w:szCs w:val="24"/>
          <w:u w:val="single"/>
          <w:lang w:val="en-US"/>
        </w:rPr>
      </w:pPr>
      <w:r w:rsidRPr="004C0E01">
        <w:rPr>
          <w:bCs/>
          <w:sz w:val="24"/>
          <w:szCs w:val="24"/>
          <w:u w:val="single"/>
          <w:lang w:val="en-US"/>
        </w:rPr>
        <w:t>Urine laboratory assessments</w:t>
      </w:r>
    </w:p>
    <w:p w14:paraId="53C16AA9" w14:textId="77777777" w:rsidR="0029430D" w:rsidRPr="00312F3E" w:rsidRDefault="0029430D" w:rsidP="0029430D">
      <w:pPr>
        <w:ind w:left="851"/>
        <w:rPr>
          <w:bCs/>
          <w:sz w:val="24"/>
          <w:szCs w:val="24"/>
          <w:lang w:val="en-US"/>
        </w:rPr>
      </w:pPr>
    </w:p>
    <w:p w14:paraId="3E25C26A" w14:textId="5EF0B066" w:rsidR="0029430D" w:rsidRPr="00312F3E" w:rsidRDefault="0029430D" w:rsidP="0029430D">
      <w:pPr>
        <w:ind w:left="851"/>
        <w:rPr>
          <w:bCs/>
          <w:sz w:val="24"/>
          <w:szCs w:val="24"/>
          <w:lang w:val="en-US"/>
        </w:rPr>
      </w:pPr>
      <w:r w:rsidRPr="00312F3E">
        <w:rPr>
          <w:bCs/>
          <w:sz w:val="24"/>
          <w:szCs w:val="24"/>
          <w:lang w:val="en-US"/>
        </w:rPr>
        <w:t xml:space="preserve">Due to its mechanism of action, patients taking </w:t>
      </w:r>
      <w:proofErr w:type="spellStart"/>
      <w:r w:rsidR="00312F3E">
        <w:rPr>
          <w:bCs/>
          <w:sz w:val="24"/>
          <w:szCs w:val="24"/>
          <w:lang w:val="en-US"/>
        </w:rPr>
        <w:t>Dofliga</w:t>
      </w:r>
      <w:proofErr w:type="spellEnd"/>
      <w:r w:rsidRPr="00312F3E">
        <w:rPr>
          <w:bCs/>
          <w:sz w:val="24"/>
          <w:szCs w:val="24"/>
          <w:lang w:val="en-US"/>
        </w:rPr>
        <w:t xml:space="preserve"> will test positive for glucose in their urine.</w:t>
      </w:r>
    </w:p>
    <w:p w14:paraId="49A0415C" w14:textId="77777777" w:rsidR="0029430D" w:rsidRPr="00312F3E" w:rsidRDefault="0029430D" w:rsidP="0029430D">
      <w:pPr>
        <w:ind w:left="851"/>
        <w:rPr>
          <w:bCs/>
          <w:sz w:val="24"/>
          <w:szCs w:val="24"/>
          <w:lang w:val="en-US"/>
        </w:rPr>
      </w:pPr>
    </w:p>
    <w:p w14:paraId="23F852FF" w14:textId="77777777" w:rsidR="0029430D" w:rsidRPr="004C0E01" w:rsidRDefault="0029430D" w:rsidP="0029430D">
      <w:pPr>
        <w:ind w:left="851"/>
        <w:rPr>
          <w:bCs/>
          <w:sz w:val="24"/>
          <w:szCs w:val="24"/>
          <w:u w:val="single"/>
          <w:lang w:val="en-US"/>
        </w:rPr>
      </w:pPr>
      <w:r w:rsidRPr="004C0E01">
        <w:rPr>
          <w:bCs/>
          <w:sz w:val="24"/>
          <w:szCs w:val="24"/>
          <w:u w:val="single"/>
          <w:lang w:val="en-US"/>
        </w:rPr>
        <w:t>Lactose</w:t>
      </w:r>
    </w:p>
    <w:p w14:paraId="0894BBAF" w14:textId="77777777" w:rsidR="0029430D" w:rsidRPr="00312F3E" w:rsidRDefault="0029430D" w:rsidP="0029430D">
      <w:pPr>
        <w:ind w:left="851"/>
        <w:rPr>
          <w:bCs/>
          <w:sz w:val="24"/>
          <w:szCs w:val="24"/>
          <w:lang w:val="en-US"/>
        </w:rPr>
      </w:pPr>
      <w:r w:rsidRPr="00312F3E">
        <w:rPr>
          <w:bCs/>
          <w:sz w:val="24"/>
          <w:szCs w:val="24"/>
          <w:lang w:val="en-US"/>
        </w:rPr>
        <w:t>The tablets contain lactose. Patients with rare hereditary problems of galactose intolerance, total lactase deficiency or glucose-galactose malabsorption should not take this medicinal product.</w:t>
      </w:r>
    </w:p>
    <w:p w14:paraId="67924407" w14:textId="77777777" w:rsidR="007C5D2A" w:rsidRPr="00312F3E" w:rsidRDefault="007C5D2A" w:rsidP="003E0341">
      <w:pPr>
        <w:tabs>
          <w:tab w:val="left" w:pos="851"/>
        </w:tabs>
        <w:ind w:left="851"/>
        <w:rPr>
          <w:sz w:val="24"/>
          <w:szCs w:val="24"/>
          <w:lang w:val="en-GB"/>
        </w:rPr>
      </w:pPr>
    </w:p>
    <w:p w14:paraId="7148BEB8" w14:textId="77777777" w:rsidR="007C5D2A" w:rsidRPr="00312F3E" w:rsidRDefault="007C5D2A" w:rsidP="007C5D2A">
      <w:pPr>
        <w:ind w:left="851" w:hanging="851"/>
        <w:rPr>
          <w:b/>
          <w:sz w:val="24"/>
          <w:szCs w:val="24"/>
          <w:lang w:val="en-GB"/>
        </w:rPr>
      </w:pPr>
      <w:r w:rsidRPr="00312F3E">
        <w:rPr>
          <w:b/>
          <w:sz w:val="24"/>
          <w:szCs w:val="24"/>
          <w:lang w:val="en-GB"/>
        </w:rPr>
        <w:t>4.5</w:t>
      </w:r>
      <w:r w:rsidRPr="00312F3E">
        <w:rPr>
          <w:b/>
          <w:sz w:val="24"/>
          <w:szCs w:val="24"/>
          <w:lang w:val="en-GB"/>
        </w:rPr>
        <w:tab/>
        <w:t>Interaction with other medicinal products and other forms of interaction</w:t>
      </w:r>
    </w:p>
    <w:p w14:paraId="70B40476" w14:textId="77777777" w:rsidR="004C0E01" w:rsidRDefault="004C0E01" w:rsidP="0029430D">
      <w:pPr>
        <w:ind w:left="851"/>
        <w:rPr>
          <w:sz w:val="24"/>
          <w:szCs w:val="24"/>
          <w:lang w:val="en-GB"/>
        </w:rPr>
      </w:pPr>
    </w:p>
    <w:p w14:paraId="3014A9C4" w14:textId="31D91980" w:rsidR="0029430D" w:rsidRPr="004C0E01" w:rsidRDefault="0029430D" w:rsidP="0029430D">
      <w:pPr>
        <w:ind w:left="851"/>
        <w:rPr>
          <w:sz w:val="24"/>
          <w:szCs w:val="24"/>
          <w:u w:val="single"/>
          <w:lang w:val="en-US"/>
        </w:rPr>
      </w:pPr>
      <w:r w:rsidRPr="004C0E01">
        <w:rPr>
          <w:sz w:val="24"/>
          <w:szCs w:val="24"/>
          <w:u w:val="single"/>
          <w:lang w:val="en-US"/>
        </w:rPr>
        <w:t>Pharmacodynamic interactions</w:t>
      </w:r>
    </w:p>
    <w:p w14:paraId="23C19175" w14:textId="77777777" w:rsidR="0029430D" w:rsidRPr="00312F3E" w:rsidRDefault="0029430D" w:rsidP="0029430D">
      <w:pPr>
        <w:ind w:left="851"/>
        <w:rPr>
          <w:sz w:val="24"/>
          <w:szCs w:val="24"/>
          <w:lang w:val="en-US"/>
        </w:rPr>
      </w:pPr>
    </w:p>
    <w:p w14:paraId="53F5F365" w14:textId="77777777" w:rsidR="0029430D" w:rsidRPr="004C0E01" w:rsidRDefault="0029430D" w:rsidP="0029430D">
      <w:pPr>
        <w:ind w:left="851"/>
        <w:rPr>
          <w:i/>
          <w:iCs/>
          <w:sz w:val="24"/>
          <w:szCs w:val="24"/>
          <w:u w:val="single"/>
          <w:lang w:val="en-US"/>
        </w:rPr>
      </w:pPr>
      <w:r w:rsidRPr="004C0E01">
        <w:rPr>
          <w:i/>
          <w:iCs/>
          <w:sz w:val="24"/>
          <w:szCs w:val="24"/>
          <w:u w:val="single"/>
          <w:lang w:val="en-US"/>
        </w:rPr>
        <w:t>Diuretics</w:t>
      </w:r>
    </w:p>
    <w:p w14:paraId="1D8744E2" w14:textId="77777777" w:rsidR="0029430D" w:rsidRPr="00312F3E" w:rsidRDefault="0029430D" w:rsidP="0029430D">
      <w:pPr>
        <w:ind w:left="851"/>
        <w:rPr>
          <w:sz w:val="24"/>
          <w:szCs w:val="24"/>
          <w:lang w:val="en-US"/>
        </w:rPr>
      </w:pPr>
      <w:r w:rsidRPr="00312F3E">
        <w:rPr>
          <w:sz w:val="24"/>
          <w:szCs w:val="24"/>
          <w:lang w:val="en-US"/>
        </w:rPr>
        <w:t>Dapagliflozin may add to the diuretic effect of thiazide and loop diuretics and may increase the risk of dehydration and hypotension (see section 4.4).</w:t>
      </w:r>
    </w:p>
    <w:p w14:paraId="696A47BF" w14:textId="77777777" w:rsidR="0029430D" w:rsidRPr="00312F3E" w:rsidRDefault="0029430D" w:rsidP="0029430D">
      <w:pPr>
        <w:ind w:left="851"/>
        <w:rPr>
          <w:sz w:val="24"/>
          <w:szCs w:val="24"/>
          <w:lang w:val="en-US"/>
        </w:rPr>
      </w:pPr>
    </w:p>
    <w:p w14:paraId="2D4F6CB0" w14:textId="77777777" w:rsidR="0029430D" w:rsidRPr="004C0E01" w:rsidRDefault="0029430D" w:rsidP="0029430D">
      <w:pPr>
        <w:ind w:left="851"/>
        <w:rPr>
          <w:i/>
          <w:iCs/>
          <w:sz w:val="24"/>
          <w:szCs w:val="24"/>
          <w:u w:val="single"/>
          <w:lang w:val="en-US"/>
        </w:rPr>
      </w:pPr>
      <w:r w:rsidRPr="004C0E01">
        <w:rPr>
          <w:i/>
          <w:iCs/>
          <w:sz w:val="24"/>
          <w:szCs w:val="24"/>
          <w:u w:val="single"/>
          <w:lang w:val="en-US"/>
        </w:rPr>
        <w:t>Insulin and insulin secretagogues</w:t>
      </w:r>
    </w:p>
    <w:p w14:paraId="5B0970E8" w14:textId="77777777" w:rsidR="0029430D" w:rsidRPr="00312F3E" w:rsidRDefault="0029430D" w:rsidP="0029430D">
      <w:pPr>
        <w:ind w:left="851"/>
        <w:rPr>
          <w:sz w:val="24"/>
          <w:szCs w:val="24"/>
          <w:lang w:val="en-US"/>
        </w:rPr>
      </w:pPr>
      <w:r w:rsidRPr="00312F3E">
        <w:rPr>
          <w:sz w:val="24"/>
          <w:szCs w:val="24"/>
          <w:lang w:val="en-US"/>
        </w:rPr>
        <w:t xml:space="preserve">Insulin and insulin secretagogues, such as </w:t>
      </w:r>
      <w:proofErr w:type="spellStart"/>
      <w:r w:rsidRPr="00312F3E">
        <w:rPr>
          <w:sz w:val="24"/>
          <w:szCs w:val="24"/>
          <w:lang w:val="en-US"/>
        </w:rPr>
        <w:t>sulphonylureas</w:t>
      </w:r>
      <w:proofErr w:type="spellEnd"/>
      <w:r w:rsidRPr="00312F3E">
        <w:rPr>
          <w:sz w:val="24"/>
          <w:szCs w:val="24"/>
          <w:lang w:val="en-US"/>
        </w:rPr>
        <w:t xml:space="preserve">, cause </w:t>
      </w:r>
      <w:proofErr w:type="spellStart"/>
      <w:r w:rsidRPr="00312F3E">
        <w:rPr>
          <w:sz w:val="24"/>
          <w:szCs w:val="24"/>
          <w:lang w:val="en-US"/>
        </w:rPr>
        <w:t>hypoglycaemia</w:t>
      </w:r>
      <w:proofErr w:type="spellEnd"/>
      <w:r w:rsidRPr="00312F3E">
        <w:rPr>
          <w:sz w:val="24"/>
          <w:szCs w:val="24"/>
          <w:lang w:val="en-US"/>
        </w:rPr>
        <w:t xml:space="preserve">. Therefore, a lower dose of insulin or an insulin secretagogue may be required to reduce the risk of </w:t>
      </w:r>
      <w:proofErr w:type="spellStart"/>
      <w:r w:rsidRPr="00312F3E">
        <w:rPr>
          <w:sz w:val="24"/>
          <w:szCs w:val="24"/>
          <w:lang w:val="en-US"/>
        </w:rPr>
        <w:t>hypoglycaemia</w:t>
      </w:r>
      <w:proofErr w:type="spellEnd"/>
      <w:r w:rsidRPr="00312F3E">
        <w:rPr>
          <w:sz w:val="24"/>
          <w:szCs w:val="24"/>
          <w:lang w:val="en-US"/>
        </w:rPr>
        <w:t xml:space="preserve"> when used in combination with dapagliflozin in patients with type 2 diabetes mellitus (see sections 4.2 and 4.8).</w:t>
      </w:r>
    </w:p>
    <w:p w14:paraId="143D4D60" w14:textId="77777777" w:rsidR="0029430D" w:rsidRPr="00312F3E" w:rsidRDefault="0029430D" w:rsidP="0029430D">
      <w:pPr>
        <w:ind w:left="851"/>
        <w:rPr>
          <w:sz w:val="24"/>
          <w:szCs w:val="24"/>
          <w:lang w:val="en-US"/>
        </w:rPr>
      </w:pPr>
    </w:p>
    <w:p w14:paraId="0ECE0E3B" w14:textId="77777777" w:rsidR="0029430D" w:rsidRPr="004C0E01" w:rsidRDefault="0029430D" w:rsidP="0029430D">
      <w:pPr>
        <w:ind w:left="851"/>
        <w:rPr>
          <w:sz w:val="24"/>
          <w:szCs w:val="24"/>
          <w:u w:val="single"/>
          <w:lang w:val="en-US"/>
        </w:rPr>
      </w:pPr>
      <w:r w:rsidRPr="004C0E01">
        <w:rPr>
          <w:sz w:val="24"/>
          <w:szCs w:val="24"/>
          <w:u w:val="single"/>
          <w:lang w:val="en-US"/>
        </w:rPr>
        <w:t>Pharmacokinetic interactions</w:t>
      </w:r>
    </w:p>
    <w:p w14:paraId="1204A34F" w14:textId="77777777" w:rsidR="0029430D" w:rsidRPr="00312F3E" w:rsidRDefault="0029430D" w:rsidP="0029430D">
      <w:pPr>
        <w:ind w:left="851"/>
        <w:rPr>
          <w:sz w:val="24"/>
          <w:szCs w:val="24"/>
          <w:lang w:val="en-US"/>
        </w:rPr>
      </w:pPr>
    </w:p>
    <w:p w14:paraId="56F9D82D" w14:textId="77777777" w:rsidR="0029430D" w:rsidRPr="00312F3E" w:rsidRDefault="0029430D" w:rsidP="0029430D">
      <w:pPr>
        <w:ind w:left="851"/>
        <w:rPr>
          <w:sz w:val="24"/>
          <w:szCs w:val="24"/>
          <w:lang w:val="en-US"/>
        </w:rPr>
      </w:pPr>
      <w:r w:rsidRPr="00312F3E">
        <w:rPr>
          <w:sz w:val="24"/>
          <w:szCs w:val="24"/>
          <w:lang w:val="en-US"/>
        </w:rPr>
        <w:t>The metabolism of dapagliflozin is primarily via glucuronide conjugation mediated by UDP glucuronosyltransferase 1A9 (UGT1A9).</w:t>
      </w:r>
    </w:p>
    <w:p w14:paraId="49E72551" w14:textId="77777777" w:rsidR="0029430D" w:rsidRPr="00312F3E" w:rsidRDefault="0029430D" w:rsidP="0029430D">
      <w:pPr>
        <w:ind w:left="851"/>
        <w:rPr>
          <w:sz w:val="24"/>
          <w:szCs w:val="24"/>
          <w:lang w:val="en-US"/>
        </w:rPr>
      </w:pPr>
    </w:p>
    <w:p w14:paraId="438F6EA4" w14:textId="77777777" w:rsidR="0029430D" w:rsidRPr="00312F3E" w:rsidRDefault="0029430D" w:rsidP="0029430D">
      <w:pPr>
        <w:ind w:left="851"/>
        <w:rPr>
          <w:sz w:val="24"/>
          <w:szCs w:val="24"/>
          <w:lang w:val="en-US"/>
        </w:rPr>
      </w:pPr>
      <w:r w:rsidRPr="00312F3E">
        <w:rPr>
          <w:sz w:val="24"/>
          <w:szCs w:val="24"/>
          <w:lang w:val="en-US"/>
        </w:rPr>
        <w:t xml:space="preserve">In </w:t>
      </w:r>
      <w:r w:rsidRPr="00312F3E">
        <w:rPr>
          <w:i/>
          <w:iCs/>
          <w:sz w:val="24"/>
          <w:szCs w:val="24"/>
          <w:lang w:val="en-US"/>
        </w:rPr>
        <w:t xml:space="preserve">in vitro </w:t>
      </w:r>
      <w:r w:rsidRPr="00312F3E">
        <w:rPr>
          <w:sz w:val="24"/>
          <w:szCs w:val="24"/>
          <w:lang w:val="en-US"/>
        </w:rPr>
        <w:t xml:space="preserve">studies, dapagliflozin neither inhibited cytochrome P450 (CYP) 1A2, CYP2A6, CYP2B6, CYP2C8, CYP2C9, CYP2C19, CYP2D6, CYP3A4, nor induced CYP1A2, CYP2B6 or CYP3A4. Therefore, dapagliflozin is not expected to alter the metabolic clearance of </w:t>
      </w:r>
      <w:proofErr w:type="spellStart"/>
      <w:r w:rsidRPr="00312F3E">
        <w:rPr>
          <w:sz w:val="24"/>
          <w:szCs w:val="24"/>
          <w:lang w:val="en-US"/>
        </w:rPr>
        <w:t>coadministered</w:t>
      </w:r>
      <w:proofErr w:type="spellEnd"/>
      <w:r w:rsidRPr="00312F3E">
        <w:rPr>
          <w:sz w:val="24"/>
          <w:szCs w:val="24"/>
          <w:lang w:val="en-US"/>
        </w:rPr>
        <w:t xml:space="preserve"> medicinal products that are </w:t>
      </w:r>
      <w:proofErr w:type="spellStart"/>
      <w:r w:rsidRPr="00312F3E">
        <w:rPr>
          <w:sz w:val="24"/>
          <w:szCs w:val="24"/>
          <w:lang w:val="en-US"/>
        </w:rPr>
        <w:t>metabolised</w:t>
      </w:r>
      <w:proofErr w:type="spellEnd"/>
      <w:r w:rsidRPr="00312F3E">
        <w:rPr>
          <w:sz w:val="24"/>
          <w:szCs w:val="24"/>
          <w:lang w:val="en-US"/>
        </w:rPr>
        <w:t xml:space="preserve"> by these enzymes.</w:t>
      </w:r>
    </w:p>
    <w:p w14:paraId="709457BA" w14:textId="77777777" w:rsidR="0029430D" w:rsidRPr="00312F3E" w:rsidRDefault="0029430D" w:rsidP="0029430D">
      <w:pPr>
        <w:ind w:left="851"/>
        <w:rPr>
          <w:sz w:val="24"/>
          <w:szCs w:val="24"/>
          <w:lang w:val="en-US"/>
        </w:rPr>
      </w:pPr>
    </w:p>
    <w:p w14:paraId="05F665B9" w14:textId="77777777" w:rsidR="0029430D" w:rsidRPr="004C0E01" w:rsidRDefault="0029430D" w:rsidP="0029430D">
      <w:pPr>
        <w:ind w:left="851"/>
        <w:rPr>
          <w:sz w:val="24"/>
          <w:szCs w:val="24"/>
          <w:u w:val="single"/>
          <w:lang w:val="en-US"/>
        </w:rPr>
      </w:pPr>
      <w:r w:rsidRPr="004C0E01">
        <w:rPr>
          <w:sz w:val="24"/>
          <w:szCs w:val="24"/>
          <w:u w:val="single"/>
          <w:lang w:val="en-US"/>
        </w:rPr>
        <w:t>Effect of other medicinal products on dapagliflozin</w:t>
      </w:r>
    </w:p>
    <w:p w14:paraId="58A91417" w14:textId="77777777" w:rsidR="0029430D" w:rsidRPr="00312F3E" w:rsidRDefault="0029430D" w:rsidP="0029430D">
      <w:pPr>
        <w:ind w:left="851"/>
        <w:rPr>
          <w:sz w:val="24"/>
          <w:szCs w:val="24"/>
          <w:lang w:val="en-US"/>
        </w:rPr>
      </w:pPr>
    </w:p>
    <w:p w14:paraId="6974A4CC" w14:textId="77777777" w:rsidR="0029430D" w:rsidRPr="00312F3E" w:rsidRDefault="0029430D" w:rsidP="0029430D">
      <w:pPr>
        <w:ind w:left="851"/>
        <w:rPr>
          <w:sz w:val="24"/>
          <w:szCs w:val="24"/>
          <w:lang w:val="en-US"/>
        </w:rPr>
      </w:pPr>
      <w:r w:rsidRPr="00312F3E">
        <w:rPr>
          <w:sz w:val="24"/>
          <w:szCs w:val="24"/>
          <w:lang w:val="en-US"/>
        </w:rPr>
        <w:t xml:space="preserve">Interaction studies conducted in healthy subjects, using mainly a single-dose design, suggest that the pharmacokinetics of dapagliflozin are not altered by metformin, pioglitazone, sitagliptin, glimepiride, </w:t>
      </w:r>
      <w:proofErr w:type="spellStart"/>
      <w:r w:rsidRPr="00312F3E">
        <w:rPr>
          <w:sz w:val="24"/>
          <w:szCs w:val="24"/>
          <w:lang w:val="en-US"/>
        </w:rPr>
        <w:t>voglibose</w:t>
      </w:r>
      <w:proofErr w:type="spellEnd"/>
      <w:r w:rsidRPr="00312F3E">
        <w:rPr>
          <w:sz w:val="24"/>
          <w:szCs w:val="24"/>
          <w:lang w:val="en-US"/>
        </w:rPr>
        <w:t>, hydrochlorothiazide, bumetanide, valsartan, or simvastatin.</w:t>
      </w:r>
    </w:p>
    <w:p w14:paraId="3AE31C46" w14:textId="77777777" w:rsidR="0029430D" w:rsidRPr="00312F3E" w:rsidRDefault="0029430D" w:rsidP="0029430D">
      <w:pPr>
        <w:ind w:left="851"/>
        <w:rPr>
          <w:sz w:val="24"/>
          <w:szCs w:val="24"/>
          <w:lang w:val="en-US"/>
        </w:rPr>
      </w:pPr>
    </w:p>
    <w:p w14:paraId="35C06E11" w14:textId="77777777" w:rsidR="0029430D" w:rsidRPr="00312F3E" w:rsidRDefault="0029430D" w:rsidP="0029430D">
      <w:pPr>
        <w:ind w:left="851"/>
        <w:rPr>
          <w:sz w:val="24"/>
          <w:szCs w:val="24"/>
          <w:lang w:val="en-US"/>
        </w:rPr>
      </w:pPr>
      <w:r w:rsidRPr="00312F3E">
        <w:rPr>
          <w:sz w:val="24"/>
          <w:szCs w:val="24"/>
          <w:lang w:val="en-US"/>
        </w:rPr>
        <w:t>Following coadministration of dapagliflozin with rifampicin (an inducer of various active transporters and drug-</w:t>
      </w:r>
      <w:proofErr w:type="spellStart"/>
      <w:r w:rsidRPr="00312F3E">
        <w:rPr>
          <w:sz w:val="24"/>
          <w:szCs w:val="24"/>
          <w:lang w:val="en-US"/>
        </w:rPr>
        <w:t>metabolising</w:t>
      </w:r>
      <w:proofErr w:type="spellEnd"/>
      <w:r w:rsidRPr="00312F3E">
        <w:rPr>
          <w:sz w:val="24"/>
          <w:szCs w:val="24"/>
          <w:lang w:val="en-US"/>
        </w:rPr>
        <w:t xml:space="preserve"> enzymes) a 22% decrease in dapagliflozin systemic exposure (AUC) was observed, but with no clinically meaningful effect on 24-hour urinary glucose excretion. No dose adjustment is recommended. A clinically relevant effect with other inducers (e.g. carbamazepine, phenytoin, phenobarbital) is not expected.</w:t>
      </w:r>
    </w:p>
    <w:p w14:paraId="324B4457" w14:textId="77777777" w:rsidR="0029430D" w:rsidRPr="00312F3E" w:rsidRDefault="0029430D" w:rsidP="0029430D">
      <w:pPr>
        <w:ind w:left="851"/>
        <w:rPr>
          <w:sz w:val="24"/>
          <w:szCs w:val="24"/>
          <w:lang w:val="en-US"/>
        </w:rPr>
      </w:pPr>
    </w:p>
    <w:p w14:paraId="0C897FFF" w14:textId="77777777" w:rsidR="0029430D" w:rsidRPr="00312F3E" w:rsidRDefault="0029430D" w:rsidP="0029430D">
      <w:pPr>
        <w:ind w:left="851"/>
        <w:rPr>
          <w:sz w:val="24"/>
          <w:szCs w:val="24"/>
          <w:lang w:val="en-US"/>
        </w:rPr>
      </w:pPr>
      <w:r w:rsidRPr="00312F3E">
        <w:rPr>
          <w:sz w:val="24"/>
          <w:szCs w:val="24"/>
          <w:lang w:val="en-US"/>
        </w:rPr>
        <w:t>Following coadministration of dapagliflozin with mefenamic acid (an inhibitor of UGT1A9), a 55% increase in dapagliflozin systemic exposure was seen, but with no clinically meaningful effect on 24-hour urinary glucose excretion. No dose adjustment is recommended.</w:t>
      </w:r>
    </w:p>
    <w:p w14:paraId="12000A91" w14:textId="77777777" w:rsidR="0029430D" w:rsidRPr="00312F3E" w:rsidRDefault="0029430D" w:rsidP="0029430D">
      <w:pPr>
        <w:ind w:left="851"/>
        <w:rPr>
          <w:sz w:val="24"/>
          <w:szCs w:val="24"/>
          <w:lang w:val="en-US"/>
        </w:rPr>
      </w:pPr>
    </w:p>
    <w:p w14:paraId="26A2279B" w14:textId="77777777" w:rsidR="0029430D" w:rsidRPr="004C0E01" w:rsidRDefault="0029430D" w:rsidP="0029430D">
      <w:pPr>
        <w:ind w:left="851"/>
        <w:rPr>
          <w:sz w:val="24"/>
          <w:szCs w:val="24"/>
          <w:u w:val="single"/>
          <w:lang w:val="en-US"/>
        </w:rPr>
      </w:pPr>
      <w:r w:rsidRPr="004C0E01">
        <w:rPr>
          <w:sz w:val="24"/>
          <w:szCs w:val="24"/>
          <w:u w:val="single"/>
          <w:lang w:val="en-US"/>
        </w:rPr>
        <w:t>Effect of dapagliflozin on other medicinal products</w:t>
      </w:r>
    </w:p>
    <w:p w14:paraId="35D6315D" w14:textId="77777777" w:rsidR="0029430D" w:rsidRPr="00312F3E" w:rsidRDefault="0029430D" w:rsidP="0029430D">
      <w:pPr>
        <w:ind w:left="851"/>
        <w:rPr>
          <w:sz w:val="24"/>
          <w:szCs w:val="24"/>
          <w:lang w:val="en-US"/>
        </w:rPr>
      </w:pPr>
    </w:p>
    <w:p w14:paraId="75307E45" w14:textId="77777777" w:rsidR="0029430D" w:rsidRPr="00312F3E" w:rsidRDefault="0029430D" w:rsidP="0029430D">
      <w:pPr>
        <w:ind w:left="851"/>
        <w:rPr>
          <w:sz w:val="24"/>
          <w:szCs w:val="24"/>
          <w:lang w:val="en-US"/>
        </w:rPr>
      </w:pPr>
      <w:r w:rsidRPr="00312F3E">
        <w:rPr>
          <w:sz w:val="24"/>
          <w:szCs w:val="24"/>
          <w:lang w:val="en-US"/>
        </w:rPr>
        <w:t>Dapagliflozin may increase renal lithium excretion and the blood lithium levels may be decreased. Serum concentration of lithium should be monitored more frequently after dapagliflozin initiation and dose changes. Please refer the patient to the lithium prescribing doctor in order to monitor serum concentration of lithium.</w:t>
      </w:r>
    </w:p>
    <w:p w14:paraId="606913D3" w14:textId="77777777" w:rsidR="0029430D" w:rsidRPr="00312F3E" w:rsidRDefault="0029430D" w:rsidP="0029430D">
      <w:pPr>
        <w:ind w:left="851"/>
        <w:rPr>
          <w:sz w:val="24"/>
          <w:szCs w:val="24"/>
          <w:lang w:val="en-US"/>
        </w:rPr>
      </w:pPr>
    </w:p>
    <w:p w14:paraId="3A2A821C" w14:textId="77777777" w:rsidR="0029430D" w:rsidRPr="00312F3E" w:rsidRDefault="0029430D" w:rsidP="0029430D">
      <w:pPr>
        <w:ind w:left="851"/>
        <w:rPr>
          <w:sz w:val="24"/>
          <w:szCs w:val="24"/>
          <w:lang w:val="en-US"/>
        </w:rPr>
      </w:pPr>
      <w:r w:rsidRPr="00312F3E">
        <w:rPr>
          <w:sz w:val="24"/>
          <w:szCs w:val="24"/>
          <w:lang w:val="en-US"/>
        </w:rPr>
        <w:t>In interaction studies conducted in healthy subjects, using mainly a single-dose design, dapagliflozin did not alter the pharmacokinetics of metformin, pioglitazone, sitagliptin, glimepiride, hydrochlorothiazide, bumetanide, valsartan, digoxin (a P-</w:t>
      </w:r>
      <w:proofErr w:type="spellStart"/>
      <w:r w:rsidRPr="00312F3E">
        <w:rPr>
          <w:sz w:val="24"/>
          <w:szCs w:val="24"/>
          <w:lang w:val="en-US"/>
        </w:rPr>
        <w:t>gp</w:t>
      </w:r>
      <w:proofErr w:type="spellEnd"/>
      <w:r w:rsidRPr="00312F3E">
        <w:rPr>
          <w:sz w:val="24"/>
          <w:szCs w:val="24"/>
          <w:lang w:val="en-US"/>
        </w:rPr>
        <w:t xml:space="preserve"> substrate) or warfarin (S-warfarin, a CYP2C9 substrate), or the anticoagulatory effects of warfarin as measured by INR. Combination of a single dose of dapagliflozin 20 mg and simvastatin (a CYP3A4 substrate) resulted in a 19% increase in AUC of simvastatin and 31% increase in AUC of simvastatin acid. The increase in simvastatin and simvastatin acid exposures are not considered clinically relevant. </w:t>
      </w:r>
    </w:p>
    <w:p w14:paraId="0BCE3AB3" w14:textId="77777777" w:rsidR="0029430D" w:rsidRPr="00312F3E" w:rsidRDefault="0029430D" w:rsidP="0029430D">
      <w:pPr>
        <w:ind w:left="851"/>
        <w:rPr>
          <w:sz w:val="24"/>
          <w:szCs w:val="24"/>
          <w:lang w:val="en-US"/>
        </w:rPr>
      </w:pPr>
    </w:p>
    <w:p w14:paraId="01AEA64B" w14:textId="77777777" w:rsidR="0029430D" w:rsidRPr="004C0E01" w:rsidRDefault="0029430D" w:rsidP="0029430D">
      <w:pPr>
        <w:ind w:left="851"/>
        <w:rPr>
          <w:sz w:val="24"/>
          <w:szCs w:val="24"/>
          <w:u w:val="single"/>
          <w:lang w:val="en-US"/>
        </w:rPr>
      </w:pPr>
      <w:r w:rsidRPr="004C0E01">
        <w:rPr>
          <w:sz w:val="24"/>
          <w:szCs w:val="24"/>
          <w:u w:val="single"/>
          <w:lang w:val="en-US"/>
        </w:rPr>
        <w:t>Interference with 1,5-anhydroglucitol (1,5-AG) assay</w:t>
      </w:r>
    </w:p>
    <w:p w14:paraId="242E46BE" w14:textId="77777777" w:rsidR="0029430D" w:rsidRPr="00312F3E" w:rsidRDefault="0029430D" w:rsidP="0029430D">
      <w:pPr>
        <w:ind w:left="851"/>
        <w:rPr>
          <w:sz w:val="24"/>
          <w:szCs w:val="24"/>
          <w:lang w:val="en-US"/>
        </w:rPr>
      </w:pPr>
    </w:p>
    <w:p w14:paraId="1E5CA30C" w14:textId="77777777" w:rsidR="0029430D" w:rsidRPr="00312F3E" w:rsidRDefault="0029430D" w:rsidP="0029430D">
      <w:pPr>
        <w:ind w:left="851"/>
        <w:rPr>
          <w:sz w:val="24"/>
          <w:szCs w:val="24"/>
          <w:lang w:val="en-US"/>
        </w:rPr>
      </w:pPr>
      <w:r w:rsidRPr="00312F3E">
        <w:rPr>
          <w:sz w:val="24"/>
          <w:szCs w:val="24"/>
          <w:lang w:val="en-US"/>
        </w:rPr>
        <w:t xml:space="preserve">Monitoring </w:t>
      </w:r>
      <w:proofErr w:type="spellStart"/>
      <w:r w:rsidRPr="00312F3E">
        <w:rPr>
          <w:sz w:val="24"/>
          <w:szCs w:val="24"/>
          <w:lang w:val="en-US"/>
        </w:rPr>
        <w:t>glycaemic</w:t>
      </w:r>
      <w:proofErr w:type="spellEnd"/>
      <w:r w:rsidRPr="00312F3E">
        <w:rPr>
          <w:sz w:val="24"/>
          <w:szCs w:val="24"/>
          <w:lang w:val="en-US"/>
        </w:rPr>
        <w:t xml:space="preserve"> control with 1,5-AG assay is not recommended as measurements of 1,5-AG are unreliable in assessing </w:t>
      </w:r>
      <w:proofErr w:type="spellStart"/>
      <w:r w:rsidRPr="00312F3E">
        <w:rPr>
          <w:sz w:val="24"/>
          <w:szCs w:val="24"/>
          <w:lang w:val="en-US"/>
        </w:rPr>
        <w:t>glycaemic</w:t>
      </w:r>
      <w:proofErr w:type="spellEnd"/>
      <w:r w:rsidRPr="00312F3E">
        <w:rPr>
          <w:sz w:val="24"/>
          <w:szCs w:val="24"/>
          <w:lang w:val="en-US"/>
        </w:rPr>
        <w:t xml:space="preserve"> control in patients taking SGLT2 inhibitors. Use of alternative methods to monitor </w:t>
      </w:r>
      <w:proofErr w:type="spellStart"/>
      <w:r w:rsidRPr="00312F3E">
        <w:rPr>
          <w:sz w:val="24"/>
          <w:szCs w:val="24"/>
          <w:lang w:val="en-US"/>
        </w:rPr>
        <w:t>glycaemic</w:t>
      </w:r>
      <w:proofErr w:type="spellEnd"/>
      <w:r w:rsidRPr="00312F3E">
        <w:rPr>
          <w:sz w:val="24"/>
          <w:szCs w:val="24"/>
          <w:lang w:val="en-US"/>
        </w:rPr>
        <w:t xml:space="preserve"> control is advised. </w:t>
      </w:r>
    </w:p>
    <w:p w14:paraId="62E7BA6E" w14:textId="77777777" w:rsidR="0029430D" w:rsidRPr="00312F3E" w:rsidRDefault="0029430D" w:rsidP="0029430D">
      <w:pPr>
        <w:ind w:left="851"/>
        <w:rPr>
          <w:sz w:val="24"/>
          <w:szCs w:val="24"/>
          <w:lang w:val="en-US"/>
        </w:rPr>
      </w:pPr>
    </w:p>
    <w:p w14:paraId="6EE7FB34" w14:textId="77777777" w:rsidR="0029430D" w:rsidRPr="004C0E01" w:rsidRDefault="0029430D" w:rsidP="0029430D">
      <w:pPr>
        <w:ind w:left="851"/>
        <w:rPr>
          <w:sz w:val="24"/>
          <w:szCs w:val="24"/>
          <w:u w:val="single"/>
          <w:lang w:val="en-US"/>
        </w:rPr>
      </w:pPr>
      <w:r w:rsidRPr="004C0E01">
        <w:rPr>
          <w:sz w:val="24"/>
          <w:szCs w:val="24"/>
          <w:u w:val="single"/>
          <w:lang w:val="en-US"/>
        </w:rPr>
        <w:t>Paediatric population</w:t>
      </w:r>
    </w:p>
    <w:p w14:paraId="549CF3A6" w14:textId="77777777" w:rsidR="0029430D" w:rsidRPr="00312F3E" w:rsidRDefault="0029430D" w:rsidP="0029430D">
      <w:pPr>
        <w:ind w:left="851"/>
        <w:rPr>
          <w:sz w:val="24"/>
          <w:szCs w:val="24"/>
          <w:lang w:val="en-US"/>
        </w:rPr>
      </w:pPr>
    </w:p>
    <w:p w14:paraId="243C0797" w14:textId="77777777" w:rsidR="0029430D" w:rsidRPr="00312F3E" w:rsidRDefault="0029430D" w:rsidP="0029430D">
      <w:pPr>
        <w:ind w:left="851"/>
        <w:rPr>
          <w:sz w:val="24"/>
          <w:szCs w:val="24"/>
          <w:lang w:val="en-US"/>
        </w:rPr>
      </w:pPr>
      <w:r w:rsidRPr="00312F3E">
        <w:rPr>
          <w:sz w:val="24"/>
          <w:szCs w:val="24"/>
          <w:lang w:val="en-US"/>
        </w:rPr>
        <w:t>Interaction studies have only been performed in adults.</w:t>
      </w:r>
    </w:p>
    <w:p w14:paraId="6654BADD" w14:textId="26F033CE" w:rsidR="00583F33" w:rsidRDefault="00583F33">
      <w:pPr>
        <w:rPr>
          <w:sz w:val="24"/>
          <w:szCs w:val="24"/>
          <w:lang w:val="en-GB"/>
        </w:rPr>
      </w:pPr>
      <w:r>
        <w:rPr>
          <w:sz w:val="24"/>
          <w:szCs w:val="24"/>
          <w:lang w:val="en-GB"/>
        </w:rPr>
        <w:br w:type="page"/>
      </w:r>
    </w:p>
    <w:p w14:paraId="68003063" w14:textId="77777777" w:rsidR="007C5D2A" w:rsidRPr="00312F3E" w:rsidRDefault="007C5D2A" w:rsidP="003E0341">
      <w:pPr>
        <w:tabs>
          <w:tab w:val="left" w:pos="851"/>
        </w:tabs>
        <w:ind w:left="851"/>
        <w:rPr>
          <w:sz w:val="24"/>
          <w:szCs w:val="24"/>
          <w:lang w:val="en-GB"/>
        </w:rPr>
      </w:pPr>
    </w:p>
    <w:p w14:paraId="5B91A1BA"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4.6</w:t>
      </w:r>
      <w:r w:rsidRPr="00312F3E">
        <w:rPr>
          <w:b/>
          <w:sz w:val="24"/>
          <w:szCs w:val="24"/>
          <w:lang w:val="en-GB"/>
        </w:rPr>
        <w:tab/>
      </w:r>
      <w:r w:rsidR="004860D3" w:rsidRPr="00312F3E">
        <w:rPr>
          <w:b/>
          <w:sz w:val="24"/>
          <w:szCs w:val="24"/>
          <w:lang w:val="en-GB"/>
        </w:rPr>
        <w:t>Fertility, p</w:t>
      </w:r>
      <w:r w:rsidRPr="00312F3E">
        <w:rPr>
          <w:b/>
          <w:sz w:val="24"/>
          <w:szCs w:val="24"/>
          <w:lang w:val="en-GB"/>
        </w:rPr>
        <w:t>regnancy and lactation</w:t>
      </w:r>
    </w:p>
    <w:p w14:paraId="60807DA1" w14:textId="77777777" w:rsidR="004C0E01" w:rsidRDefault="004C0E01" w:rsidP="0029430D">
      <w:pPr>
        <w:ind w:left="851"/>
        <w:rPr>
          <w:noProof/>
          <w:sz w:val="24"/>
          <w:szCs w:val="24"/>
          <w:lang w:val="en-US"/>
        </w:rPr>
      </w:pPr>
    </w:p>
    <w:p w14:paraId="7C8A92F0" w14:textId="451C0F37" w:rsidR="0029430D" w:rsidRPr="004C0E01" w:rsidRDefault="0029430D" w:rsidP="0029430D">
      <w:pPr>
        <w:ind w:left="851"/>
        <w:rPr>
          <w:noProof/>
          <w:sz w:val="24"/>
          <w:szCs w:val="24"/>
          <w:u w:val="single"/>
          <w:lang w:val="en-US"/>
        </w:rPr>
      </w:pPr>
      <w:r w:rsidRPr="004C0E01">
        <w:rPr>
          <w:noProof/>
          <w:sz w:val="24"/>
          <w:szCs w:val="24"/>
          <w:u w:val="single"/>
          <w:lang w:val="en-US"/>
        </w:rPr>
        <w:t>Pregnancy</w:t>
      </w:r>
    </w:p>
    <w:p w14:paraId="6B33FFD0" w14:textId="77777777" w:rsidR="0029430D" w:rsidRPr="00312F3E" w:rsidRDefault="0029430D" w:rsidP="0029430D">
      <w:pPr>
        <w:ind w:left="851"/>
        <w:rPr>
          <w:noProof/>
          <w:sz w:val="24"/>
          <w:szCs w:val="24"/>
          <w:lang w:val="en-US"/>
        </w:rPr>
      </w:pPr>
    </w:p>
    <w:p w14:paraId="44E9CDDE" w14:textId="77777777" w:rsidR="0029430D" w:rsidRPr="00312F3E" w:rsidRDefault="0029430D" w:rsidP="0029430D">
      <w:pPr>
        <w:ind w:left="851"/>
        <w:rPr>
          <w:noProof/>
          <w:sz w:val="24"/>
          <w:szCs w:val="24"/>
          <w:lang w:val="en-US"/>
        </w:rPr>
      </w:pPr>
      <w:r w:rsidRPr="00312F3E">
        <w:rPr>
          <w:noProof/>
          <w:sz w:val="24"/>
          <w:szCs w:val="24"/>
          <w:lang w:val="en-US"/>
        </w:rPr>
        <w:t>There are no data from the use of dapagliflozin in pregnant women. Studies in rats have shown toxicity to the developing kidney in the time period corresponding to the second and third trimesters of human pregnancy (see section 5.3). Therefore, the use of dapagliflozin is not recommended during the second and third trimesters of pregnancy.</w:t>
      </w:r>
    </w:p>
    <w:p w14:paraId="588B8880" w14:textId="77777777" w:rsidR="0029430D" w:rsidRPr="00312F3E" w:rsidRDefault="0029430D" w:rsidP="0029430D">
      <w:pPr>
        <w:ind w:left="851"/>
        <w:rPr>
          <w:noProof/>
          <w:sz w:val="24"/>
          <w:szCs w:val="24"/>
          <w:lang w:val="en-US"/>
        </w:rPr>
      </w:pPr>
    </w:p>
    <w:p w14:paraId="7C0081F2" w14:textId="77777777" w:rsidR="0029430D" w:rsidRPr="00312F3E" w:rsidRDefault="0029430D" w:rsidP="0029430D">
      <w:pPr>
        <w:ind w:left="851"/>
        <w:rPr>
          <w:noProof/>
          <w:sz w:val="24"/>
          <w:szCs w:val="24"/>
          <w:lang w:val="en-US"/>
        </w:rPr>
      </w:pPr>
      <w:r w:rsidRPr="00312F3E">
        <w:rPr>
          <w:noProof/>
          <w:sz w:val="24"/>
          <w:szCs w:val="24"/>
          <w:lang w:val="en-US"/>
        </w:rPr>
        <w:t>When pregnancy is detected, treatment with dapagliflozin should be discontinued.</w:t>
      </w:r>
    </w:p>
    <w:p w14:paraId="3A860CE3" w14:textId="77777777" w:rsidR="0029430D" w:rsidRPr="00312F3E" w:rsidRDefault="0029430D" w:rsidP="0029430D">
      <w:pPr>
        <w:ind w:left="851"/>
        <w:rPr>
          <w:noProof/>
          <w:sz w:val="24"/>
          <w:szCs w:val="24"/>
          <w:lang w:val="en-US"/>
        </w:rPr>
      </w:pPr>
    </w:p>
    <w:p w14:paraId="43A93090" w14:textId="77777777" w:rsidR="0029430D" w:rsidRPr="004C0E01" w:rsidRDefault="0029430D" w:rsidP="0029430D">
      <w:pPr>
        <w:ind w:left="851"/>
        <w:rPr>
          <w:noProof/>
          <w:sz w:val="24"/>
          <w:szCs w:val="24"/>
          <w:u w:val="single"/>
          <w:lang w:val="en-US"/>
        </w:rPr>
      </w:pPr>
      <w:r w:rsidRPr="004C0E01">
        <w:rPr>
          <w:noProof/>
          <w:sz w:val="24"/>
          <w:szCs w:val="24"/>
          <w:u w:val="single"/>
          <w:lang w:val="en-US"/>
        </w:rPr>
        <w:t>Breast-feeding</w:t>
      </w:r>
    </w:p>
    <w:p w14:paraId="4CB8E4D2" w14:textId="77777777" w:rsidR="0029430D" w:rsidRPr="00312F3E" w:rsidRDefault="0029430D" w:rsidP="0029430D">
      <w:pPr>
        <w:ind w:left="851"/>
        <w:rPr>
          <w:noProof/>
          <w:sz w:val="24"/>
          <w:szCs w:val="24"/>
          <w:lang w:val="en-US"/>
        </w:rPr>
      </w:pPr>
    </w:p>
    <w:p w14:paraId="6C2F2454" w14:textId="77777777" w:rsidR="0029430D" w:rsidRPr="00312F3E" w:rsidRDefault="0029430D" w:rsidP="0029430D">
      <w:pPr>
        <w:ind w:left="851"/>
        <w:rPr>
          <w:noProof/>
          <w:sz w:val="24"/>
          <w:szCs w:val="24"/>
          <w:lang w:val="en-US"/>
        </w:rPr>
      </w:pPr>
      <w:r w:rsidRPr="00312F3E">
        <w:rPr>
          <w:noProof/>
          <w:sz w:val="24"/>
          <w:szCs w:val="24"/>
          <w:lang w:val="en-US"/>
        </w:rPr>
        <w:t>It is unknown whether dapagliflozin and/or its metabolites are excreted in human milk. Available pharmacodynamic/toxicological data in animals have shown excretion of dapagliflozin/metabolites in milk, as well as pharmacologically-mediated effects in nursing offspring (see section 5.3). A risk to the newborns/infants cannot be excluded. Dapagliflozin should not be used while breast-feeding.</w:t>
      </w:r>
    </w:p>
    <w:p w14:paraId="679194C3" w14:textId="77777777" w:rsidR="0029430D" w:rsidRPr="00312F3E" w:rsidRDefault="0029430D" w:rsidP="0029430D">
      <w:pPr>
        <w:ind w:left="851"/>
        <w:rPr>
          <w:noProof/>
          <w:sz w:val="24"/>
          <w:szCs w:val="24"/>
          <w:lang w:val="en-US"/>
        </w:rPr>
      </w:pPr>
    </w:p>
    <w:p w14:paraId="5704EC8F" w14:textId="77777777" w:rsidR="0029430D" w:rsidRPr="004C0E01" w:rsidRDefault="0029430D" w:rsidP="0029430D">
      <w:pPr>
        <w:ind w:left="851"/>
        <w:rPr>
          <w:noProof/>
          <w:sz w:val="24"/>
          <w:szCs w:val="24"/>
          <w:u w:val="single"/>
          <w:lang w:val="en-US"/>
        </w:rPr>
      </w:pPr>
      <w:r w:rsidRPr="004C0E01">
        <w:rPr>
          <w:noProof/>
          <w:sz w:val="24"/>
          <w:szCs w:val="24"/>
          <w:u w:val="single"/>
          <w:lang w:val="en-US"/>
        </w:rPr>
        <w:t>Fertility</w:t>
      </w:r>
    </w:p>
    <w:p w14:paraId="72F3FD1E" w14:textId="77777777" w:rsidR="0029430D" w:rsidRPr="00312F3E" w:rsidRDefault="0029430D" w:rsidP="0029430D">
      <w:pPr>
        <w:ind w:left="851"/>
        <w:rPr>
          <w:noProof/>
          <w:sz w:val="24"/>
          <w:szCs w:val="24"/>
          <w:lang w:val="en-US"/>
        </w:rPr>
      </w:pPr>
    </w:p>
    <w:p w14:paraId="15425991" w14:textId="77777777" w:rsidR="0029430D" w:rsidRPr="00312F3E" w:rsidRDefault="0029430D" w:rsidP="0029430D">
      <w:pPr>
        <w:ind w:left="851"/>
        <w:rPr>
          <w:noProof/>
          <w:sz w:val="24"/>
          <w:szCs w:val="24"/>
          <w:lang w:val="en-US"/>
        </w:rPr>
      </w:pPr>
      <w:r w:rsidRPr="00312F3E">
        <w:rPr>
          <w:noProof/>
          <w:sz w:val="24"/>
          <w:szCs w:val="24"/>
          <w:lang w:val="en-US"/>
        </w:rPr>
        <w:t>The effect of dapagliflozin on fertility in humans has not been studied. In male and female rats, dapagliflozin showed no effects on fertility at any dose tested.</w:t>
      </w:r>
    </w:p>
    <w:p w14:paraId="0C97EB90" w14:textId="77777777" w:rsidR="007C5D2A" w:rsidRPr="00312F3E" w:rsidRDefault="007C5D2A" w:rsidP="003E0341">
      <w:pPr>
        <w:tabs>
          <w:tab w:val="left" w:pos="851"/>
        </w:tabs>
        <w:ind w:left="851"/>
        <w:rPr>
          <w:sz w:val="24"/>
          <w:szCs w:val="24"/>
          <w:lang w:val="en-GB"/>
        </w:rPr>
      </w:pPr>
    </w:p>
    <w:p w14:paraId="3B349E19"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4.7</w:t>
      </w:r>
      <w:r w:rsidRPr="00312F3E">
        <w:rPr>
          <w:b/>
          <w:sz w:val="24"/>
          <w:szCs w:val="24"/>
          <w:lang w:val="en-GB"/>
        </w:rPr>
        <w:tab/>
        <w:t>Effects on ability to drive and use machines</w:t>
      </w:r>
    </w:p>
    <w:p w14:paraId="1E4CFCEF" w14:textId="77777777" w:rsidR="004C0E01" w:rsidRDefault="004C0E01" w:rsidP="0029430D">
      <w:pPr>
        <w:ind w:left="851"/>
        <w:rPr>
          <w:sz w:val="24"/>
          <w:szCs w:val="24"/>
          <w:lang w:val="en-GB"/>
        </w:rPr>
      </w:pPr>
      <w:r>
        <w:rPr>
          <w:sz w:val="24"/>
          <w:szCs w:val="24"/>
          <w:lang w:val="en-GB"/>
        </w:rPr>
        <w:t>No traffic warning.</w:t>
      </w:r>
    </w:p>
    <w:p w14:paraId="66B6729C" w14:textId="54E6335B" w:rsidR="0029430D" w:rsidRPr="00312F3E" w:rsidRDefault="00312F3E" w:rsidP="0029430D">
      <w:pPr>
        <w:ind w:left="851"/>
        <w:rPr>
          <w:sz w:val="24"/>
          <w:szCs w:val="24"/>
          <w:lang w:val="en-US"/>
        </w:rPr>
      </w:pPr>
      <w:proofErr w:type="spellStart"/>
      <w:r>
        <w:rPr>
          <w:sz w:val="24"/>
          <w:szCs w:val="24"/>
          <w:lang w:val="en-US"/>
        </w:rPr>
        <w:t>Dofliga</w:t>
      </w:r>
      <w:proofErr w:type="spellEnd"/>
      <w:r w:rsidR="0029430D" w:rsidRPr="00312F3E">
        <w:rPr>
          <w:sz w:val="24"/>
          <w:szCs w:val="24"/>
          <w:lang w:val="en-US"/>
        </w:rPr>
        <w:t xml:space="preserve"> has no or negligible influence on the ability to drive and use machines. Patients should be alerted to the risk of </w:t>
      </w:r>
      <w:proofErr w:type="spellStart"/>
      <w:r w:rsidR="0029430D" w:rsidRPr="00312F3E">
        <w:rPr>
          <w:sz w:val="24"/>
          <w:szCs w:val="24"/>
          <w:lang w:val="en-US"/>
        </w:rPr>
        <w:t>hypoglycaemia</w:t>
      </w:r>
      <w:proofErr w:type="spellEnd"/>
      <w:r w:rsidR="0029430D" w:rsidRPr="00312F3E">
        <w:rPr>
          <w:sz w:val="24"/>
          <w:szCs w:val="24"/>
          <w:lang w:val="en-US"/>
        </w:rPr>
        <w:t xml:space="preserve"> when dapagliflozin is used in combination with a </w:t>
      </w:r>
      <w:proofErr w:type="spellStart"/>
      <w:r w:rsidR="0029430D" w:rsidRPr="00312F3E">
        <w:rPr>
          <w:sz w:val="24"/>
          <w:szCs w:val="24"/>
          <w:lang w:val="en-US"/>
        </w:rPr>
        <w:t>sulphonylurea</w:t>
      </w:r>
      <w:proofErr w:type="spellEnd"/>
      <w:r w:rsidR="0029430D" w:rsidRPr="00312F3E">
        <w:rPr>
          <w:sz w:val="24"/>
          <w:szCs w:val="24"/>
          <w:lang w:val="en-US"/>
        </w:rPr>
        <w:t xml:space="preserve"> or insulin.</w:t>
      </w:r>
    </w:p>
    <w:p w14:paraId="1C1CA829" w14:textId="77777777" w:rsidR="007C5D2A" w:rsidRPr="00312F3E" w:rsidRDefault="007C5D2A" w:rsidP="003E0341">
      <w:pPr>
        <w:tabs>
          <w:tab w:val="left" w:pos="851"/>
        </w:tabs>
        <w:ind w:left="851"/>
        <w:rPr>
          <w:sz w:val="24"/>
          <w:szCs w:val="24"/>
          <w:lang w:val="en-GB"/>
        </w:rPr>
      </w:pPr>
    </w:p>
    <w:p w14:paraId="126BF61A"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4.8</w:t>
      </w:r>
      <w:r w:rsidRPr="00312F3E">
        <w:rPr>
          <w:b/>
          <w:sz w:val="24"/>
          <w:szCs w:val="24"/>
          <w:lang w:val="en-GB"/>
        </w:rPr>
        <w:tab/>
        <w:t>Undesirable effects</w:t>
      </w:r>
    </w:p>
    <w:p w14:paraId="5332F2A1" w14:textId="77777777" w:rsidR="004C0E01" w:rsidRDefault="004C0E01" w:rsidP="0029430D">
      <w:pPr>
        <w:ind w:left="851"/>
        <w:rPr>
          <w:sz w:val="24"/>
          <w:szCs w:val="24"/>
          <w:lang w:val="en-US"/>
        </w:rPr>
      </w:pPr>
    </w:p>
    <w:p w14:paraId="194458F1" w14:textId="0A900C42" w:rsidR="0029430D" w:rsidRPr="004C0E01" w:rsidRDefault="0029430D" w:rsidP="0029430D">
      <w:pPr>
        <w:ind w:left="851"/>
        <w:rPr>
          <w:sz w:val="24"/>
          <w:szCs w:val="24"/>
          <w:u w:val="single"/>
          <w:lang w:val="en-US"/>
        </w:rPr>
      </w:pPr>
      <w:r w:rsidRPr="004C0E01">
        <w:rPr>
          <w:sz w:val="24"/>
          <w:szCs w:val="24"/>
          <w:u w:val="single"/>
          <w:lang w:val="en-US"/>
        </w:rPr>
        <w:t>Summary of the safety profile</w:t>
      </w:r>
    </w:p>
    <w:p w14:paraId="6E14C62D" w14:textId="77777777" w:rsidR="0029430D" w:rsidRPr="00312F3E" w:rsidRDefault="0029430D" w:rsidP="0029430D">
      <w:pPr>
        <w:ind w:left="851"/>
        <w:rPr>
          <w:sz w:val="24"/>
          <w:szCs w:val="24"/>
          <w:lang w:val="en-US"/>
        </w:rPr>
      </w:pPr>
    </w:p>
    <w:p w14:paraId="2E03A821" w14:textId="77777777" w:rsidR="0029430D" w:rsidRPr="004C0E01" w:rsidRDefault="0029430D" w:rsidP="0029430D">
      <w:pPr>
        <w:ind w:left="851"/>
        <w:rPr>
          <w:i/>
          <w:iCs/>
          <w:sz w:val="24"/>
          <w:szCs w:val="24"/>
          <w:u w:val="single"/>
          <w:lang w:val="en-US"/>
        </w:rPr>
      </w:pPr>
      <w:r w:rsidRPr="004C0E01">
        <w:rPr>
          <w:i/>
          <w:iCs/>
          <w:sz w:val="24"/>
          <w:szCs w:val="24"/>
          <w:u w:val="single"/>
          <w:lang w:val="en-US"/>
        </w:rPr>
        <w:t>Type 2 diabetes mellitus</w:t>
      </w:r>
    </w:p>
    <w:p w14:paraId="5D55D686" w14:textId="77777777" w:rsidR="0029430D" w:rsidRPr="00312F3E" w:rsidRDefault="0029430D" w:rsidP="0029430D">
      <w:pPr>
        <w:ind w:left="851"/>
        <w:rPr>
          <w:sz w:val="24"/>
          <w:szCs w:val="24"/>
          <w:lang w:val="en-US"/>
        </w:rPr>
      </w:pPr>
      <w:r w:rsidRPr="00312F3E">
        <w:rPr>
          <w:sz w:val="24"/>
          <w:szCs w:val="24"/>
          <w:lang w:val="en-US"/>
        </w:rPr>
        <w:t>In the clinical studies in type 2 diabetes, more than 15,000 patients have been treated with dapagliflozin.</w:t>
      </w:r>
    </w:p>
    <w:p w14:paraId="4113B908" w14:textId="77777777" w:rsidR="0029430D" w:rsidRPr="00312F3E" w:rsidRDefault="0029430D" w:rsidP="0029430D">
      <w:pPr>
        <w:ind w:left="851"/>
        <w:rPr>
          <w:sz w:val="24"/>
          <w:szCs w:val="24"/>
          <w:lang w:val="en-US"/>
        </w:rPr>
      </w:pPr>
    </w:p>
    <w:p w14:paraId="2CAE4664" w14:textId="77777777" w:rsidR="0029430D" w:rsidRPr="00312F3E" w:rsidRDefault="0029430D" w:rsidP="0029430D">
      <w:pPr>
        <w:ind w:left="851"/>
        <w:rPr>
          <w:sz w:val="24"/>
          <w:szCs w:val="24"/>
          <w:lang w:val="en-US"/>
        </w:rPr>
      </w:pPr>
      <w:r w:rsidRPr="00312F3E">
        <w:rPr>
          <w:sz w:val="24"/>
          <w:szCs w:val="24"/>
          <w:lang w:val="en-US"/>
        </w:rPr>
        <w:t>The primary assessment of safety and tolerability was conducted in a pre-specified pooled analysis of 13 short-term (up to 24 weeks) placebo-controlled studies with 2,360 subjects treated with dapagliflozin 10 mg and 2,295 treated with placebo.</w:t>
      </w:r>
    </w:p>
    <w:p w14:paraId="34CF460B" w14:textId="77777777" w:rsidR="0029430D" w:rsidRPr="00312F3E" w:rsidRDefault="0029430D" w:rsidP="0029430D">
      <w:pPr>
        <w:ind w:left="851"/>
        <w:rPr>
          <w:sz w:val="24"/>
          <w:szCs w:val="24"/>
          <w:lang w:val="en-US"/>
        </w:rPr>
      </w:pPr>
    </w:p>
    <w:p w14:paraId="0EBED410" w14:textId="77777777" w:rsidR="0029430D" w:rsidRPr="00312F3E" w:rsidRDefault="0029430D" w:rsidP="0029430D">
      <w:pPr>
        <w:ind w:left="851"/>
        <w:rPr>
          <w:sz w:val="24"/>
          <w:szCs w:val="24"/>
          <w:lang w:val="en-US"/>
        </w:rPr>
      </w:pPr>
      <w:r w:rsidRPr="00312F3E">
        <w:rPr>
          <w:sz w:val="24"/>
          <w:szCs w:val="24"/>
          <w:lang w:val="en-US"/>
        </w:rPr>
        <w:t>In the dapagliflozin cardiovascular outcomes study in type 2 diabetes mellitus (DECLARE study, see section 5.1), 8,574 patients received dapagliflozin 10 mg and 8,569 received placebo for a median exposure time of 48 months. In total, there were 30,623 patient-years of exposure to dapagliflozin.</w:t>
      </w:r>
    </w:p>
    <w:p w14:paraId="49DA28E7" w14:textId="77777777" w:rsidR="0029430D" w:rsidRPr="00312F3E" w:rsidRDefault="0029430D" w:rsidP="0029430D">
      <w:pPr>
        <w:ind w:left="851"/>
        <w:rPr>
          <w:sz w:val="24"/>
          <w:szCs w:val="24"/>
          <w:lang w:val="en-US"/>
        </w:rPr>
      </w:pPr>
    </w:p>
    <w:p w14:paraId="515FFD82" w14:textId="77777777" w:rsidR="0029430D" w:rsidRPr="00312F3E" w:rsidRDefault="0029430D" w:rsidP="0029430D">
      <w:pPr>
        <w:ind w:left="851"/>
        <w:rPr>
          <w:sz w:val="24"/>
          <w:szCs w:val="24"/>
          <w:lang w:val="en-US"/>
        </w:rPr>
      </w:pPr>
      <w:r w:rsidRPr="00312F3E">
        <w:rPr>
          <w:sz w:val="24"/>
          <w:szCs w:val="24"/>
          <w:lang w:val="en-US"/>
        </w:rPr>
        <w:t xml:space="preserve">The most frequently reported adverse reactions across the clinical studies were genital infections. </w:t>
      </w:r>
    </w:p>
    <w:p w14:paraId="6A8D4B07" w14:textId="77777777" w:rsidR="0029430D" w:rsidRPr="00312F3E" w:rsidRDefault="0029430D" w:rsidP="0029430D">
      <w:pPr>
        <w:ind w:left="851"/>
        <w:rPr>
          <w:sz w:val="24"/>
          <w:szCs w:val="24"/>
          <w:lang w:val="en-US"/>
        </w:rPr>
      </w:pPr>
    </w:p>
    <w:p w14:paraId="49842D79" w14:textId="77777777" w:rsidR="0029430D" w:rsidRPr="004C0E01" w:rsidRDefault="0029430D" w:rsidP="0029430D">
      <w:pPr>
        <w:ind w:left="851"/>
        <w:rPr>
          <w:i/>
          <w:iCs/>
          <w:sz w:val="24"/>
          <w:szCs w:val="24"/>
          <w:u w:val="single"/>
          <w:lang w:val="en-US"/>
        </w:rPr>
      </w:pPr>
      <w:r w:rsidRPr="004C0E01">
        <w:rPr>
          <w:i/>
          <w:iCs/>
          <w:sz w:val="24"/>
          <w:szCs w:val="24"/>
          <w:u w:val="single"/>
          <w:lang w:val="en-US"/>
        </w:rPr>
        <w:t>Heart failure</w:t>
      </w:r>
    </w:p>
    <w:p w14:paraId="6ED1644E" w14:textId="4C777B6B" w:rsidR="0029430D" w:rsidRPr="00312F3E" w:rsidRDefault="0029430D" w:rsidP="0029430D">
      <w:pPr>
        <w:ind w:left="851"/>
        <w:rPr>
          <w:sz w:val="24"/>
          <w:szCs w:val="24"/>
          <w:lang w:val="en-US"/>
        </w:rPr>
      </w:pPr>
      <w:r w:rsidRPr="00312F3E">
        <w:rPr>
          <w:sz w:val="24"/>
          <w:szCs w:val="24"/>
          <w:lang w:val="en-US"/>
        </w:rPr>
        <w:t>In the dapagliflozin cardiovascular outcome study in patients with heart failure with reduced ejection fraction (DAPA-HF study), 2,368 patients were treated with dapagliflozin 10 mg and 2,368 patients with placebo for a median exposure time of 18 months. The patient population included patients with type 2 diabetes mellitus and without diabetes, and patients with eGFR ≥ 30 mL/min/1.73 m</w:t>
      </w:r>
      <w:r w:rsidRPr="00312F3E">
        <w:rPr>
          <w:sz w:val="24"/>
          <w:szCs w:val="24"/>
          <w:vertAlign w:val="superscript"/>
          <w:lang w:val="en-US"/>
        </w:rPr>
        <w:t>2</w:t>
      </w:r>
      <w:r w:rsidRPr="00312F3E">
        <w:rPr>
          <w:sz w:val="24"/>
          <w:szCs w:val="24"/>
          <w:lang w:val="en-US"/>
        </w:rPr>
        <w:t>. In the dapagliflozin cardiovascular outcome study in patients with heart failure with left ventricular ejection fraction &gt; 40% (DELIVER), 3,126 patients were treated with dapagliflozin 10 mg and 3,127 patients with placebo for a median exposure time of 27 months. The patient population included patients with type 2 diabetes mellitus and without diabetes, and patients with eGFR ≥</w:t>
      </w:r>
      <w:r w:rsidR="004C0E01">
        <w:rPr>
          <w:sz w:val="24"/>
          <w:szCs w:val="24"/>
          <w:lang w:val="en-US"/>
        </w:rPr>
        <w:t> </w:t>
      </w:r>
      <w:r w:rsidRPr="00312F3E">
        <w:rPr>
          <w:sz w:val="24"/>
          <w:szCs w:val="24"/>
          <w:lang w:val="en-US"/>
        </w:rPr>
        <w:t>25</w:t>
      </w:r>
      <w:r w:rsidR="004C0E01">
        <w:rPr>
          <w:sz w:val="24"/>
          <w:szCs w:val="24"/>
          <w:lang w:val="en-US"/>
        </w:rPr>
        <w:t> </w:t>
      </w:r>
      <w:r w:rsidRPr="00312F3E">
        <w:rPr>
          <w:sz w:val="24"/>
          <w:szCs w:val="24"/>
          <w:lang w:val="en-US"/>
        </w:rPr>
        <w:t>mL/min/1.73 m</w:t>
      </w:r>
      <w:r w:rsidRPr="00312F3E">
        <w:rPr>
          <w:sz w:val="24"/>
          <w:szCs w:val="24"/>
          <w:vertAlign w:val="superscript"/>
          <w:lang w:val="en-US"/>
        </w:rPr>
        <w:t>2</w:t>
      </w:r>
      <w:r w:rsidRPr="00312F3E">
        <w:rPr>
          <w:sz w:val="24"/>
          <w:szCs w:val="24"/>
          <w:lang w:val="en-US"/>
        </w:rPr>
        <w:t>.</w:t>
      </w:r>
    </w:p>
    <w:p w14:paraId="7201ED02" w14:textId="77777777" w:rsidR="0029430D" w:rsidRPr="00312F3E" w:rsidRDefault="0029430D" w:rsidP="0029430D">
      <w:pPr>
        <w:ind w:left="851"/>
        <w:rPr>
          <w:sz w:val="24"/>
          <w:szCs w:val="24"/>
          <w:lang w:val="en-US"/>
        </w:rPr>
      </w:pPr>
    </w:p>
    <w:p w14:paraId="4EEE5C7D" w14:textId="77777777" w:rsidR="0029430D" w:rsidRPr="00312F3E" w:rsidRDefault="0029430D" w:rsidP="0029430D">
      <w:pPr>
        <w:ind w:left="851"/>
        <w:rPr>
          <w:sz w:val="24"/>
          <w:szCs w:val="24"/>
          <w:lang w:val="en-US"/>
        </w:rPr>
      </w:pPr>
      <w:r w:rsidRPr="00312F3E">
        <w:rPr>
          <w:sz w:val="24"/>
          <w:szCs w:val="24"/>
          <w:lang w:val="en-US"/>
        </w:rPr>
        <w:t>The overall safety profile of dapagliflozin in patients with heart failure was consistent with the known safety profile of dapagliflozin.</w:t>
      </w:r>
    </w:p>
    <w:p w14:paraId="295EFD81" w14:textId="77777777" w:rsidR="0029430D" w:rsidRPr="00312F3E" w:rsidRDefault="0029430D" w:rsidP="0029430D">
      <w:pPr>
        <w:ind w:left="851"/>
        <w:rPr>
          <w:sz w:val="24"/>
          <w:szCs w:val="24"/>
          <w:lang w:val="en-US"/>
        </w:rPr>
      </w:pPr>
    </w:p>
    <w:p w14:paraId="3C300C64" w14:textId="77777777" w:rsidR="0029430D" w:rsidRPr="004C0E01" w:rsidRDefault="0029430D" w:rsidP="0029430D">
      <w:pPr>
        <w:ind w:left="851"/>
        <w:rPr>
          <w:i/>
          <w:iCs/>
          <w:sz w:val="24"/>
          <w:szCs w:val="24"/>
          <w:u w:val="single"/>
          <w:lang w:val="en-US"/>
        </w:rPr>
      </w:pPr>
      <w:r w:rsidRPr="004C0E01">
        <w:rPr>
          <w:i/>
          <w:iCs/>
          <w:sz w:val="24"/>
          <w:szCs w:val="24"/>
          <w:u w:val="single"/>
          <w:lang w:val="en-US"/>
        </w:rPr>
        <w:t>Chronic kidney disease</w:t>
      </w:r>
    </w:p>
    <w:p w14:paraId="1A581998" w14:textId="1E630E60" w:rsidR="0029430D" w:rsidRPr="00312F3E" w:rsidRDefault="0029430D" w:rsidP="0029430D">
      <w:pPr>
        <w:ind w:left="851"/>
        <w:rPr>
          <w:sz w:val="24"/>
          <w:szCs w:val="24"/>
          <w:lang w:val="en-US"/>
        </w:rPr>
      </w:pPr>
      <w:r w:rsidRPr="00312F3E">
        <w:rPr>
          <w:sz w:val="24"/>
          <w:szCs w:val="24"/>
          <w:lang w:val="en-US"/>
        </w:rPr>
        <w:t>In the dapagliflozin renal outcome study in patients with chronic kidney disease (DAPA-CKD), 2,149 patients were treated with dapagliflozin 10 mg and 2,149 patients with placebo for a median exposure time of 27 months. The patient population included patients with type 2 diabetes mellitus and without diabetes, with eGFR ≥ 25 to ≤</w:t>
      </w:r>
      <w:r w:rsidR="004C0E01">
        <w:rPr>
          <w:sz w:val="24"/>
          <w:szCs w:val="24"/>
          <w:lang w:val="en-US"/>
        </w:rPr>
        <w:t> </w:t>
      </w:r>
      <w:r w:rsidRPr="00312F3E">
        <w:rPr>
          <w:sz w:val="24"/>
          <w:szCs w:val="24"/>
          <w:lang w:val="en-US"/>
        </w:rPr>
        <w:t>75</w:t>
      </w:r>
      <w:r w:rsidR="004C0E01">
        <w:rPr>
          <w:sz w:val="24"/>
          <w:szCs w:val="24"/>
          <w:lang w:val="en-US"/>
        </w:rPr>
        <w:t> </w:t>
      </w:r>
      <w:r w:rsidRPr="00312F3E">
        <w:rPr>
          <w:sz w:val="24"/>
          <w:szCs w:val="24"/>
          <w:lang w:val="en-US"/>
        </w:rPr>
        <w:t>mL/min/1.73</w:t>
      </w:r>
      <w:r w:rsidR="004C0E01">
        <w:rPr>
          <w:sz w:val="24"/>
          <w:szCs w:val="24"/>
          <w:lang w:val="en-US"/>
        </w:rPr>
        <w:t> </w:t>
      </w:r>
      <w:r w:rsidRPr="00312F3E">
        <w:rPr>
          <w:sz w:val="24"/>
          <w:szCs w:val="24"/>
          <w:lang w:val="en-US"/>
        </w:rPr>
        <w:t>m</w:t>
      </w:r>
      <w:r w:rsidRPr="00312F3E">
        <w:rPr>
          <w:sz w:val="24"/>
          <w:szCs w:val="24"/>
          <w:vertAlign w:val="superscript"/>
          <w:lang w:val="en-US"/>
        </w:rPr>
        <w:t>2</w:t>
      </w:r>
      <w:r w:rsidRPr="00312F3E">
        <w:rPr>
          <w:sz w:val="24"/>
          <w:szCs w:val="24"/>
          <w:lang w:val="en-US"/>
        </w:rPr>
        <w:t>, and albuminuria (urine albumin creatinine ratio [UACR] ≥ 200 and ≤ 5000 mg/g). Treatment was continued if eGFR fell to levels below 25 mL/min/1.73 m</w:t>
      </w:r>
      <w:r w:rsidRPr="00312F3E">
        <w:rPr>
          <w:sz w:val="24"/>
          <w:szCs w:val="24"/>
          <w:vertAlign w:val="superscript"/>
          <w:lang w:val="en-US"/>
        </w:rPr>
        <w:t>2</w:t>
      </w:r>
      <w:r w:rsidRPr="00312F3E">
        <w:rPr>
          <w:sz w:val="24"/>
          <w:szCs w:val="24"/>
          <w:lang w:val="en-US"/>
        </w:rPr>
        <w:t>.</w:t>
      </w:r>
    </w:p>
    <w:p w14:paraId="40DA97B6" w14:textId="77777777" w:rsidR="0029430D" w:rsidRPr="00312F3E" w:rsidRDefault="0029430D" w:rsidP="0029430D">
      <w:pPr>
        <w:ind w:left="851"/>
        <w:rPr>
          <w:sz w:val="24"/>
          <w:szCs w:val="24"/>
          <w:lang w:val="en-US"/>
        </w:rPr>
      </w:pPr>
    </w:p>
    <w:p w14:paraId="1CFB0380" w14:textId="77777777" w:rsidR="0029430D" w:rsidRPr="00312F3E" w:rsidRDefault="0029430D" w:rsidP="0029430D">
      <w:pPr>
        <w:ind w:left="851"/>
        <w:rPr>
          <w:sz w:val="24"/>
          <w:szCs w:val="24"/>
          <w:lang w:val="en-US"/>
        </w:rPr>
      </w:pPr>
      <w:r w:rsidRPr="00312F3E">
        <w:rPr>
          <w:sz w:val="24"/>
          <w:szCs w:val="24"/>
          <w:lang w:val="en-US"/>
        </w:rPr>
        <w:t>The overall safety profile of dapagliflozin in patients with chronic kidney disease was consistent with the known safety profile of dapagliflozin.</w:t>
      </w:r>
    </w:p>
    <w:p w14:paraId="64C20BEE" w14:textId="77777777" w:rsidR="0029430D" w:rsidRPr="00312F3E" w:rsidRDefault="0029430D" w:rsidP="0029430D">
      <w:pPr>
        <w:ind w:left="851"/>
        <w:rPr>
          <w:sz w:val="24"/>
          <w:szCs w:val="24"/>
          <w:lang w:val="en-US"/>
        </w:rPr>
      </w:pPr>
    </w:p>
    <w:p w14:paraId="03509FC7" w14:textId="77777777" w:rsidR="0029430D" w:rsidRPr="004C0E01" w:rsidRDefault="0029430D" w:rsidP="0029430D">
      <w:pPr>
        <w:ind w:left="851"/>
        <w:rPr>
          <w:sz w:val="24"/>
          <w:szCs w:val="24"/>
          <w:u w:val="single"/>
          <w:lang w:val="en-US"/>
        </w:rPr>
      </w:pPr>
      <w:r w:rsidRPr="004C0E01">
        <w:rPr>
          <w:sz w:val="24"/>
          <w:szCs w:val="24"/>
          <w:u w:val="single"/>
          <w:lang w:val="en-US"/>
        </w:rPr>
        <w:t>Tabulated list of adverse reactions</w:t>
      </w:r>
    </w:p>
    <w:p w14:paraId="470E4180" w14:textId="77777777" w:rsidR="0029430D" w:rsidRPr="00312F3E" w:rsidRDefault="0029430D" w:rsidP="0029430D">
      <w:pPr>
        <w:ind w:left="851"/>
        <w:rPr>
          <w:sz w:val="24"/>
          <w:szCs w:val="24"/>
          <w:lang w:val="en-US"/>
        </w:rPr>
      </w:pPr>
    </w:p>
    <w:p w14:paraId="08F3ABCA" w14:textId="69FAB73A" w:rsidR="0029430D" w:rsidRPr="00312F3E" w:rsidRDefault="0029430D" w:rsidP="0029430D">
      <w:pPr>
        <w:ind w:left="851"/>
        <w:rPr>
          <w:sz w:val="24"/>
          <w:szCs w:val="24"/>
          <w:lang w:val="en-US"/>
        </w:rPr>
      </w:pPr>
      <w:r w:rsidRPr="00312F3E">
        <w:rPr>
          <w:sz w:val="24"/>
          <w:szCs w:val="24"/>
          <w:lang w:val="en-US"/>
        </w:rPr>
        <w:t xml:space="preserve">The following adverse reactions have been identified in the placebo-controlled clinical studies and </w:t>
      </w:r>
      <w:proofErr w:type="spellStart"/>
      <w:r w:rsidRPr="00312F3E">
        <w:rPr>
          <w:sz w:val="24"/>
          <w:szCs w:val="24"/>
          <w:lang w:val="en-US"/>
        </w:rPr>
        <w:t>postmarketing</w:t>
      </w:r>
      <w:proofErr w:type="spellEnd"/>
      <w:r w:rsidRPr="00312F3E">
        <w:rPr>
          <w:sz w:val="24"/>
          <w:szCs w:val="24"/>
          <w:lang w:val="en-US"/>
        </w:rPr>
        <w:t xml:space="preserve"> surveillance. None were found to be dose-related. Adverse reactions listed below are classified according to frequency and system organ class (SOC). Frequency categories are defined according to the following convention: very common (≥</w:t>
      </w:r>
      <w:r w:rsidR="004C0E01">
        <w:rPr>
          <w:sz w:val="24"/>
          <w:szCs w:val="24"/>
          <w:lang w:val="en-US"/>
        </w:rPr>
        <w:t> </w:t>
      </w:r>
      <w:r w:rsidRPr="00312F3E">
        <w:rPr>
          <w:sz w:val="24"/>
          <w:szCs w:val="24"/>
          <w:lang w:val="en-US"/>
        </w:rPr>
        <w:t>1/10), common (≥ 1/100 to &lt; 1/10), uncommon (≥ 1/1,000 to &lt; 1/100), rare (≥ 1/10,000 to &lt; 1/1,000), very rare (&lt; 1/10,000), and not known (cannot be estimated from the available data).</w:t>
      </w:r>
    </w:p>
    <w:p w14:paraId="07121829" w14:textId="77777777" w:rsidR="0029430D" w:rsidRPr="00312F3E" w:rsidRDefault="0029430D" w:rsidP="0029430D">
      <w:pPr>
        <w:ind w:left="851"/>
        <w:rPr>
          <w:sz w:val="24"/>
          <w:szCs w:val="24"/>
          <w:lang w:val="en-US"/>
        </w:rPr>
      </w:pPr>
    </w:p>
    <w:p w14:paraId="5C35A413" w14:textId="77777777" w:rsidR="0029430D" w:rsidRPr="00312F3E" w:rsidRDefault="0029430D" w:rsidP="0029430D">
      <w:pPr>
        <w:keepNext/>
        <w:rPr>
          <w:sz w:val="24"/>
          <w:szCs w:val="24"/>
          <w:lang w:val="en-US"/>
        </w:rPr>
      </w:pPr>
      <w:r w:rsidRPr="00312F3E">
        <w:rPr>
          <w:b/>
          <w:bCs/>
          <w:sz w:val="24"/>
          <w:szCs w:val="24"/>
          <w:lang w:val="en-US"/>
        </w:rPr>
        <w:t xml:space="preserve">Table 1. Adverse reactions in placebo-controlled clinical </w:t>
      </w:r>
      <w:proofErr w:type="spellStart"/>
      <w:r w:rsidRPr="00312F3E">
        <w:rPr>
          <w:b/>
          <w:bCs/>
          <w:sz w:val="24"/>
          <w:szCs w:val="24"/>
          <w:lang w:val="en-US"/>
        </w:rPr>
        <w:t>studies</w:t>
      </w:r>
      <w:r w:rsidRPr="00312F3E">
        <w:rPr>
          <w:b/>
          <w:bCs/>
          <w:sz w:val="24"/>
          <w:szCs w:val="24"/>
          <w:vertAlign w:val="superscript"/>
          <w:lang w:val="en-US"/>
        </w:rPr>
        <w:t>a</w:t>
      </w:r>
      <w:proofErr w:type="spellEnd"/>
      <w:r w:rsidRPr="00312F3E">
        <w:rPr>
          <w:b/>
          <w:bCs/>
          <w:sz w:val="24"/>
          <w:szCs w:val="24"/>
          <w:vertAlign w:val="superscript"/>
          <w:lang w:val="en-US"/>
        </w:rPr>
        <w:t xml:space="preserve"> </w:t>
      </w:r>
      <w:r w:rsidRPr="00312F3E">
        <w:rPr>
          <w:b/>
          <w:bCs/>
          <w:sz w:val="24"/>
          <w:szCs w:val="24"/>
          <w:lang w:val="en-US"/>
        </w:rPr>
        <w:t xml:space="preserve">and </w:t>
      </w:r>
      <w:proofErr w:type="spellStart"/>
      <w:r w:rsidRPr="00312F3E">
        <w:rPr>
          <w:b/>
          <w:bCs/>
          <w:sz w:val="24"/>
          <w:szCs w:val="24"/>
          <w:lang w:val="en-US"/>
        </w:rPr>
        <w:t>postmarketing</w:t>
      </w:r>
      <w:proofErr w:type="spellEnd"/>
      <w:r w:rsidRPr="00312F3E">
        <w:rPr>
          <w:b/>
          <w:bCs/>
          <w:sz w:val="24"/>
          <w:szCs w:val="24"/>
          <w:lang w:val="en-US"/>
        </w:rPr>
        <w:t xml:space="preserve"> experience</w:t>
      </w:r>
    </w:p>
    <w:tbl>
      <w:tblPr>
        <w:tblW w:w="5000" w:type="pct"/>
        <w:tblLook w:val="04A0" w:firstRow="1" w:lastRow="0" w:firstColumn="1" w:lastColumn="0" w:noHBand="0" w:noVBand="1"/>
      </w:tblPr>
      <w:tblGrid>
        <w:gridCol w:w="1663"/>
        <w:gridCol w:w="1641"/>
        <w:gridCol w:w="1612"/>
        <w:gridCol w:w="1540"/>
        <w:gridCol w:w="1329"/>
        <w:gridCol w:w="1843"/>
      </w:tblGrid>
      <w:tr w:rsidR="0029430D" w:rsidRPr="004C0E01" w14:paraId="5701CD00"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10E45C2D" w14:textId="77777777" w:rsidR="0029430D" w:rsidRPr="004C0E01" w:rsidRDefault="0029430D">
            <w:pPr>
              <w:tabs>
                <w:tab w:val="left" w:pos="1304"/>
              </w:tabs>
              <w:autoSpaceDE w:val="0"/>
              <w:autoSpaceDN w:val="0"/>
              <w:adjustRightInd w:val="0"/>
              <w:rPr>
                <w:sz w:val="22"/>
                <w:szCs w:val="22"/>
              </w:rPr>
            </w:pPr>
            <w:r w:rsidRPr="004C0E01">
              <w:rPr>
                <w:sz w:val="22"/>
                <w:szCs w:val="22"/>
              </w:rPr>
              <w:t>System organ</w:t>
            </w:r>
          </w:p>
          <w:p w14:paraId="23B0D3B6" w14:textId="77777777" w:rsidR="0029430D" w:rsidRPr="004C0E01" w:rsidRDefault="0029430D">
            <w:pPr>
              <w:rPr>
                <w:sz w:val="22"/>
                <w:szCs w:val="22"/>
                <w:lang w:eastAsia="en-US"/>
              </w:rPr>
            </w:pPr>
            <w:r w:rsidRPr="004C0E01">
              <w:rPr>
                <w:sz w:val="22"/>
                <w:szCs w:val="22"/>
              </w:rPr>
              <w:t>class</w:t>
            </w:r>
          </w:p>
        </w:tc>
        <w:tc>
          <w:tcPr>
            <w:tcW w:w="852" w:type="pct"/>
            <w:tcBorders>
              <w:top w:val="single" w:sz="4" w:space="0" w:color="auto"/>
              <w:left w:val="single" w:sz="4" w:space="0" w:color="auto"/>
              <w:bottom w:val="single" w:sz="4" w:space="0" w:color="auto"/>
              <w:right w:val="single" w:sz="4" w:space="0" w:color="auto"/>
            </w:tcBorders>
            <w:hideMark/>
          </w:tcPr>
          <w:p w14:paraId="51B6AAC8" w14:textId="77777777" w:rsidR="0029430D" w:rsidRPr="004C0E01" w:rsidRDefault="0029430D">
            <w:pPr>
              <w:rPr>
                <w:sz w:val="22"/>
                <w:szCs w:val="22"/>
              </w:rPr>
            </w:pPr>
            <w:r w:rsidRPr="004C0E01">
              <w:rPr>
                <w:sz w:val="22"/>
                <w:szCs w:val="22"/>
              </w:rPr>
              <w:t>Very common</w:t>
            </w:r>
          </w:p>
        </w:tc>
        <w:tc>
          <w:tcPr>
            <w:tcW w:w="837" w:type="pct"/>
            <w:tcBorders>
              <w:top w:val="single" w:sz="4" w:space="0" w:color="auto"/>
              <w:left w:val="single" w:sz="4" w:space="0" w:color="auto"/>
              <w:bottom w:val="single" w:sz="4" w:space="0" w:color="auto"/>
              <w:right w:val="single" w:sz="4" w:space="0" w:color="auto"/>
            </w:tcBorders>
            <w:hideMark/>
          </w:tcPr>
          <w:p w14:paraId="67C2A74D" w14:textId="77777777" w:rsidR="0029430D" w:rsidRPr="004C0E01" w:rsidRDefault="0029430D">
            <w:pPr>
              <w:rPr>
                <w:sz w:val="22"/>
                <w:szCs w:val="22"/>
              </w:rPr>
            </w:pPr>
            <w:r w:rsidRPr="004C0E01">
              <w:rPr>
                <w:sz w:val="22"/>
                <w:szCs w:val="22"/>
              </w:rPr>
              <w:t>Common*</w:t>
            </w:r>
          </w:p>
        </w:tc>
        <w:tc>
          <w:tcPr>
            <w:tcW w:w="800" w:type="pct"/>
            <w:tcBorders>
              <w:top w:val="single" w:sz="4" w:space="0" w:color="auto"/>
              <w:left w:val="single" w:sz="4" w:space="0" w:color="auto"/>
              <w:bottom w:val="single" w:sz="4" w:space="0" w:color="auto"/>
              <w:right w:val="single" w:sz="4" w:space="0" w:color="auto"/>
            </w:tcBorders>
            <w:hideMark/>
          </w:tcPr>
          <w:p w14:paraId="31991D59" w14:textId="77777777" w:rsidR="0029430D" w:rsidRPr="004C0E01" w:rsidRDefault="0029430D">
            <w:pPr>
              <w:rPr>
                <w:sz w:val="22"/>
                <w:szCs w:val="22"/>
              </w:rPr>
            </w:pPr>
            <w:r w:rsidRPr="004C0E01">
              <w:rPr>
                <w:sz w:val="22"/>
                <w:szCs w:val="22"/>
              </w:rPr>
              <w:t>Uncommon**</w:t>
            </w:r>
          </w:p>
        </w:tc>
        <w:tc>
          <w:tcPr>
            <w:tcW w:w="690" w:type="pct"/>
            <w:tcBorders>
              <w:top w:val="single" w:sz="4" w:space="0" w:color="auto"/>
              <w:left w:val="single" w:sz="4" w:space="0" w:color="auto"/>
              <w:bottom w:val="single" w:sz="4" w:space="0" w:color="auto"/>
              <w:right w:val="single" w:sz="4" w:space="0" w:color="auto"/>
            </w:tcBorders>
            <w:hideMark/>
          </w:tcPr>
          <w:p w14:paraId="5A07BA25" w14:textId="77777777" w:rsidR="0029430D" w:rsidRPr="004C0E01" w:rsidRDefault="0029430D">
            <w:pPr>
              <w:rPr>
                <w:sz w:val="22"/>
                <w:szCs w:val="22"/>
              </w:rPr>
            </w:pPr>
            <w:r w:rsidRPr="004C0E01">
              <w:rPr>
                <w:sz w:val="22"/>
                <w:szCs w:val="22"/>
              </w:rPr>
              <w:t>Rare</w:t>
            </w:r>
          </w:p>
        </w:tc>
        <w:tc>
          <w:tcPr>
            <w:tcW w:w="958" w:type="pct"/>
            <w:tcBorders>
              <w:top w:val="single" w:sz="4" w:space="0" w:color="auto"/>
              <w:left w:val="single" w:sz="4" w:space="0" w:color="auto"/>
              <w:bottom w:val="single" w:sz="4" w:space="0" w:color="auto"/>
              <w:right w:val="single" w:sz="4" w:space="0" w:color="auto"/>
            </w:tcBorders>
            <w:hideMark/>
          </w:tcPr>
          <w:p w14:paraId="757CFCF9" w14:textId="77777777" w:rsidR="0029430D" w:rsidRPr="004C0E01" w:rsidRDefault="0029430D">
            <w:pPr>
              <w:rPr>
                <w:sz w:val="22"/>
                <w:szCs w:val="22"/>
              </w:rPr>
            </w:pPr>
            <w:r w:rsidRPr="004C0E01">
              <w:rPr>
                <w:sz w:val="22"/>
                <w:szCs w:val="22"/>
              </w:rPr>
              <w:t>Very rare</w:t>
            </w:r>
          </w:p>
        </w:tc>
      </w:tr>
      <w:tr w:rsidR="0029430D" w:rsidRPr="006A7320" w14:paraId="22E12AA2"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7B224C3E" w14:textId="77777777" w:rsidR="0029430D" w:rsidRPr="004C0E01" w:rsidRDefault="0029430D">
            <w:pPr>
              <w:rPr>
                <w:i/>
                <w:sz w:val="22"/>
                <w:szCs w:val="22"/>
              </w:rPr>
            </w:pPr>
            <w:r w:rsidRPr="004C0E01">
              <w:rPr>
                <w:i/>
                <w:iCs/>
                <w:sz w:val="22"/>
                <w:szCs w:val="22"/>
              </w:rPr>
              <w:t>Infections and infestations</w:t>
            </w:r>
          </w:p>
        </w:tc>
        <w:tc>
          <w:tcPr>
            <w:tcW w:w="852" w:type="pct"/>
            <w:tcBorders>
              <w:top w:val="single" w:sz="4" w:space="0" w:color="auto"/>
              <w:left w:val="single" w:sz="4" w:space="0" w:color="auto"/>
              <w:bottom w:val="single" w:sz="4" w:space="0" w:color="auto"/>
              <w:right w:val="single" w:sz="4" w:space="0" w:color="auto"/>
            </w:tcBorders>
          </w:tcPr>
          <w:p w14:paraId="6DD3DF28"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7424EC73" w14:textId="77777777" w:rsidR="0029430D" w:rsidRPr="006A7320" w:rsidRDefault="0029430D">
            <w:pPr>
              <w:rPr>
                <w:sz w:val="22"/>
                <w:szCs w:val="22"/>
                <w:lang w:val="en-US"/>
              </w:rPr>
            </w:pPr>
            <w:r w:rsidRPr="006A7320">
              <w:rPr>
                <w:sz w:val="22"/>
                <w:szCs w:val="22"/>
                <w:lang w:val="en-US"/>
              </w:rPr>
              <w:t>Vulvovaginitis, balanitis and related genital infections</w:t>
            </w:r>
            <w:proofErr w:type="gramStart"/>
            <w:r w:rsidRPr="006A7320">
              <w:rPr>
                <w:sz w:val="22"/>
                <w:szCs w:val="22"/>
                <w:vertAlign w:val="superscript"/>
                <w:lang w:val="en-US"/>
              </w:rPr>
              <w:t>*,</w:t>
            </w:r>
            <w:proofErr w:type="spellStart"/>
            <w:r w:rsidRPr="006A7320">
              <w:rPr>
                <w:sz w:val="22"/>
                <w:szCs w:val="22"/>
                <w:vertAlign w:val="superscript"/>
                <w:lang w:val="en-US"/>
              </w:rPr>
              <w:t>b</w:t>
            </w:r>
            <w:proofErr w:type="gramEnd"/>
            <w:r w:rsidRPr="006A7320">
              <w:rPr>
                <w:sz w:val="22"/>
                <w:szCs w:val="22"/>
                <w:vertAlign w:val="superscript"/>
                <w:lang w:val="en-US"/>
              </w:rPr>
              <w:t>,c</w:t>
            </w:r>
            <w:proofErr w:type="spellEnd"/>
            <w:r w:rsidRPr="006A7320">
              <w:rPr>
                <w:sz w:val="22"/>
                <w:szCs w:val="22"/>
                <w:lang w:val="en-US"/>
              </w:rPr>
              <w:t xml:space="preserve"> Urinary tract infection</w:t>
            </w:r>
            <w:r w:rsidRPr="006A7320">
              <w:rPr>
                <w:sz w:val="22"/>
                <w:szCs w:val="22"/>
                <w:vertAlign w:val="superscript"/>
                <w:lang w:val="en-US"/>
              </w:rPr>
              <w:t>*,</w:t>
            </w:r>
            <w:proofErr w:type="spellStart"/>
            <w:r w:rsidRPr="006A7320">
              <w:rPr>
                <w:sz w:val="22"/>
                <w:szCs w:val="22"/>
                <w:vertAlign w:val="superscript"/>
                <w:lang w:val="en-US"/>
              </w:rPr>
              <w:t>b,d</w:t>
            </w:r>
            <w:proofErr w:type="spellEnd"/>
          </w:p>
        </w:tc>
        <w:tc>
          <w:tcPr>
            <w:tcW w:w="800" w:type="pct"/>
            <w:tcBorders>
              <w:top w:val="single" w:sz="4" w:space="0" w:color="auto"/>
              <w:left w:val="single" w:sz="4" w:space="0" w:color="auto"/>
              <w:bottom w:val="single" w:sz="4" w:space="0" w:color="auto"/>
              <w:right w:val="single" w:sz="4" w:space="0" w:color="auto"/>
            </w:tcBorders>
            <w:hideMark/>
          </w:tcPr>
          <w:p w14:paraId="478FFFC6" w14:textId="77777777" w:rsidR="0029430D" w:rsidRPr="004C0E01" w:rsidRDefault="0029430D">
            <w:pPr>
              <w:rPr>
                <w:sz w:val="22"/>
                <w:szCs w:val="22"/>
              </w:rPr>
            </w:pPr>
            <w:proofErr w:type="spellStart"/>
            <w:r w:rsidRPr="004C0E01">
              <w:rPr>
                <w:sz w:val="22"/>
                <w:szCs w:val="22"/>
              </w:rPr>
              <w:t>Fungal</w:t>
            </w:r>
            <w:proofErr w:type="spellEnd"/>
            <w:r w:rsidRPr="004C0E01">
              <w:rPr>
                <w:sz w:val="22"/>
                <w:szCs w:val="22"/>
              </w:rPr>
              <w:t xml:space="preserve"> </w:t>
            </w:r>
            <w:proofErr w:type="spellStart"/>
            <w:r w:rsidRPr="004C0E01">
              <w:rPr>
                <w:sz w:val="22"/>
                <w:szCs w:val="22"/>
              </w:rPr>
              <w:t>infection</w:t>
            </w:r>
            <w:proofErr w:type="spellEnd"/>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7A541C7A"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hideMark/>
          </w:tcPr>
          <w:p w14:paraId="07D57474" w14:textId="77777777" w:rsidR="0029430D" w:rsidRPr="006A7320" w:rsidRDefault="0029430D">
            <w:pPr>
              <w:rPr>
                <w:sz w:val="22"/>
                <w:szCs w:val="22"/>
                <w:lang w:val="en-US"/>
              </w:rPr>
            </w:pPr>
            <w:proofErr w:type="spellStart"/>
            <w:r w:rsidRPr="006A7320">
              <w:rPr>
                <w:sz w:val="22"/>
                <w:szCs w:val="22"/>
                <w:lang w:val="en-US"/>
              </w:rPr>
              <w:t>Necrotising</w:t>
            </w:r>
            <w:proofErr w:type="spellEnd"/>
            <w:r w:rsidRPr="006A7320">
              <w:rPr>
                <w:sz w:val="22"/>
                <w:szCs w:val="22"/>
                <w:lang w:val="en-US"/>
              </w:rPr>
              <w:t xml:space="preserve"> fasciitis of the perineum (Fournier's </w:t>
            </w:r>
            <w:proofErr w:type="gramStart"/>
            <w:r w:rsidRPr="006A7320">
              <w:rPr>
                <w:sz w:val="22"/>
                <w:szCs w:val="22"/>
                <w:lang w:val="en-US"/>
              </w:rPr>
              <w:t>gangrene)</w:t>
            </w:r>
            <w:proofErr w:type="spellStart"/>
            <w:r w:rsidRPr="006A7320">
              <w:rPr>
                <w:sz w:val="22"/>
                <w:szCs w:val="22"/>
                <w:vertAlign w:val="superscript"/>
                <w:lang w:val="en-US"/>
              </w:rPr>
              <w:t>b</w:t>
            </w:r>
            <w:proofErr w:type="gramEnd"/>
            <w:r w:rsidRPr="006A7320">
              <w:rPr>
                <w:sz w:val="22"/>
                <w:szCs w:val="22"/>
                <w:vertAlign w:val="superscript"/>
                <w:lang w:val="en-US"/>
              </w:rPr>
              <w:t>,i</w:t>
            </w:r>
            <w:proofErr w:type="spellEnd"/>
          </w:p>
        </w:tc>
      </w:tr>
      <w:tr w:rsidR="0029430D" w:rsidRPr="006A7320" w14:paraId="2FF290BF"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332D4DF0" w14:textId="77777777" w:rsidR="0029430D" w:rsidRPr="004C0E01" w:rsidRDefault="0029430D">
            <w:pPr>
              <w:rPr>
                <w:i/>
                <w:sz w:val="22"/>
                <w:szCs w:val="22"/>
              </w:rPr>
            </w:pPr>
            <w:proofErr w:type="spellStart"/>
            <w:r w:rsidRPr="004C0E01">
              <w:rPr>
                <w:i/>
                <w:iCs/>
                <w:sz w:val="22"/>
                <w:szCs w:val="22"/>
              </w:rPr>
              <w:t>Metabolism</w:t>
            </w:r>
            <w:proofErr w:type="spellEnd"/>
            <w:r w:rsidRPr="004C0E01">
              <w:rPr>
                <w:i/>
                <w:iCs/>
                <w:sz w:val="22"/>
                <w:szCs w:val="22"/>
              </w:rPr>
              <w:t xml:space="preserve"> and </w:t>
            </w:r>
            <w:proofErr w:type="spellStart"/>
            <w:r w:rsidRPr="004C0E01">
              <w:rPr>
                <w:i/>
                <w:iCs/>
                <w:sz w:val="22"/>
                <w:szCs w:val="22"/>
              </w:rPr>
              <w:t>nutrition</w:t>
            </w:r>
            <w:proofErr w:type="spellEnd"/>
            <w:r w:rsidRPr="004C0E01">
              <w:rPr>
                <w:i/>
                <w:iCs/>
                <w:sz w:val="22"/>
                <w:szCs w:val="22"/>
              </w:rPr>
              <w:t xml:space="preserve"> </w:t>
            </w:r>
            <w:proofErr w:type="spellStart"/>
            <w:r w:rsidRPr="004C0E01">
              <w:rPr>
                <w:i/>
                <w:iCs/>
                <w:sz w:val="22"/>
                <w:szCs w:val="22"/>
              </w:rPr>
              <w:t>disorders</w:t>
            </w:r>
            <w:proofErr w:type="spellEnd"/>
          </w:p>
        </w:tc>
        <w:tc>
          <w:tcPr>
            <w:tcW w:w="852" w:type="pct"/>
            <w:tcBorders>
              <w:top w:val="single" w:sz="4" w:space="0" w:color="auto"/>
              <w:left w:val="single" w:sz="4" w:space="0" w:color="auto"/>
              <w:bottom w:val="single" w:sz="4" w:space="0" w:color="auto"/>
              <w:right w:val="single" w:sz="4" w:space="0" w:color="auto"/>
            </w:tcBorders>
            <w:hideMark/>
          </w:tcPr>
          <w:p w14:paraId="6C13B5CB" w14:textId="77777777" w:rsidR="0029430D" w:rsidRPr="006A7320" w:rsidRDefault="0029430D">
            <w:pPr>
              <w:rPr>
                <w:sz w:val="22"/>
                <w:szCs w:val="22"/>
                <w:lang w:val="en-US"/>
              </w:rPr>
            </w:pPr>
            <w:proofErr w:type="spellStart"/>
            <w:r w:rsidRPr="006A7320">
              <w:rPr>
                <w:sz w:val="22"/>
                <w:szCs w:val="22"/>
                <w:lang w:val="en-US"/>
              </w:rPr>
              <w:t>Hypoglycaemia</w:t>
            </w:r>
            <w:proofErr w:type="spellEnd"/>
            <w:r w:rsidRPr="006A7320">
              <w:rPr>
                <w:sz w:val="22"/>
                <w:szCs w:val="22"/>
                <w:lang w:val="en-US"/>
              </w:rPr>
              <w:t xml:space="preserve"> (when used with SU or </w:t>
            </w:r>
            <w:proofErr w:type="gramStart"/>
            <w:r w:rsidRPr="006A7320">
              <w:rPr>
                <w:sz w:val="22"/>
                <w:szCs w:val="22"/>
                <w:lang w:val="en-US"/>
              </w:rPr>
              <w:t>insulin)</w:t>
            </w:r>
            <w:r w:rsidRPr="006A7320">
              <w:rPr>
                <w:sz w:val="22"/>
                <w:szCs w:val="22"/>
                <w:vertAlign w:val="superscript"/>
                <w:lang w:val="en-US"/>
              </w:rPr>
              <w:t>b</w:t>
            </w:r>
            <w:proofErr w:type="gramEnd"/>
          </w:p>
        </w:tc>
        <w:tc>
          <w:tcPr>
            <w:tcW w:w="837" w:type="pct"/>
            <w:tcBorders>
              <w:top w:val="single" w:sz="4" w:space="0" w:color="auto"/>
              <w:left w:val="single" w:sz="4" w:space="0" w:color="auto"/>
              <w:bottom w:val="single" w:sz="4" w:space="0" w:color="auto"/>
              <w:right w:val="single" w:sz="4" w:space="0" w:color="auto"/>
            </w:tcBorders>
          </w:tcPr>
          <w:p w14:paraId="4B322322" w14:textId="77777777" w:rsidR="0029430D" w:rsidRPr="006A7320" w:rsidRDefault="0029430D">
            <w:pPr>
              <w:rPr>
                <w:sz w:val="22"/>
                <w:szCs w:val="22"/>
                <w:lang w:val="en-US"/>
              </w:rPr>
            </w:pPr>
          </w:p>
        </w:tc>
        <w:tc>
          <w:tcPr>
            <w:tcW w:w="800" w:type="pct"/>
            <w:tcBorders>
              <w:top w:val="single" w:sz="4" w:space="0" w:color="auto"/>
              <w:left w:val="single" w:sz="4" w:space="0" w:color="auto"/>
              <w:bottom w:val="single" w:sz="4" w:space="0" w:color="auto"/>
              <w:right w:val="single" w:sz="4" w:space="0" w:color="auto"/>
            </w:tcBorders>
            <w:hideMark/>
          </w:tcPr>
          <w:p w14:paraId="5D7AA8E4" w14:textId="77777777" w:rsidR="0029430D" w:rsidRPr="004C0E01" w:rsidRDefault="0029430D">
            <w:pPr>
              <w:rPr>
                <w:sz w:val="22"/>
                <w:szCs w:val="22"/>
              </w:rPr>
            </w:pPr>
            <w:r w:rsidRPr="004C0E01">
              <w:rPr>
                <w:sz w:val="22"/>
                <w:szCs w:val="22"/>
              </w:rPr>
              <w:t xml:space="preserve">Volume </w:t>
            </w:r>
            <w:proofErr w:type="spellStart"/>
            <w:proofErr w:type="gramStart"/>
            <w:r w:rsidRPr="004C0E01">
              <w:rPr>
                <w:sz w:val="22"/>
                <w:szCs w:val="22"/>
              </w:rPr>
              <w:t>depletion</w:t>
            </w:r>
            <w:r w:rsidRPr="004C0E01">
              <w:rPr>
                <w:sz w:val="22"/>
                <w:szCs w:val="22"/>
                <w:vertAlign w:val="superscript"/>
              </w:rPr>
              <w:t>b,e</w:t>
            </w:r>
            <w:proofErr w:type="spellEnd"/>
            <w:proofErr w:type="gramEnd"/>
            <w:r w:rsidRPr="004C0E01">
              <w:rPr>
                <w:sz w:val="22"/>
                <w:szCs w:val="22"/>
                <w:vertAlign w:val="superscript"/>
              </w:rPr>
              <w:t xml:space="preserve"> </w:t>
            </w:r>
            <w:proofErr w:type="spellStart"/>
            <w:r w:rsidRPr="004C0E01">
              <w:rPr>
                <w:sz w:val="22"/>
                <w:szCs w:val="22"/>
              </w:rPr>
              <w:t>Thirst</w:t>
            </w:r>
            <w:proofErr w:type="spellEnd"/>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hideMark/>
          </w:tcPr>
          <w:p w14:paraId="45AE0EFD" w14:textId="77777777" w:rsidR="0029430D" w:rsidRPr="006A7320" w:rsidRDefault="0029430D">
            <w:pPr>
              <w:rPr>
                <w:sz w:val="22"/>
                <w:szCs w:val="22"/>
                <w:lang w:val="en-US"/>
              </w:rPr>
            </w:pPr>
            <w:r w:rsidRPr="006A7320">
              <w:rPr>
                <w:sz w:val="22"/>
                <w:szCs w:val="22"/>
                <w:lang w:val="en-US"/>
              </w:rPr>
              <w:t xml:space="preserve">Diabetic ketoacidosis (when used in type 2 diabetes </w:t>
            </w:r>
            <w:proofErr w:type="gramStart"/>
            <w:r w:rsidRPr="006A7320">
              <w:rPr>
                <w:sz w:val="22"/>
                <w:szCs w:val="22"/>
                <w:lang w:val="en-US"/>
              </w:rPr>
              <w:t>mellitus)</w:t>
            </w:r>
            <w:proofErr w:type="spellStart"/>
            <w:r w:rsidRPr="006A7320">
              <w:rPr>
                <w:sz w:val="22"/>
                <w:szCs w:val="22"/>
                <w:vertAlign w:val="superscript"/>
                <w:lang w:val="en-US"/>
              </w:rPr>
              <w:t>b</w:t>
            </w:r>
            <w:proofErr w:type="gramEnd"/>
            <w:r w:rsidRPr="006A7320">
              <w:rPr>
                <w:sz w:val="22"/>
                <w:szCs w:val="22"/>
                <w:vertAlign w:val="superscript"/>
                <w:lang w:val="en-US"/>
              </w:rPr>
              <w:t>,i,k</w:t>
            </w:r>
            <w:proofErr w:type="spellEnd"/>
          </w:p>
        </w:tc>
        <w:tc>
          <w:tcPr>
            <w:tcW w:w="958" w:type="pct"/>
            <w:tcBorders>
              <w:top w:val="single" w:sz="4" w:space="0" w:color="auto"/>
              <w:left w:val="single" w:sz="4" w:space="0" w:color="auto"/>
              <w:bottom w:val="single" w:sz="4" w:space="0" w:color="auto"/>
              <w:right w:val="single" w:sz="4" w:space="0" w:color="auto"/>
            </w:tcBorders>
          </w:tcPr>
          <w:p w14:paraId="4181E9C9" w14:textId="77777777" w:rsidR="0029430D" w:rsidRPr="006A7320" w:rsidRDefault="0029430D">
            <w:pPr>
              <w:rPr>
                <w:sz w:val="22"/>
                <w:szCs w:val="22"/>
                <w:lang w:val="en-US"/>
              </w:rPr>
            </w:pPr>
          </w:p>
        </w:tc>
      </w:tr>
      <w:tr w:rsidR="0029430D" w:rsidRPr="004C0E01" w14:paraId="01D6CEEA"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07A7C93B" w14:textId="77777777" w:rsidR="0029430D" w:rsidRPr="004C0E01" w:rsidRDefault="0029430D">
            <w:pPr>
              <w:rPr>
                <w:i/>
                <w:sz w:val="22"/>
                <w:szCs w:val="22"/>
              </w:rPr>
            </w:pPr>
            <w:proofErr w:type="spellStart"/>
            <w:r w:rsidRPr="004C0E01">
              <w:rPr>
                <w:i/>
                <w:iCs/>
                <w:sz w:val="22"/>
                <w:szCs w:val="22"/>
              </w:rPr>
              <w:t>Nervous</w:t>
            </w:r>
            <w:proofErr w:type="spellEnd"/>
            <w:r w:rsidRPr="004C0E01">
              <w:rPr>
                <w:i/>
                <w:iCs/>
                <w:sz w:val="22"/>
                <w:szCs w:val="22"/>
              </w:rPr>
              <w:t xml:space="preserve"> system </w:t>
            </w:r>
            <w:proofErr w:type="spellStart"/>
            <w:r w:rsidRPr="004C0E01">
              <w:rPr>
                <w:i/>
                <w:iCs/>
                <w:sz w:val="22"/>
                <w:szCs w:val="22"/>
              </w:rPr>
              <w:t>disorders</w:t>
            </w:r>
            <w:proofErr w:type="spellEnd"/>
          </w:p>
        </w:tc>
        <w:tc>
          <w:tcPr>
            <w:tcW w:w="852" w:type="pct"/>
            <w:tcBorders>
              <w:top w:val="single" w:sz="4" w:space="0" w:color="auto"/>
              <w:left w:val="single" w:sz="4" w:space="0" w:color="auto"/>
              <w:bottom w:val="single" w:sz="4" w:space="0" w:color="auto"/>
              <w:right w:val="single" w:sz="4" w:space="0" w:color="auto"/>
            </w:tcBorders>
          </w:tcPr>
          <w:p w14:paraId="4ADF87BE"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7C675D69" w14:textId="77777777" w:rsidR="0029430D" w:rsidRPr="004C0E01" w:rsidRDefault="0029430D">
            <w:pPr>
              <w:rPr>
                <w:sz w:val="22"/>
                <w:szCs w:val="22"/>
              </w:rPr>
            </w:pPr>
            <w:r w:rsidRPr="004C0E01">
              <w:rPr>
                <w:sz w:val="22"/>
                <w:szCs w:val="22"/>
              </w:rPr>
              <w:t>Dizziness</w:t>
            </w:r>
          </w:p>
        </w:tc>
        <w:tc>
          <w:tcPr>
            <w:tcW w:w="800" w:type="pct"/>
            <w:tcBorders>
              <w:top w:val="single" w:sz="4" w:space="0" w:color="auto"/>
              <w:left w:val="single" w:sz="4" w:space="0" w:color="auto"/>
              <w:bottom w:val="single" w:sz="4" w:space="0" w:color="auto"/>
              <w:right w:val="single" w:sz="4" w:space="0" w:color="auto"/>
            </w:tcBorders>
          </w:tcPr>
          <w:p w14:paraId="247779BC" w14:textId="77777777" w:rsidR="0029430D" w:rsidRPr="004C0E01" w:rsidRDefault="0029430D">
            <w:pPr>
              <w:rPr>
                <w:sz w:val="22"/>
                <w:szCs w:val="22"/>
              </w:rPr>
            </w:pPr>
          </w:p>
        </w:tc>
        <w:tc>
          <w:tcPr>
            <w:tcW w:w="690" w:type="pct"/>
            <w:tcBorders>
              <w:top w:val="single" w:sz="4" w:space="0" w:color="auto"/>
              <w:left w:val="single" w:sz="4" w:space="0" w:color="auto"/>
              <w:bottom w:val="single" w:sz="4" w:space="0" w:color="auto"/>
              <w:right w:val="single" w:sz="4" w:space="0" w:color="auto"/>
            </w:tcBorders>
          </w:tcPr>
          <w:p w14:paraId="1685ED0D"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2AE3D7B4" w14:textId="77777777" w:rsidR="0029430D" w:rsidRPr="004C0E01" w:rsidRDefault="0029430D">
            <w:pPr>
              <w:rPr>
                <w:sz w:val="22"/>
                <w:szCs w:val="22"/>
              </w:rPr>
            </w:pPr>
          </w:p>
        </w:tc>
      </w:tr>
      <w:tr w:rsidR="0029430D" w:rsidRPr="004C0E01" w14:paraId="47DFD9AC"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28CC952A" w14:textId="77777777" w:rsidR="0029430D" w:rsidRPr="004C0E01" w:rsidRDefault="0029430D">
            <w:pPr>
              <w:rPr>
                <w:i/>
                <w:sz w:val="22"/>
                <w:szCs w:val="22"/>
              </w:rPr>
            </w:pPr>
            <w:r w:rsidRPr="004C0E01">
              <w:rPr>
                <w:i/>
                <w:iCs/>
                <w:sz w:val="22"/>
                <w:szCs w:val="22"/>
              </w:rPr>
              <w:t>Gastrointestinal disorders</w:t>
            </w:r>
          </w:p>
        </w:tc>
        <w:tc>
          <w:tcPr>
            <w:tcW w:w="852" w:type="pct"/>
            <w:tcBorders>
              <w:top w:val="single" w:sz="4" w:space="0" w:color="auto"/>
              <w:left w:val="single" w:sz="4" w:space="0" w:color="auto"/>
              <w:bottom w:val="single" w:sz="4" w:space="0" w:color="auto"/>
              <w:right w:val="single" w:sz="4" w:space="0" w:color="auto"/>
            </w:tcBorders>
          </w:tcPr>
          <w:p w14:paraId="4B8341E7"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tcPr>
          <w:p w14:paraId="05841D01" w14:textId="77777777" w:rsidR="0029430D" w:rsidRPr="004C0E01" w:rsidRDefault="0029430D">
            <w:pPr>
              <w:rPr>
                <w:sz w:val="22"/>
                <w:szCs w:val="22"/>
              </w:rPr>
            </w:pPr>
          </w:p>
        </w:tc>
        <w:tc>
          <w:tcPr>
            <w:tcW w:w="800" w:type="pct"/>
            <w:tcBorders>
              <w:top w:val="single" w:sz="4" w:space="0" w:color="auto"/>
              <w:left w:val="single" w:sz="4" w:space="0" w:color="auto"/>
              <w:bottom w:val="single" w:sz="4" w:space="0" w:color="auto"/>
              <w:right w:val="single" w:sz="4" w:space="0" w:color="auto"/>
            </w:tcBorders>
            <w:hideMark/>
          </w:tcPr>
          <w:p w14:paraId="385959EC" w14:textId="77777777" w:rsidR="0029430D" w:rsidRPr="004C0E01" w:rsidRDefault="0029430D">
            <w:pPr>
              <w:rPr>
                <w:sz w:val="22"/>
                <w:szCs w:val="22"/>
              </w:rPr>
            </w:pPr>
            <w:r w:rsidRPr="004C0E01">
              <w:rPr>
                <w:sz w:val="22"/>
                <w:szCs w:val="22"/>
              </w:rPr>
              <w:t>Constipation</w:t>
            </w:r>
            <w:r w:rsidRPr="004C0E01">
              <w:rPr>
                <w:sz w:val="22"/>
                <w:szCs w:val="22"/>
                <w:vertAlign w:val="superscript"/>
              </w:rPr>
              <w:t>**</w:t>
            </w:r>
            <w:r w:rsidRPr="004C0E01">
              <w:rPr>
                <w:sz w:val="22"/>
                <w:szCs w:val="22"/>
              </w:rPr>
              <w:t xml:space="preserve"> Dry mouth</w:t>
            </w:r>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56DB932B"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40A9A9B2" w14:textId="77777777" w:rsidR="0029430D" w:rsidRPr="004C0E01" w:rsidRDefault="0029430D">
            <w:pPr>
              <w:rPr>
                <w:sz w:val="22"/>
                <w:szCs w:val="22"/>
              </w:rPr>
            </w:pPr>
          </w:p>
        </w:tc>
      </w:tr>
      <w:tr w:rsidR="0029430D" w:rsidRPr="004C0E01" w14:paraId="008961AA"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71AE6450" w14:textId="77777777" w:rsidR="0029430D" w:rsidRPr="006A7320" w:rsidRDefault="0029430D">
            <w:pPr>
              <w:rPr>
                <w:i/>
                <w:sz w:val="22"/>
                <w:szCs w:val="22"/>
                <w:lang w:val="en-US"/>
              </w:rPr>
            </w:pPr>
            <w:r w:rsidRPr="006A7320">
              <w:rPr>
                <w:i/>
                <w:iCs/>
                <w:sz w:val="22"/>
                <w:szCs w:val="22"/>
                <w:lang w:val="en-US"/>
              </w:rPr>
              <w:t>Skin and subcutaneous tissue disorders</w:t>
            </w:r>
          </w:p>
        </w:tc>
        <w:tc>
          <w:tcPr>
            <w:tcW w:w="852" w:type="pct"/>
            <w:tcBorders>
              <w:top w:val="single" w:sz="4" w:space="0" w:color="auto"/>
              <w:left w:val="single" w:sz="4" w:space="0" w:color="auto"/>
              <w:bottom w:val="single" w:sz="4" w:space="0" w:color="auto"/>
              <w:right w:val="single" w:sz="4" w:space="0" w:color="auto"/>
            </w:tcBorders>
          </w:tcPr>
          <w:p w14:paraId="4A4B402E" w14:textId="77777777" w:rsidR="0029430D" w:rsidRPr="006A7320" w:rsidRDefault="0029430D">
            <w:pPr>
              <w:rPr>
                <w:sz w:val="22"/>
                <w:szCs w:val="22"/>
                <w:lang w:val="en-US"/>
              </w:rPr>
            </w:pPr>
          </w:p>
        </w:tc>
        <w:tc>
          <w:tcPr>
            <w:tcW w:w="837" w:type="pct"/>
            <w:tcBorders>
              <w:top w:val="single" w:sz="4" w:space="0" w:color="auto"/>
              <w:left w:val="single" w:sz="4" w:space="0" w:color="auto"/>
              <w:bottom w:val="single" w:sz="4" w:space="0" w:color="auto"/>
              <w:right w:val="single" w:sz="4" w:space="0" w:color="auto"/>
            </w:tcBorders>
            <w:hideMark/>
          </w:tcPr>
          <w:p w14:paraId="43EA0CF0" w14:textId="77777777" w:rsidR="0029430D" w:rsidRPr="004C0E01" w:rsidRDefault="0029430D">
            <w:pPr>
              <w:rPr>
                <w:sz w:val="22"/>
                <w:szCs w:val="22"/>
              </w:rPr>
            </w:pPr>
            <w:proofErr w:type="spellStart"/>
            <w:r w:rsidRPr="004C0E01">
              <w:rPr>
                <w:sz w:val="22"/>
                <w:szCs w:val="22"/>
              </w:rPr>
              <w:t>Rash</w:t>
            </w:r>
            <w:r w:rsidRPr="004C0E01">
              <w:rPr>
                <w:sz w:val="22"/>
                <w:szCs w:val="22"/>
                <w:vertAlign w:val="superscript"/>
              </w:rPr>
              <w:t>j</w:t>
            </w:r>
            <w:proofErr w:type="spellEnd"/>
          </w:p>
        </w:tc>
        <w:tc>
          <w:tcPr>
            <w:tcW w:w="800" w:type="pct"/>
            <w:tcBorders>
              <w:top w:val="single" w:sz="4" w:space="0" w:color="auto"/>
              <w:left w:val="single" w:sz="4" w:space="0" w:color="auto"/>
              <w:bottom w:val="single" w:sz="4" w:space="0" w:color="auto"/>
              <w:right w:val="single" w:sz="4" w:space="0" w:color="auto"/>
            </w:tcBorders>
          </w:tcPr>
          <w:p w14:paraId="04FF2011" w14:textId="77777777" w:rsidR="0029430D" w:rsidRPr="004C0E01" w:rsidRDefault="0029430D">
            <w:pPr>
              <w:rPr>
                <w:sz w:val="22"/>
                <w:szCs w:val="22"/>
              </w:rPr>
            </w:pPr>
          </w:p>
        </w:tc>
        <w:tc>
          <w:tcPr>
            <w:tcW w:w="690" w:type="pct"/>
            <w:tcBorders>
              <w:top w:val="single" w:sz="4" w:space="0" w:color="auto"/>
              <w:left w:val="single" w:sz="4" w:space="0" w:color="auto"/>
              <w:bottom w:val="single" w:sz="4" w:space="0" w:color="auto"/>
              <w:right w:val="single" w:sz="4" w:space="0" w:color="auto"/>
            </w:tcBorders>
          </w:tcPr>
          <w:p w14:paraId="4A7DED96"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hideMark/>
          </w:tcPr>
          <w:p w14:paraId="5C108349" w14:textId="77777777" w:rsidR="0029430D" w:rsidRPr="004C0E01" w:rsidRDefault="0029430D">
            <w:pPr>
              <w:rPr>
                <w:sz w:val="22"/>
                <w:szCs w:val="22"/>
              </w:rPr>
            </w:pPr>
            <w:r w:rsidRPr="004C0E01">
              <w:rPr>
                <w:sz w:val="22"/>
                <w:szCs w:val="22"/>
              </w:rPr>
              <w:t>Angioedema</w:t>
            </w:r>
          </w:p>
        </w:tc>
      </w:tr>
      <w:tr w:rsidR="0029430D" w:rsidRPr="004C0E01" w14:paraId="184D1C8F"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31745794" w14:textId="77777777" w:rsidR="0029430D" w:rsidRPr="006A7320" w:rsidRDefault="0029430D">
            <w:pPr>
              <w:rPr>
                <w:i/>
                <w:sz w:val="22"/>
                <w:szCs w:val="22"/>
                <w:lang w:val="en-US"/>
              </w:rPr>
            </w:pPr>
            <w:r w:rsidRPr="006A7320">
              <w:rPr>
                <w:i/>
                <w:iCs/>
                <w:sz w:val="22"/>
                <w:szCs w:val="22"/>
                <w:lang w:val="en-US"/>
              </w:rPr>
              <w:t>Musculoskeletal and connective tissue disorders</w:t>
            </w:r>
          </w:p>
        </w:tc>
        <w:tc>
          <w:tcPr>
            <w:tcW w:w="852" w:type="pct"/>
            <w:tcBorders>
              <w:top w:val="single" w:sz="4" w:space="0" w:color="auto"/>
              <w:left w:val="single" w:sz="4" w:space="0" w:color="auto"/>
              <w:bottom w:val="single" w:sz="4" w:space="0" w:color="auto"/>
              <w:right w:val="single" w:sz="4" w:space="0" w:color="auto"/>
            </w:tcBorders>
          </w:tcPr>
          <w:p w14:paraId="575091AC" w14:textId="77777777" w:rsidR="0029430D" w:rsidRPr="006A7320" w:rsidRDefault="0029430D">
            <w:pPr>
              <w:rPr>
                <w:sz w:val="22"/>
                <w:szCs w:val="22"/>
                <w:lang w:val="en-US"/>
              </w:rPr>
            </w:pPr>
          </w:p>
        </w:tc>
        <w:tc>
          <w:tcPr>
            <w:tcW w:w="837" w:type="pct"/>
            <w:tcBorders>
              <w:top w:val="single" w:sz="4" w:space="0" w:color="auto"/>
              <w:left w:val="single" w:sz="4" w:space="0" w:color="auto"/>
              <w:bottom w:val="single" w:sz="4" w:space="0" w:color="auto"/>
              <w:right w:val="single" w:sz="4" w:space="0" w:color="auto"/>
            </w:tcBorders>
            <w:hideMark/>
          </w:tcPr>
          <w:p w14:paraId="48F14EB6" w14:textId="77777777" w:rsidR="0029430D" w:rsidRPr="004C0E01" w:rsidRDefault="0029430D">
            <w:pPr>
              <w:rPr>
                <w:sz w:val="22"/>
                <w:szCs w:val="22"/>
              </w:rPr>
            </w:pPr>
            <w:r w:rsidRPr="004C0E01">
              <w:rPr>
                <w:sz w:val="22"/>
                <w:szCs w:val="22"/>
              </w:rPr>
              <w:t xml:space="preserve">Back </w:t>
            </w:r>
            <w:proofErr w:type="spellStart"/>
            <w:r w:rsidRPr="004C0E01">
              <w:rPr>
                <w:sz w:val="22"/>
                <w:szCs w:val="22"/>
              </w:rPr>
              <w:t>pain</w:t>
            </w:r>
            <w:proofErr w:type="spellEnd"/>
            <w:r w:rsidRPr="004C0E01">
              <w:rPr>
                <w:sz w:val="22"/>
                <w:szCs w:val="22"/>
                <w:vertAlign w:val="superscript"/>
              </w:rPr>
              <w:t>*</w:t>
            </w:r>
          </w:p>
        </w:tc>
        <w:tc>
          <w:tcPr>
            <w:tcW w:w="800" w:type="pct"/>
            <w:tcBorders>
              <w:top w:val="single" w:sz="4" w:space="0" w:color="auto"/>
              <w:left w:val="single" w:sz="4" w:space="0" w:color="auto"/>
              <w:bottom w:val="single" w:sz="4" w:space="0" w:color="auto"/>
              <w:right w:val="single" w:sz="4" w:space="0" w:color="auto"/>
            </w:tcBorders>
          </w:tcPr>
          <w:p w14:paraId="6C656864" w14:textId="77777777" w:rsidR="0029430D" w:rsidRPr="004C0E01" w:rsidRDefault="0029430D">
            <w:pPr>
              <w:rPr>
                <w:sz w:val="22"/>
                <w:szCs w:val="22"/>
              </w:rPr>
            </w:pPr>
          </w:p>
        </w:tc>
        <w:tc>
          <w:tcPr>
            <w:tcW w:w="690" w:type="pct"/>
            <w:tcBorders>
              <w:top w:val="single" w:sz="4" w:space="0" w:color="auto"/>
              <w:left w:val="single" w:sz="4" w:space="0" w:color="auto"/>
              <w:bottom w:val="single" w:sz="4" w:space="0" w:color="auto"/>
              <w:right w:val="single" w:sz="4" w:space="0" w:color="auto"/>
            </w:tcBorders>
          </w:tcPr>
          <w:p w14:paraId="0962C116"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2C962D1B" w14:textId="77777777" w:rsidR="0029430D" w:rsidRPr="004C0E01" w:rsidRDefault="0029430D">
            <w:pPr>
              <w:rPr>
                <w:sz w:val="22"/>
                <w:szCs w:val="22"/>
              </w:rPr>
            </w:pPr>
          </w:p>
        </w:tc>
      </w:tr>
      <w:tr w:rsidR="0029430D" w:rsidRPr="004C0E01" w14:paraId="320B8337"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614D52D1" w14:textId="77777777" w:rsidR="0029430D" w:rsidRPr="004C0E01" w:rsidRDefault="0029430D">
            <w:pPr>
              <w:rPr>
                <w:i/>
                <w:sz w:val="22"/>
                <w:szCs w:val="22"/>
              </w:rPr>
            </w:pPr>
            <w:r w:rsidRPr="004C0E01">
              <w:rPr>
                <w:i/>
                <w:iCs/>
                <w:sz w:val="22"/>
                <w:szCs w:val="22"/>
              </w:rPr>
              <w:t>Renal and urinary disorders</w:t>
            </w:r>
          </w:p>
        </w:tc>
        <w:tc>
          <w:tcPr>
            <w:tcW w:w="852" w:type="pct"/>
            <w:tcBorders>
              <w:top w:val="single" w:sz="4" w:space="0" w:color="auto"/>
              <w:left w:val="single" w:sz="4" w:space="0" w:color="auto"/>
              <w:bottom w:val="single" w:sz="4" w:space="0" w:color="auto"/>
              <w:right w:val="single" w:sz="4" w:space="0" w:color="auto"/>
            </w:tcBorders>
          </w:tcPr>
          <w:p w14:paraId="6E6F16F5"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36D09896" w14:textId="77777777" w:rsidR="0029430D" w:rsidRPr="004C0E01" w:rsidRDefault="0029430D">
            <w:pPr>
              <w:rPr>
                <w:sz w:val="22"/>
                <w:szCs w:val="22"/>
              </w:rPr>
            </w:pPr>
            <w:r w:rsidRPr="004C0E01">
              <w:rPr>
                <w:sz w:val="22"/>
                <w:szCs w:val="22"/>
              </w:rPr>
              <w:t>Dysuria Polyuria</w:t>
            </w:r>
            <w:proofErr w:type="gramStart"/>
            <w:r w:rsidRPr="004C0E01">
              <w:rPr>
                <w:sz w:val="22"/>
                <w:szCs w:val="22"/>
              </w:rPr>
              <w:t>*,</w:t>
            </w:r>
            <w:r w:rsidRPr="004C0E01">
              <w:rPr>
                <w:sz w:val="22"/>
                <w:szCs w:val="22"/>
                <w:vertAlign w:val="superscript"/>
              </w:rPr>
              <w:t>f</w:t>
            </w:r>
            <w:proofErr w:type="gramEnd"/>
          </w:p>
        </w:tc>
        <w:tc>
          <w:tcPr>
            <w:tcW w:w="800" w:type="pct"/>
            <w:tcBorders>
              <w:top w:val="single" w:sz="4" w:space="0" w:color="auto"/>
              <w:left w:val="single" w:sz="4" w:space="0" w:color="auto"/>
              <w:bottom w:val="single" w:sz="4" w:space="0" w:color="auto"/>
              <w:right w:val="single" w:sz="4" w:space="0" w:color="auto"/>
            </w:tcBorders>
            <w:hideMark/>
          </w:tcPr>
          <w:p w14:paraId="7B7A7566" w14:textId="77777777" w:rsidR="0029430D" w:rsidRPr="004C0E01" w:rsidRDefault="0029430D">
            <w:pPr>
              <w:rPr>
                <w:sz w:val="22"/>
                <w:szCs w:val="22"/>
              </w:rPr>
            </w:pPr>
            <w:r w:rsidRPr="004C0E01">
              <w:rPr>
                <w:sz w:val="22"/>
                <w:szCs w:val="22"/>
              </w:rPr>
              <w:t>Nocturia</w:t>
            </w:r>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23F6D220"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hideMark/>
          </w:tcPr>
          <w:p w14:paraId="4EE7EA12" w14:textId="77777777" w:rsidR="0029430D" w:rsidRPr="004C0E01" w:rsidRDefault="0029430D">
            <w:pPr>
              <w:rPr>
                <w:sz w:val="22"/>
                <w:szCs w:val="22"/>
              </w:rPr>
            </w:pPr>
            <w:r w:rsidRPr="004C0E01">
              <w:rPr>
                <w:sz w:val="22"/>
                <w:szCs w:val="22"/>
              </w:rPr>
              <w:t>Tubulointerstitial nephritis</w:t>
            </w:r>
          </w:p>
        </w:tc>
      </w:tr>
      <w:tr w:rsidR="0029430D" w:rsidRPr="004C0E01" w14:paraId="0F3324D3"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7EB5A42D" w14:textId="77777777" w:rsidR="0029430D" w:rsidRPr="006A7320" w:rsidRDefault="0029430D">
            <w:pPr>
              <w:rPr>
                <w:i/>
                <w:iCs/>
                <w:sz w:val="22"/>
                <w:szCs w:val="22"/>
                <w:lang w:val="en-US"/>
              </w:rPr>
            </w:pPr>
            <w:r w:rsidRPr="006A7320">
              <w:rPr>
                <w:i/>
                <w:iCs/>
                <w:sz w:val="22"/>
                <w:szCs w:val="22"/>
                <w:lang w:val="en-US"/>
              </w:rPr>
              <w:t>Reproductive system and breast disorders</w:t>
            </w:r>
          </w:p>
        </w:tc>
        <w:tc>
          <w:tcPr>
            <w:tcW w:w="852" w:type="pct"/>
            <w:tcBorders>
              <w:top w:val="single" w:sz="4" w:space="0" w:color="auto"/>
              <w:left w:val="single" w:sz="4" w:space="0" w:color="auto"/>
              <w:bottom w:val="single" w:sz="4" w:space="0" w:color="auto"/>
              <w:right w:val="single" w:sz="4" w:space="0" w:color="auto"/>
            </w:tcBorders>
          </w:tcPr>
          <w:p w14:paraId="19685254" w14:textId="77777777" w:rsidR="0029430D" w:rsidRPr="006A7320" w:rsidRDefault="0029430D">
            <w:pPr>
              <w:rPr>
                <w:sz w:val="22"/>
                <w:szCs w:val="22"/>
                <w:lang w:val="en-US"/>
              </w:rPr>
            </w:pPr>
          </w:p>
        </w:tc>
        <w:tc>
          <w:tcPr>
            <w:tcW w:w="837" w:type="pct"/>
            <w:tcBorders>
              <w:top w:val="single" w:sz="4" w:space="0" w:color="auto"/>
              <w:left w:val="single" w:sz="4" w:space="0" w:color="auto"/>
              <w:bottom w:val="single" w:sz="4" w:space="0" w:color="auto"/>
              <w:right w:val="single" w:sz="4" w:space="0" w:color="auto"/>
            </w:tcBorders>
          </w:tcPr>
          <w:p w14:paraId="522B1D48" w14:textId="77777777" w:rsidR="0029430D" w:rsidRPr="006A7320" w:rsidRDefault="0029430D">
            <w:pPr>
              <w:rPr>
                <w:sz w:val="22"/>
                <w:szCs w:val="22"/>
                <w:lang w:val="en-US"/>
              </w:rPr>
            </w:pPr>
          </w:p>
        </w:tc>
        <w:tc>
          <w:tcPr>
            <w:tcW w:w="800" w:type="pct"/>
            <w:tcBorders>
              <w:top w:val="single" w:sz="4" w:space="0" w:color="auto"/>
              <w:left w:val="single" w:sz="4" w:space="0" w:color="auto"/>
              <w:bottom w:val="single" w:sz="4" w:space="0" w:color="auto"/>
              <w:right w:val="single" w:sz="4" w:space="0" w:color="auto"/>
            </w:tcBorders>
            <w:hideMark/>
          </w:tcPr>
          <w:p w14:paraId="5B0F38E8" w14:textId="77777777" w:rsidR="0029430D" w:rsidRPr="004C0E01" w:rsidRDefault="0029430D">
            <w:pPr>
              <w:rPr>
                <w:sz w:val="22"/>
                <w:szCs w:val="22"/>
              </w:rPr>
            </w:pPr>
            <w:proofErr w:type="spellStart"/>
            <w:r w:rsidRPr="004C0E01">
              <w:rPr>
                <w:sz w:val="22"/>
                <w:szCs w:val="22"/>
              </w:rPr>
              <w:t>Vulvovaginal</w:t>
            </w:r>
            <w:proofErr w:type="spellEnd"/>
            <w:r w:rsidRPr="004C0E01">
              <w:rPr>
                <w:sz w:val="22"/>
                <w:szCs w:val="22"/>
              </w:rPr>
              <w:t xml:space="preserve"> </w:t>
            </w:r>
            <w:proofErr w:type="spellStart"/>
            <w:r w:rsidRPr="004C0E01">
              <w:rPr>
                <w:sz w:val="22"/>
                <w:szCs w:val="22"/>
              </w:rPr>
              <w:t>pruritus</w:t>
            </w:r>
            <w:proofErr w:type="spellEnd"/>
            <w:r w:rsidRPr="004C0E01">
              <w:rPr>
                <w:sz w:val="22"/>
                <w:szCs w:val="22"/>
                <w:vertAlign w:val="superscript"/>
              </w:rPr>
              <w:t xml:space="preserve">** </w:t>
            </w:r>
            <w:r w:rsidRPr="004C0E01">
              <w:rPr>
                <w:sz w:val="22"/>
                <w:szCs w:val="22"/>
              </w:rPr>
              <w:t>Pruritus genital</w:t>
            </w:r>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72070FBE"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13F3E8B5" w14:textId="77777777" w:rsidR="0029430D" w:rsidRPr="004C0E01" w:rsidRDefault="0029430D">
            <w:pPr>
              <w:rPr>
                <w:sz w:val="22"/>
                <w:szCs w:val="22"/>
              </w:rPr>
            </w:pPr>
          </w:p>
        </w:tc>
      </w:tr>
      <w:tr w:rsidR="0029430D" w:rsidRPr="006A7320" w14:paraId="65285E2A" w14:textId="77777777" w:rsidTr="007E4A60">
        <w:trPr>
          <w:trHeight w:val="2825"/>
        </w:trPr>
        <w:tc>
          <w:tcPr>
            <w:tcW w:w="864" w:type="pct"/>
            <w:tcBorders>
              <w:top w:val="single" w:sz="4" w:space="0" w:color="auto"/>
              <w:left w:val="single" w:sz="4" w:space="0" w:color="auto"/>
              <w:bottom w:val="single" w:sz="4" w:space="0" w:color="auto"/>
              <w:right w:val="single" w:sz="4" w:space="0" w:color="auto"/>
            </w:tcBorders>
            <w:hideMark/>
          </w:tcPr>
          <w:p w14:paraId="3818678D" w14:textId="77777777" w:rsidR="0029430D" w:rsidRPr="004C0E01" w:rsidRDefault="0029430D">
            <w:pPr>
              <w:rPr>
                <w:i/>
                <w:iCs/>
                <w:sz w:val="22"/>
                <w:szCs w:val="22"/>
              </w:rPr>
            </w:pPr>
            <w:r w:rsidRPr="004C0E01">
              <w:rPr>
                <w:i/>
                <w:iCs/>
                <w:sz w:val="22"/>
                <w:szCs w:val="22"/>
              </w:rPr>
              <w:t>Investigations</w:t>
            </w:r>
          </w:p>
        </w:tc>
        <w:tc>
          <w:tcPr>
            <w:tcW w:w="852" w:type="pct"/>
            <w:tcBorders>
              <w:top w:val="single" w:sz="4" w:space="0" w:color="auto"/>
              <w:left w:val="single" w:sz="4" w:space="0" w:color="auto"/>
              <w:bottom w:val="single" w:sz="4" w:space="0" w:color="auto"/>
              <w:right w:val="single" w:sz="4" w:space="0" w:color="auto"/>
            </w:tcBorders>
          </w:tcPr>
          <w:p w14:paraId="1B496F35"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6B3BF5B4" w14:textId="77777777" w:rsidR="0029430D" w:rsidRPr="006A7320" w:rsidRDefault="0029430D">
            <w:pPr>
              <w:rPr>
                <w:sz w:val="22"/>
                <w:szCs w:val="22"/>
                <w:lang w:val="en-US"/>
              </w:rPr>
            </w:pPr>
            <w:proofErr w:type="spellStart"/>
            <w:r w:rsidRPr="006A7320">
              <w:rPr>
                <w:sz w:val="22"/>
                <w:szCs w:val="22"/>
                <w:lang w:val="en-US"/>
              </w:rPr>
              <w:t>Haematocrit</w:t>
            </w:r>
            <w:proofErr w:type="spellEnd"/>
            <w:r w:rsidRPr="006A7320">
              <w:rPr>
                <w:sz w:val="22"/>
                <w:szCs w:val="22"/>
                <w:lang w:val="en-US"/>
              </w:rPr>
              <w:t xml:space="preserve"> </w:t>
            </w:r>
            <w:proofErr w:type="spellStart"/>
            <w:r w:rsidRPr="006A7320">
              <w:rPr>
                <w:sz w:val="22"/>
                <w:szCs w:val="22"/>
                <w:lang w:val="en-US"/>
              </w:rPr>
              <w:t>increased</w:t>
            </w:r>
            <w:r w:rsidRPr="006A7320">
              <w:rPr>
                <w:sz w:val="22"/>
                <w:szCs w:val="22"/>
                <w:vertAlign w:val="superscript"/>
                <w:lang w:val="en-US"/>
              </w:rPr>
              <w:t>g</w:t>
            </w:r>
            <w:proofErr w:type="spellEnd"/>
            <w:r w:rsidRPr="006A7320">
              <w:rPr>
                <w:sz w:val="22"/>
                <w:szCs w:val="22"/>
                <w:vertAlign w:val="superscript"/>
                <w:lang w:val="en-US"/>
              </w:rPr>
              <w:t xml:space="preserve"> </w:t>
            </w:r>
            <w:r w:rsidRPr="006A7320">
              <w:rPr>
                <w:sz w:val="22"/>
                <w:szCs w:val="22"/>
                <w:lang w:val="en-US"/>
              </w:rPr>
              <w:t xml:space="preserve">Creatinine renal clearance decreased during initial </w:t>
            </w:r>
            <w:proofErr w:type="spellStart"/>
            <w:r w:rsidRPr="006A7320">
              <w:rPr>
                <w:sz w:val="22"/>
                <w:szCs w:val="22"/>
                <w:lang w:val="en-US"/>
              </w:rPr>
              <w:t>treatment</w:t>
            </w:r>
            <w:r w:rsidRPr="006A7320">
              <w:rPr>
                <w:sz w:val="22"/>
                <w:szCs w:val="22"/>
                <w:vertAlign w:val="superscript"/>
                <w:lang w:val="en-US"/>
              </w:rPr>
              <w:t>b</w:t>
            </w:r>
            <w:proofErr w:type="spellEnd"/>
            <w:r w:rsidRPr="006A7320">
              <w:rPr>
                <w:sz w:val="22"/>
                <w:szCs w:val="22"/>
                <w:lang w:val="en-US"/>
              </w:rPr>
              <w:t xml:space="preserve"> </w:t>
            </w:r>
            <w:proofErr w:type="spellStart"/>
            <w:r w:rsidRPr="006A7320">
              <w:rPr>
                <w:sz w:val="22"/>
                <w:szCs w:val="22"/>
                <w:lang w:val="en-US"/>
              </w:rPr>
              <w:t>Dyslipidaemia</w:t>
            </w:r>
            <w:r w:rsidRPr="006A7320">
              <w:rPr>
                <w:sz w:val="22"/>
                <w:szCs w:val="22"/>
                <w:vertAlign w:val="superscript"/>
                <w:lang w:val="en-US"/>
              </w:rPr>
              <w:t>h</w:t>
            </w:r>
            <w:proofErr w:type="spellEnd"/>
          </w:p>
        </w:tc>
        <w:tc>
          <w:tcPr>
            <w:tcW w:w="800" w:type="pct"/>
            <w:tcBorders>
              <w:top w:val="single" w:sz="4" w:space="0" w:color="auto"/>
              <w:left w:val="single" w:sz="4" w:space="0" w:color="auto"/>
              <w:bottom w:val="single" w:sz="4" w:space="0" w:color="auto"/>
              <w:right w:val="single" w:sz="4" w:space="0" w:color="auto"/>
            </w:tcBorders>
            <w:hideMark/>
          </w:tcPr>
          <w:p w14:paraId="764DF618" w14:textId="77777777" w:rsidR="0029430D" w:rsidRPr="006A7320" w:rsidRDefault="0029430D">
            <w:pPr>
              <w:rPr>
                <w:sz w:val="22"/>
                <w:szCs w:val="22"/>
                <w:lang w:val="en-US"/>
              </w:rPr>
            </w:pPr>
            <w:r w:rsidRPr="006A7320">
              <w:rPr>
                <w:sz w:val="22"/>
                <w:szCs w:val="22"/>
                <w:lang w:val="en-US"/>
              </w:rPr>
              <w:t>Blood creatinine increased during initial treatment</w:t>
            </w:r>
            <w:r w:rsidRPr="006A7320">
              <w:rPr>
                <w:sz w:val="22"/>
                <w:szCs w:val="22"/>
                <w:vertAlign w:val="superscript"/>
                <w:lang w:val="en-US"/>
              </w:rPr>
              <w:t>*</w:t>
            </w:r>
            <w:proofErr w:type="gramStart"/>
            <w:r w:rsidRPr="006A7320">
              <w:rPr>
                <w:sz w:val="22"/>
                <w:szCs w:val="22"/>
                <w:vertAlign w:val="superscript"/>
                <w:lang w:val="en-US"/>
              </w:rPr>
              <w:t>*</w:t>
            </w:r>
            <w:r w:rsidRPr="006A7320">
              <w:rPr>
                <w:sz w:val="22"/>
                <w:szCs w:val="22"/>
                <w:lang w:val="en-US"/>
              </w:rPr>
              <w:t>,</w:t>
            </w:r>
            <w:r w:rsidRPr="006A7320">
              <w:rPr>
                <w:sz w:val="22"/>
                <w:szCs w:val="22"/>
                <w:vertAlign w:val="superscript"/>
                <w:lang w:val="en-US"/>
              </w:rPr>
              <w:t>b</w:t>
            </w:r>
            <w:proofErr w:type="gramEnd"/>
            <w:r w:rsidRPr="006A7320">
              <w:rPr>
                <w:sz w:val="22"/>
                <w:szCs w:val="22"/>
                <w:lang w:val="en-US"/>
              </w:rPr>
              <w:t xml:space="preserve"> Blood urea increased</w:t>
            </w:r>
            <w:r w:rsidRPr="006A7320">
              <w:rPr>
                <w:sz w:val="22"/>
                <w:szCs w:val="22"/>
                <w:vertAlign w:val="superscript"/>
                <w:lang w:val="en-US"/>
              </w:rPr>
              <w:t xml:space="preserve">** </w:t>
            </w:r>
            <w:r w:rsidRPr="006A7320">
              <w:rPr>
                <w:sz w:val="22"/>
                <w:szCs w:val="22"/>
                <w:lang w:val="en-US"/>
              </w:rPr>
              <w:t>Weight decreased</w:t>
            </w:r>
            <w:r w:rsidRPr="006A7320">
              <w:rPr>
                <w:sz w:val="22"/>
                <w:szCs w:val="22"/>
                <w:vertAlign w:val="superscript"/>
                <w:lang w:val="en-US"/>
              </w:rPr>
              <w:t>**</w:t>
            </w:r>
          </w:p>
        </w:tc>
        <w:tc>
          <w:tcPr>
            <w:tcW w:w="690" w:type="pct"/>
            <w:tcBorders>
              <w:top w:val="single" w:sz="4" w:space="0" w:color="auto"/>
              <w:left w:val="single" w:sz="4" w:space="0" w:color="auto"/>
              <w:bottom w:val="single" w:sz="4" w:space="0" w:color="auto"/>
              <w:right w:val="single" w:sz="4" w:space="0" w:color="auto"/>
            </w:tcBorders>
          </w:tcPr>
          <w:p w14:paraId="27E6F2BA" w14:textId="77777777" w:rsidR="0029430D" w:rsidRPr="006A7320" w:rsidRDefault="0029430D">
            <w:pPr>
              <w:rPr>
                <w:sz w:val="22"/>
                <w:szCs w:val="22"/>
                <w:lang w:val="en-US"/>
              </w:rPr>
            </w:pPr>
          </w:p>
        </w:tc>
        <w:tc>
          <w:tcPr>
            <w:tcW w:w="958" w:type="pct"/>
            <w:tcBorders>
              <w:top w:val="single" w:sz="4" w:space="0" w:color="auto"/>
              <w:left w:val="single" w:sz="4" w:space="0" w:color="auto"/>
              <w:bottom w:val="single" w:sz="4" w:space="0" w:color="auto"/>
              <w:right w:val="single" w:sz="4" w:space="0" w:color="auto"/>
            </w:tcBorders>
          </w:tcPr>
          <w:p w14:paraId="61FA94B9" w14:textId="77777777" w:rsidR="0029430D" w:rsidRPr="006A7320" w:rsidRDefault="0029430D">
            <w:pPr>
              <w:rPr>
                <w:sz w:val="22"/>
                <w:szCs w:val="22"/>
                <w:lang w:val="en-US"/>
              </w:rPr>
            </w:pPr>
          </w:p>
        </w:tc>
      </w:tr>
    </w:tbl>
    <w:p w14:paraId="58B14CBE" w14:textId="670FF850" w:rsidR="0029430D" w:rsidRPr="004C0E01" w:rsidRDefault="0029430D" w:rsidP="004C0E01">
      <w:pPr>
        <w:ind w:left="284" w:hanging="284"/>
        <w:rPr>
          <w:sz w:val="20"/>
          <w:lang w:val="en-GB" w:eastAsia="en-US"/>
        </w:rPr>
      </w:pPr>
      <w:proofErr w:type="spellStart"/>
      <w:r w:rsidRPr="004C0E01">
        <w:rPr>
          <w:sz w:val="20"/>
          <w:vertAlign w:val="superscript"/>
          <w:lang w:val="en-US"/>
        </w:rPr>
        <w:t>a</w:t>
      </w:r>
      <w:proofErr w:type="spellEnd"/>
      <w:r w:rsidR="004C0E01">
        <w:rPr>
          <w:sz w:val="20"/>
          <w:vertAlign w:val="superscript"/>
          <w:lang w:val="en-US"/>
        </w:rPr>
        <w:tab/>
      </w:r>
      <w:proofErr w:type="gramStart"/>
      <w:r w:rsidRPr="004C0E01">
        <w:rPr>
          <w:sz w:val="20"/>
          <w:lang w:val="en-US"/>
        </w:rPr>
        <w:t>The</w:t>
      </w:r>
      <w:proofErr w:type="gramEnd"/>
      <w:r w:rsidRPr="004C0E01">
        <w:rPr>
          <w:sz w:val="20"/>
          <w:lang w:val="en-US"/>
        </w:rPr>
        <w:t xml:space="preserve"> table shows up to 24-week (short-term) data regardless of </w:t>
      </w:r>
      <w:proofErr w:type="spellStart"/>
      <w:r w:rsidRPr="004C0E01">
        <w:rPr>
          <w:sz w:val="20"/>
          <w:lang w:val="en-US"/>
        </w:rPr>
        <w:t>glycaemic</w:t>
      </w:r>
      <w:proofErr w:type="spellEnd"/>
      <w:r w:rsidRPr="004C0E01">
        <w:rPr>
          <w:sz w:val="20"/>
          <w:lang w:val="en-US"/>
        </w:rPr>
        <w:t xml:space="preserve"> rescue.</w:t>
      </w:r>
    </w:p>
    <w:p w14:paraId="24DA0CE9" w14:textId="6AB60860" w:rsidR="0029430D" w:rsidRPr="004C0E01" w:rsidRDefault="0029430D" w:rsidP="004C0E01">
      <w:pPr>
        <w:ind w:left="284" w:hanging="284"/>
        <w:rPr>
          <w:sz w:val="20"/>
          <w:lang w:val="en-US"/>
        </w:rPr>
      </w:pPr>
      <w:r w:rsidRPr="004C0E01">
        <w:rPr>
          <w:sz w:val="20"/>
          <w:vertAlign w:val="superscript"/>
          <w:lang w:val="en-US"/>
        </w:rPr>
        <w:t>b</w:t>
      </w:r>
      <w:r w:rsidR="004C0E01">
        <w:rPr>
          <w:sz w:val="20"/>
          <w:vertAlign w:val="superscript"/>
          <w:lang w:val="en-US"/>
        </w:rPr>
        <w:tab/>
      </w:r>
      <w:r w:rsidRPr="004C0E01">
        <w:rPr>
          <w:sz w:val="20"/>
          <w:lang w:val="en-US"/>
        </w:rPr>
        <w:t>See corresponding subsection below for additional information.</w:t>
      </w:r>
    </w:p>
    <w:p w14:paraId="5C2E1219" w14:textId="646C399E" w:rsidR="0029430D" w:rsidRPr="004C0E01" w:rsidRDefault="0029430D" w:rsidP="004C0E01">
      <w:pPr>
        <w:ind w:left="284" w:hanging="284"/>
        <w:rPr>
          <w:sz w:val="20"/>
          <w:lang w:val="en-US"/>
        </w:rPr>
      </w:pPr>
      <w:r w:rsidRPr="004C0E01">
        <w:rPr>
          <w:sz w:val="20"/>
          <w:vertAlign w:val="superscript"/>
          <w:lang w:val="en-US"/>
        </w:rPr>
        <w:t>c</w:t>
      </w:r>
      <w:r w:rsidR="004C0E01">
        <w:rPr>
          <w:sz w:val="20"/>
          <w:vertAlign w:val="superscript"/>
          <w:lang w:val="en-US"/>
        </w:rPr>
        <w:tab/>
      </w:r>
      <w:r w:rsidRPr="004C0E01">
        <w:rPr>
          <w:sz w:val="20"/>
          <w:lang w:val="en-US"/>
        </w:rPr>
        <w:t xml:space="preserve">Vulvovaginitis, balanitis and related genital infections includes, e.g. the predefined preferred terms: vulvovaginal mycotic infection, vaginal infection, balanitis, genital infection fungal, vulvovaginal candidiasis, vulvovaginitis, balanitis candida, genital candidiasis, genital infection, genital infection male, penile infection, </w:t>
      </w:r>
      <w:proofErr w:type="spellStart"/>
      <w:r w:rsidRPr="004C0E01">
        <w:rPr>
          <w:sz w:val="20"/>
          <w:lang w:val="en-US"/>
        </w:rPr>
        <w:t>vulvitis</w:t>
      </w:r>
      <w:proofErr w:type="spellEnd"/>
      <w:r w:rsidRPr="004C0E01">
        <w:rPr>
          <w:sz w:val="20"/>
          <w:lang w:val="en-US"/>
        </w:rPr>
        <w:t xml:space="preserve">, vaginitis bacterial, </w:t>
      </w:r>
      <w:proofErr w:type="spellStart"/>
      <w:r w:rsidRPr="004C0E01">
        <w:rPr>
          <w:sz w:val="20"/>
          <w:lang w:val="en-US"/>
        </w:rPr>
        <w:t>vulval</w:t>
      </w:r>
      <w:proofErr w:type="spellEnd"/>
      <w:r w:rsidRPr="004C0E01">
        <w:rPr>
          <w:sz w:val="20"/>
          <w:lang w:val="en-US"/>
        </w:rPr>
        <w:t xml:space="preserve"> abscess. </w:t>
      </w:r>
    </w:p>
    <w:p w14:paraId="6E791F8C" w14:textId="26EB4E12" w:rsidR="0029430D" w:rsidRPr="004C0E01" w:rsidRDefault="0029430D" w:rsidP="004C0E01">
      <w:pPr>
        <w:ind w:left="284" w:hanging="284"/>
        <w:rPr>
          <w:sz w:val="20"/>
          <w:lang w:val="en-US"/>
        </w:rPr>
      </w:pPr>
      <w:r w:rsidRPr="004C0E01">
        <w:rPr>
          <w:sz w:val="20"/>
          <w:vertAlign w:val="superscript"/>
          <w:lang w:val="en-US"/>
        </w:rPr>
        <w:t>d</w:t>
      </w:r>
      <w:r w:rsidR="004C0E01">
        <w:rPr>
          <w:sz w:val="20"/>
          <w:vertAlign w:val="superscript"/>
          <w:lang w:val="en-US"/>
        </w:rPr>
        <w:tab/>
      </w:r>
      <w:r w:rsidRPr="004C0E01">
        <w:rPr>
          <w:sz w:val="20"/>
          <w:lang w:val="en-US"/>
        </w:rPr>
        <w:t xml:space="preserve">Urinary tract infection includes the following preferred terms, listed in order of frequency reported: urinary tract infection, cystitis, Escherichia urinary tract infection, genitourinary tract infection, pyelonephritis, </w:t>
      </w:r>
      <w:proofErr w:type="spellStart"/>
      <w:r w:rsidRPr="004C0E01">
        <w:rPr>
          <w:sz w:val="20"/>
          <w:lang w:val="en-US"/>
        </w:rPr>
        <w:t>trigonitis</w:t>
      </w:r>
      <w:proofErr w:type="spellEnd"/>
      <w:r w:rsidRPr="004C0E01">
        <w:rPr>
          <w:sz w:val="20"/>
          <w:lang w:val="en-US"/>
        </w:rPr>
        <w:t>, urethritis, kidney infection and prostatitis.</w:t>
      </w:r>
    </w:p>
    <w:p w14:paraId="37BC2F3A" w14:textId="2C1EE30E" w:rsidR="0029430D" w:rsidRPr="004C0E01" w:rsidRDefault="0029430D" w:rsidP="004C0E01">
      <w:pPr>
        <w:ind w:left="284" w:hanging="284"/>
        <w:rPr>
          <w:sz w:val="20"/>
          <w:lang w:val="en-US"/>
        </w:rPr>
      </w:pPr>
      <w:r w:rsidRPr="004C0E01">
        <w:rPr>
          <w:sz w:val="20"/>
          <w:vertAlign w:val="superscript"/>
          <w:lang w:val="en-US"/>
        </w:rPr>
        <w:t>e</w:t>
      </w:r>
      <w:r w:rsidR="004C0E01">
        <w:rPr>
          <w:sz w:val="20"/>
          <w:vertAlign w:val="superscript"/>
          <w:lang w:val="en-US"/>
        </w:rPr>
        <w:tab/>
      </w:r>
      <w:r w:rsidRPr="004C0E01">
        <w:rPr>
          <w:sz w:val="20"/>
          <w:lang w:val="en-US"/>
        </w:rPr>
        <w:t xml:space="preserve">Volume depletion includes, e.g. the predefined preferred terms: dehydration, </w:t>
      </w:r>
      <w:proofErr w:type="spellStart"/>
      <w:r w:rsidRPr="004C0E01">
        <w:rPr>
          <w:sz w:val="20"/>
          <w:lang w:val="en-US"/>
        </w:rPr>
        <w:t>hypovolaemia</w:t>
      </w:r>
      <w:proofErr w:type="spellEnd"/>
      <w:r w:rsidRPr="004C0E01">
        <w:rPr>
          <w:sz w:val="20"/>
          <w:lang w:val="en-US"/>
        </w:rPr>
        <w:t>, hypotension.</w:t>
      </w:r>
    </w:p>
    <w:p w14:paraId="496C972A" w14:textId="37F953BF" w:rsidR="0029430D" w:rsidRPr="004C0E01" w:rsidRDefault="0029430D" w:rsidP="004C0E01">
      <w:pPr>
        <w:ind w:left="284" w:hanging="284"/>
        <w:rPr>
          <w:sz w:val="20"/>
          <w:lang w:val="en-US"/>
        </w:rPr>
      </w:pPr>
      <w:r w:rsidRPr="004C0E01">
        <w:rPr>
          <w:sz w:val="20"/>
          <w:vertAlign w:val="superscript"/>
          <w:lang w:val="en-US"/>
        </w:rPr>
        <w:t>f</w:t>
      </w:r>
      <w:r w:rsidR="004C0E01">
        <w:rPr>
          <w:sz w:val="20"/>
          <w:vertAlign w:val="superscript"/>
          <w:lang w:val="en-US"/>
        </w:rPr>
        <w:tab/>
      </w:r>
      <w:r w:rsidRPr="004C0E01">
        <w:rPr>
          <w:sz w:val="20"/>
          <w:lang w:val="en-US"/>
        </w:rPr>
        <w:t>Polyuria includes the preferred terms: pollakiuria, polyuria, urine output increased.</w:t>
      </w:r>
    </w:p>
    <w:p w14:paraId="65F010F4" w14:textId="730EA10C" w:rsidR="0029430D" w:rsidRPr="004C0E01" w:rsidRDefault="0029430D" w:rsidP="004C0E01">
      <w:pPr>
        <w:ind w:left="284" w:hanging="284"/>
        <w:rPr>
          <w:sz w:val="20"/>
          <w:lang w:val="en-US"/>
        </w:rPr>
      </w:pPr>
      <w:r w:rsidRPr="004C0E01">
        <w:rPr>
          <w:sz w:val="20"/>
          <w:vertAlign w:val="superscript"/>
          <w:lang w:val="en-US"/>
        </w:rPr>
        <w:t>g</w:t>
      </w:r>
      <w:r w:rsidR="004C0E01">
        <w:rPr>
          <w:sz w:val="20"/>
          <w:vertAlign w:val="superscript"/>
          <w:lang w:val="en-US"/>
        </w:rPr>
        <w:tab/>
      </w:r>
      <w:r w:rsidRPr="004C0E01">
        <w:rPr>
          <w:sz w:val="20"/>
          <w:lang w:val="en-US"/>
        </w:rPr>
        <w:t xml:space="preserve">Mean changes from baseline in </w:t>
      </w:r>
      <w:proofErr w:type="spellStart"/>
      <w:r w:rsidRPr="004C0E01">
        <w:rPr>
          <w:sz w:val="20"/>
          <w:lang w:val="en-US"/>
        </w:rPr>
        <w:t>haematocrit</w:t>
      </w:r>
      <w:proofErr w:type="spellEnd"/>
      <w:r w:rsidRPr="004C0E01">
        <w:rPr>
          <w:sz w:val="20"/>
          <w:lang w:val="en-US"/>
        </w:rPr>
        <w:t xml:space="preserve"> were 2.30% for dapagliflozin 10 mg versus –0.33% for placebo. </w:t>
      </w:r>
      <w:proofErr w:type="spellStart"/>
      <w:r w:rsidRPr="004C0E01">
        <w:rPr>
          <w:sz w:val="20"/>
          <w:lang w:val="en-US"/>
        </w:rPr>
        <w:t>Haematocrit</w:t>
      </w:r>
      <w:proofErr w:type="spellEnd"/>
      <w:r w:rsidRPr="004C0E01">
        <w:rPr>
          <w:sz w:val="20"/>
          <w:lang w:val="en-US"/>
        </w:rPr>
        <w:t xml:space="preserve"> values &gt;55% were reported in 1.3% of the subjects treated with dapagliflozin 10 mg versus 0.4% of placebo subjects.</w:t>
      </w:r>
    </w:p>
    <w:p w14:paraId="45C753A8" w14:textId="13454153" w:rsidR="0029430D" w:rsidRPr="004C0E01" w:rsidRDefault="0029430D" w:rsidP="004C0E01">
      <w:pPr>
        <w:ind w:left="284" w:hanging="284"/>
        <w:rPr>
          <w:sz w:val="20"/>
          <w:lang w:val="en-US"/>
        </w:rPr>
      </w:pPr>
      <w:r w:rsidRPr="004C0E01">
        <w:rPr>
          <w:sz w:val="20"/>
          <w:vertAlign w:val="superscript"/>
          <w:lang w:val="en-US"/>
        </w:rPr>
        <w:t>h</w:t>
      </w:r>
      <w:r w:rsidR="004C0E01">
        <w:rPr>
          <w:sz w:val="20"/>
          <w:vertAlign w:val="superscript"/>
          <w:lang w:val="en-US"/>
        </w:rPr>
        <w:tab/>
      </w:r>
      <w:r w:rsidRPr="004C0E01">
        <w:rPr>
          <w:sz w:val="20"/>
          <w:lang w:val="en-US"/>
        </w:rPr>
        <w:t>Mean percent change from baseline for dapagliflozin 10 mg versus placebo, respectively, was: total cholesterol 2.5% versus 0.0%; HDL cholesterol 6.0% versus 2.7%; LDL cholesterol 2.9% versus -1.0%; triglycerides -2.7% versus -0.7%.</w:t>
      </w:r>
    </w:p>
    <w:p w14:paraId="0AE126E8" w14:textId="24EE531E" w:rsidR="0029430D" w:rsidRPr="004C0E01" w:rsidRDefault="004C0E01" w:rsidP="004C0E01">
      <w:pPr>
        <w:ind w:left="284" w:hanging="284"/>
        <w:rPr>
          <w:sz w:val="20"/>
          <w:lang w:val="en-US"/>
        </w:rPr>
      </w:pPr>
      <w:r>
        <w:rPr>
          <w:sz w:val="20"/>
          <w:vertAlign w:val="superscript"/>
          <w:lang w:val="en-US"/>
        </w:rPr>
        <w:t>i</w:t>
      </w:r>
      <w:r>
        <w:rPr>
          <w:sz w:val="20"/>
          <w:vertAlign w:val="superscript"/>
          <w:lang w:val="en-US"/>
        </w:rPr>
        <w:tab/>
      </w:r>
      <w:r w:rsidR="0029430D" w:rsidRPr="004C0E01">
        <w:rPr>
          <w:sz w:val="20"/>
          <w:lang w:val="en-US"/>
        </w:rPr>
        <w:t>See section 4.4.</w:t>
      </w:r>
    </w:p>
    <w:p w14:paraId="7A9E41B5" w14:textId="60AE12F2" w:rsidR="0029430D" w:rsidRPr="004C0E01" w:rsidRDefault="0029430D" w:rsidP="004C0E01">
      <w:pPr>
        <w:ind w:left="284" w:hanging="284"/>
        <w:rPr>
          <w:sz w:val="20"/>
          <w:lang w:val="en-US"/>
        </w:rPr>
      </w:pPr>
      <w:r w:rsidRPr="004C0E01">
        <w:rPr>
          <w:sz w:val="20"/>
          <w:vertAlign w:val="superscript"/>
          <w:lang w:val="en-US"/>
        </w:rPr>
        <w:t>j</w:t>
      </w:r>
      <w:r w:rsidR="004C0E01">
        <w:rPr>
          <w:sz w:val="20"/>
          <w:vertAlign w:val="superscript"/>
          <w:lang w:val="en-US"/>
        </w:rPr>
        <w:tab/>
      </w:r>
      <w:r w:rsidRPr="004C0E01">
        <w:rPr>
          <w:sz w:val="20"/>
          <w:lang w:val="en-US"/>
        </w:rPr>
        <w:t xml:space="preserve">Adverse reaction was identified through </w:t>
      </w:r>
      <w:proofErr w:type="spellStart"/>
      <w:r w:rsidRPr="004C0E01">
        <w:rPr>
          <w:sz w:val="20"/>
          <w:lang w:val="en-US"/>
        </w:rPr>
        <w:t>postmarketing</w:t>
      </w:r>
      <w:proofErr w:type="spellEnd"/>
      <w:r w:rsidRPr="004C0E01">
        <w:rPr>
          <w:sz w:val="20"/>
          <w:lang w:val="en-US"/>
        </w:rPr>
        <w:t xml:space="preserve"> surveillance. Rash includes the following preferred terms, listed in order of frequency in clinical studies: rash, rash </w:t>
      </w:r>
      <w:proofErr w:type="spellStart"/>
      <w:r w:rsidRPr="004C0E01">
        <w:rPr>
          <w:sz w:val="20"/>
          <w:lang w:val="en-US"/>
        </w:rPr>
        <w:t>generalised</w:t>
      </w:r>
      <w:proofErr w:type="spellEnd"/>
      <w:r w:rsidRPr="004C0E01">
        <w:rPr>
          <w:sz w:val="20"/>
          <w:lang w:val="en-US"/>
        </w:rPr>
        <w:t>, rash pruritic, rash macular, rash maculo-papular, rash pustular, rash vesicular, and rash erythematous. In active- and placebo-controlled clinical studies (dapagliflozin, N=5936, All control, N=3403), the frequency of rash was similar for dapagliflozin (1.4%) and all control (1.4%), respectively.</w:t>
      </w:r>
    </w:p>
    <w:p w14:paraId="244BBC22" w14:textId="65F76908" w:rsidR="0029430D" w:rsidRPr="004C0E01" w:rsidRDefault="0029430D" w:rsidP="004C0E01">
      <w:pPr>
        <w:ind w:left="284" w:hanging="284"/>
        <w:rPr>
          <w:sz w:val="20"/>
          <w:lang w:val="en-US"/>
        </w:rPr>
      </w:pPr>
      <w:r w:rsidRPr="004C0E01">
        <w:rPr>
          <w:sz w:val="20"/>
          <w:vertAlign w:val="superscript"/>
          <w:lang w:val="en-US"/>
        </w:rPr>
        <w:t>k</w:t>
      </w:r>
      <w:r w:rsidR="004C0E01">
        <w:rPr>
          <w:sz w:val="20"/>
          <w:vertAlign w:val="superscript"/>
          <w:lang w:val="en-US"/>
        </w:rPr>
        <w:tab/>
      </w:r>
      <w:r w:rsidRPr="004C0E01">
        <w:rPr>
          <w:sz w:val="20"/>
          <w:lang w:val="en-US"/>
        </w:rPr>
        <w:t>Reported in the cardiovascular outcomes study in patients with type 2 diabetes (DECLARE). Frequency is based on annual rate.</w:t>
      </w:r>
    </w:p>
    <w:p w14:paraId="087D361A" w14:textId="5F854E84" w:rsidR="0029430D" w:rsidRPr="004C0E01" w:rsidRDefault="0029430D" w:rsidP="004C0E01">
      <w:pPr>
        <w:ind w:left="284" w:hanging="284"/>
        <w:rPr>
          <w:sz w:val="20"/>
          <w:lang w:val="en-US"/>
        </w:rPr>
      </w:pPr>
      <w:r w:rsidRPr="004C0E01">
        <w:rPr>
          <w:sz w:val="20"/>
          <w:vertAlign w:val="superscript"/>
          <w:lang w:val="en-US"/>
        </w:rPr>
        <w:t>*</w:t>
      </w:r>
      <w:r w:rsidR="004C0E01">
        <w:rPr>
          <w:sz w:val="20"/>
          <w:vertAlign w:val="superscript"/>
          <w:lang w:val="en-US"/>
        </w:rPr>
        <w:tab/>
      </w:r>
      <w:r w:rsidRPr="004C0E01">
        <w:rPr>
          <w:sz w:val="20"/>
          <w:lang w:val="en-US"/>
        </w:rPr>
        <w:t>Reported in ≥ 2% of subjects and ≥ 1% more and at least 3 more subjects treated with dapagliflozin 10 mg compared to placebo.</w:t>
      </w:r>
    </w:p>
    <w:p w14:paraId="46913D71" w14:textId="2FFFE303" w:rsidR="0029430D" w:rsidRPr="004C0E01" w:rsidRDefault="0029430D" w:rsidP="004C0E01">
      <w:pPr>
        <w:ind w:left="284" w:hanging="284"/>
        <w:rPr>
          <w:sz w:val="20"/>
          <w:lang w:val="en-US"/>
        </w:rPr>
      </w:pPr>
      <w:r w:rsidRPr="004C0E01">
        <w:rPr>
          <w:sz w:val="20"/>
          <w:vertAlign w:val="superscript"/>
          <w:lang w:val="en-US"/>
        </w:rPr>
        <w:t>**</w:t>
      </w:r>
      <w:r w:rsidR="004C0E01">
        <w:rPr>
          <w:sz w:val="20"/>
          <w:vertAlign w:val="superscript"/>
          <w:lang w:val="en-US"/>
        </w:rPr>
        <w:tab/>
      </w:r>
      <w:r w:rsidRPr="004C0E01">
        <w:rPr>
          <w:sz w:val="20"/>
          <w:lang w:val="en-US"/>
        </w:rPr>
        <w:t>Reported by the investigator as possibly related, probably related or related to study treatment and reported in ≥</w:t>
      </w:r>
      <w:r w:rsidR="00583F33">
        <w:rPr>
          <w:sz w:val="20"/>
          <w:lang w:val="en-US"/>
        </w:rPr>
        <w:t> </w:t>
      </w:r>
      <w:r w:rsidRPr="004C0E01">
        <w:rPr>
          <w:sz w:val="20"/>
          <w:lang w:val="en-US"/>
        </w:rPr>
        <w:t>0.2% of subjects and ≥ 0.1% more and at least 3 more subjects treated with dapagliflozin 10 mg compared to placebo.</w:t>
      </w:r>
    </w:p>
    <w:p w14:paraId="4CEEE228" w14:textId="77777777" w:rsidR="0029430D" w:rsidRPr="00312F3E" w:rsidRDefault="0029430D" w:rsidP="0029430D">
      <w:pPr>
        <w:rPr>
          <w:sz w:val="24"/>
          <w:szCs w:val="24"/>
          <w:lang w:val="en-US"/>
        </w:rPr>
      </w:pPr>
    </w:p>
    <w:p w14:paraId="0366E4AA" w14:textId="77777777" w:rsidR="0029430D" w:rsidRPr="00B80469" w:rsidRDefault="0029430D" w:rsidP="007E4A60">
      <w:pPr>
        <w:ind w:left="851"/>
        <w:rPr>
          <w:sz w:val="24"/>
          <w:szCs w:val="24"/>
          <w:u w:val="single"/>
          <w:lang w:val="en-US"/>
        </w:rPr>
      </w:pPr>
      <w:r w:rsidRPr="00B80469">
        <w:rPr>
          <w:sz w:val="24"/>
          <w:szCs w:val="24"/>
          <w:u w:val="single"/>
          <w:lang w:val="en-US"/>
        </w:rPr>
        <w:t>Description of selected adverse reactions</w:t>
      </w:r>
    </w:p>
    <w:p w14:paraId="1D5EEFDA" w14:textId="77777777" w:rsidR="0029430D" w:rsidRPr="00312F3E" w:rsidRDefault="0029430D" w:rsidP="007E4A60">
      <w:pPr>
        <w:ind w:left="851"/>
        <w:rPr>
          <w:sz w:val="24"/>
          <w:szCs w:val="24"/>
          <w:lang w:val="en-US"/>
        </w:rPr>
      </w:pPr>
    </w:p>
    <w:p w14:paraId="5E244A79" w14:textId="77777777" w:rsidR="0029430D" w:rsidRPr="00B80469" w:rsidRDefault="0029430D" w:rsidP="007E4A60">
      <w:pPr>
        <w:ind w:left="851"/>
        <w:rPr>
          <w:i/>
          <w:iCs/>
          <w:sz w:val="24"/>
          <w:szCs w:val="24"/>
          <w:u w:val="single"/>
          <w:lang w:val="en-US"/>
        </w:rPr>
      </w:pPr>
      <w:r w:rsidRPr="00B80469">
        <w:rPr>
          <w:i/>
          <w:iCs/>
          <w:sz w:val="24"/>
          <w:szCs w:val="24"/>
          <w:u w:val="single"/>
          <w:lang w:val="en-US"/>
        </w:rPr>
        <w:t>Vulvovaginitis, balanitis and related genital infections</w:t>
      </w:r>
    </w:p>
    <w:p w14:paraId="3149DA5A" w14:textId="77777777" w:rsidR="0029430D" w:rsidRPr="00312F3E" w:rsidRDefault="0029430D" w:rsidP="007E4A60">
      <w:pPr>
        <w:ind w:left="851"/>
        <w:rPr>
          <w:sz w:val="24"/>
          <w:szCs w:val="24"/>
          <w:lang w:val="en-US"/>
        </w:rPr>
      </w:pPr>
      <w:r w:rsidRPr="00312F3E">
        <w:rPr>
          <w:sz w:val="24"/>
          <w:szCs w:val="24"/>
          <w:lang w:val="en-US"/>
        </w:rPr>
        <w:t>In the 13-study safety pool, vulvovaginitis, balanitis and related genital infections were reported in 5.5% and 0.6% of subjects who received dapagliflozin 10 mg and placebo, respectively. Most infections were mild to moderate, and subjects responded to an initial course of standard treatment and rarely resulted in discontinuation from dapagliflozin treatment. These infections were more frequent in females (8.4% and 1.2% for dapagliflozin and placebo, respectively), and subjects with a prior history were more likely to have a recurrent infection.</w:t>
      </w:r>
    </w:p>
    <w:p w14:paraId="794A72BA" w14:textId="77777777" w:rsidR="0029430D" w:rsidRPr="00312F3E" w:rsidRDefault="0029430D" w:rsidP="007E4A60">
      <w:pPr>
        <w:ind w:left="851"/>
        <w:rPr>
          <w:sz w:val="24"/>
          <w:szCs w:val="24"/>
          <w:lang w:val="en-US"/>
        </w:rPr>
      </w:pPr>
    </w:p>
    <w:p w14:paraId="38204713" w14:textId="77777777" w:rsidR="0029430D" w:rsidRPr="00312F3E" w:rsidRDefault="0029430D" w:rsidP="007E4A60">
      <w:pPr>
        <w:ind w:left="851"/>
        <w:rPr>
          <w:sz w:val="24"/>
          <w:szCs w:val="24"/>
          <w:lang w:val="en-US"/>
        </w:rPr>
      </w:pPr>
      <w:r w:rsidRPr="00312F3E">
        <w:rPr>
          <w:sz w:val="24"/>
          <w:szCs w:val="24"/>
          <w:lang w:val="en-US"/>
        </w:rPr>
        <w:t>In the DECLARE study, the numbers of patients with serious adverse events of genital infections were few and balanced: 2 patients in each of the dapagliflozin and placebo groups.</w:t>
      </w:r>
    </w:p>
    <w:p w14:paraId="49538755" w14:textId="77777777" w:rsidR="0029430D" w:rsidRPr="00312F3E" w:rsidRDefault="0029430D" w:rsidP="007E4A60">
      <w:pPr>
        <w:ind w:left="851"/>
        <w:rPr>
          <w:sz w:val="24"/>
          <w:szCs w:val="24"/>
          <w:lang w:val="en-US"/>
        </w:rPr>
      </w:pPr>
    </w:p>
    <w:p w14:paraId="247BA325" w14:textId="77777777" w:rsidR="0029430D" w:rsidRPr="00312F3E" w:rsidRDefault="0029430D" w:rsidP="007E4A60">
      <w:pPr>
        <w:ind w:left="851"/>
        <w:rPr>
          <w:sz w:val="24"/>
          <w:szCs w:val="24"/>
          <w:lang w:val="en-US"/>
        </w:rPr>
      </w:pPr>
      <w:r w:rsidRPr="00312F3E">
        <w:rPr>
          <w:sz w:val="24"/>
          <w:szCs w:val="24"/>
          <w:lang w:val="en-US"/>
        </w:rPr>
        <w:t>In the DAPA-HF study, no patient reported serious adverse events of genital infections in the dapagliflozin group and one in the placebo group. There were 7 (0.3%) patients with adverse events leading to discontinuations due to genital infections in the dapagliflozin group and none in the placebo group. In the DELIVER study, one (&lt; 0.1%) patient in each treatment group reported a serious adverse event of genital infections. There were 3 (0.1%) patients with adverse events leading to discontinuations due to genital infection in the dapagliflozin group and none in the placebo group.</w:t>
      </w:r>
    </w:p>
    <w:p w14:paraId="362E7F0F" w14:textId="77777777" w:rsidR="0029430D" w:rsidRPr="00312F3E" w:rsidRDefault="0029430D" w:rsidP="007E4A60">
      <w:pPr>
        <w:ind w:left="851"/>
        <w:rPr>
          <w:sz w:val="24"/>
          <w:szCs w:val="24"/>
          <w:lang w:val="en-US"/>
        </w:rPr>
      </w:pPr>
    </w:p>
    <w:p w14:paraId="30CD3A44" w14:textId="77777777" w:rsidR="0029430D" w:rsidRPr="00312F3E" w:rsidRDefault="0029430D" w:rsidP="007E4A60">
      <w:pPr>
        <w:ind w:left="851"/>
        <w:rPr>
          <w:sz w:val="24"/>
          <w:szCs w:val="24"/>
          <w:lang w:val="en-US"/>
        </w:rPr>
      </w:pPr>
      <w:r w:rsidRPr="00312F3E">
        <w:rPr>
          <w:sz w:val="24"/>
          <w:szCs w:val="24"/>
          <w:lang w:val="en-US"/>
        </w:rPr>
        <w:t>In the DAPA-CKD study, there were 3 (0.1%) patients with serious adverse events of genital infections in the dapagliflozin group and none in the placebo group. There were 3 (0.1%) patients with adverse events leading to discontinuation due to genital infections in the dapagliflozin group and none in the placebo group. Serious adverse events of genital infections or adverse events leading to discontinuation due to genital infections were not reported for any patients without diabetes.</w:t>
      </w:r>
    </w:p>
    <w:p w14:paraId="4C41180C" w14:textId="77777777" w:rsidR="0029430D" w:rsidRPr="00312F3E" w:rsidRDefault="0029430D" w:rsidP="007E4A60">
      <w:pPr>
        <w:ind w:left="851"/>
        <w:rPr>
          <w:sz w:val="24"/>
          <w:szCs w:val="24"/>
          <w:lang w:val="en-US"/>
        </w:rPr>
      </w:pPr>
    </w:p>
    <w:p w14:paraId="784459ED" w14:textId="77777777" w:rsidR="0029430D" w:rsidRPr="00312F3E" w:rsidRDefault="0029430D" w:rsidP="007E4A60">
      <w:pPr>
        <w:ind w:left="851"/>
        <w:rPr>
          <w:sz w:val="24"/>
          <w:szCs w:val="24"/>
          <w:lang w:val="en-US"/>
        </w:rPr>
      </w:pPr>
      <w:r w:rsidRPr="00312F3E">
        <w:rPr>
          <w:sz w:val="24"/>
          <w:szCs w:val="24"/>
          <w:lang w:val="en-US"/>
        </w:rPr>
        <w:t>Cases of phimosis/acquired phimosis have been reported concurrent with genital infections and in some cases, circumcision was required.</w:t>
      </w:r>
    </w:p>
    <w:p w14:paraId="713AC391" w14:textId="77777777" w:rsidR="0029430D" w:rsidRPr="00312F3E" w:rsidRDefault="0029430D" w:rsidP="007E4A60">
      <w:pPr>
        <w:ind w:left="851"/>
        <w:rPr>
          <w:sz w:val="24"/>
          <w:szCs w:val="24"/>
          <w:lang w:val="en-US"/>
        </w:rPr>
      </w:pPr>
    </w:p>
    <w:p w14:paraId="766D9639" w14:textId="77777777" w:rsidR="0029430D" w:rsidRPr="00B80469" w:rsidRDefault="0029430D" w:rsidP="007E4A60">
      <w:pPr>
        <w:ind w:left="851"/>
        <w:rPr>
          <w:i/>
          <w:iCs/>
          <w:sz w:val="24"/>
          <w:szCs w:val="24"/>
          <w:u w:val="single"/>
          <w:lang w:val="en-US"/>
        </w:rPr>
      </w:pPr>
      <w:proofErr w:type="spellStart"/>
      <w:r w:rsidRPr="00B80469">
        <w:rPr>
          <w:i/>
          <w:iCs/>
          <w:sz w:val="24"/>
          <w:szCs w:val="24"/>
          <w:u w:val="single"/>
          <w:lang w:val="en-US"/>
        </w:rPr>
        <w:t>Necrotising</w:t>
      </w:r>
      <w:proofErr w:type="spellEnd"/>
      <w:r w:rsidRPr="00B80469">
        <w:rPr>
          <w:i/>
          <w:iCs/>
          <w:sz w:val="24"/>
          <w:szCs w:val="24"/>
          <w:u w:val="single"/>
          <w:lang w:val="en-US"/>
        </w:rPr>
        <w:t xml:space="preserve"> fasciitis of the perineum (Fournier’s gangrene)</w:t>
      </w:r>
    </w:p>
    <w:p w14:paraId="6528EEFB" w14:textId="77777777" w:rsidR="0029430D" w:rsidRPr="00312F3E" w:rsidRDefault="0029430D" w:rsidP="007E4A60">
      <w:pPr>
        <w:ind w:left="851"/>
        <w:rPr>
          <w:sz w:val="24"/>
          <w:szCs w:val="24"/>
          <w:lang w:val="en-US"/>
        </w:rPr>
      </w:pPr>
      <w:r w:rsidRPr="00312F3E">
        <w:rPr>
          <w:sz w:val="24"/>
          <w:szCs w:val="24"/>
          <w:lang w:val="en-US"/>
        </w:rPr>
        <w:t xml:space="preserve">Cases of Fournier’s gangrene have been reported </w:t>
      </w:r>
      <w:proofErr w:type="spellStart"/>
      <w:r w:rsidRPr="00312F3E">
        <w:rPr>
          <w:sz w:val="24"/>
          <w:szCs w:val="24"/>
          <w:lang w:val="en-US"/>
        </w:rPr>
        <w:t>postmarketing</w:t>
      </w:r>
      <w:proofErr w:type="spellEnd"/>
      <w:r w:rsidRPr="00312F3E">
        <w:rPr>
          <w:sz w:val="24"/>
          <w:szCs w:val="24"/>
          <w:lang w:val="en-US"/>
        </w:rPr>
        <w:t xml:space="preserve"> in patients taking SGLT2 inhibitors, including dapagliflozin (see section 4.4).</w:t>
      </w:r>
    </w:p>
    <w:p w14:paraId="6E651123" w14:textId="77777777" w:rsidR="0029430D" w:rsidRPr="00312F3E" w:rsidRDefault="0029430D" w:rsidP="007E4A60">
      <w:pPr>
        <w:ind w:left="851"/>
        <w:rPr>
          <w:sz w:val="24"/>
          <w:szCs w:val="24"/>
          <w:lang w:val="en-US"/>
        </w:rPr>
      </w:pPr>
    </w:p>
    <w:p w14:paraId="364F5284" w14:textId="77777777" w:rsidR="0029430D" w:rsidRPr="00312F3E" w:rsidRDefault="0029430D" w:rsidP="007E4A60">
      <w:pPr>
        <w:ind w:left="851"/>
        <w:rPr>
          <w:sz w:val="24"/>
          <w:szCs w:val="24"/>
          <w:lang w:val="en-US"/>
        </w:rPr>
      </w:pPr>
      <w:r w:rsidRPr="00312F3E">
        <w:rPr>
          <w:sz w:val="24"/>
          <w:szCs w:val="24"/>
          <w:lang w:val="en-US"/>
        </w:rPr>
        <w:t>In the DECLARE study with 17,160 type 2 diabetes mellitus patients and a median exposure time of 48 months, a total of 6 cases of Fournier’s gangrene were reported, one in the dapagliflozin-treated group and 5 in the placebo group.</w:t>
      </w:r>
    </w:p>
    <w:p w14:paraId="1C1D73E3" w14:textId="77777777" w:rsidR="0029430D" w:rsidRPr="00312F3E" w:rsidRDefault="0029430D" w:rsidP="007E4A60">
      <w:pPr>
        <w:ind w:left="851"/>
        <w:rPr>
          <w:sz w:val="24"/>
          <w:szCs w:val="24"/>
          <w:lang w:val="en-US"/>
        </w:rPr>
      </w:pPr>
    </w:p>
    <w:p w14:paraId="30F38E74" w14:textId="77777777" w:rsidR="0029430D" w:rsidRPr="00B80469" w:rsidRDefault="0029430D" w:rsidP="007E4A60">
      <w:pPr>
        <w:ind w:left="851"/>
        <w:rPr>
          <w:i/>
          <w:iCs/>
          <w:sz w:val="24"/>
          <w:szCs w:val="24"/>
          <w:u w:val="single"/>
          <w:lang w:val="en-US"/>
        </w:rPr>
      </w:pPr>
      <w:proofErr w:type="spellStart"/>
      <w:r w:rsidRPr="00B80469">
        <w:rPr>
          <w:i/>
          <w:iCs/>
          <w:sz w:val="24"/>
          <w:szCs w:val="24"/>
          <w:u w:val="single"/>
          <w:lang w:val="en-US"/>
        </w:rPr>
        <w:t>Hypoglycaemia</w:t>
      </w:r>
      <w:proofErr w:type="spellEnd"/>
    </w:p>
    <w:p w14:paraId="0AACBA75" w14:textId="77777777" w:rsidR="0029430D" w:rsidRPr="00312F3E" w:rsidRDefault="0029430D" w:rsidP="007E4A60">
      <w:pPr>
        <w:ind w:left="851"/>
        <w:rPr>
          <w:sz w:val="24"/>
          <w:szCs w:val="24"/>
          <w:lang w:val="en-US"/>
        </w:rPr>
      </w:pPr>
      <w:r w:rsidRPr="00312F3E">
        <w:rPr>
          <w:sz w:val="24"/>
          <w:szCs w:val="24"/>
          <w:lang w:val="en-US"/>
        </w:rPr>
        <w:t xml:space="preserve">The frequency of </w:t>
      </w:r>
      <w:proofErr w:type="spellStart"/>
      <w:r w:rsidRPr="00312F3E">
        <w:rPr>
          <w:sz w:val="24"/>
          <w:szCs w:val="24"/>
          <w:lang w:val="en-US"/>
        </w:rPr>
        <w:t>hypoglycaemia</w:t>
      </w:r>
      <w:proofErr w:type="spellEnd"/>
      <w:r w:rsidRPr="00312F3E">
        <w:rPr>
          <w:sz w:val="24"/>
          <w:szCs w:val="24"/>
          <w:lang w:val="en-US"/>
        </w:rPr>
        <w:t xml:space="preserve"> depended on the type of background therapy used in the clinical studies in diabetes mellitus.</w:t>
      </w:r>
    </w:p>
    <w:p w14:paraId="1F79C477" w14:textId="77777777" w:rsidR="0029430D" w:rsidRPr="00312F3E" w:rsidRDefault="0029430D" w:rsidP="007E4A60">
      <w:pPr>
        <w:ind w:left="851"/>
        <w:rPr>
          <w:sz w:val="24"/>
          <w:szCs w:val="24"/>
          <w:lang w:val="en-US"/>
        </w:rPr>
      </w:pPr>
    </w:p>
    <w:p w14:paraId="1D72D848" w14:textId="77777777" w:rsidR="0029430D" w:rsidRPr="00312F3E" w:rsidRDefault="0029430D" w:rsidP="007E4A60">
      <w:pPr>
        <w:ind w:left="851"/>
        <w:rPr>
          <w:sz w:val="24"/>
          <w:szCs w:val="24"/>
          <w:lang w:val="en-US"/>
        </w:rPr>
      </w:pPr>
      <w:r w:rsidRPr="00312F3E">
        <w:rPr>
          <w:sz w:val="24"/>
          <w:szCs w:val="24"/>
          <w:lang w:val="en-US"/>
        </w:rPr>
        <w:t xml:space="preserve">For studies of dapagliflozin in monotherapy, as add-on to metformin or as add-on to sitagliptin (with or without metformin), the frequency of minor episodes of </w:t>
      </w:r>
      <w:proofErr w:type="spellStart"/>
      <w:r w:rsidRPr="00312F3E">
        <w:rPr>
          <w:sz w:val="24"/>
          <w:szCs w:val="24"/>
          <w:lang w:val="en-US"/>
        </w:rPr>
        <w:t>hypoglycaemia</w:t>
      </w:r>
      <w:proofErr w:type="spellEnd"/>
      <w:r w:rsidRPr="00312F3E">
        <w:rPr>
          <w:sz w:val="24"/>
          <w:szCs w:val="24"/>
          <w:lang w:val="en-US"/>
        </w:rPr>
        <w:t xml:space="preserve"> was similar (&lt; 5%) between treatment groups, including placebo up to 102 weeks of treatment. Across all studies, major events of </w:t>
      </w:r>
      <w:proofErr w:type="spellStart"/>
      <w:r w:rsidRPr="00312F3E">
        <w:rPr>
          <w:sz w:val="24"/>
          <w:szCs w:val="24"/>
          <w:lang w:val="en-US"/>
        </w:rPr>
        <w:t>hypoglycaemia</w:t>
      </w:r>
      <w:proofErr w:type="spellEnd"/>
      <w:r w:rsidRPr="00312F3E">
        <w:rPr>
          <w:sz w:val="24"/>
          <w:szCs w:val="24"/>
          <w:lang w:val="en-US"/>
        </w:rPr>
        <w:t xml:space="preserve"> were uncommon and comparable between the groups treated with dapagliflozin or placebo. Studies with add-on </w:t>
      </w:r>
      <w:proofErr w:type="spellStart"/>
      <w:r w:rsidRPr="00312F3E">
        <w:rPr>
          <w:sz w:val="24"/>
          <w:szCs w:val="24"/>
          <w:lang w:val="en-US"/>
        </w:rPr>
        <w:t>sulphonylurea</w:t>
      </w:r>
      <w:proofErr w:type="spellEnd"/>
      <w:r w:rsidRPr="00312F3E">
        <w:rPr>
          <w:sz w:val="24"/>
          <w:szCs w:val="24"/>
          <w:lang w:val="en-US"/>
        </w:rPr>
        <w:t xml:space="preserve"> and add-on insulin therapies had higher rates of </w:t>
      </w:r>
      <w:proofErr w:type="spellStart"/>
      <w:r w:rsidRPr="00312F3E">
        <w:rPr>
          <w:sz w:val="24"/>
          <w:szCs w:val="24"/>
          <w:lang w:val="en-US"/>
        </w:rPr>
        <w:t>hypoglycaemia</w:t>
      </w:r>
      <w:proofErr w:type="spellEnd"/>
      <w:r w:rsidRPr="00312F3E">
        <w:rPr>
          <w:sz w:val="24"/>
          <w:szCs w:val="24"/>
          <w:lang w:val="en-US"/>
        </w:rPr>
        <w:t xml:space="preserve"> (see section 4.5).</w:t>
      </w:r>
    </w:p>
    <w:p w14:paraId="59E00DD5" w14:textId="77777777" w:rsidR="0029430D" w:rsidRPr="00312F3E" w:rsidRDefault="0029430D" w:rsidP="007E4A60">
      <w:pPr>
        <w:ind w:left="851"/>
        <w:rPr>
          <w:sz w:val="24"/>
          <w:szCs w:val="24"/>
          <w:lang w:val="en-US"/>
        </w:rPr>
      </w:pPr>
    </w:p>
    <w:p w14:paraId="037F8FC1" w14:textId="77777777" w:rsidR="0029430D" w:rsidRPr="00312F3E" w:rsidRDefault="0029430D" w:rsidP="007E4A60">
      <w:pPr>
        <w:ind w:left="851"/>
        <w:rPr>
          <w:sz w:val="24"/>
          <w:szCs w:val="24"/>
          <w:lang w:val="en-US"/>
        </w:rPr>
      </w:pPr>
      <w:r w:rsidRPr="00312F3E">
        <w:rPr>
          <w:sz w:val="24"/>
          <w:szCs w:val="24"/>
          <w:lang w:val="en-US"/>
        </w:rPr>
        <w:t xml:space="preserve">In an add-on to glimepiride study, at weeks 24 and 48, minor episodes of </w:t>
      </w:r>
      <w:proofErr w:type="spellStart"/>
      <w:r w:rsidRPr="00312F3E">
        <w:rPr>
          <w:sz w:val="24"/>
          <w:szCs w:val="24"/>
          <w:lang w:val="en-US"/>
        </w:rPr>
        <w:t>hypoglycaemia</w:t>
      </w:r>
      <w:proofErr w:type="spellEnd"/>
      <w:r w:rsidRPr="00312F3E">
        <w:rPr>
          <w:sz w:val="24"/>
          <w:szCs w:val="24"/>
          <w:lang w:val="en-US"/>
        </w:rPr>
        <w:t xml:space="preserve"> were reported more frequently in the group treated with dapagliflozin 10 mg plus glimepiride (6.0% and 7.9%, respectively) than in the placebo plus glimepiride group (2.1% and 2.1%, respectively).</w:t>
      </w:r>
    </w:p>
    <w:p w14:paraId="4FBA9DC1" w14:textId="77777777" w:rsidR="0029430D" w:rsidRPr="00312F3E" w:rsidRDefault="0029430D" w:rsidP="007E4A60">
      <w:pPr>
        <w:ind w:left="851"/>
        <w:rPr>
          <w:sz w:val="24"/>
          <w:szCs w:val="24"/>
          <w:lang w:val="en-US"/>
        </w:rPr>
      </w:pPr>
    </w:p>
    <w:p w14:paraId="4542C942" w14:textId="77777777" w:rsidR="0029430D" w:rsidRPr="00312F3E" w:rsidRDefault="0029430D" w:rsidP="007E4A60">
      <w:pPr>
        <w:ind w:left="851"/>
        <w:rPr>
          <w:sz w:val="24"/>
          <w:szCs w:val="24"/>
          <w:lang w:val="en-US"/>
        </w:rPr>
      </w:pPr>
      <w:r w:rsidRPr="00312F3E">
        <w:rPr>
          <w:sz w:val="24"/>
          <w:szCs w:val="24"/>
          <w:lang w:val="en-US"/>
        </w:rPr>
        <w:t xml:space="preserve">In an add-on to insulin study, episodes of major </w:t>
      </w:r>
      <w:proofErr w:type="spellStart"/>
      <w:r w:rsidRPr="00312F3E">
        <w:rPr>
          <w:sz w:val="24"/>
          <w:szCs w:val="24"/>
          <w:lang w:val="en-US"/>
        </w:rPr>
        <w:t>hypoglycaemia</w:t>
      </w:r>
      <w:proofErr w:type="spellEnd"/>
      <w:r w:rsidRPr="00312F3E">
        <w:rPr>
          <w:sz w:val="24"/>
          <w:szCs w:val="24"/>
          <w:lang w:val="en-US"/>
        </w:rPr>
        <w:t xml:space="preserve"> were reported in 0.5% and 1.0% of subjects treated with dapagliflozin 10 mg plus insulin at weeks 24 and 104, respectively, and in 0.5% of subjects treated with placebo plus insulin groups at weeks 24 and 104. At weeks 24 and 104, minor episodes of </w:t>
      </w:r>
      <w:proofErr w:type="spellStart"/>
      <w:r w:rsidRPr="00312F3E">
        <w:rPr>
          <w:sz w:val="24"/>
          <w:szCs w:val="24"/>
          <w:lang w:val="en-US"/>
        </w:rPr>
        <w:t>hypoglycaemia</w:t>
      </w:r>
      <w:proofErr w:type="spellEnd"/>
      <w:r w:rsidRPr="00312F3E">
        <w:rPr>
          <w:sz w:val="24"/>
          <w:szCs w:val="24"/>
          <w:lang w:val="en-US"/>
        </w:rPr>
        <w:t xml:space="preserve"> were reported, respectively, in 40.3% and 53.1% of subjects who received dapagliflozin 10 mg plus insulin and in 34.0% and 41.6% of the subjects who received placebo plus insulin.</w:t>
      </w:r>
    </w:p>
    <w:p w14:paraId="2E2FC225" w14:textId="77777777" w:rsidR="0029430D" w:rsidRPr="00312F3E" w:rsidRDefault="0029430D" w:rsidP="007E4A60">
      <w:pPr>
        <w:ind w:left="851"/>
        <w:rPr>
          <w:sz w:val="24"/>
          <w:szCs w:val="24"/>
          <w:lang w:val="en-US"/>
        </w:rPr>
      </w:pPr>
    </w:p>
    <w:p w14:paraId="7937BEC2" w14:textId="77777777" w:rsidR="0029430D" w:rsidRPr="00312F3E" w:rsidRDefault="0029430D" w:rsidP="007E4A60">
      <w:pPr>
        <w:ind w:left="851"/>
        <w:rPr>
          <w:sz w:val="24"/>
          <w:szCs w:val="24"/>
          <w:lang w:val="en-US"/>
        </w:rPr>
      </w:pPr>
      <w:r w:rsidRPr="00312F3E">
        <w:rPr>
          <w:sz w:val="24"/>
          <w:szCs w:val="24"/>
          <w:lang w:val="en-US"/>
        </w:rPr>
        <w:t xml:space="preserve">In an add-on to metformin and a </w:t>
      </w:r>
      <w:proofErr w:type="spellStart"/>
      <w:r w:rsidRPr="00312F3E">
        <w:rPr>
          <w:sz w:val="24"/>
          <w:szCs w:val="24"/>
          <w:lang w:val="en-US"/>
        </w:rPr>
        <w:t>sulphonylurea</w:t>
      </w:r>
      <w:proofErr w:type="spellEnd"/>
      <w:r w:rsidRPr="00312F3E">
        <w:rPr>
          <w:sz w:val="24"/>
          <w:szCs w:val="24"/>
          <w:lang w:val="en-US"/>
        </w:rPr>
        <w:t xml:space="preserve"> study, up to 24 weeks, no episodes of major </w:t>
      </w:r>
      <w:proofErr w:type="spellStart"/>
      <w:r w:rsidRPr="00312F3E">
        <w:rPr>
          <w:sz w:val="24"/>
          <w:szCs w:val="24"/>
          <w:lang w:val="en-US"/>
        </w:rPr>
        <w:t>hypoglycaemia</w:t>
      </w:r>
      <w:proofErr w:type="spellEnd"/>
      <w:r w:rsidRPr="00312F3E">
        <w:rPr>
          <w:sz w:val="24"/>
          <w:szCs w:val="24"/>
          <w:lang w:val="en-US"/>
        </w:rPr>
        <w:t xml:space="preserve"> were reported. Minor episodes of </w:t>
      </w:r>
      <w:proofErr w:type="spellStart"/>
      <w:r w:rsidRPr="00312F3E">
        <w:rPr>
          <w:sz w:val="24"/>
          <w:szCs w:val="24"/>
          <w:lang w:val="en-US"/>
        </w:rPr>
        <w:t>hypoglycaemia</w:t>
      </w:r>
      <w:proofErr w:type="spellEnd"/>
      <w:r w:rsidRPr="00312F3E">
        <w:rPr>
          <w:sz w:val="24"/>
          <w:szCs w:val="24"/>
          <w:lang w:val="en-US"/>
        </w:rPr>
        <w:t xml:space="preserve"> were reported in 12.8% of subjects who received dapagliflozin 10 mg plus metformin and a </w:t>
      </w:r>
      <w:proofErr w:type="spellStart"/>
      <w:r w:rsidRPr="00312F3E">
        <w:rPr>
          <w:sz w:val="24"/>
          <w:szCs w:val="24"/>
          <w:lang w:val="en-US"/>
        </w:rPr>
        <w:t>sulphonylurea</w:t>
      </w:r>
      <w:proofErr w:type="spellEnd"/>
      <w:r w:rsidRPr="00312F3E">
        <w:rPr>
          <w:sz w:val="24"/>
          <w:szCs w:val="24"/>
          <w:lang w:val="en-US"/>
        </w:rPr>
        <w:t xml:space="preserve"> and in 3.7% of subjects who received placebo plus metformin and a </w:t>
      </w:r>
      <w:proofErr w:type="spellStart"/>
      <w:r w:rsidRPr="00312F3E">
        <w:rPr>
          <w:sz w:val="24"/>
          <w:szCs w:val="24"/>
          <w:lang w:val="en-US"/>
        </w:rPr>
        <w:t>sulphonylurea</w:t>
      </w:r>
      <w:proofErr w:type="spellEnd"/>
      <w:r w:rsidRPr="00312F3E">
        <w:rPr>
          <w:sz w:val="24"/>
          <w:szCs w:val="24"/>
          <w:lang w:val="en-US"/>
        </w:rPr>
        <w:t>.</w:t>
      </w:r>
    </w:p>
    <w:p w14:paraId="6A9E16F4" w14:textId="77777777" w:rsidR="0029430D" w:rsidRPr="00312F3E" w:rsidRDefault="0029430D" w:rsidP="007E4A60">
      <w:pPr>
        <w:ind w:left="851"/>
        <w:rPr>
          <w:sz w:val="24"/>
          <w:szCs w:val="24"/>
          <w:lang w:val="en-US"/>
        </w:rPr>
      </w:pPr>
    </w:p>
    <w:p w14:paraId="4DE37FDB" w14:textId="77777777" w:rsidR="0029430D" w:rsidRPr="00312F3E" w:rsidRDefault="0029430D" w:rsidP="007E4A60">
      <w:pPr>
        <w:ind w:left="851"/>
        <w:rPr>
          <w:sz w:val="24"/>
          <w:szCs w:val="24"/>
          <w:lang w:val="en-US"/>
        </w:rPr>
      </w:pPr>
      <w:r w:rsidRPr="00312F3E">
        <w:rPr>
          <w:sz w:val="24"/>
          <w:szCs w:val="24"/>
          <w:lang w:val="en-US"/>
        </w:rPr>
        <w:t xml:space="preserve">In the DECLARE study, no increased risk of major </w:t>
      </w:r>
      <w:proofErr w:type="spellStart"/>
      <w:r w:rsidRPr="00312F3E">
        <w:rPr>
          <w:sz w:val="24"/>
          <w:szCs w:val="24"/>
          <w:lang w:val="en-US"/>
        </w:rPr>
        <w:t>hypoglycaemia</w:t>
      </w:r>
      <w:proofErr w:type="spellEnd"/>
      <w:r w:rsidRPr="00312F3E">
        <w:rPr>
          <w:sz w:val="24"/>
          <w:szCs w:val="24"/>
          <w:lang w:val="en-US"/>
        </w:rPr>
        <w:t xml:space="preserve"> was observed with dapagliflozin therapy compared with placebo. Major events of </w:t>
      </w:r>
      <w:proofErr w:type="spellStart"/>
      <w:r w:rsidRPr="00312F3E">
        <w:rPr>
          <w:sz w:val="24"/>
          <w:szCs w:val="24"/>
          <w:lang w:val="en-US"/>
        </w:rPr>
        <w:t>hypoglycaemia</w:t>
      </w:r>
      <w:proofErr w:type="spellEnd"/>
      <w:r w:rsidRPr="00312F3E">
        <w:rPr>
          <w:sz w:val="24"/>
          <w:szCs w:val="24"/>
          <w:lang w:val="en-US"/>
        </w:rPr>
        <w:t xml:space="preserve"> were reported in 58 (0.7%) patients treated with dapagliflozin and 83 (1.0%) patients treated with placebo.</w:t>
      </w:r>
    </w:p>
    <w:p w14:paraId="2BACE002" w14:textId="77777777" w:rsidR="0029430D" w:rsidRPr="00312F3E" w:rsidRDefault="0029430D" w:rsidP="007E4A60">
      <w:pPr>
        <w:ind w:left="851"/>
        <w:rPr>
          <w:sz w:val="24"/>
          <w:szCs w:val="24"/>
          <w:lang w:val="en-US"/>
        </w:rPr>
      </w:pPr>
    </w:p>
    <w:p w14:paraId="221A7256" w14:textId="77777777" w:rsidR="0029430D" w:rsidRPr="00312F3E" w:rsidRDefault="0029430D" w:rsidP="007E4A60">
      <w:pPr>
        <w:ind w:left="851"/>
        <w:rPr>
          <w:sz w:val="24"/>
          <w:szCs w:val="24"/>
          <w:lang w:val="en-US"/>
        </w:rPr>
      </w:pPr>
      <w:r w:rsidRPr="00312F3E">
        <w:rPr>
          <w:sz w:val="24"/>
          <w:szCs w:val="24"/>
          <w:lang w:val="en-US"/>
        </w:rPr>
        <w:t xml:space="preserve">In the DAPA-HF study, major events of </w:t>
      </w:r>
      <w:proofErr w:type="spellStart"/>
      <w:r w:rsidRPr="00312F3E">
        <w:rPr>
          <w:sz w:val="24"/>
          <w:szCs w:val="24"/>
          <w:lang w:val="en-US"/>
        </w:rPr>
        <w:t>hypoglycaemia</w:t>
      </w:r>
      <w:proofErr w:type="spellEnd"/>
      <w:r w:rsidRPr="00312F3E">
        <w:rPr>
          <w:sz w:val="24"/>
          <w:szCs w:val="24"/>
          <w:lang w:val="en-US"/>
        </w:rPr>
        <w:t xml:space="preserve"> were reported in 4 (0.2%) patients in both the dapagliflozin and placebo treatment groups. In the DELIVER study, major events of </w:t>
      </w:r>
      <w:proofErr w:type="spellStart"/>
      <w:r w:rsidRPr="00312F3E">
        <w:rPr>
          <w:sz w:val="24"/>
          <w:szCs w:val="24"/>
          <w:lang w:val="en-US"/>
        </w:rPr>
        <w:t>hypoglycaemia</w:t>
      </w:r>
      <w:proofErr w:type="spellEnd"/>
      <w:r w:rsidRPr="00312F3E">
        <w:rPr>
          <w:sz w:val="24"/>
          <w:szCs w:val="24"/>
          <w:lang w:val="en-US"/>
        </w:rPr>
        <w:t xml:space="preserve"> were reported in 6 (0.2%) patients in the dapagliflozin group and 7 (0.2%) in the placebo group. Major events of </w:t>
      </w:r>
      <w:proofErr w:type="spellStart"/>
      <w:r w:rsidRPr="00312F3E">
        <w:rPr>
          <w:sz w:val="24"/>
          <w:szCs w:val="24"/>
          <w:lang w:val="en-US"/>
        </w:rPr>
        <w:t>hypoglycaemia</w:t>
      </w:r>
      <w:proofErr w:type="spellEnd"/>
      <w:r w:rsidRPr="00312F3E">
        <w:rPr>
          <w:sz w:val="24"/>
          <w:szCs w:val="24"/>
          <w:lang w:val="en-US"/>
        </w:rPr>
        <w:t xml:space="preserve"> were only observed in patients with type 2 diabetes mellitus. </w:t>
      </w:r>
    </w:p>
    <w:p w14:paraId="6BA11D43" w14:textId="77777777" w:rsidR="0029430D" w:rsidRPr="00312F3E" w:rsidRDefault="0029430D" w:rsidP="007E4A60">
      <w:pPr>
        <w:ind w:left="851"/>
        <w:rPr>
          <w:sz w:val="24"/>
          <w:szCs w:val="24"/>
          <w:lang w:val="en-US"/>
        </w:rPr>
      </w:pPr>
    </w:p>
    <w:p w14:paraId="1EEC933F" w14:textId="77777777" w:rsidR="0029430D" w:rsidRPr="00312F3E" w:rsidRDefault="0029430D" w:rsidP="007E4A60">
      <w:pPr>
        <w:ind w:left="851"/>
        <w:rPr>
          <w:sz w:val="24"/>
          <w:szCs w:val="24"/>
          <w:lang w:val="en-US"/>
        </w:rPr>
      </w:pPr>
      <w:r w:rsidRPr="00312F3E">
        <w:rPr>
          <w:sz w:val="24"/>
          <w:szCs w:val="24"/>
          <w:lang w:val="en-US"/>
        </w:rPr>
        <w:t xml:space="preserve">In the DAPA-CKD study, major events of </w:t>
      </w:r>
      <w:proofErr w:type="spellStart"/>
      <w:r w:rsidRPr="00312F3E">
        <w:rPr>
          <w:sz w:val="24"/>
          <w:szCs w:val="24"/>
          <w:lang w:val="en-US"/>
        </w:rPr>
        <w:t>hypoglycaemia</w:t>
      </w:r>
      <w:proofErr w:type="spellEnd"/>
      <w:r w:rsidRPr="00312F3E">
        <w:rPr>
          <w:sz w:val="24"/>
          <w:szCs w:val="24"/>
          <w:lang w:val="en-US"/>
        </w:rPr>
        <w:t xml:space="preserve"> were reported in 14 (0.7%) patients in the dapagliflozin group and 28 (1.3%) patients in the placebo group and observed only in patients with type 2 diabetes mellitus.</w:t>
      </w:r>
    </w:p>
    <w:p w14:paraId="74D98DC2" w14:textId="77777777" w:rsidR="0029430D" w:rsidRPr="00312F3E" w:rsidRDefault="0029430D" w:rsidP="007E4A60">
      <w:pPr>
        <w:ind w:left="851"/>
        <w:rPr>
          <w:sz w:val="24"/>
          <w:szCs w:val="24"/>
          <w:lang w:val="en-US"/>
        </w:rPr>
      </w:pPr>
    </w:p>
    <w:p w14:paraId="59203C51" w14:textId="77777777" w:rsidR="0029430D" w:rsidRPr="00B80469" w:rsidRDefault="0029430D" w:rsidP="007E4A60">
      <w:pPr>
        <w:ind w:left="851"/>
        <w:rPr>
          <w:i/>
          <w:iCs/>
          <w:sz w:val="24"/>
          <w:szCs w:val="24"/>
          <w:u w:val="single"/>
          <w:lang w:val="en-US"/>
        </w:rPr>
      </w:pPr>
      <w:r w:rsidRPr="00B80469">
        <w:rPr>
          <w:i/>
          <w:iCs/>
          <w:sz w:val="24"/>
          <w:szCs w:val="24"/>
          <w:u w:val="single"/>
          <w:lang w:val="en-US"/>
        </w:rPr>
        <w:t>Volume depletion</w:t>
      </w:r>
    </w:p>
    <w:p w14:paraId="44B6DE8B" w14:textId="77777777" w:rsidR="0029430D" w:rsidRPr="00312F3E" w:rsidRDefault="0029430D" w:rsidP="007E4A60">
      <w:pPr>
        <w:ind w:left="851"/>
        <w:rPr>
          <w:sz w:val="24"/>
          <w:szCs w:val="24"/>
          <w:lang w:val="en-US"/>
        </w:rPr>
      </w:pPr>
      <w:r w:rsidRPr="00312F3E">
        <w:rPr>
          <w:sz w:val="24"/>
          <w:szCs w:val="24"/>
          <w:lang w:val="en-US"/>
        </w:rPr>
        <w:t xml:space="preserve">In the 13-study safety pool, reactions suggestive of volume depletion (including, reports of dehydration, </w:t>
      </w:r>
      <w:proofErr w:type="spellStart"/>
      <w:r w:rsidRPr="00312F3E">
        <w:rPr>
          <w:sz w:val="24"/>
          <w:szCs w:val="24"/>
          <w:lang w:val="en-US"/>
        </w:rPr>
        <w:t>hypovolaemia</w:t>
      </w:r>
      <w:proofErr w:type="spellEnd"/>
      <w:r w:rsidRPr="00312F3E">
        <w:rPr>
          <w:sz w:val="24"/>
          <w:szCs w:val="24"/>
          <w:lang w:val="en-US"/>
        </w:rPr>
        <w:t xml:space="preserve"> or hypotension) were reported in 1.1% and 0.7% of subjects who received dapagliflozin 10 mg and placebo, respectively; serious reactions occurred in &lt; 0.2% of subjects balanced between dapagliflozin 10 mg and placebo (see section 4.4).</w:t>
      </w:r>
    </w:p>
    <w:p w14:paraId="368462A6" w14:textId="77777777" w:rsidR="0029430D" w:rsidRPr="00312F3E" w:rsidRDefault="0029430D" w:rsidP="007E4A60">
      <w:pPr>
        <w:ind w:left="851"/>
        <w:rPr>
          <w:sz w:val="24"/>
          <w:szCs w:val="24"/>
          <w:lang w:val="en-US"/>
        </w:rPr>
      </w:pPr>
    </w:p>
    <w:p w14:paraId="0FC94037" w14:textId="77777777" w:rsidR="0029430D" w:rsidRPr="00312F3E" w:rsidRDefault="0029430D" w:rsidP="007E4A60">
      <w:pPr>
        <w:ind w:left="851"/>
        <w:rPr>
          <w:sz w:val="24"/>
          <w:szCs w:val="24"/>
          <w:lang w:val="en-US"/>
        </w:rPr>
      </w:pPr>
      <w:r w:rsidRPr="00312F3E">
        <w:rPr>
          <w:sz w:val="24"/>
          <w:szCs w:val="24"/>
          <w:lang w:val="en-US"/>
        </w:rPr>
        <w:t>In the DECLARE study, the numbers of patients with events suggestive of volume depletion were balanced between treatment groups: 213 (2.5%) and 207 (2.4%) in the dapagliflozin and placebo groups, respectively. Serious adverse events were reported in 81 (0.9%) and 70 (0.8%) in the dapagliflozin and placebo group, respectively. Events were generally balanced between treatment groups across subgroups of age, diuretic use, blood pressure and angiotensin converting enzyme inhibitors (ACE-I)/angiotensin II type 1 receptor blockers (ARB) use. In patients with eGFR &lt; 60 mL/min/1.73 m</w:t>
      </w:r>
      <w:r w:rsidRPr="00312F3E">
        <w:rPr>
          <w:sz w:val="24"/>
          <w:szCs w:val="24"/>
          <w:vertAlign w:val="superscript"/>
          <w:lang w:val="en-US"/>
        </w:rPr>
        <w:t>2</w:t>
      </w:r>
      <w:r w:rsidRPr="00312F3E">
        <w:rPr>
          <w:sz w:val="24"/>
          <w:szCs w:val="24"/>
          <w:lang w:val="en-US"/>
        </w:rPr>
        <w:t xml:space="preserve"> at baseline, there were 19 events of serious adverse events suggestive of volume depletion in the dapagliflozin group and 13 events in the placebo group.</w:t>
      </w:r>
    </w:p>
    <w:p w14:paraId="36B14384" w14:textId="77777777" w:rsidR="0029430D" w:rsidRPr="00312F3E" w:rsidRDefault="0029430D" w:rsidP="007E4A60">
      <w:pPr>
        <w:ind w:left="851"/>
        <w:rPr>
          <w:sz w:val="24"/>
          <w:szCs w:val="24"/>
          <w:lang w:val="en-US"/>
        </w:rPr>
      </w:pPr>
    </w:p>
    <w:p w14:paraId="4977E802" w14:textId="77777777" w:rsidR="0029430D" w:rsidRPr="00312F3E" w:rsidRDefault="0029430D" w:rsidP="007E4A60">
      <w:pPr>
        <w:ind w:left="851"/>
        <w:rPr>
          <w:sz w:val="24"/>
          <w:szCs w:val="24"/>
          <w:lang w:val="en-US"/>
        </w:rPr>
      </w:pPr>
      <w:r w:rsidRPr="00312F3E">
        <w:rPr>
          <w:sz w:val="24"/>
          <w:szCs w:val="24"/>
          <w:lang w:val="en-US"/>
        </w:rPr>
        <w:t>In the DAPA-HF study, the numbers of patients with events suggestive of volume depletion were 170 (7.2%) in the dapagliflozin group and 153 (6.5%) in the placebo group. There were fewer patients with serious events of symptoms suggestive of volume depletion in the dapagliflozin group (23 [1.0%]) compared with the placebo group (38 [1.6%]). Results were similar irrespective of presence of diabetes at baseline and baseline eGFR. In the DELIVER study, the numbers of patients with serious events of symptoms suggestive of volume depletion were 35 (1.1%) in the dapagliflozin group and 31 (1.0%) in the placebo group.</w:t>
      </w:r>
    </w:p>
    <w:p w14:paraId="180C7264" w14:textId="77777777" w:rsidR="0029430D" w:rsidRPr="00312F3E" w:rsidRDefault="0029430D" w:rsidP="007E4A60">
      <w:pPr>
        <w:ind w:left="851"/>
        <w:rPr>
          <w:sz w:val="24"/>
          <w:szCs w:val="24"/>
          <w:lang w:val="en-US"/>
        </w:rPr>
      </w:pPr>
    </w:p>
    <w:p w14:paraId="308D1BC1" w14:textId="77777777" w:rsidR="0029430D" w:rsidRPr="00312F3E" w:rsidRDefault="0029430D" w:rsidP="007E4A60">
      <w:pPr>
        <w:ind w:left="851"/>
        <w:rPr>
          <w:sz w:val="24"/>
          <w:szCs w:val="24"/>
          <w:lang w:val="en-US"/>
        </w:rPr>
      </w:pPr>
      <w:r w:rsidRPr="00312F3E">
        <w:rPr>
          <w:sz w:val="24"/>
          <w:szCs w:val="24"/>
          <w:lang w:val="en-US"/>
        </w:rPr>
        <w:t>In the DAPA-CKD study, the numbers of patients with events suggestive of volume depletion were 120 (5.6%) in the dapagliflozin group and 84 (3.9%) in the placebo group. There were 16 (0.7%) patients with serious events of symptoms suggestive of volume depletion in the dapagliflozin group and 15 (0.7%) patients in the placebo group.</w:t>
      </w:r>
    </w:p>
    <w:p w14:paraId="306E8226" w14:textId="77777777" w:rsidR="0029430D" w:rsidRPr="00312F3E" w:rsidRDefault="0029430D" w:rsidP="007E4A60">
      <w:pPr>
        <w:ind w:left="851"/>
        <w:rPr>
          <w:sz w:val="24"/>
          <w:szCs w:val="24"/>
          <w:lang w:val="en-US"/>
        </w:rPr>
      </w:pPr>
    </w:p>
    <w:p w14:paraId="1A83A6C7" w14:textId="77777777" w:rsidR="0029430D" w:rsidRPr="00B80469" w:rsidRDefault="0029430D" w:rsidP="007E4A60">
      <w:pPr>
        <w:ind w:left="851"/>
        <w:rPr>
          <w:i/>
          <w:iCs/>
          <w:sz w:val="24"/>
          <w:szCs w:val="24"/>
          <w:u w:val="single"/>
          <w:lang w:val="en-US"/>
        </w:rPr>
      </w:pPr>
      <w:r w:rsidRPr="00B80469">
        <w:rPr>
          <w:i/>
          <w:iCs/>
          <w:sz w:val="24"/>
          <w:szCs w:val="24"/>
          <w:u w:val="single"/>
          <w:lang w:val="en-US"/>
        </w:rPr>
        <w:t>Diabetic ketoacidosis in type 2 diabetes mellitus</w:t>
      </w:r>
    </w:p>
    <w:p w14:paraId="47A1D1E5" w14:textId="77777777" w:rsidR="0029430D" w:rsidRPr="00312F3E" w:rsidRDefault="0029430D" w:rsidP="007E4A60">
      <w:pPr>
        <w:ind w:left="851"/>
        <w:rPr>
          <w:sz w:val="24"/>
          <w:szCs w:val="24"/>
          <w:lang w:val="en-US"/>
        </w:rPr>
      </w:pPr>
      <w:r w:rsidRPr="00312F3E">
        <w:rPr>
          <w:sz w:val="24"/>
          <w:szCs w:val="24"/>
          <w:lang w:val="en-US"/>
        </w:rPr>
        <w:t>In the DECLARE study, with a median exposure time of 48 months, events of DKA were reported in 27 patients in the dapagliflozin 10 mg group and 12 patients in the placebo group. The events occurred evenly distributed over the study period. Of the 27 patients with DKA events in the dapagliflozin group, 22 had concomitant insulin treatment at the time of the event. Precipitating factors for DKA were as expected in a type 2 diabetes mellitus population (see section 4.4).</w:t>
      </w:r>
    </w:p>
    <w:p w14:paraId="25FE2179" w14:textId="77777777" w:rsidR="0029430D" w:rsidRPr="00312F3E" w:rsidRDefault="0029430D" w:rsidP="007E4A60">
      <w:pPr>
        <w:ind w:left="851"/>
        <w:rPr>
          <w:sz w:val="24"/>
          <w:szCs w:val="24"/>
          <w:lang w:val="en-US"/>
        </w:rPr>
      </w:pPr>
    </w:p>
    <w:p w14:paraId="2156EC49" w14:textId="77777777" w:rsidR="0029430D" w:rsidRPr="00312F3E" w:rsidRDefault="0029430D" w:rsidP="007E4A60">
      <w:pPr>
        <w:ind w:left="851"/>
        <w:rPr>
          <w:sz w:val="24"/>
          <w:szCs w:val="24"/>
          <w:lang w:val="en-US"/>
        </w:rPr>
      </w:pPr>
      <w:r w:rsidRPr="00312F3E">
        <w:rPr>
          <w:sz w:val="24"/>
          <w:szCs w:val="24"/>
          <w:lang w:val="en-US"/>
        </w:rPr>
        <w:t>In the DAPA-HF study, events of DKA were reported in 3 patients with type 2 diabetes mellitus in the dapagliflozin group and none in the placebo group. In the DELIVER study, events of DKA were reported in 2 patients with type 2 diabetes mellitus in the dapagliflozin group and none in the placebo group.</w:t>
      </w:r>
    </w:p>
    <w:p w14:paraId="1EB37162" w14:textId="77777777" w:rsidR="0029430D" w:rsidRPr="00312F3E" w:rsidRDefault="0029430D" w:rsidP="007E4A60">
      <w:pPr>
        <w:ind w:left="851"/>
        <w:rPr>
          <w:sz w:val="24"/>
          <w:szCs w:val="24"/>
          <w:lang w:val="en-US"/>
        </w:rPr>
      </w:pPr>
    </w:p>
    <w:p w14:paraId="65116D4E" w14:textId="77777777" w:rsidR="0029430D" w:rsidRPr="00312F3E" w:rsidRDefault="0029430D" w:rsidP="007E4A60">
      <w:pPr>
        <w:ind w:left="851"/>
        <w:rPr>
          <w:sz w:val="24"/>
          <w:szCs w:val="24"/>
          <w:lang w:val="en-US"/>
        </w:rPr>
      </w:pPr>
      <w:r w:rsidRPr="00312F3E">
        <w:rPr>
          <w:sz w:val="24"/>
          <w:szCs w:val="24"/>
          <w:lang w:val="en-US"/>
        </w:rPr>
        <w:t xml:space="preserve">In the DAPA-CKD study, events of DKA were not reported in any patient in the dapagliflozin group and in 2 patients with type 2 diabetes mellitus in the placebo group. </w:t>
      </w:r>
    </w:p>
    <w:p w14:paraId="689B25B8" w14:textId="77777777" w:rsidR="0029430D" w:rsidRPr="00312F3E" w:rsidRDefault="0029430D" w:rsidP="007E4A60">
      <w:pPr>
        <w:ind w:left="851"/>
        <w:rPr>
          <w:sz w:val="24"/>
          <w:szCs w:val="24"/>
          <w:lang w:val="en-US"/>
        </w:rPr>
      </w:pPr>
    </w:p>
    <w:p w14:paraId="230302A0" w14:textId="77777777" w:rsidR="0029430D" w:rsidRPr="00B80469" w:rsidRDefault="0029430D" w:rsidP="007E4A60">
      <w:pPr>
        <w:ind w:left="851"/>
        <w:rPr>
          <w:i/>
          <w:iCs/>
          <w:sz w:val="24"/>
          <w:szCs w:val="24"/>
          <w:u w:val="single"/>
          <w:lang w:val="en-US"/>
        </w:rPr>
      </w:pPr>
      <w:r w:rsidRPr="00B80469">
        <w:rPr>
          <w:i/>
          <w:iCs/>
          <w:sz w:val="24"/>
          <w:szCs w:val="24"/>
          <w:u w:val="single"/>
          <w:lang w:val="en-US"/>
        </w:rPr>
        <w:t>Urinary tract infections</w:t>
      </w:r>
    </w:p>
    <w:p w14:paraId="4588747D" w14:textId="77777777" w:rsidR="0029430D" w:rsidRPr="00312F3E" w:rsidRDefault="0029430D" w:rsidP="007E4A60">
      <w:pPr>
        <w:ind w:left="851"/>
        <w:rPr>
          <w:sz w:val="24"/>
          <w:szCs w:val="24"/>
          <w:lang w:val="en-US"/>
        </w:rPr>
      </w:pPr>
      <w:r w:rsidRPr="00312F3E">
        <w:rPr>
          <w:sz w:val="24"/>
          <w:szCs w:val="24"/>
          <w:lang w:val="en-US"/>
        </w:rPr>
        <w:t>In the 13-study safety pool, urinary tract infections were more frequently reported for dapagliflozin 10 mg compared to placebo (4.7% versus 3.5%, respectively; see section 4.4). Most infections were mild to moderate, and subjects responded to an initial course of standard treatment and rarely resulted in discontinuation from dapagliflozin treatment. These infections were more frequent in females, and subjects with a prior history were more likely to have a recurrent infection.</w:t>
      </w:r>
    </w:p>
    <w:p w14:paraId="1EE9BA60" w14:textId="77777777" w:rsidR="0029430D" w:rsidRPr="00312F3E" w:rsidRDefault="0029430D" w:rsidP="007E4A60">
      <w:pPr>
        <w:ind w:left="851"/>
        <w:rPr>
          <w:sz w:val="24"/>
          <w:szCs w:val="24"/>
          <w:lang w:val="en-US"/>
        </w:rPr>
      </w:pPr>
    </w:p>
    <w:p w14:paraId="079FBBFC" w14:textId="77777777" w:rsidR="0029430D" w:rsidRPr="00312F3E" w:rsidRDefault="0029430D" w:rsidP="007E4A60">
      <w:pPr>
        <w:ind w:left="851"/>
        <w:rPr>
          <w:sz w:val="24"/>
          <w:szCs w:val="24"/>
          <w:lang w:val="en-US"/>
        </w:rPr>
      </w:pPr>
      <w:r w:rsidRPr="00312F3E">
        <w:rPr>
          <w:sz w:val="24"/>
          <w:szCs w:val="24"/>
          <w:lang w:val="en-US"/>
        </w:rPr>
        <w:t>In the DECLARE study, serious events of urinary tract infections were reported less frequently for dapagliflozin 10 mg compared with placebo, 79 (0.9%) events versus 109 (1.3%) events, respectively.</w:t>
      </w:r>
    </w:p>
    <w:p w14:paraId="15FB747D" w14:textId="77777777" w:rsidR="0029430D" w:rsidRPr="00312F3E" w:rsidRDefault="0029430D" w:rsidP="007E4A60">
      <w:pPr>
        <w:ind w:left="851"/>
        <w:rPr>
          <w:sz w:val="24"/>
          <w:szCs w:val="24"/>
          <w:lang w:val="en-US"/>
        </w:rPr>
      </w:pPr>
    </w:p>
    <w:p w14:paraId="6AB08CE4" w14:textId="77777777" w:rsidR="0029430D" w:rsidRPr="00312F3E" w:rsidRDefault="0029430D" w:rsidP="007E4A60">
      <w:pPr>
        <w:ind w:left="851"/>
        <w:rPr>
          <w:sz w:val="24"/>
          <w:szCs w:val="24"/>
          <w:lang w:val="en-US"/>
        </w:rPr>
      </w:pPr>
      <w:r w:rsidRPr="00312F3E">
        <w:rPr>
          <w:sz w:val="24"/>
          <w:szCs w:val="24"/>
          <w:lang w:val="en-US"/>
        </w:rPr>
        <w:t>In the DAPA-HF study, the numbers of patients with serious adverse events of urinary tract infections were 14 (0.6%) in the dapagliflozin group and 17 (0.7%) in the placebo group. There were 5 (0.2%) patients with adverse events leading to discontinuations due to urinary tract infections in each of the dapagliflozin and placebo groups. In the DELIVER study the numbers of patients with serious adverse events of urinary tract infections were 41 (1.3%) in the dapagliflozin group and 37 (1.2%) in the placebo group. There were 13 (0.4%) patients with adverse events leading to discontinuations due to urinary tract infections in the dapagliflozin group and 9 (0.3%) in the placebo group.</w:t>
      </w:r>
    </w:p>
    <w:p w14:paraId="1219EA7C" w14:textId="77777777" w:rsidR="0029430D" w:rsidRPr="00312F3E" w:rsidRDefault="0029430D" w:rsidP="007E4A60">
      <w:pPr>
        <w:ind w:left="851"/>
        <w:rPr>
          <w:sz w:val="24"/>
          <w:szCs w:val="24"/>
          <w:lang w:val="en-US"/>
        </w:rPr>
      </w:pPr>
    </w:p>
    <w:p w14:paraId="074560DB" w14:textId="77777777" w:rsidR="0029430D" w:rsidRPr="00312F3E" w:rsidRDefault="0029430D" w:rsidP="007E4A60">
      <w:pPr>
        <w:ind w:left="851"/>
        <w:rPr>
          <w:sz w:val="24"/>
          <w:szCs w:val="24"/>
          <w:lang w:val="en-US"/>
        </w:rPr>
      </w:pPr>
      <w:r w:rsidRPr="00312F3E">
        <w:rPr>
          <w:sz w:val="24"/>
          <w:szCs w:val="24"/>
          <w:lang w:val="en-US"/>
        </w:rPr>
        <w:t>In the DAPA-CKD study, the numbers of patients with serious adverse events of urinary tract infections were 29 (1.3%) in the dapagliflozin group and 18 (0.8%) in the placebo group. There were 8 (0.4%) patients with adverse events leading to discontinuations due to urinary tract infections in the dapagliflozin group and 3 (0.1%) in the placebo group. The numbers of patients without diabetes reporting serious adverse events of urinary tract infections or adverse events leading to discontinuation due to urinary tract infections were similar between treatment groups (6 [0.9%] versus 4 [0.6%] for serious adverse events, and 1 [0.1%] versus 0 for adverse events leading to discontinuation, in the dapagliflozin and placebo groups, respectively).</w:t>
      </w:r>
    </w:p>
    <w:p w14:paraId="0BA161D1" w14:textId="77777777" w:rsidR="0029430D" w:rsidRPr="00312F3E" w:rsidRDefault="0029430D" w:rsidP="007E4A60">
      <w:pPr>
        <w:ind w:left="851"/>
        <w:rPr>
          <w:sz w:val="24"/>
          <w:szCs w:val="24"/>
          <w:lang w:val="en-US"/>
        </w:rPr>
      </w:pPr>
    </w:p>
    <w:p w14:paraId="49324181" w14:textId="77777777" w:rsidR="0029430D" w:rsidRPr="00B80469" w:rsidRDefault="0029430D" w:rsidP="007E4A60">
      <w:pPr>
        <w:ind w:left="851"/>
        <w:rPr>
          <w:i/>
          <w:iCs/>
          <w:sz w:val="24"/>
          <w:szCs w:val="24"/>
          <w:u w:val="single"/>
          <w:lang w:val="en-US"/>
        </w:rPr>
      </w:pPr>
      <w:r w:rsidRPr="00B80469">
        <w:rPr>
          <w:i/>
          <w:iCs/>
          <w:sz w:val="24"/>
          <w:szCs w:val="24"/>
          <w:u w:val="single"/>
          <w:lang w:val="en-US"/>
        </w:rPr>
        <w:t>Increased creatinine</w:t>
      </w:r>
    </w:p>
    <w:p w14:paraId="2807BCA5" w14:textId="77777777" w:rsidR="0029430D" w:rsidRPr="00312F3E" w:rsidRDefault="0029430D" w:rsidP="007E4A60">
      <w:pPr>
        <w:ind w:left="851"/>
        <w:rPr>
          <w:sz w:val="24"/>
          <w:szCs w:val="24"/>
          <w:lang w:val="en-US"/>
        </w:rPr>
      </w:pPr>
      <w:r w:rsidRPr="00312F3E">
        <w:rPr>
          <w:sz w:val="24"/>
          <w:szCs w:val="24"/>
          <w:lang w:val="en-US"/>
        </w:rPr>
        <w:t>Adverse reactions related to increased creatinine were grouped (e.g. decreased renal creatinine clearance, renal impairment, increased blood creatinine and decreased glomerular filtration rate). In the 13-study safety pool, this grouping of reactions was reported in 3.2% and 1.8% of patients who received dapagliflozin 10 mg and placebo, respectively. In patients with normal renal function or mild renal impairment (baseline eGFR ≥ 60 mL/min/1.73 m</w:t>
      </w:r>
      <w:r w:rsidRPr="00312F3E">
        <w:rPr>
          <w:sz w:val="24"/>
          <w:szCs w:val="24"/>
          <w:vertAlign w:val="superscript"/>
          <w:lang w:val="en-US"/>
        </w:rPr>
        <w:t>2</w:t>
      </w:r>
      <w:r w:rsidRPr="00312F3E">
        <w:rPr>
          <w:sz w:val="24"/>
          <w:szCs w:val="24"/>
          <w:lang w:val="en-US"/>
        </w:rPr>
        <w:t xml:space="preserve">) this grouping of reactions </w:t>
      </w:r>
      <w:proofErr w:type="gramStart"/>
      <w:r w:rsidRPr="00312F3E">
        <w:rPr>
          <w:sz w:val="24"/>
          <w:szCs w:val="24"/>
          <w:lang w:val="en-US"/>
        </w:rPr>
        <w:t>were</w:t>
      </w:r>
      <w:proofErr w:type="gramEnd"/>
      <w:r w:rsidRPr="00312F3E">
        <w:rPr>
          <w:sz w:val="24"/>
          <w:szCs w:val="24"/>
          <w:lang w:val="en-US"/>
        </w:rPr>
        <w:t xml:space="preserve"> reported in 1.3% and 0.8% of patients who received dapagliflozin 10 mg and placebo, respectively. These reactions were more common in patients with baseline eGFR ≥ 30 and &lt; 60 mL/min/1.73 m</w:t>
      </w:r>
      <w:r w:rsidRPr="00312F3E">
        <w:rPr>
          <w:sz w:val="24"/>
          <w:szCs w:val="24"/>
          <w:vertAlign w:val="superscript"/>
          <w:lang w:val="en-US"/>
        </w:rPr>
        <w:t>2</w:t>
      </w:r>
      <w:r w:rsidRPr="00312F3E">
        <w:rPr>
          <w:sz w:val="24"/>
          <w:szCs w:val="24"/>
          <w:lang w:val="en-US"/>
        </w:rPr>
        <w:t xml:space="preserve"> (18.5% dapagliflozin 10 mg versus 9.3% placebo). </w:t>
      </w:r>
    </w:p>
    <w:p w14:paraId="4BDCC40E" w14:textId="77777777" w:rsidR="0029430D" w:rsidRPr="00312F3E" w:rsidRDefault="0029430D" w:rsidP="007E4A60">
      <w:pPr>
        <w:ind w:left="851"/>
        <w:rPr>
          <w:sz w:val="24"/>
          <w:szCs w:val="24"/>
          <w:lang w:val="en-US"/>
        </w:rPr>
      </w:pPr>
    </w:p>
    <w:p w14:paraId="6F5A3D2D" w14:textId="77777777" w:rsidR="0029430D" w:rsidRPr="00312F3E" w:rsidRDefault="0029430D" w:rsidP="007E4A60">
      <w:pPr>
        <w:ind w:left="851"/>
        <w:rPr>
          <w:sz w:val="24"/>
          <w:szCs w:val="24"/>
          <w:lang w:val="en-US"/>
        </w:rPr>
      </w:pPr>
      <w:r w:rsidRPr="00312F3E">
        <w:rPr>
          <w:sz w:val="24"/>
          <w:szCs w:val="24"/>
          <w:lang w:val="en-US"/>
        </w:rPr>
        <w:t>Further evaluation of patients who had renal-related adverse events showed that most had serum creatinine changes of ≤ 44 micromoles/L (≤ 0.5 mg/dL) from baseline. The increases in creatinine were generally transient during continuous treatment or reversible after discontinuation of treatment.</w:t>
      </w:r>
    </w:p>
    <w:p w14:paraId="73E9DD5B" w14:textId="77777777" w:rsidR="0029430D" w:rsidRPr="00312F3E" w:rsidRDefault="0029430D" w:rsidP="007E4A60">
      <w:pPr>
        <w:ind w:left="851"/>
        <w:rPr>
          <w:sz w:val="24"/>
          <w:szCs w:val="24"/>
          <w:lang w:val="en-US"/>
        </w:rPr>
      </w:pPr>
    </w:p>
    <w:p w14:paraId="6DDDEF8E" w14:textId="77777777" w:rsidR="0029430D" w:rsidRPr="00312F3E" w:rsidRDefault="0029430D" w:rsidP="007E4A60">
      <w:pPr>
        <w:ind w:left="851"/>
        <w:rPr>
          <w:sz w:val="24"/>
          <w:szCs w:val="24"/>
          <w:lang w:val="en-US"/>
        </w:rPr>
      </w:pPr>
      <w:r w:rsidRPr="00312F3E">
        <w:rPr>
          <w:sz w:val="24"/>
          <w:szCs w:val="24"/>
          <w:lang w:val="en-US"/>
        </w:rPr>
        <w:t>In the DECLARE study, including elderly patients and patients with renal impairment (eGFR less than 60 mL/min/1.73 m</w:t>
      </w:r>
      <w:r w:rsidRPr="00312F3E">
        <w:rPr>
          <w:sz w:val="24"/>
          <w:szCs w:val="24"/>
          <w:vertAlign w:val="superscript"/>
          <w:lang w:val="en-US"/>
        </w:rPr>
        <w:t>2</w:t>
      </w:r>
      <w:r w:rsidRPr="00312F3E">
        <w:rPr>
          <w:sz w:val="24"/>
          <w:szCs w:val="24"/>
          <w:lang w:val="en-US"/>
        </w:rPr>
        <w:t>), eGFR decreased over time in both treatment groups. At 1 year, mean eGFR was slightly lower, and at 4 years, mean eGFR was slightly higher in the dapagliflozin group compared with the placebo group.</w:t>
      </w:r>
    </w:p>
    <w:p w14:paraId="763C1265" w14:textId="77777777" w:rsidR="0029430D" w:rsidRPr="00312F3E" w:rsidRDefault="0029430D" w:rsidP="007E4A60">
      <w:pPr>
        <w:ind w:left="851"/>
        <w:rPr>
          <w:sz w:val="24"/>
          <w:szCs w:val="24"/>
          <w:lang w:val="en-US"/>
        </w:rPr>
      </w:pPr>
    </w:p>
    <w:p w14:paraId="799A979C" w14:textId="77777777" w:rsidR="0029430D" w:rsidRPr="00312F3E" w:rsidRDefault="0029430D" w:rsidP="007E4A60">
      <w:pPr>
        <w:ind w:left="851"/>
        <w:rPr>
          <w:sz w:val="24"/>
          <w:szCs w:val="24"/>
          <w:lang w:val="en-US"/>
        </w:rPr>
      </w:pPr>
      <w:r w:rsidRPr="00312F3E">
        <w:rPr>
          <w:sz w:val="24"/>
          <w:szCs w:val="24"/>
          <w:lang w:val="en-US"/>
        </w:rPr>
        <w:t>In the DAPA-HF and DELIVER studies, eGFR decreased over time in both the dapagliflozin group and the placebo group. In DAPA-HF, the initial decrease in mean eGFR was -4.3 mL/min/1.73 m</w:t>
      </w:r>
      <w:r w:rsidRPr="00312F3E">
        <w:rPr>
          <w:sz w:val="24"/>
          <w:szCs w:val="24"/>
          <w:vertAlign w:val="superscript"/>
          <w:lang w:val="en-US"/>
        </w:rPr>
        <w:t>2</w:t>
      </w:r>
      <w:r w:rsidRPr="00312F3E">
        <w:rPr>
          <w:sz w:val="24"/>
          <w:szCs w:val="24"/>
          <w:lang w:val="en-US"/>
        </w:rPr>
        <w:t xml:space="preserve"> in the dapagliflozin group and -1.1 mL/min/1.73 m</w:t>
      </w:r>
      <w:r w:rsidRPr="00312F3E">
        <w:rPr>
          <w:sz w:val="24"/>
          <w:szCs w:val="24"/>
          <w:vertAlign w:val="superscript"/>
          <w:lang w:val="en-US"/>
        </w:rPr>
        <w:t>2</w:t>
      </w:r>
      <w:r w:rsidRPr="00312F3E">
        <w:rPr>
          <w:sz w:val="24"/>
          <w:szCs w:val="24"/>
          <w:lang w:val="en-US"/>
        </w:rPr>
        <w:t xml:space="preserve"> in the placebo group. At 20 months, change from baseline in eGFR was similar between the treatment groups: -5.3 mL/min/1.73 m</w:t>
      </w:r>
      <w:r w:rsidRPr="00312F3E">
        <w:rPr>
          <w:sz w:val="24"/>
          <w:szCs w:val="24"/>
          <w:vertAlign w:val="superscript"/>
          <w:lang w:val="en-US"/>
        </w:rPr>
        <w:t>2</w:t>
      </w:r>
      <w:r w:rsidRPr="00312F3E">
        <w:rPr>
          <w:sz w:val="24"/>
          <w:szCs w:val="24"/>
          <w:lang w:val="en-US"/>
        </w:rPr>
        <w:t xml:space="preserve"> for dapagliflozin and -4.5 mL/min/1.73 m</w:t>
      </w:r>
      <w:r w:rsidRPr="00312F3E">
        <w:rPr>
          <w:sz w:val="24"/>
          <w:szCs w:val="24"/>
          <w:vertAlign w:val="superscript"/>
          <w:lang w:val="en-US"/>
        </w:rPr>
        <w:t>2</w:t>
      </w:r>
      <w:r w:rsidRPr="00312F3E">
        <w:rPr>
          <w:sz w:val="24"/>
          <w:szCs w:val="24"/>
          <w:lang w:val="en-US"/>
        </w:rPr>
        <w:t xml:space="preserve"> for placebo. In DELIVER, the decrease in mean eGFR at one month was -3.7 mL/min/1.73 m</w:t>
      </w:r>
      <w:r w:rsidRPr="00312F3E">
        <w:rPr>
          <w:sz w:val="24"/>
          <w:szCs w:val="24"/>
          <w:vertAlign w:val="superscript"/>
          <w:lang w:val="en-US"/>
        </w:rPr>
        <w:t>2</w:t>
      </w:r>
      <w:r w:rsidRPr="00312F3E">
        <w:rPr>
          <w:sz w:val="24"/>
          <w:szCs w:val="24"/>
          <w:lang w:val="en-US"/>
        </w:rPr>
        <w:t xml:space="preserve"> in the dapagliflozin group and -0.4 mL/min/1.73 m</w:t>
      </w:r>
      <w:r w:rsidRPr="00312F3E">
        <w:rPr>
          <w:sz w:val="24"/>
          <w:szCs w:val="24"/>
          <w:vertAlign w:val="superscript"/>
          <w:lang w:val="en-US"/>
        </w:rPr>
        <w:t>2</w:t>
      </w:r>
      <w:r w:rsidRPr="00312F3E">
        <w:rPr>
          <w:sz w:val="24"/>
          <w:szCs w:val="24"/>
          <w:lang w:val="en-US"/>
        </w:rPr>
        <w:t xml:space="preserve"> in the placebo group. At 24 months, change from baseline in eGFR was similar between treatment groups: -4.2 mL/min/1.73 m</w:t>
      </w:r>
      <w:r w:rsidRPr="00312F3E">
        <w:rPr>
          <w:sz w:val="24"/>
          <w:szCs w:val="24"/>
          <w:vertAlign w:val="superscript"/>
          <w:lang w:val="en-US"/>
        </w:rPr>
        <w:t>2</w:t>
      </w:r>
      <w:r w:rsidRPr="00312F3E">
        <w:rPr>
          <w:sz w:val="24"/>
          <w:szCs w:val="24"/>
          <w:lang w:val="en-US"/>
        </w:rPr>
        <w:t xml:space="preserve"> in the dapagliflozin group and -3.2 mL/min/1.73 m</w:t>
      </w:r>
      <w:r w:rsidRPr="00312F3E">
        <w:rPr>
          <w:sz w:val="24"/>
          <w:szCs w:val="24"/>
          <w:vertAlign w:val="superscript"/>
          <w:lang w:val="en-US"/>
        </w:rPr>
        <w:t>2</w:t>
      </w:r>
      <w:r w:rsidRPr="00312F3E">
        <w:rPr>
          <w:sz w:val="24"/>
          <w:szCs w:val="24"/>
          <w:lang w:val="en-US"/>
        </w:rPr>
        <w:t xml:space="preserve"> in the placebo group.</w:t>
      </w:r>
    </w:p>
    <w:p w14:paraId="3AB743AB" w14:textId="77777777" w:rsidR="0029430D" w:rsidRPr="00312F3E" w:rsidRDefault="0029430D" w:rsidP="007E4A60">
      <w:pPr>
        <w:ind w:left="851"/>
        <w:rPr>
          <w:sz w:val="24"/>
          <w:szCs w:val="24"/>
          <w:lang w:val="en-US"/>
        </w:rPr>
      </w:pPr>
    </w:p>
    <w:p w14:paraId="23ABC4AD" w14:textId="77777777" w:rsidR="0029430D" w:rsidRPr="00312F3E" w:rsidRDefault="0029430D" w:rsidP="007E4A60">
      <w:pPr>
        <w:ind w:left="851"/>
        <w:rPr>
          <w:sz w:val="24"/>
          <w:szCs w:val="24"/>
          <w:lang w:val="en-US"/>
        </w:rPr>
      </w:pPr>
      <w:r w:rsidRPr="00312F3E">
        <w:rPr>
          <w:sz w:val="24"/>
          <w:szCs w:val="24"/>
          <w:lang w:val="en-US"/>
        </w:rPr>
        <w:t>In the DAPA-CKD study, eGFR decreased over time in both the dapagliflozin group and the placebo group. The initial (day 14) decrease in mean eGFR was -4.0 mL/min/1.73 m</w:t>
      </w:r>
      <w:r w:rsidRPr="00312F3E">
        <w:rPr>
          <w:sz w:val="24"/>
          <w:szCs w:val="24"/>
          <w:vertAlign w:val="superscript"/>
          <w:lang w:val="en-US"/>
        </w:rPr>
        <w:t>2</w:t>
      </w:r>
      <w:r w:rsidRPr="00312F3E">
        <w:rPr>
          <w:sz w:val="24"/>
          <w:szCs w:val="24"/>
          <w:lang w:val="en-US"/>
        </w:rPr>
        <w:t xml:space="preserve"> in the dapagliflozin group and -0.8 mL/min/1.73 m</w:t>
      </w:r>
      <w:r w:rsidRPr="00312F3E">
        <w:rPr>
          <w:sz w:val="24"/>
          <w:szCs w:val="24"/>
          <w:vertAlign w:val="superscript"/>
          <w:lang w:val="en-US"/>
        </w:rPr>
        <w:t xml:space="preserve">2 </w:t>
      </w:r>
      <w:r w:rsidRPr="00312F3E">
        <w:rPr>
          <w:sz w:val="24"/>
          <w:szCs w:val="24"/>
          <w:lang w:val="en-US"/>
        </w:rPr>
        <w:t>in the placebo group. At 28 months, change from baseline in eGFR was -7.4 mL/min/1.73 m</w:t>
      </w:r>
      <w:r w:rsidRPr="00312F3E">
        <w:rPr>
          <w:sz w:val="24"/>
          <w:szCs w:val="24"/>
          <w:vertAlign w:val="superscript"/>
          <w:lang w:val="en-US"/>
        </w:rPr>
        <w:t>2</w:t>
      </w:r>
      <w:r w:rsidRPr="00312F3E">
        <w:rPr>
          <w:sz w:val="24"/>
          <w:szCs w:val="24"/>
          <w:lang w:val="en-US"/>
        </w:rPr>
        <w:t xml:space="preserve"> in the dapagliflozin group and -8.6 mL/min/1.73 m</w:t>
      </w:r>
      <w:r w:rsidRPr="00312F3E">
        <w:rPr>
          <w:sz w:val="24"/>
          <w:szCs w:val="24"/>
          <w:vertAlign w:val="superscript"/>
          <w:lang w:val="en-US"/>
        </w:rPr>
        <w:t>2</w:t>
      </w:r>
      <w:r w:rsidRPr="00312F3E">
        <w:rPr>
          <w:sz w:val="24"/>
          <w:szCs w:val="24"/>
          <w:lang w:val="en-US"/>
        </w:rPr>
        <w:t xml:space="preserve"> in the placebo group.</w:t>
      </w:r>
    </w:p>
    <w:p w14:paraId="0FA4D440" w14:textId="06B4B89E" w:rsidR="00583F33" w:rsidRDefault="00583F33">
      <w:pPr>
        <w:rPr>
          <w:sz w:val="24"/>
          <w:szCs w:val="24"/>
          <w:lang w:val="en-US"/>
        </w:rPr>
      </w:pPr>
      <w:r>
        <w:rPr>
          <w:sz w:val="24"/>
          <w:szCs w:val="24"/>
          <w:lang w:val="en-US"/>
        </w:rPr>
        <w:br w:type="page"/>
      </w:r>
    </w:p>
    <w:p w14:paraId="5E1B46A9" w14:textId="77777777" w:rsidR="0029430D" w:rsidRPr="00312F3E" w:rsidRDefault="0029430D" w:rsidP="007E4A60">
      <w:pPr>
        <w:ind w:left="851"/>
        <w:rPr>
          <w:sz w:val="24"/>
          <w:szCs w:val="24"/>
          <w:lang w:val="en-US"/>
        </w:rPr>
      </w:pPr>
    </w:p>
    <w:p w14:paraId="416F65F4" w14:textId="77777777" w:rsidR="0029430D" w:rsidRPr="00B80469" w:rsidRDefault="0029430D" w:rsidP="007E4A60">
      <w:pPr>
        <w:ind w:left="851"/>
        <w:rPr>
          <w:sz w:val="24"/>
          <w:szCs w:val="24"/>
          <w:u w:val="single"/>
          <w:lang w:val="en-US"/>
        </w:rPr>
      </w:pPr>
      <w:r w:rsidRPr="00B80469">
        <w:rPr>
          <w:sz w:val="24"/>
          <w:szCs w:val="24"/>
          <w:u w:val="single"/>
          <w:lang w:val="en-US"/>
        </w:rPr>
        <w:t>Paediatric population</w:t>
      </w:r>
    </w:p>
    <w:p w14:paraId="69A71F26" w14:textId="77777777" w:rsidR="0029430D" w:rsidRPr="00312F3E" w:rsidRDefault="0029430D" w:rsidP="007E4A60">
      <w:pPr>
        <w:ind w:left="851"/>
        <w:rPr>
          <w:sz w:val="24"/>
          <w:szCs w:val="24"/>
          <w:lang w:val="en-US"/>
        </w:rPr>
      </w:pPr>
    </w:p>
    <w:p w14:paraId="4B62E905" w14:textId="77777777" w:rsidR="0029430D" w:rsidRPr="00312F3E" w:rsidRDefault="0029430D" w:rsidP="007E4A60">
      <w:pPr>
        <w:ind w:left="851"/>
        <w:rPr>
          <w:sz w:val="24"/>
          <w:szCs w:val="24"/>
          <w:lang w:val="en-US"/>
        </w:rPr>
      </w:pPr>
      <w:r w:rsidRPr="00312F3E">
        <w:rPr>
          <w:sz w:val="24"/>
          <w:szCs w:val="24"/>
          <w:lang w:val="en-US"/>
        </w:rPr>
        <w:t>The dapagliflozin safety profile observed in a clinical study in children aged 10 years and above with type 2 diabetes mellitus (see section 5.1) was similar to that observed in the studies in adults.</w:t>
      </w:r>
    </w:p>
    <w:p w14:paraId="7FE536EF" w14:textId="77777777" w:rsidR="0029430D" w:rsidRPr="00312F3E" w:rsidRDefault="0029430D" w:rsidP="007E4A60">
      <w:pPr>
        <w:ind w:left="851"/>
        <w:rPr>
          <w:sz w:val="24"/>
          <w:szCs w:val="24"/>
          <w:lang w:val="en-US"/>
        </w:rPr>
      </w:pPr>
    </w:p>
    <w:p w14:paraId="3266F4EA" w14:textId="77777777" w:rsidR="00312F3E" w:rsidRPr="00312F3E" w:rsidRDefault="00312F3E" w:rsidP="00312F3E">
      <w:pPr>
        <w:ind w:left="851"/>
        <w:rPr>
          <w:sz w:val="24"/>
          <w:szCs w:val="24"/>
          <w:u w:val="single"/>
          <w:lang w:val="en-GB"/>
        </w:rPr>
      </w:pPr>
      <w:r w:rsidRPr="00312F3E">
        <w:rPr>
          <w:sz w:val="24"/>
          <w:szCs w:val="24"/>
          <w:u w:val="single"/>
          <w:lang w:val="en-GB"/>
        </w:rPr>
        <w:t>Reporting of suspected adverse reactions</w:t>
      </w:r>
    </w:p>
    <w:p w14:paraId="32CE7CF1" w14:textId="77777777" w:rsidR="00312F3E" w:rsidRPr="00312F3E" w:rsidRDefault="00312F3E" w:rsidP="00312F3E">
      <w:pPr>
        <w:ind w:left="851"/>
        <w:rPr>
          <w:sz w:val="24"/>
          <w:szCs w:val="24"/>
          <w:lang w:val="en-GB"/>
        </w:rPr>
      </w:pPr>
      <w:r w:rsidRPr="00312F3E">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369BEB6A" w14:textId="77777777" w:rsidR="00312F3E" w:rsidRPr="00312F3E" w:rsidRDefault="00312F3E" w:rsidP="00312F3E">
      <w:pPr>
        <w:ind w:left="851"/>
        <w:rPr>
          <w:sz w:val="24"/>
          <w:szCs w:val="24"/>
          <w:lang w:val="en-GB"/>
        </w:rPr>
      </w:pPr>
    </w:p>
    <w:p w14:paraId="16A30E63" w14:textId="77777777" w:rsidR="00312F3E" w:rsidRPr="00312F3E" w:rsidRDefault="00312F3E" w:rsidP="00312F3E">
      <w:pPr>
        <w:ind w:left="851"/>
        <w:rPr>
          <w:sz w:val="24"/>
          <w:szCs w:val="24"/>
        </w:rPr>
      </w:pPr>
      <w:r w:rsidRPr="00312F3E">
        <w:rPr>
          <w:sz w:val="24"/>
          <w:szCs w:val="24"/>
        </w:rPr>
        <w:t>Lægemiddelstyrelsen</w:t>
      </w:r>
    </w:p>
    <w:p w14:paraId="086BAD62" w14:textId="77777777" w:rsidR="00312F3E" w:rsidRPr="00312F3E" w:rsidRDefault="00312F3E" w:rsidP="00312F3E">
      <w:pPr>
        <w:ind w:left="851"/>
        <w:rPr>
          <w:sz w:val="24"/>
          <w:szCs w:val="24"/>
        </w:rPr>
      </w:pPr>
      <w:r w:rsidRPr="00312F3E">
        <w:rPr>
          <w:sz w:val="24"/>
          <w:szCs w:val="24"/>
        </w:rPr>
        <w:t>Axel Heides Gade 1</w:t>
      </w:r>
    </w:p>
    <w:p w14:paraId="25E72BAC" w14:textId="77777777" w:rsidR="00312F3E" w:rsidRPr="00312F3E" w:rsidRDefault="00312F3E" w:rsidP="00312F3E">
      <w:pPr>
        <w:ind w:left="851"/>
        <w:rPr>
          <w:sz w:val="24"/>
          <w:szCs w:val="24"/>
        </w:rPr>
      </w:pPr>
      <w:r w:rsidRPr="00312F3E">
        <w:rPr>
          <w:sz w:val="24"/>
          <w:szCs w:val="24"/>
        </w:rPr>
        <w:t>DK-2300 København S</w:t>
      </w:r>
    </w:p>
    <w:p w14:paraId="30831943" w14:textId="77777777" w:rsidR="00312F3E" w:rsidRPr="006A7320" w:rsidRDefault="00312F3E" w:rsidP="00312F3E">
      <w:pPr>
        <w:ind w:left="851"/>
        <w:rPr>
          <w:sz w:val="24"/>
          <w:szCs w:val="24"/>
          <w:lang w:val="en-US"/>
        </w:rPr>
      </w:pPr>
      <w:r w:rsidRPr="006A7320">
        <w:rPr>
          <w:sz w:val="24"/>
          <w:szCs w:val="24"/>
          <w:lang w:val="en-US"/>
        </w:rPr>
        <w:t>Website: www.meldenbivirkning.dk</w:t>
      </w:r>
    </w:p>
    <w:p w14:paraId="1ED2CEC2" w14:textId="77777777" w:rsidR="007C5D2A" w:rsidRPr="00312F3E" w:rsidRDefault="007C5D2A" w:rsidP="007A4CC6">
      <w:pPr>
        <w:tabs>
          <w:tab w:val="left" w:pos="851"/>
        </w:tabs>
        <w:ind w:left="851"/>
        <w:rPr>
          <w:sz w:val="24"/>
          <w:szCs w:val="24"/>
          <w:lang w:val="en-GB"/>
        </w:rPr>
      </w:pPr>
    </w:p>
    <w:p w14:paraId="1852B043"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4.9</w:t>
      </w:r>
      <w:r w:rsidRPr="00312F3E">
        <w:rPr>
          <w:b/>
          <w:sz w:val="24"/>
          <w:szCs w:val="24"/>
          <w:lang w:val="en-GB"/>
        </w:rPr>
        <w:tab/>
        <w:t>Overdose</w:t>
      </w:r>
    </w:p>
    <w:p w14:paraId="562F9AAE" w14:textId="57EA8189" w:rsidR="0029430D" w:rsidRPr="00312F3E" w:rsidRDefault="0029430D" w:rsidP="00312F3E">
      <w:pPr>
        <w:ind w:left="851"/>
        <w:rPr>
          <w:noProof/>
          <w:sz w:val="24"/>
          <w:szCs w:val="24"/>
          <w:lang w:val="en-US"/>
        </w:rPr>
      </w:pPr>
      <w:r w:rsidRPr="00312F3E">
        <w:rPr>
          <w:noProof/>
          <w:sz w:val="24"/>
          <w:szCs w:val="24"/>
          <w:lang w:val="en-US"/>
        </w:rPr>
        <w:t>Dapagliflozin did not show any toxicity in healthy subjects at single oral doses up to 500</w:t>
      </w:r>
      <w:r w:rsidR="00B80469">
        <w:rPr>
          <w:noProof/>
          <w:sz w:val="24"/>
          <w:szCs w:val="24"/>
          <w:lang w:val="en-US"/>
        </w:rPr>
        <w:t> </w:t>
      </w:r>
      <w:r w:rsidRPr="00312F3E">
        <w:rPr>
          <w:noProof/>
          <w:sz w:val="24"/>
          <w:szCs w:val="24"/>
          <w:lang w:val="en-US"/>
        </w:rPr>
        <w:t>mg (50 times the maximum recommended human dose). These subjects had detectable glucose in the urine for a dose-related period of time (at least 5 days for the 500 mg dose), with no reports of dehydration, hypotension or electrolyte imbalance, and with no clinically meaningful effect on QTc interval. The incidence of hypoglycaemia was similar to placebo. In clinical studies where once-daily doses of up to 100 mg (10 times the maximum recommended human dose) were administered for 2 weeks in healthy subjects and type 2 diabetes subjects, the incidence of hypoglycaemia was slightly higher than placebo and was not dose-related. Rates of adverse events including dehydration or hypotension were similar to placebo, and there were no clinically meaningful dose-related changes in laboratory parameters, including serum electrolytes and biomarkers of renal function.</w:t>
      </w:r>
    </w:p>
    <w:p w14:paraId="7B4DF29A" w14:textId="77777777" w:rsidR="0029430D" w:rsidRPr="00312F3E" w:rsidRDefault="0029430D" w:rsidP="00312F3E">
      <w:pPr>
        <w:ind w:left="851"/>
        <w:rPr>
          <w:noProof/>
          <w:sz w:val="24"/>
          <w:szCs w:val="24"/>
          <w:lang w:val="en-US"/>
        </w:rPr>
      </w:pPr>
    </w:p>
    <w:p w14:paraId="3740AE44" w14:textId="5A87E7E9" w:rsidR="007C5D2A" w:rsidRPr="00312F3E" w:rsidRDefault="0029430D" w:rsidP="00B80469">
      <w:pPr>
        <w:ind w:left="851"/>
        <w:rPr>
          <w:sz w:val="24"/>
          <w:szCs w:val="24"/>
          <w:lang w:val="en-US"/>
        </w:rPr>
      </w:pPr>
      <w:r w:rsidRPr="00312F3E">
        <w:rPr>
          <w:noProof/>
          <w:sz w:val="24"/>
          <w:szCs w:val="24"/>
          <w:lang w:val="en-US"/>
        </w:rPr>
        <w:t>In the event of an overdose, appropriate supportive treatment should be initiated as dictated by the</w:t>
      </w:r>
      <w:r w:rsidR="00B80469">
        <w:rPr>
          <w:noProof/>
          <w:sz w:val="24"/>
          <w:szCs w:val="24"/>
          <w:lang w:val="en-US"/>
        </w:rPr>
        <w:t xml:space="preserve"> </w:t>
      </w:r>
      <w:r w:rsidRPr="00312F3E">
        <w:rPr>
          <w:noProof/>
          <w:sz w:val="24"/>
          <w:szCs w:val="24"/>
          <w:lang w:val="en-US"/>
        </w:rPr>
        <w:t>patient’s clinical status. The removal of dapagliflozin by haemodialysis has not been studied.</w:t>
      </w:r>
    </w:p>
    <w:p w14:paraId="476A3BD2" w14:textId="77777777" w:rsidR="007C5D2A" w:rsidRPr="00312F3E" w:rsidRDefault="007C5D2A" w:rsidP="003E0341">
      <w:pPr>
        <w:tabs>
          <w:tab w:val="left" w:pos="851"/>
        </w:tabs>
        <w:ind w:left="851"/>
        <w:rPr>
          <w:sz w:val="24"/>
          <w:szCs w:val="24"/>
          <w:lang w:val="en-GB"/>
        </w:rPr>
      </w:pPr>
    </w:p>
    <w:p w14:paraId="5185CE51" w14:textId="77777777" w:rsidR="008F2F8C" w:rsidRPr="00312F3E" w:rsidRDefault="0042292D" w:rsidP="0042292D">
      <w:pPr>
        <w:tabs>
          <w:tab w:val="left" w:pos="851"/>
        </w:tabs>
        <w:rPr>
          <w:b/>
          <w:sz w:val="24"/>
          <w:szCs w:val="24"/>
          <w:lang w:val="en-GB"/>
        </w:rPr>
      </w:pPr>
      <w:r w:rsidRPr="00312F3E">
        <w:rPr>
          <w:b/>
          <w:sz w:val="24"/>
          <w:szCs w:val="24"/>
          <w:lang w:val="en-GB"/>
        </w:rPr>
        <w:t>4.10</w:t>
      </w:r>
      <w:r w:rsidRPr="00312F3E">
        <w:rPr>
          <w:b/>
          <w:sz w:val="24"/>
          <w:szCs w:val="24"/>
          <w:lang w:val="en-GB"/>
        </w:rPr>
        <w:tab/>
        <w:t>Legal status</w:t>
      </w:r>
    </w:p>
    <w:p w14:paraId="1548C9E7" w14:textId="034A5679" w:rsidR="00AD2E36" w:rsidRPr="00312F3E" w:rsidRDefault="00312F3E" w:rsidP="00AD2E36">
      <w:pPr>
        <w:tabs>
          <w:tab w:val="left" w:pos="851"/>
        </w:tabs>
        <w:ind w:left="851"/>
        <w:rPr>
          <w:sz w:val="24"/>
          <w:szCs w:val="24"/>
          <w:lang w:val="en-GB"/>
        </w:rPr>
      </w:pPr>
      <w:r w:rsidRPr="00312F3E">
        <w:rPr>
          <w:sz w:val="24"/>
          <w:szCs w:val="24"/>
          <w:lang w:val="en-GB"/>
        </w:rPr>
        <w:t>B</w:t>
      </w:r>
    </w:p>
    <w:p w14:paraId="2476598B" w14:textId="77777777" w:rsidR="007C5D2A" w:rsidRPr="00312F3E" w:rsidRDefault="007C5D2A" w:rsidP="003E0341">
      <w:pPr>
        <w:tabs>
          <w:tab w:val="left" w:pos="851"/>
        </w:tabs>
        <w:ind w:left="851"/>
        <w:rPr>
          <w:sz w:val="24"/>
          <w:szCs w:val="24"/>
          <w:lang w:val="en-GB"/>
        </w:rPr>
      </w:pPr>
    </w:p>
    <w:p w14:paraId="6B55ECEE" w14:textId="77777777" w:rsidR="00AD2E36" w:rsidRPr="00312F3E" w:rsidRDefault="00AD2E36" w:rsidP="003E0341">
      <w:pPr>
        <w:tabs>
          <w:tab w:val="left" w:pos="851"/>
        </w:tabs>
        <w:ind w:left="851"/>
        <w:rPr>
          <w:sz w:val="24"/>
          <w:szCs w:val="24"/>
          <w:lang w:val="en-GB"/>
        </w:rPr>
      </w:pPr>
    </w:p>
    <w:p w14:paraId="5A6F5295" w14:textId="77777777" w:rsidR="007C5D2A" w:rsidRPr="00312F3E" w:rsidRDefault="007C5D2A" w:rsidP="007C5D2A">
      <w:pPr>
        <w:tabs>
          <w:tab w:val="left" w:pos="851"/>
        </w:tabs>
        <w:rPr>
          <w:b/>
          <w:sz w:val="24"/>
          <w:szCs w:val="24"/>
          <w:lang w:val="en-GB"/>
        </w:rPr>
      </w:pPr>
      <w:r w:rsidRPr="00312F3E">
        <w:rPr>
          <w:b/>
          <w:sz w:val="24"/>
          <w:szCs w:val="24"/>
          <w:lang w:val="en-GB"/>
        </w:rPr>
        <w:t>5.</w:t>
      </w:r>
      <w:r w:rsidRPr="00312F3E">
        <w:rPr>
          <w:b/>
          <w:sz w:val="24"/>
          <w:szCs w:val="24"/>
          <w:lang w:val="en-GB"/>
        </w:rPr>
        <w:tab/>
        <w:t>PHARMACOLOGICAL PROPERTIES</w:t>
      </w:r>
    </w:p>
    <w:p w14:paraId="7BBFFC29" w14:textId="77777777" w:rsidR="007C5D2A" w:rsidRPr="00312F3E" w:rsidRDefault="007C5D2A" w:rsidP="003E0341">
      <w:pPr>
        <w:tabs>
          <w:tab w:val="left" w:pos="851"/>
        </w:tabs>
        <w:ind w:left="851"/>
        <w:rPr>
          <w:sz w:val="24"/>
          <w:szCs w:val="24"/>
          <w:lang w:val="en-GB"/>
        </w:rPr>
      </w:pPr>
    </w:p>
    <w:p w14:paraId="0F39AF87"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5.1</w:t>
      </w:r>
      <w:r w:rsidRPr="00312F3E">
        <w:rPr>
          <w:b/>
          <w:sz w:val="24"/>
          <w:szCs w:val="24"/>
          <w:lang w:val="en-GB"/>
        </w:rPr>
        <w:tab/>
        <w:t>Pharmacodynamic properties</w:t>
      </w:r>
      <w:r w:rsidRPr="00312F3E">
        <w:rPr>
          <w:b/>
          <w:sz w:val="24"/>
          <w:szCs w:val="24"/>
          <w:lang w:val="en-GB"/>
        </w:rPr>
        <w:tab/>
      </w:r>
    </w:p>
    <w:p w14:paraId="7589D4FB" w14:textId="77777777" w:rsidR="0029430D" w:rsidRPr="00312F3E" w:rsidRDefault="0029430D" w:rsidP="00312F3E">
      <w:pPr>
        <w:ind w:left="851"/>
        <w:rPr>
          <w:sz w:val="24"/>
          <w:szCs w:val="24"/>
          <w:lang w:val="en-US"/>
        </w:rPr>
      </w:pPr>
      <w:r w:rsidRPr="00312F3E">
        <w:rPr>
          <w:sz w:val="24"/>
          <w:szCs w:val="24"/>
          <w:lang w:val="en-US"/>
        </w:rPr>
        <w:t>Pharmacotherapeutic group: Drugs used in diabetes, sodium-glucose co-transporter 2 (SGLT2) inhibitors, ATC code: A10BK01</w:t>
      </w:r>
    </w:p>
    <w:p w14:paraId="43BCA116" w14:textId="77777777" w:rsidR="0029430D" w:rsidRPr="00312F3E" w:rsidRDefault="0029430D" w:rsidP="00312F3E">
      <w:pPr>
        <w:ind w:left="851"/>
        <w:rPr>
          <w:i/>
          <w:noProof/>
          <w:sz w:val="24"/>
          <w:szCs w:val="24"/>
          <w:lang w:val="en-US"/>
        </w:rPr>
      </w:pPr>
    </w:p>
    <w:p w14:paraId="367CA53B" w14:textId="77777777" w:rsidR="0029430D" w:rsidRPr="00312F3E" w:rsidRDefault="0029430D" w:rsidP="00312F3E">
      <w:pPr>
        <w:ind w:left="851"/>
        <w:rPr>
          <w:sz w:val="24"/>
          <w:szCs w:val="24"/>
          <w:u w:val="single"/>
          <w:lang w:val="en-US"/>
        </w:rPr>
      </w:pPr>
      <w:r w:rsidRPr="00312F3E">
        <w:rPr>
          <w:sz w:val="24"/>
          <w:szCs w:val="24"/>
          <w:u w:val="single"/>
          <w:lang w:val="en-US"/>
        </w:rPr>
        <w:t>Mechanism of action</w:t>
      </w:r>
    </w:p>
    <w:p w14:paraId="66DB92E9" w14:textId="77777777" w:rsidR="0029430D" w:rsidRPr="00312F3E" w:rsidRDefault="0029430D" w:rsidP="00312F3E">
      <w:pPr>
        <w:ind w:left="851"/>
        <w:rPr>
          <w:sz w:val="24"/>
          <w:szCs w:val="24"/>
          <w:lang w:val="en-US"/>
        </w:rPr>
      </w:pPr>
    </w:p>
    <w:p w14:paraId="109FE39E" w14:textId="77777777" w:rsidR="0029430D" w:rsidRPr="00312F3E" w:rsidRDefault="0029430D" w:rsidP="00312F3E">
      <w:pPr>
        <w:ind w:left="851"/>
        <w:rPr>
          <w:sz w:val="24"/>
          <w:szCs w:val="24"/>
          <w:lang w:val="en-US"/>
        </w:rPr>
      </w:pPr>
      <w:r w:rsidRPr="00312F3E">
        <w:rPr>
          <w:sz w:val="24"/>
          <w:szCs w:val="24"/>
          <w:lang w:val="en-US"/>
        </w:rPr>
        <w:t xml:space="preserve">Dapagliflozin is a highly potent (Ki: 0.55 </w:t>
      </w:r>
      <w:proofErr w:type="spellStart"/>
      <w:r w:rsidRPr="00312F3E">
        <w:rPr>
          <w:sz w:val="24"/>
          <w:szCs w:val="24"/>
          <w:lang w:val="en-US"/>
        </w:rPr>
        <w:t>nM</w:t>
      </w:r>
      <w:proofErr w:type="spellEnd"/>
      <w:r w:rsidRPr="00312F3E">
        <w:rPr>
          <w:sz w:val="24"/>
          <w:szCs w:val="24"/>
          <w:lang w:val="en-US"/>
        </w:rPr>
        <w:t xml:space="preserve">), selective and reversible inhibitor of SGLT2. </w:t>
      </w:r>
    </w:p>
    <w:p w14:paraId="60EBD83F" w14:textId="77777777" w:rsidR="0029430D" w:rsidRPr="00312F3E" w:rsidRDefault="0029430D" w:rsidP="00312F3E">
      <w:pPr>
        <w:ind w:left="851"/>
        <w:rPr>
          <w:sz w:val="24"/>
          <w:szCs w:val="24"/>
          <w:lang w:val="en-US"/>
        </w:rPr>
      </w:pPr>
    </w:p>
    <w:p w14:paraId="52D3DD66" w14:textId="77777777" w:rsidR="0029430D" w:rsidRPr="00312F3E" w:rsidRDefault="0029430D" w:rsidP="00312F3E">
      <w:pPr>
        <w:ind w:left="851"/>
        <w:rPr>
          <w:sz w:val="24"/>
          <w:szCs w:val="24"/>
          <w:lang w:val="en-US"/>
        </w:rPr>
      </w:pPr>
      <w:r w:rsidRPr="00312F3E">
        <w:rPr>
          <w:sz w:val="24"/>
          <w:szCs w:val="24"/>
          <w:lang w:val="en-US"/>
        </w:rPr>
        <w:t xml:space="preserve">Inhibition of SGLT2 by dapagliflozin reduces reabsorption of glucose from the glomerular filtrate in the proximal renal tubule with a concomitant reduction in sodium reabsorption leading to urinary excretion of glucose and osmotic diuresis. Dapagliflozin therefore increases the delivery of sodium to the distal tubule which increases </w:t>
      </w:r>
      <w:proofErr w:type="spellStart"/>
      <w:r w:rsidRPr="00312F3E">
        <w:rPr>
          <w:sz w:val="24"/>
          <w:szCs w:val="24"/>
          <w:lang w:val="en-US"/>
        </w:rPr>
        <w:t>tubuloglomerular</w:t>
      </w:r>
      <w:proofErr w:type="spellEnd"/>
      <w:r w:rsidRPr="00312F3E">
        <w:rPr>
          <w:sz w:val="24"/>
          <w:szCs w:val="24"/>
          <w:lang w:val="en-US"/>
        </w:rPr>
        <w:t xml:space="preserve"> feedback and reduces intraglomerular pressure. This combined with osmotic diuresis leads to a reduction in volume overload, reduced blood pressure, and lower preload and afterload, which may have beneficial effects on cardiac </w:t>
      </w:r>
      <w:proofErr w:type="spellStart"/>
      <w:r w:rsidRPr="00312F3E">
        <w:rPr>
          <w:sz w:val="24"/>
          <w:szCs w:val="24"/>
          <w:lang w:val="en-US"/>
        </w:rPr>
        <w:t>remodelling</w:t>
      </w:r>
      <w:proofErr w:type="spellEnd"/>
      <w:r w:rsidRPr="00312F3E">
        <w:rPr>
          <w:sz w:val="24"/>
          <w:szCs w:val="24"/>
          <w:lang w:val="en-US"/>
        </w:rPr>
        <w:t xml:space="preserve"> and diastolic function, and preserve renal function. The cardiac and renal benefits of dapagliflozin are not solely dependent on the blood glucose-lowering effect and not limited to patients with diabetes as demonstrated in the DAPA-HF, DELIVER and DAPA-CKD studies. Other effects include an increase in </w:t>
      </w:r>
      <w:proofErr w:type="spellStart"/>
      <w:r w:rsidRPr="00312F3E">
        <w:rPr>
          <w:sz w:val="24"/>
          <w:szCs w:val="24"/>
          <w:lang w:val="en-US"/>
        </w:rPr>
        <w:t>haematocrit</w:t>
      </w:r>
      <w:proofErr w:type="spellEnd"/>
      <w:r w:rsidRPr="00312F3E">
        <w:rPr>
          <w:sz w:val="24"/>
          <w:szCs w:val="24"/>
          <w:lang w:val="en-US"/>
        </w:rPr>
        <w:t xml:space="preserve"> and reduction in body weight.</w:t>
      </w:r>
    </w:p>
    <w:p w14:paraId="24E17D34" w14:textId="77777777" w:rsidR="0029430D" w:rsidRPr="00312F3E" w:rsidRDefault="0029430D" w:rsidP="00312F3E">
      <w:pPr>
        <w:ind w:left="851"/>
        <w:rPr>
          <w:sz w:val="24"/>
          <w:szCs w:val="24"/>
          <w:lang w:val="en-US"/>
        </w:rPr>
      </w:pPr>
    </w:p>
    <w:p w14:paraId="798D03FC" w14:textId="77777777" w:rsidR="0029430D" w:rsidRPr="00312F3E" w:rsidRDefault="0029430D" w:rsidP="00312F3E">
      <w:pPr>
        <w:ind w:left="851"/>
        <w:rPr>
          <w:sz w:val="24"/>
          <w:szCs w:val="24"/>
          <w:lang w:val="en-US"/>
        </w:rPr>
      </w:pPr>
      <w:r w:rsidRPr="00312F3E">
        <w:rPr>
          <w:sz w:val="24"/>
          <w:szCs w:val="24"/>
          <w:lang w:val="en-US"/>
        </w:rPr>
        <w:t>Dapagliflozin improves both fasting and post-prandial plasma glucose levels by reducing renal glucose reabsorption leading to urinary glucose excretion. This glucose excretion (</w:t>
      </w:r>
      <w:proofErr w:type="spellStart"/>
      <w:r w:rsidRPr="00312F3E">
        <w:rPr>
          <w:sz w:val="24"/>
          <w:szCs w:val="24"/>
          <w:lang w:val="en-US"/>
        </w:rPr>
        <w:t>glucuretic</w:t>
      </w:r>
      <w:proofErr w:type="spellEnd"/>
      <w:r w:rsidRPr="00312F3E">
        <w:rPr>
          <w:sz w:val="24"/>
          <w:szCs w:val="24"/>
          <w:lang w:val="en-US"/>
        </w:rPr>
        <w:t xml:space="preserve"> effect) is observed after the first dose, is continuous over the 24-hour dosing interval and is sustained for the duration of treatment. The amount of glucose removed by the kidney through this mechanism is dependent upon the blood glucose concentration and GFR. Thus, in subjects with normal blood glucose, dapagliflozin has a low propensity to cause </w:t>
      </w:r>
      <w:proofErr w:type="spellStart"/>
      <w:r w:rsidRPr="00312F3E">
        <w:rPr>
          <w:sz w:val="24"/>
          <w:szCs w:val="24"/>
          <w:lang w:val="en-US"/>
        </w:rPr>
        <w:t>hypoglycaemia</w:t>
      </w:r>
      <w:proofErr w:type="spellEnd"/>
      <w:r w:rsidRPr="00312F3E">
        <w:rPr>
          <w:sz w:val="24"/>
          <w:szCs w:val="24"/>
          <w:lang w:val="en-US"/>
        </w:rPr>
        <w:t xml:space="preserve">. Dapagliflozin does not impair normal endogenous glucose production in response to </w:t>
      </w:r>
      <w:proofErr w:type="spellStart"/>
      <w:r w:rsidRPr="00312F3E">
        <w:rPr>
          <w:sz w:val="24"/>
          <w:szCs w:val="24"/>
          <w:lang w:val="en-US"/>
        </w:rPr>
        <w:t>hypoglycaemia</w:t>
      </w:r>
      <w:proofErr w:type="spellEnd"/>
      <w:r w:rsidRPr="00312F3E">
        <w:rPr>
          <w:sz w:val="24"/>
          <w:szCs w:val="24"/>
          <w:lang w:val="en-US"/>
        </w:rPr>
        <w:t>. Dapagliflozin acts independently of insulin secretion and insulin action. Improvement in homeostasis model assessment for beta cell function (HOMA beta-cell) has been observed in clinical studies with dapagliflozin.</w:t>
      </w:r>
    </w:p>
    <w:p w14:paraId="31DEE16B" w14:textId="77777777" w:rsidR="0029430D" w:rsidRPr="00312F3E" w:rsidRDefault="0029430D" w:rsidP="00312F3E">
      <w:pPr>
        <w:ind w:left="851"/>
        <w:rPr>
          <w:sz w:val="24"/>
          <w:szCs w:val="24"/>
          <w:lang w:val="en-US"/>
        </w:rPr>
      </w:pPr>
    </w:p>
    <w:p w14:paraId="4E7A9DE9" w14:textId="77777777" w:rsidR="0029430D" w:rsidRPr="00312F3E" w:rsidRDefault="0029430D" w:rsidP="00312F3E">
      <w:pPr>
        <w:ind w:left="851"/>
        <w:rPr>
          <w:sz w:val="24"/>
          <w:szCs w:val="24"/>
          <w:lang w:val="en-US"/>
        </w:rPr>
      </w:pPr>
      <w:r w:rsidRPr="00312F3E">
        <w:rPr>
          <w:sz w:val="24"/>
          <w:szCs w:val="24"/>
          <w:lang w:val="en-US"/>
        </w:rPr>
        <w:t>The SGLT2 is selectively expressed in the kidney. Dapagliflozin does not inhibit other glucose transporters important for glucose transport into peripheral tissues and is &gt; 1,400 times more selective for SGLT2 versus SGLT1, the major transporter in the gut responsible for glucose absorption.</w:t>
      </w:r>
    </w:p>
    <w:p w14:paraId="5108DDE4" w14:textId="77777777" w:rsidR="0029430D" w:rsidRPr="00312F3E" w:rsidRDefault="0029430D" w:rsidP="00312F3E">
      <w:pPr>
        <w:ind w:left="851"/>
        <w:rPr>
          <w:sz w:val="24"/>
          <w:szCs w:val="24"/>
          <w:lang w:val="en-US"/>
        </w:rPr>
      </w:pPr>
    </w:p>
    <w:p w14:paraId="5C356365" w14:textId="77777777" w:rsidR="0029430D" w:rsidRPr="00312F3E" w:rsidRDefault="0029430D" w:rsidP="00312F3E">
      <w:pPr>
        <w:ind w:left="851"/>
        <w:rPr>
          <w:sz w:val="24"/>
          <w:szCs w:val="24"/>
          <w:u w:val="single"/>
          <w:lang w:val="en-US"/>
        </w:rPr>
      </w:pPr>
      <w:r w:rsidRPr="00312F3E">
        <w:rPr>
          <w:sz w:val="24"/>
          <w:szCs w:val="24"/>
          <w:u w:val="single"/>
          <w:lang w:val="en-US"/>
        </w:rPr>
        <w:t>Pharmacodynamic effects</w:t>
      </w:r>
    </w:p>
    <w:p w14:paraId="0733054B" w14:textId="77777777" w:rsidR="0029430D" w:rsidRPr="00312F3E" w:rsidRDefault="0029430D" w:rsidP="00312F3E">
      <w:pPr>
        <w:ind w:left="851"/>
        <w:rPr>
          <w:sz w:val="24"/>
          <w:szCs w:val="24"/>
          <w:u w:val="single"/>
          <w:lang w:val="en-US"/>
        </w:rPr>
      </w:pPr>
    </w:p>
    <w:p w14:paraId="4B5EBB6D" w14:textId="63EDB0A1" w:rsidR="0029430D" w:rsidRPr="00312F3E" w:rsidRDefault="0029430D" w:rsidP="00312F3E">
      <w:pPr>
        <w:ind w:left="851"/>
        <w:rPr>
          <w:sz w:val="24"/>
          <w:szCs w:val="24"/>
          <w:lang w:val="en-US"/>
        </w:rPr>
      </w:pPr>
      <w:r w:rsidRPr="00312F3E">
        <w:rPr>
          <w:sz w:val="24"/>
          <w:szCs w:val="24"/>
          <w:lang w:val="en-US"/>
        </w:rPr>
        <w:t>Increases in the amount of glucose excreted in the urine were observed in healthy subjects and in subjects with type 2 diabetes mellitus following the administration of dapagliflozin. Approximately 70 g of glucose was excreted in the urine per day (corresponding to 280</w:t>
      </w:r>
      <w:r w:rsidR="00583F33">
        <w:rPr>
          <w:sz w:val="24"/>
          <w:szCs w:val="24"/>
          <w:lang w:val="en-US"/>
        </w:rPr>
        <w:t> </w:t>
      </w:r>
      <w:r w:rsidRPr="00312F3E">
        <w:rPr>
          <w:sz w:val="24"/>
          <w:szCs w:val="24"/>
          <w:lang w:val="en-US"/>
        </w:rPr>
        <w:t>kcal/day) at a dapagliflozin dose of 10 mg/day in subjects with type 2 diabetes mellitus for 12 weeks. Evidence of sustained glucose excretion was seen in subjects with type 2 diabetes mellitus given dapagliflozin 10 mg/day for up to 2 years.</w:t>
      </w:r>
    </w:p>
    <w:p w14:paraId="0C4932BF" w14:textId="77777777" w:rsidR="0029430D" w:rsidRPr="00312F3E" w:rsidRDefault="0029430D" w:rsidP="00312F3E">
      <w:pPr>
        <w:ind w:left="851"/>
        <w:rPr>
          <w:sz w:val="24"/>
          <w:szCs w:val="24"/>
          <w:lang w:val="en-US"/>
        </w:rPr>
      </w:pPr>
    </w:p>
    <w:p w14:paraId="6F2C7D4F" w14:textId="77777777" w:rsidR="0029430D" w:rsidRPr="00312F3E" w:rsidRDefault="0029430D" w:rsidP="00312F3E">
      <w:pPr>
        <w:ind w:left="851"/>
        <w:rPr>
          <w:sz w:val="24"/>
          <w:szCs w:val="24"/>
          <w:lang w:val="en-US"/>
        </w:rPr>
      </w:pPr>
      <w:r w:rsidRPr="00312F3E">
        <w:rPr>
          <w:sz w:val="24"/>
          <w:szCs w:val="24"/>
          <w:lang w:val="en-US"/>
        </w:rPr>
        <w:t>This urinary glucose excretion with dapagliflozin also results in osmotic diuresis and increases in urinary volume in subjects with type 2 diabetes mellitus. Urinary volume increases in subjects with type 2 diabetes mellitus treated with dapagliflozin 10 mg were sustained at 12 weeks and amounted to approximately 375 mL/day. The increase in urinary volume was associated with a small and transient increase in urinary sodium excretion that was not associated with changes in serum sodium concentrations.</w:t>
      </w:r>
    </w:p>
    <w:p w14:paraId="18D03B2F" w14:textId="77777777" w:rsidR="0029430D" w:rsidRPr="00312F3E" w:rsidRDefault="0029430D" w:rsidP="00312F3E">
      <w:pPr>
        <w:ind w:left="851"/>
        <w:rPr>
          <w:sz w:val="24"/>
          <w:szCs w:val="24"/>
          <w:lang w:val="en-US"/>
        </w:rPr>
      </w:pPr>
    </w:p>
    <w:p w14:paraId="077B3ABE" w14:textId="51741EF0" w:rsidR="0029430D" w:rsidRPr="00312F3E" w:rsidRDefault="0029430D" w:rsidP="00312F3E">
      <w:pPr>
        <w:ind w:left="851"/>
        <w:rPr>
          <w:sz w:val="24"/>
          <w:szCs w:val="24"/>
          <w:lang w:val="en-US"/>
        </w:rPr>
      </w:pPr>
      <w:r w:rsidRPr="00312F3E">
        <w:rPr>
          <w:sz w:val="24"/>
          <w:szCs w:val="24"/>
          <w:lang w:val="en-US"/>
        </w:rPr>
        <w:t>Urinary uric acid excretion was also increased transiently (for 3-7 days) and accompanied by a sustained reduction in serum uric acid concentration. At 24 weeks, reductions in serum uric acid concentrations ranged from -48.3 to -18.3 micromoles/L (-0.87 to -0.33</w:t>
      </w:r>
      <w:r w:rsidR="00B80469">
        <w:rPr>
          <w:sz w:val="24"/>
          <w:szCs w:val="24"/>
          <w:lang w:val="en-US"/>
        </w:rPr>
        <w:t> </w:t>
      </w:r>
      <w:r w:rsidRPr="00312F3E">
        <w:rPr>
          <w:sz w:val="24"/>
          <w:szCs w:val="24"/>
          <w:lang w:val="en-US"/>
        </w:rPr>
        <w:t>mg/dL).</w:t>
      </w:r>
    </w:p>
    <w:p w14:paraId="1D893523" w14:textId="309DFD49" w:rsidR="00583F33" w:rsidRDefault="00583F33">
      <w:pPr>
        <w:rPr>
          <w:sz w:val="24"/>
          <w:szCs w:val="24"/>
          <w:lang w:val="en-US"/>
        </w:rPr>
      </w:pPr>
      <w:r>
        <w:rPr>
          <w:sz w:val="24"/>
          <w:szCs w:val="24"/>
          <w:lang w:val="en-US"/>
        </w:rPr>
        <w:br w:type="page"/>
      </w:r>
    </w:p>
    <w:p w14:paraId="380AA978" w14:textId="77777777" w:rsidR="0029430D" w:rsidRPr="00312F3E" w:rsidRDefault="0029430D" w:rsidP="00312F3E">
      <w:pPr>
        <w:ind w:left="851"/>
        <w:rPr>
          <w:sz w:val="24"/>
          <w:szCs w:val="24"/>
          <w:lang w:val="en-US"/>
        </w:rPr>
      </w:pPr>
    </w:p>
    <w:p w14:paraId="33C83657" w14:textId="77777777" w:rsidR="0029430D" w:rsidRPr="00312F3E" w:rsidRDefault="0029430D" w:rsidP="00312F3E">
      <w:pPr>
        <w:ind w:left="851"/>
        <w:rPr>
          <w:sz w:val="24"/>
          <w:szCs w:val="24"/>
          <w:u w:val="single"/>
          <w:lang w:val="en-US"/>
        </w:rPr>
      </w:pPr>
      <w:r w:rsidRPr="00312F3E">
        <w:rPr>
          <w:sz w:val="24"/>
          <w:szCs w:val="24"/>
          <w:u w:val="single"/>
          <w:lang w:val="en-US"/>
        </w:rPr>
        <w:t>Clinical efficacy and safety</w:t>
      </w:r>
    </w:p>
    <w:p w14:paraId="22D96B0B" w14:textId="77777777" w:rsidR="0029430D" w:rsidRPr="00312F3E" w:rsidRDefault="0029430D" w:rsidP="00312F3E">
      <w:pPr>
        <w:ind w:left="851"/>
        <w:rPr>
          <w:sz w:val="24"/>
          <w:szCs w:val="24"/>
          <w:u w:val="single"/>
          <w:lang w:val="en-US"/>
        </w:rPr>
      </w:pPr>
    </w:p>
    <w:p w14:paraId="09EC4AC2" w14:textId="77777777" w:rsidR="0029430D" w:rsidRPr="00312F3E" w:rsidRDefault="0029430D" w:rsidP="00312F3E">
      <w:pPr>
        <w:ind w:left="851"/>
        <w:rPr>
          <w:sz w:val="24"/>
          <w:szCs w:val="24"/>
          <w:u w:val="single"/>
          <w:lang w:val="en-US"/>
        </w:rPr>
      </w:pPr>
      <w:r w:rsidRPr="00312F3E">
        <w:rPr>
          <w:sz w:val="24"/>
          <w:szCs w:val="24"/>
          <w:u w:val="single"/>
          <w:lang w:val="en-US"/>
        </w:rPr>
        <w:t>Type 2 diabetes mellitus</w:t>
      </w:r>
    </w:p>
    <w:p w14:paraId="48FCAC13" w14:textId="77777777" w:rsidR="0029430D" w:rsidRPr="00312F3E" w:rsidRDefault="0029430D" w:rsidP="00312F3E">
      <w:pPr>
        <w:ind w:left="851"/>
        <w:rPr>
          <w:sz w:val="24"/>
          <w:szCs w:val="24"/>
          <w:u w:val="single"/>
          <w:lang w:val="en-US"/>
        </w:rPr>
      </w:pPr>
    </w:p>
    <w:p w14:paraId="20622634" w14:textId="77777777" w:rsidR="0029430D" w:rsidRPr="00312F3E" w:rsidRDefault="0029430D" w:rsidP="00312F3E">
      <w:pPr>
        <w:ind w:left="851"/>
        <w:rPr>
          <w:sz w:val="24"/>
          <w:szCs w:val="24"/>
          <w:lang w:val="en-US"/>
        </w:rPr>
      </w:pPr>
      <w:r w:rsidRPr="00312F3E">
        <w:rPr>
          <w:sz w:val="24"/>
          <w:szCs w:val="24"/>
          <w:lang w:val="en-US"/>
        </w:rPr>
        <w:t xml:space="preserve">Improvement of </w:t>
      </w:r>
      <w:proofErr w:type="spellStart"/>
      <w:r w:rsidRPr="00312F3E">
        <w:rPr>
          <w:sz w:val="24"/>
          <w:szCs w:val="24"/>
          <w:lang w:val="en-US"/>
        </w:rPr>
        <w:t>glycaemic</w:t>
      </w:r>
      <w:proofErr w:type="spellEnd"/>
      <w:r w:rsidRPr="00312F3E">
        <w:rPr>
          <w:sz w:val="24"/>
          <w:szCs w:val="24"/>
          <w:lang w:val="en-US"/>
        </w:rPr>
        <w:t xml:space="preserve"> control and reduction of cardiovascular and renal morbidity and mortality are integral parts of the treatment of type 2 diabetes.</w:t>
      </w:r>
    </w:p>
    <w:p w14:paraId="70604F70" w14:textId="77777777" w:rsidR="0029430D" w:rsidRPr="00312F3E" w:rsidRDefault="0029430D" w:rsidP="00312F3E">
      <w:pPr>
        <w:ind w:left="851"/>
        <w:rPr>
          <w:sz w:val="24"/>
          <w:szCs w:val="24"/>
          <w:lang w:val="en-US"/>
        </w:rPr>
      </w:pPr>
    </w:p>
    <w:p w14:paraId="39D45E85" w14:textId="77777777" w:rsidR="0029430D" w:rsidRPr="00312F3E" w:rsidRDefault="0029430D" w:rsidP="00312F3E">
      <w:pPr>
        <w:ind w:left="851"/>
        <w:rPr>
          <w:sz w:val="24"/>
          <w:szCs w:val="24"/>
          <w:lang w:val="en-US"/>
        </w:rPr>
      </w:pPr>
      <w:r w:rsidRPr="00312F3E">
        <w:rPr>
          <w:sz w:val="24"/>
          <w:szCs w:val="24"/>
          <w:lang w:val="en-US"/>
        </w:rPr>
        <w:t xml:space="preserve">Fourteen double-blind, </w:t>
      </w:r>
      <w:proofErr w:type="spellStart"/>
      <w:r w:rsidRPr="00312F3E">
        <w:rPr>
          <w:sz w:val="24"/>
          <w:szCs w:val="24"/>
          <w:lang w:val="en-US"/>
        </w:rPr>
        <w:t>randomised</w:t>
      </w:r>
      <w:proofErr w:type="spellEnd"/>
      <w:r w:rsidRPr="00312F3E">
        <w:rPr>
          <w:sz w:val="24"/>
          <w:szCs w:val="24"/>
          <w:lang w:val="en-US"/>
        </w:rPr>
        <w:t xml:space="preserve">, controlled clinical studies were conducted with 7,056 adult subjects with type 2 diabetes to evaluate the </w:t>
      </w:r>
      <w:proofErr w:type="spellStart"/>
      <w:r w:rsidRPr="00312F3E">
        <w:rPr>
          <w:sz w:val="24"/>
          <w:szCs w:val="24"/>
          <w:lang w:val="en-US"/>
        </w:rPr>
        <w:t>glycaemic</w:t>
      </w:r>
      <w:proofErr w:type="spellEnd"/>
      <w:r w:rsidRPr="00312F3E">
        <w:rPr>
          <w:sz w:val="24"/>
          <w:szCs w:val="24"/>
          <w:lang w:val="en-US"/>
        </w:rPr>
        <w:t xml:space="preserve"> efficacy and safety of dapagliflozin; 4,737 subjects in these studies were treated with dapagliflozin. Twelve studies had a treatment period of 24 weeks duration, 8 with long-term extensions ranging from 24 to 80 weeks (up to a total study duration of 104 weeks), one study had a 28-week treatment period, and one study was 52 weeks in duration with long-term extensions of 52 and 104 weeks (total study duration of 208 weeks). Mean duration of diabetes ranged from 1.4 to 16.9 years. Fifty percent (50%) had mild renal impairment and 11% had moderate renal impairment. Fifty-one percent (51%) of the subjects were men, 84% were White, 8% were Asian, 4% were Black and 4% were of other racial groups. Eighty-one percent (81%) of the subjects had a body mass index (BMI) ≥ 27. Furthermore, two 12-week, placebo-controlled studies were conducted in patients with inadequately controlled type 2 diabetes and hypertension. </w:t>
      </w:r>
    </w:p>
    <w:p w14:paraId="233ADE46" w14:textId="77777777" w:rsidR="0029430D" w:rsidRPr="00312F3E" w:rsidRDefault="0029430D" w:rsidP="00312F3E">
      <w:pPr>
        <w:ind w:left="851"/>
        <w:rPr>
          <w:sz w:val="24"/>
          <w:szCs w:val="24"/>
          <w:lang w:val="en-US"/>
        </w:rPr>
      </w:pPr>
    </w:p>
    <w:p w14:paraId="246DE19F" w14:textId="77777777" w:rsidR="0029430D" w:rsidRPr="00312F3E" w:rsidRDefault="0029430D" w:rsidP="00312F3E">
      <w:pPr>
        <w:ind w:left="851"/>
        <w:rPr>
          <w:sz w:val="24"/>
          <w:szCs w:val="24"/>
          <w:lang w:val="en-US"/>
        </w:rPr>
      </w:pPr>
      <w:r w:rsidRPr="00312F3E">
        <w:rPr>
          <w:sz w:val="24"/>
          <w:szCs w:val="24"/>
          <w:lang w:val="en-US"/>
        </w:rPr>
        <w:t xml:space="preserve">A </w:t>
      </w:r>
      <w:proofErr w:type="gramStart"/>
      <w:r w:rsidRPr="00312F3E">
        <w:rPr>
          <w:sz w:val="24"/>
          <w:szCs w:val="24"/>
          <w:lang w:val="en-US"/>
        </w:rPr>
        <w:t>cardiovascular outcomes</w:t>
      </w:r>
      <w:proofErr w:type="gramEnd"/>
      <w:r w:rsidRPr="00312F3E">
        <w:rPr>
          <w:sz w:val="24"/>
          <w:szCs w:val="24"/>
          <w:lang w:val="en-US"/>
        </w:rPr>
        <w:t xml:space="preserve"> study (DECLARE) was conducted with dapagliflozin 10 mg compared with placebo in 17,160 patients with type 2 diabetes mellitus with or without established cardiovascular disease to evaluate the effect on cardiovascular and renal events.</w:t>
      </w:r>
    </w:p>
    <w:p w14:paraId="26756176" w14:textId="77777777" w:rsidR="0029430D" w:rsidRPr="00312F3E" w:rsidRDefault="0029430D" w:rsidP="00312F3E">
      <w:pPr>
        <w:ind w:left="851"/>
        <w:rPr>
          <w:sz w:val="24"/>
          <w:szCs w:val="24"/>
          <w:u w:val="single"/>
          <w:lang w:val="en-US"/>
        </w:rPr>
      </w:pPr>
    </w:p>
    <w:p w14:paraId="0028B766" w14:textId="77777777" w:rsidR="0029430D" w:rsidRPr="00312F3E" w:rsidRDefault="0029430D" w:rsidP="00312F3E">
      <w:pPr>
        <w:ind w:left="851"/>
        <w:rPr>
          <w:i/>
          <w:iCs/>
          <w:sz w:val="24"/>
          <w:szCs w:val="24"/>
          <w:u w:val="single"/>
          <w:lang w:val="en-US"/>
        </w:rPr>
      </w:pPr>
      <w:proofErr w:type="spellStart"/>
      <w:r w:rsidRPr="00312F3E">
        <w:rPr>
          <w:i/>
          <w:iCs/>
          <w:sz w:val="24"/>
          <w:szCs w:val="24"/>
          <w:u w:val="single"/>
          <w:lang w:val="en-US"/>
        </w:rPr>
        <w:t>Glycaemic</w:t>
      </w:r>
      <w:proofErr w:type="spellEnd"/>
      <w:r w:rsidRPr="00312F3E">
        <w:rPr>
          <w:i/>
          <w:iCs/>
          <w:sz w:val="24"/>
          <w:szCs w:val="24"/>
          <w:u w:val="single"/>
          <w:lang w:val="en-US"/>
        </w:rPr>
        <w:t xml:space="preserve"> control</w:t>
      </w:r>
    </w:p>
    <w:p w14:paraId="35107B21" w14:textId="77777777" w:rsidR="0029430D" w:rsidRPr="00312F3E" w:rsidRDefault="0029430D" w:rsidP="00312F3E">
      <w:pPr>
        <w:ind w:left="851"/>
        <w:rPr>
          <w:i/>
          <w:iCs/>
          <w:sz w:val="24"/>
          <w:szCs w:val="24"/>
          <w:lang w:val="en-US"/>
        </w:rPr>
      </w:pPr>
      <w:r w:rsidRPr="00312F3E">
        <w:rPr>
          <w:i/>
          <w:iCs/>
          <w:sz w:val="24"/>
          <w:szCs w:val="24"/>
          <w:lang w:val="en-US"/>
        </w:rPr>
        <w:t>Monotherapy</w:t>
      </w:r>
    </w:p>
    <w:p w14:paraId="545067DF" w14:textId="77777777" w:rsidR="0029430D" w:rsidRPr="00312F3E" w:rsidRDefault="0029430D" w:rsidP="00312F3E">
      <w:pPr>
        <w:ind w:left="851"/>
        <w:rPr>
          <w:sz w:val="24"/>
          <w:szCs w:val="24"/>
          <w:lang w:val="en-US"/>
        </w:rPr>
      </w:pPr>
      <w:r w:rsidRPr="00312F3E">
        <w:rPr>
          <w:sz w:val="24"/>
          <w:szCs w:val="24"/>
          <w:lang w:val="en-US"/>
        </w:rPr>
        <w:t>A double-blind, placebo-controlled study of 24-week duration (with an additional extension period) was conducted to evaluate the safety and efficacy of monotherapy with dapagliflozin in subjects with inadequately controlled type 2 diabetes mellitus. Once-daily treatment with dapagliflozin resulted in statistically significant (p &lt; 0.0001) reductions in HbA1c compared to placebo (Table 2).</w:t>
      </w:r>
    </w:p>
    <w:p w14:paraId="2BADB7CB" w14:textId="77777777" w:rsidR="0029430D" w:rsidRPr="00312F3E" w:rsidRDefault="0029430D" w:rsidP="00312F3E">
      <w:pPr>
        <w:ind w:left="851"/>
        <w:rPr>
          <w:sz w:val="24"/>
          <w:szCs w:val="24"/>
          <w:lang w:val="en-US"/>
        </w:rPr>
      </w:pPr>
    </w:p>
    <w:p w14:paraId="4270C229" w14:textId="77777777" w:rsidR="0029430D" w:rsidRPr="00312F3E" w:rsidRDefault="0029430D" w:rsidP="00312F3E">
      <w:pPr>
        <w:ind w:left="851"/>
        <w:rPr>
          <w:sz w:val="24"/>
          <w:szCs w:val="24"/>
          <w:lang w:val="en-US"/>
        </w:rPr>
      </w:pPr>
      <w:r w:rsidRPr="00312F3E">
        <w:rPr>
          <w:sz w:val="24"/>
          <w:szCs w:val="24"/>
          <w:lang w:val="en-US"/>
        </w:rPr>
        <w:t>In the extension period, HbA1c reductions were sustained through week 102 (-0.61%,</w:t>
      </w:r>
    </w:p>
    <w:p w14:paraId="7AD56972" w14:textId="77777777" w:rsidR="0029430D" w:rsidRPr="00312F3E" w:rsidRDefault="0029430D" w:rsidP="00312F3E">
      <w:pPr>
        <w:ind w:left="851"/>
        <w:rPr>
          <w:sz w:val="24"/>
          <w:szCs w:val="24"/>
          <w:lang w:val="en-US"/>
        </w:rPr>
      </w:pPr>
      <w:r w:rsidRPr="00312F3E">
        <w:rPr>
          <w:sz w:val="24"/>
          <w:szCs w:val="24"/>
          <w:lang w:val="en-US"/>
        </w:rPr>
        <w:t>and -0.17% adjusted mean change from baseline for dapagliflozin 10 mg and placebo, respectively).</w:t>
      </w:r>
    </w:p>
    <w:p w14:paraId="683B3059" w14:textId="77777777" w:rsidR="0029430D" w:rsidRPr="00312F3E" w:rsidRDefault="0029430D" w:rsidP="00312F3E">
      <w:pPr>
        <w:ind w:left="851"/>
        <w:rPr>
          <w:sz w:val="24"/>
          <w:szCs w:val="24"/>
          <w:lang w:val="en-US"/>
        </w:rPr>
      </w:pPr>
    </w:p>
    <w:p w14:paraId="41BAC2F0" w14:textId="77777777" w:rsidR="0029430D" w:rsidRPr="00312F3E" w:rsidRDefault="0029430D" w:rsidP="0029430D">
      <w:pPr>
        <w:keepNext/>
        <w:rPr>
          <w:sz w:val="24"/>
          <w:szCs w:val="24"/>
          <w:lang w:val="en-US"/>
        </w:rPr>
      </w:pPr>
      <w:r w:rsidRPr="00312F3E">
        <w:rPr>
          <w:b/>
          <w:bCs/>
          <w:sz w:val="24"/>
          <w:szCs w:val="24"/>
          <w:lang w:val="en-US"/>
        </w:rPr>
        <w:t>Table 2. Results at week 24 (</w:t>
      </w:r>
      <w:proofErr w:type="spellStart"/>
      <w:r w:rsidRPr="00312F3E">
        <w:rPr>
          <w:b/>
          <w:bCs/>
          <w:sz w:val="24"/>
          <w:szCs w:val="24"/>
          <w:lang w:val="en-US"/>
        </w:rPr>
        <w:t>LOCF</w:t>
      </w:r>
      <w:r w:rsidRPr="00312F3E">
        <w:rPr>
          <w:b/>
          <w:bCs/>
          <w:sz w:val="24"/>
          <w:szCs w:val="24"/>
          <w:vertAlign w:val="superscript"/>
          <w:lang w:val="en-US"/>
        </w:rPr>
        <w:t>a</w:t>
      </w:r>
      <w:proofErr w:type="spellEnd"/>
      <w:r w:rsidRPr="00312F3E">
        <w:rPr>
          <w:b/>
          <w:bCs/>
          <w:sz w:val="24"/>
          <w:szCs w:val="24"/>
          <w:lang w:val="en-US"/>
        </w:rPr>
        <w:t>) of a placebo-controlled study of dapagliflozin as monotherapy</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731"/>
        <w:gridCol w:w="1867"/>
        <w:gridCol w:w="2020"/>
        <w:gridCol w:w="2020"/>
      </w:tblGrid>
      <w:tr w:rsidR="0029430D" w:rsidRPr="00B80469" w14:paraId="0803D268" w14:textId="77777777" w:rsidTr="00312F3E">
        <w:tc>
          <w:tcPr>
            <w:tcW w:w="1935" w:type="pct"/>
            <w:tcBorders>
              <w:top w:val="single" w:sz="18" w:space="0" w:color="auto"/>
              <w:left w:val="nil"/>
              <w:right w:val="nil"/>
            </w:tcBorders>
          </w:tcPr>
          <w:p w14:paraId="34D54DA6" w14:textId="77777777" w:rsidR="0029430D" w:rsidRPr="006A7320" w:rsidRDefault="0029430D">
            <w:pPr>
              <w:rPr>
                <w:sz w:val="22"/>
                <w:szCs w:val="22"/>
                <w:lang w:val="en-US"/>
              </w:rPr>
            </w:pPr>
            <w:bookmarkStart w:id="2" w:name="_Hlk164090492"/>
          </w:p>
        </w:tc>
        <w:tc>
          <w:tcPr>
            <w:tcW w:w="968" w:type="pct"/>
            <w:tcBorders>
              <w:top w:val="single" w:sz="18" w:space="0" w:color="auto"/>
              <w:left w:val="nil"/>
              <w:right w:val="nil"/>
            </w:tcBorders>
          </w:tcPr>
          <w:p w14:paraId="7610B8AF" w14:textId="77777777" w:rsidR="0029430D" w:rsidRPr="006A7320" w:rsidRDefault="0029430D">
            <w:pPr>
              <w:rPr>
                <w:sz w:val="22"/>
                <w:szCs w:val="22"/>
                <w:lang w:val="en-US"/>
              </w:rPr>
            </w:pPr>
          </w:p>
        </w:tc>
        <w:tc>
          <w:tcPr>
            <w:tcW w:w="1048" w:type="pct"/>
            <w:tcBorders>
              <w:top w:val="single" w:sz="18" w:space="0" w:color="auto"/>
              <w:left w:val="nil"/>
              <w:right w:val="nil"/>
            </w:tcBorders>
            <w:hideMark/>
          </w:tcPr>
          <w:p w14:paraId="7A8A1A8A" w14:textId="77777777" w:rsidR="0029430D" w:rsidRPr="00B80469" w:rsidRDefault="0029430D">
            <w:pPr>
              <w:jc w:val="center"/>
              <w:rPr>
                <w:sz w:val="22"/>
                <w:szCs w:val="22"/>
              </w:rPr>
            </w:pPr>
            <w:proofErr w:type="spellStart"/>
            <w:r w:rsidRPr="00B80469">
              <w:rPr>
                <w:sz w:val="22"/>
                <w:szCs w:val="22"/>
              </w:rPr>
              <w:t>Monotherapy</w:t>
            </w:r>
            <w:proofErr w:type="spellEnd"/>
          </w:p>
        </w:tc>
        <w:tc>
          <w:tcPr>
            <w:tcW w:w="1048" w:type="pct"/>
            <w:tcBorders>
              <w:top w:val="single" w:sz="18" w:space="0" w:color="auto"/>
              <w:left w:val="nil"/>
              <w:right w:val="nil"/>
            </w:tcBorders>
          </w:tcPr>
          <w:p w14:paraId="1F2921D6" w14:textId="77777777" w:rsidR="0029430D" w:rsidRPr="00B80469" w:rsidRDefault="0029430D">
            <w:pPr>
              <w:rPr>
                <w:sz w:val="22"/>
                <w:szCs w:val="22"/>
              </w:rPr>
            </w:pPr>
          </w:p>
        </w:tc>
      </w:tr>
      <w:tr w:rsidR="0029430D" w:rsidRPr="00B80469" w14:paraId="5BD056A3" w14:textId="77777777" w:rsidTr="00312F3E">
        <w:tc>
          <w:tcPr>
            <w:tcW w:w="1935" w:type="pct"/>
            <w:tcBorders>
              <w:left w:val="nil"/>
              <w:right w:val="nil"/>
            </w:tcBorders>
          </w:tcPr>
          <w:p w14:paraId="15AB9416" w14:textId="77777777" w:rsidR="0029430D" w:rsidRPr="00B80469" w:rsidRDefault="0029430D">
            <w:pPr>
              <w:rPr>
                <w:sz w:val="22"/>
                <w:szCs w:val="22"/>
              </w:rPr>
            </w:pPr>
          </w:p>
        </w:tc>
        <w:tc>
          <w:tcPr>
            <w:tcW w:w="968" w:type="pct"/>
            <w:tcBorders>
              <w:left w:val="nil"/>
              <w:right w:val="nil"/>
            </w:tcBorders>
            <w:hideMark/>
          </w:tcPr>
          <w:p w14:paraId="725CBB39" w14:textId="77777777" w:rsidR="0029430D" w:rsidRPr="00B80469" w:rsidRDefault="0029430D">
            <w:pPr>
              <w:tabs>
                <w:tab w:val="left" w:pos="1304"/>
              </w:tabs>
              <w:autoSpaceDE w:val="0"/>
              <w:autoSpaceDN w:val="0"/>
              <w:adjustRightInd w:val="0"/>
              <w:jc w:val="center"/>
              <w:rPr>
                <w:sz w:val="22"/>
                <w:szCs w:val="22"/>
              </w:rPr>
            </w:pPr>
            <w:r w:rsidRPr="00B80469">
              <w:rPr>
                <w:b/>
                <w:bCs/>
                <w:sz w:val="22"/>
                <w:szCs w:val="22"/>
              </w:rPr>
              <w:t>Dapagliflozin 10 mg</w:t>
            </w:r>
          </w:p>
        </w:tc>
        <w:tc>
          <w:tcPr>
            <w:tcW w:w="1048" w:type="pct"/>
            <w:tcBorders>
              <w:left w:val="nil"/>
              <w:right w:val="nil"/>
            </w:tcBorders>
          </w:tcPr>
          <w:p w14:paraId="6A87727D" w14:textId="77777777" w:rsidR="0029430D" w:rsidRPr="00B80469" w:rsidRDefault="0029430D">
            <w:pPr>
              <w:jc w:val="center"/>
              <w:rPr>
                <w:sz w:val="22"/>
                <w:szCs w:val="22"/>
              </w:rPr>
            </w:pPr>
          </w:p>
        </w:tc>
        <w:tc>
          <w:tcPr>
            <w:tcW w:w="1048" w:type="pct"/>
            <w:tcBorders>
              <w:left w:val="nil"/>
              <w:right w:val="nil"/>
            </w:tcBorders>
            <w:hideMark/>
          </w:tcPr>
          <w:p w14:paraId="69401E1E" w14:textId="77777777" w:rsidR="0029430D" w:rsidRPr="00B80469" w:rsidRDefault="0029430D">
            <w:pPr>
              <w:jc w:val="center"/>
              <w:rPr>
                <w:sz w:val="22"/>
                <w:szCs w:val="22"/>
              </w:rPr>
            </w:pPr>
            <w:r w:rsidRPr="00B80469">
              <w:rPr>
                <w:b/>
                <w:bCs/>
                <w:sz w:val="22"/>
                <w:szCs w:val="22"/>
              </w:rPr>
              <w:t>Placebo</w:t>
            </w:r>
          </w:p>
        </w:tc>
      </w:tr>
      <w:tr w:rsidR="0029430D" w:rsidRPr="00B80469" w14:paraId="241C3523" w14:textId="77777777" w:rsidTr="00312F3E">
        <w:tc>
          <w:tcPr>
            <w:tcW w:w="1935" w:type="pct"/>
            <w:tcBorders>
              <w:top w:val="single" w:sz="4" w:space="0" w:color="7F7F7F" w:themeColor="text1" w:themeTint="80"/>
              <w:left w:val="nil"/>
              <w:bottom w:val="single" w:sz="4" w:space="0" w:color="7F7F7F" w:themeColor="text1" w:themeTint="80"/>
              <w:right w:val="nil"/>
            </w:tcBorders>
            <w:hideMark/>
          </w:tcPr>
          <w:p w14:paraId="6298A113" w14:textId="77777777" w:rsidR="0029430D" w:rsidRPr="00B80469" w:rsidRDefault="0029430D">
            <w:pPr>
              <w:rPr>
                <w:sz w:val="22"/>
                <w:szCs w:val="22"/>
              </w:rPr>
            </w:pPr>
            <w:r w:rsidRPr="00B80469">
              <w:rPr>
                <w:sz w:val="22"/>
                <w:szCs w:val="22"/>
              </w:rPr>
              <w:t>N</w:t>
            </w:r>
            <w:r w:rsidRPr="00B80469">
              <w:rPr>
                <w:sz w:val="22"/>
                <w:szCs w:val="22"/>
                <w:vertAlign w:val="superscript"/>
              </w:rPr>
              <w:t>b</w:t>
            </w:r>
          </w:p>
        </w:tc>
        <w:tc>
          <w:tcPr>
            <w:tcW w:w="968" w:type="pct"/>
            <w:tcBorders>
              <w:top w:val="single" w:sz="4" w:space="0" w:color="7F7F7F" w:themeColor="text1" w:themeTint="80"/>
              <w:left w:val="nil"/>
              <w:bottom w:val="single" w:sz="4" w:space="0" w:color="7F7F7F" w:themeColor="text1" w:themeTint="80"/>
              <w:right w:val="nil"/>
            </w:tcBorders>
            <w:hideMark/>
          </w:tcPr>
          <w:p w14:paraId="14684B65" w14:textId="77777777" w:rsidR="0029430D" w:rsidRPr="00B80469" w:rsidRDefault="0029430D">
            <w:pPr>
              <w:jc w:val="center"/>
              <w:rPr>
                <w:sz w:val="22"/>
                <w:szCs w:val="22"/>
              </w:rPr>
            </w:pPr>
            <w:r w:rsidRPr="00B80469">
              <w:rPr>
                <w:sz w:val="22"/>
                <w:szCs w:val="22"/>
              </w:rPr>
              <w:t>70</w:t>
            </w:r>
          </w:p>
        </w:tc>
        <w:tc>
          <w:tcPr>
            <w:tcW w:w="1048" w:type="pct"/>
            <w:tcBorders>
              <w:top w:val="single" w:sz="4" w:space="0" w:color="7F7F7F" w:themeColor="text1" w:themeTint="80"/>
              <w:left w:val="nil"/>
              <w:bottom w:val="single" w:sz="4" w:space="0" w:color="7F7F7F" w:themeColor="text1" w:themeTint="80"/>
              <w:right w:val="nil"/>
            </w:tcBorders>
          </w:tcPr>
          <w:p w14:paraId="00210DFA" w14:textId="77777777" w:rsidR="0029430D" w:rsidRPr="00B80469" w:rsidRDefault="0029430D">
            <w:pPr>
              <w:jc w:val="center"/>
              <w:rPr>
                <w:sz w:val="22"/>
                <w:szCs w:val="22"/>
              </w:rPr>
            </w:pPr>
          </w:p>
        </w:tc>
        <w:tc>
          <w:tcPr>
            <w:tcW w:w="1048" w:type="pct"/>
            <w:tcBorders>
              <w:top w:val="single" w:sz="4" w:space="0" w:color="7F7F7F" w:themeColor="text1" w:themeTint="80"/>
              <w:left w:val="nil"/>
              <w:bottom w:val="single" w:sz="4" w:space="0" w:color="7F7F7F" w:themeColor="text1" w:themeTint="80"/>
              <w:right w:val="nil"/>
            </w:tcBorders>
            <w:hideMark/>
          </w:tcPr>
          <w:p w14:paraId="0F21F0B6" w14:textId="77777777" w:rsidR="0029430D" w:rsidRPr="00B80469" w:rsidRDefault="0029430D">
            <w:pPr>
              <w:jc w:val="center"/>
              <w:rPr>
                <w:sz w:val="22"/>
                <w:szCs w:val="22"/>
              </w:rPr>
            </w:pPr>
            <w:r w:rsidRPr="00B80469">
              <w:rPr>
                <w:sz w:val="22"/>
                <w:szCs w:val="22"/>
              </w:rPr>
              <w:t>75</w:t>
            </w:r>
          </w:p>
        </w:tc>
      </w:tr>
      <w:tr w:rsidR="0029430D" w:rsidRPr="00B80469" w14:paraId="2E587EC1" w14:textId="77777777" w:rsidTr="00312F3E">
        <w:tc>
          <w:tcPr>
            <w:tcW w:w="1935" w:type="pct"/>
            <w:tcBorders>
              <w:left w:val="nil"/>
              <w:right w:val="nil"/>
            </w:tcBorders>
            <w:hideMark/>
          </w:tcPr>
          <w:p w14:paraId="692F3857" w14:textId="77777777" w:rsidR="0029430D" w:rsidRPr="006A7320" w:rsidRDefault="0029430D">
            <w:pPr>
              <w:rPr>
                <w:sz w:val="22"/>
                <w:szCs w:val="22"/>
                <w:lang w:val="en-US"/>
              </w:rPr>
            </w:pPr>
            <w:r w:rsidRPr="006A7320">
              <w:rPr>
                <w:sz w:val="22"/>
                <w:szCs w:val="22"/>
                <w:lang w:val="en-US"/>
              </w:rPr>
              <w:t>HbA1c (%)</w:t>
            </w:r>
          </w:p>
          <w:p w14:paraId="53914F99" w14:textId="77777777" w:rsidR="0029430D" w:rsidRPr="006A7320" w:rsidRDefault="0029430D">
            <w:pPr>
              <w:rPr>
                <w:b/>
                <w:bCs/>
                <w:sz w:val="22"/>
                <w:szCs w:val="22"/>
                <w:lang w:val="en-US"/>
              </w:rPr>
            </w:pPr>
            <w:r w:rsidRPr="006A7320">
              <w:rPr>
                <w:b/>
                <w:bCs/>
                <w:sz w:val="22"/>
                <w:szCs w:val="22"/>
                <w:lang w:val="en-US"/>
              </w:rPr>
              <w:t>Baseline (mean)</w:t>
            </w:r>
          </w:p>
          <w:p w14:paraId="08A7934D" w14:textId="77777777" w:rsidR="0029430D" w:rsidRPr="006A7320" w:rsidRDefault="0029430D">
            <w:pPr>
              <w:tabs>
                <w:tab w:val="left" w:pos="1304"/>
              </w:tabs>
              <w:ind w:left="179"/>
              <w:rPr>
                <w:b/>
                <w:bCs/>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1FCAA7F9" w14:textId="77777777" w:rsidR="0029430D" w:rsidRPr="00B80469" w:rsidRDefault="0029430D">
            <w:pPr>
              <w:tabs>
                <w:tab w:val="left" w:pos="1304"/>
              </w:tabs>
              <w:ind w:left="179"/>
              <w:rPr>
                <w:b/>
                <w:bCs/>
                <w:sz w:val="22"/>
                <w:szCs w:val="22"/>
              </w:rPr>
            </w:pPr>
            <w:r w:rsidRPr="00B80469">
              <w:rPr>
                <w:b/>
                <w:bCs/>
                <w:sz w:val="22"/>
                <w:szCs w:val="22"/>
              </w:rPr>
              <w:t xml:space="preserve">Difference from </w:t>
            </w:r>
            <w:proofErr w:type="spellStart"/>
            <w:r w:rsidRPr="00B80469">
              <w:rPr>
                <w:b/>
                <w:bCs/>
                <w:sz w:val="22"/>
                <w:szCs w:val="22"/>
              </w:rPr>
              <w:t>placebo</w:t>
            </w:r>
            <w:r w:rsidRPr="00B80469">
              <w:rPr>
                <w:b/>
                <w:bCs/>
                <w:sz w:val="22"/>
                <w:szCs w:val="22"/>
                <w:vertAlign w:val="superscript"/>
              </w:rPr>
              <w:t>c</w:t>
            </w:r>
            <w:proofErr w:type="spellEnd"/>
          </w:p>
          <w:p w14:paraId="3C9ABB5F" w14:textId="77777777" w:rsidR="0029430D" w:rsidRPr="00B80469" w:rsidRDefault="0029430D">
            <w:pPr>
              <w:tabs>
                <w:tab w:val="left" w:pos="1304"/>
              </w:tabs>
              <w:ind w:left="179"/>
              <w:rPr>
                <w:sz w:val="22"/>
                <w:szCs w:val="22"/>
              </w:rPr>
            </w:pPr>
            <w:r w:rsidRPr="00B80469">
              <w:rPr>
                <w:b/>
                <w:bCs/>
                <w:sz w:val="22"/>
                <w:szCs w:val="22"/>
              </w:rPr>
              <w:t>(95% CI)</w:t>
            </w:r>
          </w:p>
        </w:tc>
        <w:tc>
          <w:tcPr>
            <w:tcW w:w="968" w:type="pct"/>
            <w:tcBorders>
              <w:left w:val="nil"/>
              <w:right w:val="nil"/>
            </w:tcBorders>
          </w:tcPr>
          <w:p w14:paraId="17130308" w14:textId="77777777" w:rsidR="0029430D" w:rsidRPr="00B80469" w:rsidRDefault="0029430D">
            <w:pPr>
              <w:jc w:val="center"/>
              <w:rPr>
                <w:sz w:val="22"/>
                <w:szCs w:val="22"/>
              </w:rPr>
            </w:pPr>
          </w:p>
          <w:p w14:paraId="4F680360" w14:textId="77777777" w:rsidR="0029430D" w:rsidRPr="00B80469" w:rsidRDefault="0029430D">
            <w:pPr>
              <w:jc w:val="center"/>
              <w:rPr>
                <w:sz w:val="22"/>
                <w:szCs w:val="22"/>
              </w:rPr>
            </w:pPr>
            <w:r w:rsidRPr="00B80469">
              <w:rPr>
                <w:sz w:val="22"/>
                <w:szCs w:val="22"/>
              </w:rPr>
              <w:t>8.01</w:t>
            </w:r>
          </w:p>
          <w:p w14:paraId="64565FED" w14:textId="77777777" w:rsidR="0029430D" w:rsidRPr="00B80469" w:rsidRDefault="0029430D">
            <w:pPr>
              <w:jc w:val="center"/>
              <w:rPr>
                <w:sz w:val="22"/>
                <w:szCs w:val="22"/>
              </w:rPr>
            </w:pPr>
            <w:r w:rsidRPr="00B80469">
              <w:rPr>
                <w:sz w:val="22"/>
                <w:szCs w:val="22"/>
              </w:rPr>
              <w:t>-0.89</w:t>
            </w:r>
          </w:p>
          <w:p w14:paraId="60AAF012" w14:textId="77777777" w:rsidR="0029430D" w:rsidRPr="00B80469" w:rsidRDefault="0029430D">
            <w:pPr>
              <w:jc w:val="center"/>
              <w:rPr>
                <w:sz w:val="22"/>
                <w:szCs w:val="22"/>
              </w:rPr>
            </w:pPr>
            <w:r w:rsidRPr="00B80469">
              <w:rPr>
                <w:sz w:val="22"/>
                <w:szCs w:val="22"/>
              </w:rPr>
              <w:t>-0.66</w:t>
            </w:r>
            <w:r w:rsidRPr="00B80469">
              <w:rPr>
                <w:sz w:val="22"/>
                <w:szCs w:val="22"/>
                <w:vertAlign w:val="superscript"/>
              </w:rPr>
              <w:t>*</w:t>
            </w:r>
          </w:p>
          <w:p w14:paraId="18C8CEBD" w14:textId="77777777" w:rsidR="0029430D" w:rsidRPr="00B80469" w:rsidRDefault="0029430D">
            <w:pPr>
              <w:jc w:val="center"/>
              <w:rPr>
                <w:sz w:val="22"/>
                <w:szCs w:val="22"/>
              </w:rPr>
            </w:pPr>
            <w:r w:rsidRPr="00B80469">
              <w:rPr>
                <w:sz w:val="22"/>
                <w:szCs w:val="22"/>
              </w:rPr>
              <w:t>(-0.96, -0.36)</w:t>
            </w:r>
          </w:p>
        </w:tc>
        <w:tc>
          <w:tcPr>
            <w:tcW w:w="1048" w:type="pct"/>
            <w:tcBorders>
              <w:left w:val="nil"/>
              <w:right w:val="nil"/>
            </w:tcBorders>
          </w:tcPr>
          <w:p w14:paraId="6AAFE739" w14:textId="77777777" w:rsidR="0029430D" w:rsidRPr="00B80469" w:rsidRDefault="0029430D">
            <w:pPr>
              <w:jc w:val="center"/>
              <w:rPr>
                <w:sz w:val="22"/>
                <w:szCs w:val="22"/>
              </w:rPr>
            </w:pPr>
          </w:p>
        </w:tc>
        <w:tc>
          <w:tcPr>
            <w:tcW w:w="1048" w:type="pct"/>
            <w:tcBorders>
              <w:left w:val="nil"/>
              <w:right w:val="nil"/>
            </w:tcBorders>
          </w:tcPr>
          <w:p w14:paraId="7946693E" w14:textId="77777777" w:rsidR="0029430D" w:rsidRPr="00B80469" w:rsidRDefault="0029430D">
            <w:pPr>
              <w:jc w:val="center"/>
              <w:rPr>
                <w:sz w:val="22"/>
                <w:szCs w:val="22"/>
              </w:rPr>
            </w:pPr>
          </w:p>
          <w:p w14:paraId="1D40732D" w14:textId="77777777" w:rsidR="0029430D" w:rsidRPr="00B80469" w:rsidRDefault="0029430D">
            <w:pPr>
              <w:jc w:val="center"/>
              <w:rPr>
                <w:sz w:val="22"/>
                <w:szCs w:val="22"/>
              </w:rPr>
            </w:pPr>
            <w:r w:rsidRPr="00B80469">
              <w:rPr>
                <w:sz w:val="22"/>
                <w:szCs w:val="22"/>
              </w:rPr>
              <w:t>7.79</w:t>
            </w:r>
          </w:p>
          <w:p w14:paraId="4C8F3E5E" w14:textId="77777777" w:rsidR="0029430D" w:rsidRPr="00B80469" w:rsidRDefault="0029430D">
            <w:pPr>
              <w:jc w:val="center"/>
              <w:rPr>
                <w:sz w:val="22"/>
                <w:szCs w:val="22"/>
              </w:rPr>
            </w:pPr>
            <w:r w:rsidRPr="00B80469">
              <w:rPr>
                <w:sz w:val="22"/>
                <w:szCs w:val="22"/>
              </w:rPr>
              <w:t>-0.23</w:t>
            </w:r>
          </w:p>
        </w:tc>
      </w:tr>
      <w:tr w:rsidR="0029430D" w:rsidRPr="00B80469" w14:paraId="04D34D8B" w14:textId="77777777" w:rsidTr="00312F3E">
        <w:tc>
          <w:tcPr>
            <w:tcW w:w="1935" w:type="pct"/>
            <w:tcBorders>
              <w:top w:val="single" w:sz="4" w:space="0" w:color="7F7F7F" w:themeColor="text1" w:themeTint="80"/>
              <w:left w:val="nil"/>
              <w:bottom w:val="single" w:sz="4" w:space="0" w:color="7F7F7F" w:themeColor="text1" w:themeTint="80"/>
              <w:right w:val="nil"/>
            </w:tcBorders>
            <w:hideMark/>
          </w:tcPr>
          <w:p w14:paraId="14038D74" w14:textId="77777777" w:rsidR="0029430D" w:rsidRPr="006A7320" w:rsidRDefault="0029430D">
            <w:pPr>
              <w:rPr>
                <w:sz w:val="22"/>
                <w:szCs w:val="22"/>
                <w:lang w:val="en-US"/>
              </w:rPr>
            </w:pPr>
            <w:r w:rsidRPr="006A7320">
              <w:rPr>
                <w:sz w:val="22"/>
                <w:szCs w:val="22"/>
                <w:lang w:val="en-US"/>
              </w:rPr>
              <w:t>Subjects (%) achieving:</w:t>
            </w:r>
          </w:p>
          <w:p w14:paraId="67565EB9" w14:textId="77777777" w:rsidR="0029430D" w:rsidRPr="006A7320" w:rsidRDefault="0029430D">
            <w:pPr>
              <w:rPr>
                <w:sz w:val="22"/>
                <w:szCs w:val="22"/>
                <w:lang w:val="en-US"/>
              </w:rPr>
            </w:pPr>
            <w:r w:rsidRPr="006A7320">
              <w:rPr>
                <w:sz w:val="22"/>
                <w:szCs w:val="22"/>
                <w:lang w:val="en-US"/>
              </w:rPr>
              <w:t>HbA1c &lt; 7%</w:t>
            </w:r>
          </w:p>
          <w:p w14:paraId="777CD943" w14:textId="77777777" w:rsidR="0029430D" w:rsidRPr="006A7320" w:rsidRDefault="0029430D">
            <w:pPr>
              <w:ind w:left="179"/>
              <w:rPr>
                <w:b/>
                <w:bCs/>
                <w:sz w:val="22"/>
                <w:szCs w:val="22"/>
                <w:lang w:val="en-US"/>
              </w:rPr>
            </w:pPr>
            <w:r w:rsidRPr="006A7320">
              <w:rPr>
                <w:b/>
                <w:bCs/>
                <w:sz w:val="22"/>
                <w:szCs w:val="22"/>
                <w:lang w:val="en-US"/>
              </w:rPr>
              <w:t>Adjusted for baseline</w:t>
            </w:r>
          </w:p>
        </w:tc>
        <w:tc>
          <w:tcPr>
            <w:tcW w:w="968" w:type="pct"/>
            <w:tcBorders>
              <w:top w:val="single" w:sz="4" w:space="0" w:color="7F7F7F" w:themeColor="text1" w:themeTint="80"/>
              <w:left w:val="nil"/>
              <w:bottom w:val="single" w:sz="4" w:space="0" w:color="7F7F7F" w:themeColor="text1" w:themeTint="80"/>
              <w:right w:val="nil"/>
            </w:tcBorders>
          </w:tcPr>
          <w:p w14:paraId="0BA7DB6D" w14:textId="77777777" w:rsidR="0029430D" w:rsidRPr="006A7320" w:rsidRDefault="0029430D">
            <w:pPr>
              <w:jc w:val="center"/>
              <w:rPr>
                <w:sz w:val="22"/>
                <w:szCs w:val="22"/>
                <w:lang w:val="en-US"/>
              </w:rPr>
            </w:pPr>
          </w:p>
          <w:p w14:paraId="41999048" w14:textId="77777777" w:rsidR="0029430D" w:rsidRPr="006A7320" w:rsidRDefault="0029430D">
            <w:pPr>
              <w:jc w:val="center"/>
              <w:rPr>
                <w:sz w:val="22"/>
                <w:szCs w:val="22"/>
                <w:lang w:val="en-US"/>
              </w:rPr>
            </w:pPr>
          </w:p>
          <w:p w14:paraId="3B40F006" w14:textId="77777777" w:rsidR="0029430D" w:rsidRPr="00B80469" w:rsidRDefault="0029430D">
            <w:pPr>
              <w:jc w:val="center"/>
              <w:rPr>
                <w:sz w:val="22"/>
                <w:szCs w:val="22"/>
              </w:rPr>
            </w:pPr>
            <w:r w:rsidRPr="00B80469">
              <w:rPr>
                <w:sz w:val="22"/>
                <w:szCs w:val="22"/>
              </w:rPr>
              <w:t>50.8</w:t>
            </w:r>
            <w:r w:rsidRPr="00B80469">
              <w:rPr>
                <w:sz w:val="22"/>
                <w:szCs w:val="22"/>
                <w:vertAlign w:val="superscript"/>
              </w:rPr>
              <w:t>§</w:t>
            </w:r>
          </w:p>
        </w:tc>
        <w:tc>
          <w:tcPr>
            <w:tcW w:w="1048" w:type="pct"/>
            <w:tcBorders>
              <w:top w:val="single" w:sz="4" w:space="0" w:color="7F7F7F" w:themeColor="text1" w:themeTint="80"/>
              <w:left w:val="nil"/>
              <w:bottom w:val="single" w:sz="4" w:space="0" w:color="7F7F7F" w:themeColor="text1" w:themeTint="80"/>
              <w:right w:val="nil"/>
            </w:tcBorders>
          </w:tcPr>
          <w:p w14:paraId="4544F62A" w14:textId="77777777" w:rsidR="0029430D" w:rsidRPr="00B80469" w:rsidRDefault="0029430D">
            <w:pPr>
              <w:jc w:val="center"/>
              <w:rPr>
                <w:sz w:val="22"/>
                <w:szCs w:val="22"/>
              </w:rPr>
            </w:pPr>
          </w:p>
        </w:tc>
        <w:tc>
          <w:tcPr>
            <w:tcW w:w="1048" w:type="pct"/>
            <w:tcBorders>
              <w:top w:val="single" w:sz="4" w:space="0" w:color="7F7F7F" w:themeColor="text1" w:themeTint="80"/>
              <w:left w:val="nil"/>
              <w:bottom w:val="single" w:sz="4" w:space="0" w:color="7F7F7F" w:themeColor="text1" w:themeTint="80"/>
              <w:right w:val="nil"/>
            </w:tcBorders>
          </w:tcPr>
          <w:p w14:paraId="01A476E3" w14:textId="77777777" w:rsidR="0029430D" w:rsidRPr="00B80469" w:rsidRDefault="0029430D">
            <w:pPr>
              <w:jc w:val="center"/>
              <w:rPr>
                <w:sz w:val="22"/>
                <w:szCs w:val="22"/>
              </w:rPr>
            </w:pPr>
          </w:p>
          <w:p w14:paraId="1D719CD6" w14:textId="77777777" w:rsidR="0029430D" w:rsidRPr="00B80469" w:rsidRDefault="0029430D">
            <w:pPr>
              <w:jc w:val="center"/>
              <w:rPr>
                <w:sz w:val="22"/>
                <w:szCs w:val="22"/>
              </w:rPr>
            </w:pPr>
          </w:p>
          <w:p w14:paraId="2A9A8454" w14:textId="77777777" w:rsidR="0029430D" w:rsidRPr="00B80469" w:rsidRDefault="0029430D">
            <w:pPr>
              <w:jc w:val="center"/>
              <w:rPr>
                <w:sz w:val="22"/>
                <w:szCs w:val="22"/>
              </w:rPr>
            </w:pPr>
            <w:r w:rsidRPr="00B80469">
              <w:rPr>
                <w:sz w:val="22"/>
                <w:szCs w:val="22"/>
              </w:rPr>
              <w:t>31.6</w:t>
            </w:r>
          </w:p>
        </w:tc>
      </w:tr>
      <w:tr w:rsidR="0029430D" w:rsidRPr="00B80469" w14:paraId="27AF77E7" w14:textId="77777777" w:rsidTr="00312F3E">
        <w:tc>
          <w:tcPr>
            <w:tcW w:w="1935" w:type="pct"/>
            <w:tcBorders>
              <w:left w:val="nil"/>
              <w:bottom w:val="single" w:sz="18" w:space="0" w:color="auto"/>
              <w:right w:val="nil"/>
            </w:tcBorders>
            <w:hideMark/>
          </w:tcPr>
          <w:p w14:paraId="3952801C" w14:textId="77777777" w:rsidR="0029430D" w:rsidRPr="006A7320" w:rsidRDefault="0029430D">
            <w:pPr>
              <w:rPr>
                <w:sz w:val="22"/>
                <w:szCs w:val="22"/>
                <w:lang w:val="en-US"/>
              </w:rPr>
            </w:pPr>
            <w:r w:rsidRPr="006A7320">
              <w:rPr>
                <w:sz w:val="22"/>
                <w:szCs w:val="22"/>
                <w:lang w:val="en-US"/>
              </w:rPr>
              <w:t>Body weight (kg)</w:t>
            </w:r>
          </w:p>
          <w:p w14:paraId="2D09939E" w14:textId="77777777" w:rsidR="0029430D" w:rsidRPr="006A7320" w:rsidRDefault="0029430D">
            <w:pPr>
              <w:ind w:left="179"/>
              <w:rPr>
                <w:b/>
                <w:bCs/>
                <w:sz w:val="22"/>
                <w:szCs w:val="22"/>
                <w:lang w:val="en-US"/>
              </w:rPr>
            </w:pPr>
            <w:r w:rsidRPr="006A7320">
              <w:rPr>
                <w:b/>
                <w:bCs/>
                <w:sz w:val="22"/>
                <w:szCs w:val="22"/>
                <w:lang w:val="en-US"/>
              </w:rPr>
              <w:t>Baseline (mean)</w:t>
            </w:r>
          </w:p>
          <w:p w14:paraId="6370E3AC" w14:textId="77777777" w:rsidR="0029430D" w:rsidRPr="006A7320" w:rsidRDefault="0029430D">
            <w:pPr>
              <w:ind w:left="179"/>
              <w:rPr>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7CDB1E10" w14:textId="77777777" w:rsidR="0029430D" w:rsidRPr="006A7320" w:rsidRDefault="0029430D">
            <w:pPr>
              <w:ind w:left="179"/>
              <w:rPr>
                <w:b/>
                <w:bCs/>
                <w:sz w:val="22"/>
                <w:szCs w:val="22"/>
                <w:lang w:val="en-US"/>
              </w:rPr>
            </w:pPr>
            <w:r w:rsidRPr="006A7320">
              <w:rPr>
                <w:b/>
                <w:bCs/>
                <w:sz w:val="22"/>
                <w:szCs w:val="22"/>
                <w:lang w:val="en-US"/>
              </w:rPr>
              <w:t xml:space="preserve">Difference from </w:t>
            </w:r>
            <w:proofErr w:type="spellStart"/>
            <w:r w:rsidRPr="006A7320">
              <w:rPr>
                <w:b/>
                <w:bCs/>
                <w:sz w:val="22"/>
                <w:szCs w:val="22"/>
                <w:lang w:val="en-US"/>
              </w:rPr>
              <w:t>placebo</w:t>
            </w:r>
            <w:r w:rsidRPr="006A7320">
              <w:rPr>
                <w:b/>
                <w:bCs/>
                <w:sz w:val="22"/>
                <w:szCs w:val="22"/>
                <w:vertAlign w:val="superscript"/>
                <w:lang w:val="en-US"/>
              </w:rPr>
              <w:t>c</w:t>
            </w:r>
            <w:proofErr w:type="spellEnd"/>
          </w:p>
          <w:p w14:paraId="7D1D512E" w14:textId="77777777" w:rsidR="0029430D" w:rsidRPr="00B80469" w:rsidRDefault="0029430D">
            <w:pPr>
              <w:ind w:left="462"/>
              <w:rPr>
                <w:sz w:val="22"/>
                <w:szCs w:val="22"/>
              </w:rPr>
            </w:pPr>
            <w:r w:rsidRPr="00B80469">
              <w:rPr>
                <w:b/>
                <w:bCs/>
                <w:sz w:val="22"/>
                <w:szCs w:val="22"/>
              </w:rPr>
              <w:t>(95% CI)</w:t>
            </w:r>
          </w:p>
        </w:tc>
        <w:tc>
          <w:tcPr>
            <w:tcW w:w="968" w:type="pct"/>
            <w:tcBorders>
              <w:left w:val="nil"/>
              <w:bottom w:val="single" w:sz="18" w:space="0" w:color="auto"/>
              <w:right w:val="nil"/>
            </w:tcBorders>
          </w:tcPr>
          <w:p w14:paraId="68C05E33" w14:textId="77777777" w:rsidR="0029430D" w:rsidRPr="00B80469" w:rsidRDefault="0029430D">
            <w:pPr>
              <w:jc w:val="center"/>
              <w:rPr>
                <w:sz w:val="22"/>
                <w:szCs w:val="22"/>
              </w:rPr>
            </w:pPr>
          </w:p>
          <w:p w14:paraId="36EABA8C" w14:textId="77777777" w:rsidR="0029430D" w:rsidRPr="00B80469" w:rsidRDefault="0029430D">
            <w:pPr>
              <w:jc w:val="center"/>
              <w:rPr>
                <w:sz w:val="22"/>
                <w:szCs w:val="22"/>
              </w:rPr>
            </w:pPr>
            <w:r w:rsidRPr="00B80469">
              <w:rPr>
                <w:sz w:val="22"/>
                <w:szCs w:val="22"/>
              </w:rPr>
              <w:t>94.13</w:t>
            </w:r>
          </w:p>
          <w:p w14:paraId="6603558A" w14:textId="77777777" w:rsidR="0029430D" w:rsidRPr="00B80469" w:rsidRDefault="0029430D">
            <w:pPr>
              <w:jc w:val="center"/>
              <w:rPr>
                <w:sz w:val="22"/>
                <w:szCs w:val="22"/>
              </w:rPr>
            </w:pPr>
            <w:r w:rsidRPr="00B80469">
              <w:rPr>
                <w:sz w:val="22"/>
                <w:szCs w:val="22"/>
              </w:rPr>
              <w:t>-3.16</w:t>
            </w:r>
          </w:p>
          <w:p w14:paraId="28F57051" w14:textId="77777777" w:rsidR="0029430D" w:rsidRPr="00B80469" w:rsidRDefault="0029430D">
            <w:pPr>
              <w:jc w:val="center"/>
              <w:rPr>
                <w:sz w:val="22"/>
                <w:szCs w:val="22"/>
              </w:rPr>
            </w:pPr>
            <w:r w:rsidRPr="00B80469">
              <w:rPr>
                <w:sz w:val="22"/>
                <w:szCs w:val="22"/>
              </w:rPr>
              <w:t>-0.97</w:t>
            </w:r>
          </w:p>
          <w:p w14:paraId="6AE29D74" w14:textId="77777777" w:rsidR="0029430D" w:rsidRPr="00B80469" w:rsidRDefault="0029430D">
            <w:pPr>
              <w:jc w:val="center"/>
              <w:rPr>
                <w:sz w:val="22"/>
                <w:szCs w:val="22"/>
              </w:rPr>
            </w:pPr>
            <w:r w:rsidRPr="00B80469">
              <w:rPr>
                <w:sz w:val="22"/>
                <w:szCs w:val="22"/>
              </w:rPr>
              <w:t>(-2.20, 0.25)</w:t>
            </w:r>
          </w:p>
        </w:tc>
        <w:tc>
          <w:tcPr>
            <w:tcW w:w="1048" w:type="pct"/>
            <w:tcBorders>
              <w:left w:val="nil"/>
              <w:bottom w:val="single" w:sz="18" w:space="0" w:color="auto"/>
              <w:right w:val="nil"/>
            </w:tcBorders>
          </w:tcPr>
          <w:p w14:paraId="12BF56AA" w14:textId="77777777" w:rsidR="0029430D" w:rsidRPr="00B80469" w:rsidRDefault="0029430D">
            <w:pPr>
              <w:jc w:val="center"/>
              <w:rPr>
                <w:sz w:val="22"/>
                <w:szCs w:val="22"/>
              </w:rPr>
            </w:pPr>
          </w:p>
        </w:tc>
        <w:tc>
          <w:tcPr>
            <w:tcW w:w="1048" w:type="pct"/>
            <w:tcBorders>
              <w:left w:val="nil"/>
              <w:bottom w:val="single" w:sz="18" w:space="0" w:color="auto"/>
              <w:right w:val="nil"/>
            </w:tcBorders>
          </w:tcPr>
          <w:p w14:paraId="516C8469" w14:textId="77777777" w:rsidR="0029430D" w:rsidRPr="00B80469" w:rsidRDefault="0029430D">
            <w:pPr>
              <w:jc w:val="center"/>
              <w:rPr>
                <w:sz w:val="22"/>
                <w:szCs w:val="22"/>
              </w:rPr>
            </w:pPr>
          </w:p>
          <w:p w14:paraId="4B208304" w14:textId="77777777" w:rsidR="0029430D" w:rsidRPr="00B80469" w:rsidRDefault="0029430D">
            <w:pPr>
              <w:jc w:val="center"/>
              <w:rPr>
                <w:sz w:val="22"/>
                <w:szCs w:val="22"/>
              </w:rPr>
            </w:pPr>
            <w:r w:rsidRPr="00B80469">
              <w:rPr>
                <w:sz w:val="22"/>
                <w:szCs w:val="22"/>
              </w:rPr>
              <w:t>88.77</w:t>
            </w:r>
          </w:p>
          <w:p w14:paraId="394F063F" w14:textId="77777777" w:rsidR="0029430D" w:rsidRPr="00B80469" w:rsidRDefault="0029430D">
            <w:pPr>
              <w:jc w:val="center"/>
              <w:rPr>
                <w:sz w:val="22"/>
                <w:szCs w:val="22"/>
              </w:rPr>
            </w:pPr>
            <w:r w:rsidRPr="00B80469">
              <w:rPr>
                <w:sz w:val="22"/>
                <w:szCs w:val="22"/>
              </w:rPr>
              <w:t>-2.19</w:t>
            </w:r>
          </w:p>
        </w:tc>
      </w:tr>
    </w:tbl>
    <w:bookmarkEnd w:id="2"/>
    <w:p w14:paraId="1197AAAB" w14:textId="75A8A0BC" w:rsidR="0029430D" w:rsidRPr="00B80469" w:rsidRDefault="0029430D" w:rsidP="00B80469">
      <w:pPr>
        <w:ind w:left="284" w:hanging="284"/>
        <w:rPr>
          <w:sz w:val="20"/>
          <w:lang w:val="en-GB" w:eastAsia="en-US"/>
        </w:rPr>
      </w:pPr>
      <w:r w:rsidRPr="00B80469">
        <w:rPr>
          <w:sz w:val="20"/>
          <w:vertAlign w:val="superscript"/>
          <w:lang w:val="en-US"/>
        </w:rPr>
        <w:t>a</w:t>
      </w:r>
      <w:r w:rsidR="00B80469">
        <w:rPr>
          <w:sz w:val="20"/>
          <w:vertAlign w:val="superscript"/>
          <w:lang w:val="en-US"/>
        </w:rPr>
        <w:tab/>
      </w:r>
      <w:r w:rsidRPr="00B80469">
        <w:rPr>
          <w:sz w:val="20"/>
          <w:lang w:val="en-US"/>
        </w:rPr>
        <w:t>LOCF: Last observation (prior to rescue for rescued subjects) carried forward</w:t>
      </w:r>
    </w:p>
    <w:p w14:paraId="027B1C1F" w14:textId="612B3352" w:rsidR="0029430D" w:rsidRPr="00B80469" w:rsidRDefault="0029430D" w:rsidP="00B80469">
      <w:pPr>
        <w:ind w:left="284" w:hanging="284"/>
        <w:rPr>
          <w:sz w:val="20"/>
          <w:lang w:val="en-US"/>
        </w:rPr>
      </w:pPr>
      <w:r w:rsidRPr="00B80469">
        <w:rPr>
          <w:sz w:val="20"/>
          <w:vertAlign w:val="superscript"/>
          <w:lang w:val="en-US"/>
        </w:rPr>
        <w:t>b</w:t>
      </w:r>
      <w:r w:rsidR="00B80469">
        <w:rPr>
          <w:sz w:val="20"/>
          <w:vertAlign w:val="superscript"/>
          <w:lang w:val="en-US"/>
        </w:rPr>
        <w:tab/>
      </w:r>
      <w:r w:rsidRPr="00B80469">
        <w:rPr>
          <w:sz w:val="20"/>
          <w:lang w:val="en-US"/>
        </w:rPr>
        <w:t xml:space="preserve">All </w:t>
      </w:r>
      <w:proofErr w:type="spellStart"/>
      <w:r w:rsidRPr="00B80469">
        <w:rPr>
          <w:sz w:val="20"/>
          <w:lang w:val="en-US"/>
        </w:rPr>
        <w:t>randomised</w:t>
      </w:r>
      <w:proofErr w:type="spellEnd"/>
      <w:r w:rsidRPr="00B80469">
        <w:rPr>
          <w:sz w:val="20"/>
          <w:lang w:val="en-US"/>
        </w:rPr>
        <w:t xml:space="preserve"> subjects who took at least one dose of double-blind study medicinal product during the short-term double-blind period</w:t>
      </w:r>
    </w:p>
    <w:p w14:paraId="47F27501" w14:textId="515CC7B3" w:rsidR="0029430D" w:rsidRPr="00B80469" w:rsidRDefault="0029430D" w:rsidP="00B80469">
      <w:pPr>
        <w:ind w:left="284" w:hanging="284"/>
        <w:rPr>
          <w:sz w:val="20"/>
          <w:lang w:val="en-US"/>
        </w:rPr>
      </w:pPr>
      <w:r w:rsidRPr="00B80469">
        <w:rPr>
          <w:sz w:val="20"/>
          <w:vertAlign w:val="superscript"/>
          <w:lang w:val="en-US"/>
        </w:rPr>
        <w:t>c</w:t>
      </w:r>
      <w:r w:rsidR="00B80469">
        <w:rPr>
          <w:sz w:val="20"/>
          <w:vertAlign w:val="superscript"/>
          <w:lang w:val="en-US"/>
        </w:rPr>
        <w:tab/>
      </w:r>
      <w:r w:rsidRPr="00B80469">
        <w:rPr>
          <w:sz w:val="20"/>
          <w:lang w:val="en-US"/>
        </w:rPr>
        <w:t>Least squares mean adjusted for baseline value</w:t>
      </w:r>
    </w:p>
    <w:p w14:paraId="3B7F737E" w14:textId="6F6601FB" w:rsidR="0029430D" w:rsidRPr="00B80469" w:rsidRDefault="0029430D" w:rsidP="00B80469">
      <w:pPr>
        <w:ind w:left="284" w:hanging="284"/>
        <w:rPr>
          <w:sz w:val="20"/>
          <w:lang w:val="en-US"/>
        </w:rPr>
      </w:pPr>
      <w:r w:rsidRPr="00B80469">
        <w:rPr>
          <w:sz w:val="20"/>
          <w:vertAlign w:val="superscript"/>
          <w:lang w:val="en-US"/>
        </w:rPr>
        <w:t>*</w:t>
      </w:r>
      <w:r w:rsidR="00B80469">
        <w:rPr>
          <w:sz w:val="20"/>
          <w:vertAlign w:val="superscript"/>
          <w:lang w:val="en-US"/>
        </w:rPr>
        <w:tab/>
      </w:r>
      <w:r w:rsidRPr="00B80469">
        <w:rPr>
          <w:sz w:val="20"/>
          <w:lang w:val="en-US"/>
        </w:rPr>
        <w:t>p-value &lt; 0.0001 versus placebo</w:t>
      </w:r>
    </w:p>
    <w:p w14:paraId="237E883C" w14:textId="3766DFDD" w:rsidR="0029430D" w:rsidRPr="00B80469" w:rsidRDefault="0029430D" w:rsidP="00B80469">
      <w:pPr>
        <w:ind w:left="284" w:hanging="284"/>
        <w:rPr>
          <w:sz w:val="20"/>
          <w:lang w:val="en-US"/>
        </w:rPr>
      </w:pPr>
      <w:r w:rsidRPr="00B80469">
        <w:rPr>
          <w:sz w:val="20"/>
          <w:vertAlign w:val="superscript"/>
          <w:lang w:val="en-US"/>
        </w:rPr>
        <w:t>§</w:t>
      </w:r>
      <w:r w:rsidR="00B80469">
        <w:rPr>
          <w:sz w:val="20"/>
          <w:vertAlign w:val="superscript"/>
          <w:lang w:val="en-US"/>
        </w:rPr>
        <w:tab/>
      </w:r>
      <w:r w:rsidRPr="00B80469">
        <w:rPr>
          <w:sz w:val="20"/>
          <w:lang w:val="en-US"/>
        </w:rPr>
        <w:t>Not evaluated for statistical significance as a result of the sequential testing procedure for secondary end points</w:t>
      </w:r>
    </w:p>
    <w:p w14:paraId="6D5B08F1" w14:textId="77777777" w:rsidR="0029430D" w:rsidRPr="00312F3E" w:rsidRDefault="0029430D" w:rsidP="00312F3E">
      <w:pPr>
        <w:ind w:left="851"/>
        <w:rPr>
          <w:sz w:val="24"/>
          <w:szCs w:val="24"/>
          <w:lang w:val="en-US"/>
        </w:rPr>
      </w:pPr>
    </w:p>
    <w:p w14:paraId="5872EFDF" w14:textId="77777777" w:rsidR="0029430D" w:rsidRPr="00312F3E" w:rsidRDefault="0029430D" w:rsidP="00312F3E">
      <w:pPr>
        <w:ind w:left="851"/>
        <w:rPr>
          <w:i/>
          <w:iCs/>
          <w:sz w:val="24"/>
          <w:szCs w:val="24"/>
          <w:lang w:val="en-US"/>
        </w:rPr>
      </w:pPr>
      <w:r w:rsidRPr="00312F3E">
        <w:rPr>
          <w:i/>
          <w:iCs/>
          <w:sz w:val="24"/>
          <w:szCs w:val="24"/>
          <w:lang w:val="en-US"/>
        </w:rPr>
        <w:t>Add-on combination therapy</w:t>
      </w:r>
    </w:p>
    <w:p w14:paraId="4C69349F" w14:textId="77777777" w:rsidR="0029430D" w:rsidRPr="00312F3E" w:rsidRDefault="0029430D" w:rsidP="00312F3E">
      <w:pPr>
        <w:ind w:left="851"/>
        <w:rPr>
          <w:sz w:val="24"/>
          <w:szCs w:val="24"/>
          <w:lang w:val="en-US"/>
        </w:rPr>
      </w:pPr>
      <w:r w:rsidRPr="00312F3E">
        <w:rPr>
          <w:sz w:val="24"/>
          <w:szCs w:val="24"/>
          <w:lang w:val="en-US"/>
        </w:rPr>
        <w:t xml:space="preserve">In a 52-week, active-controlled non-inferiority study (with 52- and 104-week extension periods), dapagliflozin was evaluated as add-on therapy to metformin compared with a </w:t>
      </w:r>
      <w:proofErr w:type="spellStart"/>
      <w:r w:rsidRPr="00312F3E">
        <w:rPr>
          <w:sz w:val="24"/>
          <w:szCs w:val="24"/>
          <w:lang w:val="en-US"/>
        </w:rPr>
        <w:t>sulphonylurea</w:t>
      </w:r>
      <w:proofErr w:type="spellEnd"/>
      <w:r w:rsidRPr="00312F3E">
        <w:rPr>
          <w:sz w:val="24"/>
          <w:szCs w:val="24"/>
          <w:lang w:val="en-US"/>
        </w:rPr>
        <w:t xml:space="preserve"> (glipizide) as add-on therapy to metformin in subjects with inadequate </w:t>
      </w:r>
      <w:proofErr w:type="spellStart"/>
      <w:r w:rsidRPr="00312F3E">
        <w:rPr>
          <w:sz w:val="24"/>
          <w:szCs w:val="24"/>
          <w:lang w:val="en-US"/>
        </w:rPr>
        <w:t>glycaemic</w:t>
      </w:r>
      <w:proofErr w:type="spellEnd"/>
      <w:r w:rsidRPr="00312F3E">
        <w:rPr>
          <w:sz w:val="24"/>
          <w:szCs w:val="24"/>
          <w:lang w:val="en-US"/>
        </w:rPr>
        <w:t xml:space="preserve"> control (HbA1c &gt; 6.5% and ≤ 10%). The results showed a similar mean reduction in HbA1c from baseline to week 52, compared to glipizide, thus demonstrating non-inferiority (Table 3). At week 104, adjusted mean change from baseline in HbA1c was -0.32% for dapagliflozin and -0.14% for glipizide. At week 208, adjusted mean change from baseline in HbA1c was -0.10% for dapagliflozin and 0.20% for glipizide. At 52, 104 and 208 weeks, a significantly lower proportion of subjects in the group treated with dapagliflozin (3.5%, 4.3% and 5.0%, respectively) experienced at least one event of </w:t>
      </w:r>
      <w:proofErr w:type="spellStart"/>
      <w:r w:rsidRPr="00312F3E">
        <w:rPr>
          <w:sz w:val="24"/>
          <w:szCs w:val="24"/>
          <w:lang w:val="en-US"/>
        </w:rPr>
        <w:t>hypoglycaemia</w:t>
      </w:r>
      <w:proofErr w:type="spellEnd"/>
      <w:r w:rsidRPr="00312F3E">
        <w:rPr>
          <w:sz w:val="24"/>
          <w:szCs w:val="24"/>
          <w:lang w:val="en-US"/>
        </w:rPr>
        <w:t xml:space="preserve"> compared to the group treated with glipizide (40.8%, 47.0% and 50.0%, respectively). The proportion of subjects remaining in the study at week 104 and week 208 was 56.2% and 39.7% for the group treated with dapagliflozin and 50.0% and 34.6% for the group treated with glipizide.</w:t>
      </w:r>
    </w:p>
    <w:p w14:paraId="62390F0D" w14:textId="77777777" w:rsidR="0029430D" w:rsidRPr="00312F3E" w:rsidRDefault="0029430D" w:rsidP="00312F3E">
      <w:pPr>
        <w:ind w:left="851"/>
        <w:rPr>
          <w:sz w:val="24"/>
          <w:szCs w:val="24"/>
          <w:lang w:val="en-US"/>
        </w:rPr>
      </w:pPr>
    </w:p>
    <w:p w14:paraId="420350CC" w14:textId="77777777" w:rsidR="0029430D" w:rsidRPr="00312F3E" w:rsidRDefault="0029430D" w:rsidP="0029430D">
      <w:pPr>
        <w:keepNext/>
        <w:rPr>
          <w:sz w:val="24"/>
          <w:szCs w:val="24"/>
          <w:lang w:val="en-US"/>
        </w:rPr>
      </w:pPr>
      <w:r w:rsidRPr="00312F3E">
        <w:rPr>
          <w:b/>
          <w:bCs/>
          <w:sz w:val="24"/>
          <w:szCs w:val="24"/>
          <w:lang w:val="en-US"/>
        </w:rPr>
        <w:t>Table 3. Results at week 52 (</w:t>
      </w:r>
      <w:proofErr w:type="spellStart"/>
      <w:r w:rsidRPr="00312F3E">
        <w:rPr>
          <w:b/>
          <w:bCs/>
          <w:sz w:val="24"/>
          <w:szCs w:val="24"/>
          <w:lang w:val="en-US"/>
        </w:rPr>
        <w:t>LOCF</w:t>
      </w:r>
      <w:r w:rsidRPr="00312F3E">
        <w:rPr>
          <w:b/>
          <w:bCs/>
          <w:sz w:val="24"/>
          <w:szCs w:val="24"/>
          <w:vertAlign w:val="superscript"/>
          <w:lang w:val="en-US"/>
        </w:rPr>
        <w:t>a</w:t>
      </w:r>
      <w:proofErr w:type="spellEnd"/>
      <w:r w:rsidRPr="00312F3E">
        <w:rPr>
          <w:b/>
          <w:bCs/>
          <w:sz w:val="24"/>
          <w:szCs w:val="24"/>
          <w:lang w:val="en-US"/>
        </w:rPr>
        <w:t>) in an active-controlled study comparing dapagliflozin to glipizide as add-on to metformin</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352"/>
        <w:gridCol w:w="2487"/>
        <w:gridCol w:w="2799"/>
      </w:tblGrid>
      <w:tr w:rsidR="0029430D" w:rsidRPr="00B80469" w14:paraId="1C3DE0D7" w14:textId="77777777" w:rsidTr="00312F3E">
        <w:tc>
          <w:tcPr>
            <w:tcW w:w="2258" w:type="pct"/>
            <w:tcBorders>
              <w:top w:val="single" w:sz="18" w:space="0" w:color="auto"/>
              <w:left w:val="nil"/>
              <w:right w:val="nil"/>
            </w:tcBorders>
          </w:tcPr>
          <w:p w14:paraId="143F6B3E" w14:textId="77777777" w:rsidR="0029430D" w:rsidRPr="006A7320" w:rsidRDefault="0029430D">
            <w:pPr>
              <w:rPr>
                <w:b/>
                <w:bCs/>
                <w:sz w:val="22"/>
                <w:szCs w:val="22"/>
                <w:lang w:val="en-US"/>
              </w:rPr>
            </w:pPr>
          </w:p>
          <w:p w14:paraId="6001E7CA" w14:textId="77777777" w:rsidR="0029430D" w:rsidRPr="00B80469" w:rsidRDefault="0029430D">
            <w:pPr>
              <w:rPr>
                <w:sz w:val="22"/>
                <w:szCs w:val="22"/>
              </w:rPr>
            </w:pPr>
            <w:r w:rsidRPr="00B80469">
              <w:rPr>
                <w:sz w:val="22"/>
                <w:szCs w:val="22"/>
              </w:rPr>
              <w:t>Parameter</w:t>
            </w:r>
          </w:p>
        </w:tc>
        <w:tc>
          <w:tcPr>
            <w:tcW w:w="1290" w:type="pct"/>
            <w:tcBorders>
              <w:top w:val="single" w:sz="18" w:space="0" w:color="auto"/>
              <w:left w:val="nil"/>
              <w:right w:val="nil"/>
            </w:tcBorders>
            <w:hideMark/>
          </w:tcPr>
          <w:p w14:paraId="4426080D" w14:textId="77777777" w:rsidR="0029430D" w:rsidRPr="00B80469" w:rsidRDefault="0029430D">
            <w:pPr>
              <w:tabs>
                <w:tab w:val="left" w:pos="1304"/>
              </w:tabs>
              <w:autoSpaceDE w:val="0"/>
              <w:autoSpaceDN w:val="0"/>
              <w:adjustRightInd w:val="0"/>
              <w:jc w:val="center"/>
              <w:rPr>
                <w:sz w:val="22"/>
                <w:szCs w:val="22"/>
              </w:rPr>
            </w:pPr>
            <w:r w:rsidRPr="00B80469">
              <w:rPr>
                <w:sz w:val="22"/>
                <w:szCs w:val="22"/>
              </w:rPr>
              <w:t>Dapagliflozin + metformin</w:t>
            </w:r>
          </w:p>
        </w:tc>
        <w:tc>
          <w:tcPr>
            <w:tcW w:w="1452" w:type="pct"/>
            <w:tcBorders>
              <w:top w:val="single" w:sz="18" w:space="0" w:color="auto"/>
              <w:left w:val="nil"/>
              <w:right w:val="nil"/>
            </w:tcBorders>
            <w:hideMark/>
          </w:tcPr>
          <w:p w14:paraId="020FA222" w14:textId="77777777" w:rsidR="0029430D" w:rsidRPr="00B80469" w:rsidRDefault="0029430D">
            <w:pPr>
              <w:jc w:val="center"/>
              <w:rPr>
                <w:sz w:val="22"/>
                <w:szCs w:val="22"/>
              </w:rPr>
            </w:pPr>
            <w:r w:rsidRPr="00B80469">
              <w:rPr>
                <w:sz w:val="22"/>
                <w:szCs w:val="22"/>
              </w:rPr>
              <w:t>Glipizide</w:t>
            </w:r>
          </w:p>
          <w:p w14:paraId="2CCBA9CD" w14:textId="77777777" w:rsidR="0029430D" w:rsidRPr="00B80469" w:rsidRDefault="0029430D">
            <w:pPr>
              <w:jc w:val="center"/>
              <w:rPr>
                <w:sz w:val="22"/>
                <w:szCs w:val="22"/>
              </w:rPr>
            </w:pPr>
            <w:r w:rsidRPr="00B80469">
              <w:rPr>
                <w:sz w:val="22"/>
                <w:szCs w:val="22"/>
              </w:rPr>
              <w:t>+ metformin</w:t>
            </w:r>
          </w:p>
        </w:tc>
      </w:tr>
      <w:tr w:rsidR="0029430D" w:rsidRPr="00B80469" w14:paraId="5F74328F" w14:textId="77777777" w:rsidTr="00312F3E">
        <w:tc>
          <w:tcPr>
            <w:tcW w:w="2258" w:type="pct"/>
            <w:tcBorders>
              <w:left w:val="nil"/>
              <w:right w:val="nil"/>
            </w:tcBorders>
            <w:hideMark/>
          </w:tcPr>
          <w:p w14:paraId="0CE7478A" w14:textId="77777777" w:rsidR="0029430D" w:rsidRPr="00B80469" w:rsidRDefault="0029430D">
            <w:pPr>
              <w:ind w:left="37"/>
              <w:rPr>
                <w:sz w:val="22"/>
                <w:szCs w:val="22"/>
              </w:rPr>
            </w:pPr>
            <w:r w:rsidRPr="00B80469">
              <w:rPr>
                <w:sz w:val="22"/>
                <w:szCs w:val="22"/>
              </w:rPr>
              <w:t>N</w:t>
            </w:r>
            <w:r w:rsidRPr="00B80469">
              <w:rPr>
                <w:sz w:val="22"/>
                <w:szCs w:val="22"/>
                <w:vertAlign w:val="superscript"/>
              </w:rPr>
              <w:t>b</w:t>
            </w:r>
          </w:p>
        </w:tc>
        <w:tc>
          <w:tcPr>
            <w:tcW w:w="1290" w:type="pct"/>
            <w:tcBorders>
              <w:left w:val="nil"/>
              <w:right w:val="nil"/>
            </w:tcBorders>
            <w:hideMark/>
          </w:tcPr>
          <w:p w14:paraId="1FB02BC9" w14:textId="77777777" w:rsidR="0029430D" w:rsidRPr="00B80469" w:rsidRDefault="0029430D">
            <w:pPr>
              <w:jc w:val="center"/>
              <w:rPr>
                <w:sz w:val="22"/>
                <w:szCs w:val="22"/>
              </w:rPr>
            </w:pPr>
            <w:r w:rsidRPr="00B80469">
              <w:rPr>
                <w:sz w:val="22"/>
                <w:szCs w:val="22"/>
              </w:rPr>
              <w:t>400</w:t>
            </w:r>
          </w:p>
        </w:tc>
        <w:tc>
          <w:tcPr>
            <w:tcW w:w="1452" w:type="pct"/>
            <w:tcBorders>
              <w:left w:val="nil"/>
              <w:right w:val="nil"/>
            </w:tcBorders>
            <w:hideMark/>
          </w:tcPr>
          <w:p w14:paraId="448C8FC4" w14:textId="77777777" w:rsidR="0029430D" w:rsidRPr="00B80469" w:rsidRDefault="0029430D">
            <w:pPr>
              <w:jc w:val="center"/>
              <w:rPr>
                <w:sz w:val="22"/>
                <w:szCs w:val="22"/>
              </w:rPr>
            </w:pPr>
            <w:r w:rsidRPr="00B80469">
              <w:rPr>
                <w:sz w:val="22"/>
                <w:szCs w:val="22"/>
              </w:rPr>
              <w:t>401</w:t>
            </w:r>
          </w:p>
        </w:tc>
      </w:tr>
      <w:tr w:rsidR="0029430D" w:rsidRPr="00B80469" w14:paraId="43DD0FD2" w14:textId="77777777" w:rsidTr="00312F3E">
        <w:tc>
          <w:tcPr>
            <w:tcW w:w="2258" w:type="pct"/>
            <w:tcBorders>
              <w:top w:val="single" w:sz="4" w:space="0" w:color="7F7F7F" w:themeColor="text1" w:themeTint="80"/>
              <w:left w:val="nil"/>
              <w:bottom w:val="single" w:sz="4" w:space="0" w:color="7F7F7F" w:themeColor="text1" w:themeTint="80"/>
              <w:right w:val="nil"/>
            </w:tcBorders>
            <w:hideMark/>
          </w:tcPr>
          <w:p w14:paraId="07C4886C" w14:textId="77777777" w:rsidR="0029430D" w:rsidRPr="006A7320" w:rsidRDefault="0029430D">
            <w:pPr>
              <w:rPr>
                <w:sz w:val="22"/>
                <w:szCs w:val="22"/>
                <w:lang w:val="en-US"/>
              </w:rPr>
            </w:pPr>
            <w:r w:rsidRPr="006A7320">
              <w:rPr>
                <w:sz w:val="22"/>
                <w:szCs w:val="22"/>
                <w:lang w:val="en-US"/>
              </w:rPr>
              <w:t>HbA1c (%)</w:t>
            </w:r>
          </w:p>
          <w:p w14:paraId="19B23D00" w14:textId="77777777" w:rsidR="0029430D" w:rsidRPr="006A7320" w:rsidRDefault="0029430D">
            <w:pPr>
              <w:rPr>
                <w:b/>
                <w:bCs/>
                <w:sz w:val="22"/>
                <w:szCs w:val="22"/>
                <w:lang w:val="en-US"/>
              </w:rPr>
            </w:pPr>
            <w:r w:rsidRPr="006A7320">
              <w:rPr>
                <w:b/>
                <w:bCs/>
                <w:sz w:val="22"/>
                <w:szCs w:val="22"/>
                <w:lang w:val="en-US"/>
              </w:rPr>
              <w:t>Baseline (mean)</w:t>
            </w:r>
          </w:p>
          <w:p w14:paraId="65DAF174" w14:textId="77777777" w:rsidR="0029430D" w:rsidRPr="006A7320" w:rsidRDefault="0029430D">
            <w:pPr>
              <w:tabs>
                <w:tab w:val="left" w:pos="1304"/>
              </w:tabs>
              <w:ind w:left="179"/>
              <w:rPr>
                <w:b/>
                <w:bCs/>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1B6DE1C9" w14:textId="77777777" w:rsidR="0029430D" w:rsidRPr="006A7320" w:rsidRDefault="0029430D">
            <w:pPr>
              <w:tabs>
                <w:tab w:val="left" w:pos="1304"/>
              </w:tabs>
              <w:ind w:left="179"/>
              <w:rPr>
                <w:b/>
                <w:bCs/>
                <w:sz w:val="22"/>
                <w:szCs w:val="22"/>
                <w:lang w:val="en-US"/>
              </w:rPr>
            </w:pPr>
            <w:r w:rsidRPr="006A7320">
              <w:rPr>
                <w:b/>
                <w:bCs/>
                <w:sz w:val="22"/>
                <w:szCs w:val="22"/>
                <w:lang w:val="en-US"/>
              </w:rPr>
              <w:t xml:space="preserve">Difference from glipizide + </w:t>
            </w:r>
            <w:proofErr w:type="spellStart"/>
            <w:r w:rsidRPr="006A7320">
              <w:rPr>
                <w:b/>
                <w:bCs/>
                <w:sz w:val="22"/>
                <w:szCs w:val="22"/>
                <w:lang w:val="en-US"/>
              </w:rPr>
              <w:t>metformin</w:t>
            </w:r>
            <w:r w:rsidRPr="006A7320">
              <w:rPr>
                <w:b/>
                <w:bCs/>
                <w:sz w:val="22"/>
                <w:szCs w:val="22"/>
                <w:vertAlign w:val="superscript"/>
                <w:lang w:val="en-US"/>
              </w:rPr>
              <w:t>c</w:t>
            </w:r>
            <w:proofErr w:type="spellEnd"/>
          </w:p>
          <w:p w14:paraId="617B8C0C" w14:textId="77777777" w:rsidR="0029430D" w:rsidRPr="006A7320" w:rsidRDefault="0029430D">
            <w:pPr>
              <w:tabs>
                <w:tab w:val="left" w:pos="1304"/>
              </w:tabs>
              <w:ind w:left="462"/>
              <w:rPr>
                <w:sz w:val="22"/>
                <w:szCs w:val="22"/>
                <w:lang w:val="en-US"/>
              </w:rPr>
            </w:pPr>
            <w:r w:rsidRPr="006A7320">
              <w:rPr>
                <w:b/>
                <w:bCs/>
                <w:sz w:val="22"/>
                <w:szCs w:val="22"/>
                <w:lang w:val="en-US"/>
              </w:rPr>
              <w:t>(95% CI)</w:t>
            </w:r>
          </w:p>
        </w:tc>
        <w:tc>
          <w:tcPr>
            <w:tcW w:w="1290" w:type="pct"/>
            <w:tcBorders>
              <w:top w:val="single" w:sz="4" w:space="0" w:color="7F7F7F" w:themeColor="text1" w:themeTint="80"/>
              <w:left w:val="nil"/>
              <w:bottom w:val="single" w:sz="4" w:space="0" w:color="7F7F7F" w:themeColor="text1" w:themeTint="80"/>
              <w:right w:val="nil"/>
            </w:tcBorders>
          </w:tcPr>
          <w:p w14:paraId="5BB892C2" w14:textId="77777777" w:rsidR="0029430D" w:rsidRPr="006A7320" w:rsidRDefault="0029430D">
            <w:pPr>
              <w:jc w:val="center"/>
              <w:rPr>
                <w:sz w:val="22"/>
                <w:szCs w:val="22"/>
                <w:lang w:val="en-US"/>
              </w:rPr>
            </w:pPr>
          </w:p>
          <w:p w14:paraId="52E2F39E" w14:textId="77777777" w:rsidR="0029430D" w:rsidRPr="00B80469" w:rsidRDefault="0029430D">
            <w:pPr>
              <w:jc w:val="center"/>
              <w:rPr>
                <w:sz w:val="22"/>
                <w:szCs w:val="22"/>
              </w:rPr>
            </w:pPr>
            <w:r w:rsidRPr="00B80469">
              <w:rPr>
                <w:sz w:val="22"/>
                <w:szCs w:val="22"/>
              </w:rPr>
              <w:t>7.69</w:t>
            </w:r>
          </w:p>
          <w:p w14:paraId="67A8D7C0" w14:textId="77777777" w:rsidR="0029430D" w:rsidRPr="00B80469" w:rsidRDefault="0029430D">
            <w:pPr>
              <w:jc w:val="center"/>
              <w:rPr>
                <w:sz w:val="22"/>
                <w:szCs w:val="22"/>
              </w:rPr>
            </w:pPr>
            <w:r w:rsidRPr="00B80469">
              <w:rPr>
                <w:sz w:val="22"/>
                <w:szCs w:val="22"/>
              </w:rPr>
              <w:t>-0.52</w:t>
            </w:r>
          </w:p>
          <w:p w14:paraId="5369DB68" w14:textId="77777777" w:rsidR="0029430D" w:rsidRPr="00B80469" w:rsidRDefault="0029430D">
            <w:pPr>
              <w:jc w:val="center"/>
              <w:rPr>
                <w:sz w:val="22"/>
                <w:szCs w:val="22"/>
              </w:rPr>
            </w:pPr>
            <w:r w:rsidRPr="00B80469">
              <w:rPr>
                <w:sz w:val="22"/>
                <w:szCs w:val="22"/>
              </w:rPr>
              <w:t>0.00</w:t>
            </w:r>
            <w:r w:rsidRPr="00B80469">
              <w:rPr>
                <w:sz w:val="22"/>
                <w:szCs w:val="22"/>
                <w:vertAlign w:val="superscript"/>
              </w:rPr>
              <w:t>d</w:t>
            </w:r>
          </w:p>
          <w:p w14:paraId="1F130BE3" w14:textId="77777777" w:rsidR="0029430D" w:rsidRPr="00B80469" w:rsidRDefault="0029430D">
            <w:pPr>
              <w:jc w:val="center"/>
              <w:rPr>
                <w:sz w:val="22"/>
                <w:szCs w:val="22"/>
              </w:rPr>
            </w:pPr>
            <w:r w:rsidRPr="00B80469">
              <w:rPr>
                <w:sz w:val="22"/>
                <w:szCs w:val="22"/>
              </w:rPr>
              <w:t>(-0.11, 0.11)</w:t>
            </w:r>
          </w:p>
        </w:tc>
        <w:tc>
          <w:tcPr>
            <w:tcW w:w="1452" w:type="pct"/>
            <w:tcBorders>
              <w:top w:val="single" w:sz="4" w:space="0" w:color="7F7F7F" w:themeColor="text1" w:themeTint="80"/>
              <w:left w:val="nil"/>
              <w:bottom w:val="single" w:sz="4" w:space="0" w:color="7F7F7F" w:themeColor="text1" w:themeTint="80"/>
              <w:right w:val="nil"/>
            </w:tcBorders>
          </w:tcPr>
          <w:p w14:paraId="38BBB48B" w14:textId="77777777" w:rsidR="0029430D" w:rsidRPr="00B80469" w:rsidRDefault="0029430D">
            <w:pPr>
              <w:jc w:val="center"/>
              <w:rPr>
                <w:sz w:val="22"/>
                <w:szCs w:val="22"/>
              </w:rPr>
            </w:pPr>
          </w:p>
          <w:p w14:paraId="140A115D" w14:textId="77777777" w:rsidR="0029430D" w:rsidRPr="00B80469" w:rsidRDefault="0029430D">
            <w:pPr>
              <w:jc w:val="center"/>
              <w:rPr>
                <w:sz w:val="22"/>
                <w:szCs w:val="22"/>
              </w:rPr>
            </w:pPr>
            <w:r w:rsidRPr="00B80469">
              <w:rPr>
                <w:sz w:val="22"/>
                <w:szCs w:val="22"/>
              </w:rPr>
              <w:t>7.74</w:t>
            </w:r>
          </w:p>
          <w:p w14:paraId="6148E098" w14:textId="77777777" w:rsidR="0029430D" w:rsidRPr="00B80469" w:rsidRDefault="0029430D">
            <w:pPr>
              <w:jc w:val="center"/>
              <w:rPr>
                <w:sz w:val="22"/>
                <w:szCs w:val="22"/>
              </w:rPr>
            </w:pPr>
            <w:r w:rsidRPr="00B80469">
              <w:rPr>
                <w:sz w:val="22"/>
                <w:szCs w:val="22"/>
              </w:rPr>
              <w:t>-0.52</w:t>
            </w:r>
          </w:p>
        </w:tc>
      </w:tr>
      <w:tr w:rsidR="0029430D" w:rsidRPr="00B80469" w14:paraId="32FAE691" w14:textId="77777777" w:rsidTr="00312F3E">
        <w:tc>
          <w:tcPr>
            <w:tcW w:w="2258" w:type="pct"/>
            <w:tcBorders>
              <w:left w:val="nil"/>
              <w:bottom w:val="single" w:sz="18" w:space="0" w:color="auto"/>
              <w:right w:val="nil"/>
            </w:tcBorders>
            <w:hideMark/>
          </w:tcPr>
          <w:p w14:paraId="12B4B4A6" w14:textId="77777777" w:rsidR="0029430D" w:rsidRPr="006A7320" w:rsidRDefault="0029430D">
            <w:pPr>
              <w:rPr>
                <w:sz w:val="22"/>
                <w:szCs w:val="22"/>
                <w:lang w:val="en-US"/>
              </w:rPr>
            </w:pPr>
            <w:r w:rsidRPr="006A7320">
              <w:rPr>
                <w:sz w:val="22"/>
                <w:szCs w:val="22"/>
                <w:lang w:val="en-US"/>
              </w:rPr>
              <w:t>Body weight (kg)</w:t>
            </w:r>
          </w:p>
          <w:p w14:paraId="3982F11D" w14:textId="77777777" w:rsidR="0029430D" w:rsidRPr="006A7320" w:rsidRDefault="0029430D">
            <w:pPr>
              <w:ind w:left="179"/>
              <w:rPr>
                <w:b/>
                <w:bCs/>
                <w:sz w:val="22"/>
                <w:szCs w:val="22"/>
                <w:lang w:val="en-US"/>
              </w:rPr>
            </w:pPr>
            <w:r w:rsidRPr="006A7320">
              <w:rPr>
                <w:b/>
                <w:bCs/>
                <w:sz w:val="22"/>
                <w:szCs w:val="22"/>
                <w:lang w:val="en-US"/>
              </w:rPr>
              <w:t>Baseline (mean)</w:t>
            </w:r>
          </w:p>
          <w:p w14:paraId="6F68B0D6" w14:textId="77777777" w:rsidR="0029430D" w:rsidRPr="006A7320" w:rsidRDefault="0029430D">
            <w:pPr>
              <w:ind w:left="179"/>
              <w:rPr>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1E54F0A3" w14:textId="77777777" w:rsidR="0029430D" w:rsidRPr="006A7320" w:rsidRDefault="0029430D">
            <w:pPr>
              <w:ind w:left="179"/>
              <w:rPr>
                <w:b/>
                <w:bCs/>
                <w:sz w:val="22"/>
                <w:szCs w:val="22"/>
                <w:lang w:val="en-US"/>
              </w:rPr>
            </w:pPr>
            <w:r w:rsidRPr="006A7320">
              <w:rPr>
                <w:b/>
                <w:bCs/>
                <w:sz w:val="22"/>
                <w:szCs w:val="22"/>
                <w:lang w:val="en-US"/>
              </w:rPr>
              <w:t xml:space="preserve">Difference from glipizide + </w:t>
            </w:r>
            <w:proofErr w:type="spellStart"/>
            <w:r w:rsidRPr="006A7320">
              <w:rPr>
                <w:b/>
                <w:bCs/>
                <w:sz w:val="22"/>
                <w:szCs w:val="22"/>
                <w:lang w:val="en-US"/>
              </w:rPr>
              <w:t>metformin</w:t>
            </w:r>
            <w:r w:rsidRPr="006A7320">
              <w:rPr>
                <w:b/>
                <w:bCs/>
                <w:sz w:val="22"/>
                <w:szCs w:val="22"/>
                <w:vertAlign w:val="superscript"/>
                <w:lang w:val="en-US"/>
              </w:rPr>
              <w:t>c</w:t>
            </w:r>
            <w:proofErr w:type="spellEnd"/>
          </w:p>
          <w:p w14:paraId="3BA07076" w14:textId="77777777" w:rsidR="0029430D" w:rsidRPr="00B80469" w:rsidRDefault="0029430D">
            <w:pPr>
              <w:ind w:left="462"/>
              <w:rPr>
                <w:sz w:val="22"/>
                <w:szCs w:val="22"/>
              </w:rPr>
            </w:pPr>
            <w:r w:rsidRPr="00B80469">
              <w:rPr>
                <w:b/>
                <w:bCs/>
                <w:sz w:val="22"/>
                <w:szCs w:val="22"/>
              </w:rPr>
              <w:t>(95% CI)</w:t>
            </w:r>
          </w:p>
        </w:tc>
        <w:tc>
          <w:tcPr>
            <w:tcW w:w="1290" w:type="pct"/>
            <w:tcBorders>
              <w:left w:val="nil"/>
              <w:bottom w:val="single" w:sz="18" w:space="0" w:color="auto"/>
              <w:right w:val="nil"/>
            </w:tcBorders>
          </w:tcPr>
          <w:p w14:paraId="15073124" w14:textId="77777777" w:rsidR="0029430D" w:rsidRPr="00B80469" w:rsidRDefault="0029430D">
            <w:pPr>
              <w:jc w:val="center"/>
              <w:rPr>
                <w:sz w:val="22"/>
                <w:szCs w:val="22"/>
              </w:rPr>
            </w:pPr>
          </w:p>
          <w:p w14:paraId="4FF4F67D" w14:textId="77777777" w:rsidR="0029430D" w:rsidRPr="00B80469" w:rsidRDefault="0029430D">
            <w:pPr>
              <w:jc w:val="center"/>
              <w:rPr>
                <w:sz w:val="22"/>
                <w:szCs w:val="22"/>
              </w:rPr>
            </w:pPr>
            <w:r w:rsidRPr="00B80469">
              <w:rPr>
                <w:sz w:val="22"/>
                <w:szCs w:val="22"/>
              </w:rPr>
              <w:t>88.44</w:t>
            </w:r>
          </w:p>
          <w:p w14:paraId="03A0ED09" w14:textId="77777777" w:rsidR="0029430D" w:rsidRPr="00B80469" w:rsidRDefault="0029430D">
            <w:pPr>
              <w:jc w:val="center"/>
              <w:rPr>
                <w:sz w:val="22"/>
                <w:szCs w:val="22"/>
              </w:rPr>
            </w:pPr>
            <w:r w:rsidRPr="00B80469">
              <w:rPr>
                <w:sz w:val="22"/>
                <w:szCs w:val="22"/>
              </w:rPr>
              <w:t>-3.22</w:t>
            </w:r>
          </w:p>
          <w:p w14:paraId="4FB21AA8" w14:textId="77777777" w:rsidR="0029430D" w:rsidRPr="00B80469" w:rsidRDefault="0029430D">
            <w:pPr>
              <w:jc w:val="center"/>
              <w:rPr>
                <w:sz w:val="22"/>
                <w:szCs w:val="22"/>
              </w:rPr>
            </w:pPr>
            <w:r w:rsidRPr="00B80469">
              <w:rPr>
                <w:sz w:val="22"/>
                <w:szCs w:val="22"/>
              </w:rPr>
              <w:t>-4.65</w:t>
            </w:r>
            <w:r w:rsidRPr="00B80469">
              <w:rPr>
                <w:sz w:val="22"/>
                <w:szCs w:val="22"/>
                <w:vertAlign w:val="superscript"/>
              </w:rPr>
              <w:t>*</w:t>
            </w:r>
          </w:p>
          <w:p w14:paraId="7EB57532" w14:textId="77777777" w:rsidR="0029430D" w:rsidRPr="00B80469" w:rsidRDefault="0029430D">
            <w:pPr>
              <w:jc w:val="center"/>
              <w:rPr>
                <w:sz w:val="22"/>
                <w:szCs w:val="22"/>
              </w:rPr>
            </w:pPr>
            <w:r w:rsidRPr="00B80469">
              <w:rPr>
                <w:sz w:val="22"/>
                <w:szCs w:val="22"/>
              </w:rPr>
              <w:t>(-5.14, -4.17)</w:t>
            </w:r>
          </w:p>
        </w:tc>
        <w:tc>
          <w:tcPr>
            <w:tcW w:w="1452" w:type="pct"/>
            <w:tcBorders>
              <w:left w:val="nil"/>
              <w:bottom w:val="single" w:sz="18" w:space="0" w:color="auto"/>
              <w:right w:val="nil"/>
            </w:tcBorders>
          </w:tcPr>
          <w:p w14:paraId="125DFB06" w14:textId="77777777" w:rsidR="0029430D" w:rsidRPr="00B80469" w:rsidRDefault="0029430D">
            <w:pPr>
              <w:jc w:val="center"/>
              <w:rPr>
                <w:sz w:val="22"/>
                <w:szCs w:val="22"/>
              </w:rPr>
            </w:pPr>
          </w:p>
          <w:p w14:paraId="3A73D266" w14:textId="77777777" w:rsidR="0029430D" w:rsidRPr="00B80469" w:rsidRDefault="0029430D">
            <w:pPr>
              <w:jc w:val="center"/>
              <w:rPr>
                <w:sz w:val="22"/>
                <w:szCs w:val="22"/>
              </w:rPr>
            </w:pPr>
            <w:r w:rsidRPr="00B80469">
              <w:rPr>
                <w:sz w:val="22"/>
                <w:szCs w:val="22"/>
              </w:rPr>
              <w:t>87.60</w:t>
            </w:r>
          </w:p>
          <w:p w14:paraId="085B55E5" w14:textId="77777777" w:rsidR="0029430D" w:rsidRPr="00B80469" w:rsidRDefault="0029430D">
            <w:pPr>
              <w:jc w:val="center"/>
              <w:rPr>
                <w:sz w:val="22"/>
                <w:szCs w:val="22"/>
              </w:rPr>
            </w:pPr>
            <w:r w:rsidRPr="00B80469">
              <w:rPr>
                <w:sz w:val="22"/>
                <w:szCs w:val="22"/>
              </w:rPr>
              <w:t>1.44</w:t>
            </w:r>
          </w:p>
        </w:tc>
      </w:tr>
    </w:tbl>
    <w:p w14:paraId="5E6C213D" w14:textId="70D12500" w:rsidR="0029430D" w:rsidRPr="002A6AC6" w:rsidRDefault="0029430D" w:rsidP="002A6AC6">
      <w:pPr>
        <w:ind w:left="284" w:hanging="284"/>
        <w:rPr>
          <w:sz w:val="20"/>
          <w:lang w:val="en-GB" w:eastAsia="en-US"/>
        </w:rPr>
      </w:pPr>
      <w:r w:rsidRPr="006A7320">
        <w:rPr>
          <w:sz w:val="20"/>
          <w:vertAlign w:val="superscript"/>
          <w:lang w:val="en-US"/>
        </w:rPr>
        <w:t>a</w:t>
      </w:r>
      <w:r w:rsidR="002A6AC6" w:rsidRPr="006A7320">
        <w:rPr>
          <w:sz w:val="20"/>
          <w:vertAlign w:val="superscript"/>
          <w:lang w:val="en-US"/>
        </w:rPr>
        <w:tab/>
      </w:r>
      <w:r w:rsidRPr="006A7320">
        <w:rPr>
          <w:sz w:val="20"/>
          <w:lang w:val="en-US"/>
        </w:rPr>
        <w:t>LOCF: Last observation carried forward</w:t>
      </w:r>
    </w:p>
    <w:p w14:paraId="5006125F" w14:textId="7C5EF140" w:rsidR="0029430D" w:rsidRPr="002A6AC6" w:rsidRDefault="0029430D" w:rsidP="002A6AC6">
      <w:pPr>
        <w:ind w:left="284" w:hanging="284"/>
        <w:rPr>
          <w:sz w:val="20"/>
          <w:lang w:val="en-US"/>
        </w:rPr>
      </w:pPr>
      <w:r w:rsidRPr="002A6AC6">
        <w:rPr>
          <w:sz w:val="20"/>
          <w:vertAlign w:val="superscript"/>
          <w:lang w:val="en-US"/>
        </w:rPr>
        <w:t>b</w:t>
      </w:r>
      <w:r w:rsidR="002A6AC6">
        <w:rPr>
          <w:sz w:val="20"/>
          <w:vertAlign w:val="superscript"/>
          <w:lang w:val="en-US"/>
        </w:rPr>
        <w:tab/>
      </w:r>
      <w:proofErr w:type="spellStart"/>
      <w:r w:rsidRPr="002A6AC6">
        <w:rPr>
          <w:sz w:val="20"/>
          <w:lang w:val="en-US"/>
        </w:rPr>
        <w:t>Randomised</w:t>
      </w:r>
      <w:proofErr w:type="spellEnd"/>
      <w:r w:rsidRPr="002A6AC6">
        <w:rPr>
          <w:sz w:val="20"/>
          <w:lang w:val="en-US"/>
        </w:rPr>
        <w:t xml:space="preserve"> and treated subjects with baseline and at least 1 post-baseline efficacy</w:t>
      </w:r>
      <w:r w:rsidR="002A6AC6">
        <w:rPr>
          <w:sz w:val="20"/>
          <w:lang w:val="en-US"/>
        </w:rPr>
        <w:t xml:space="preserve"> </w:t>
      </w:r>
      <w:r w:rsidRPr="002A6AC6">
        <w:rPr>
          <w:sz w:val="20"/>
          <w:lang w:val="en-US"/>
        </w:rPr>
        <w:t>measurement</w:t>
      </w:r>
    </w:p>
    <w:p w14:paraId="13FBB4BC" w14:textId="615A2041" w:rsidR="0029430D" w:rsidRPr="002A6AC6" w:rsidRDefault="0029430D" w:rsidP="002A6AC6">
      <w:pPr>
        <w:ind w:left="284" w:hanging="284"/>
        <w:rPr>
          <w:sz w:val="20"/>
          <w:lang w:val="en-US"/>
        </w:rPr>
      </w:pPr>
      <w:r w:rsidRPr="002A6AC6">
        <w:rPr>
          <w:sz w:val="20"/>
          <w:vertAlign w:val="superscript"/>
          <w:lang w:val="en-US"/>
        </w:rPr>
        <w:t>c</w:t>
      </w:r>
      <w:r w:rsidR="002A6AC6">
        <w:rPr>
          <w:sz w:val="20"/>
          <w:vertAlign w:val="superscript"/>
          <w:lang w:val="en-US"/>
        </w:rPr>
        <w:tab/>
      </w:r>
      <w:r w:rsidRPr="002A6AC6">
        <w:rPr>
          <w:sz w:val="20"/>
          <w:lang w:val="en-US"/>
        </w:rPr>
        <w:t>Least squares mean adjusted for baseline value</w:t>
      </w:r>
    </w:p>
    <w:p w14:paraId="3A514B31" w14:textId="59944F21" w:rsidR="0029430D" w:rsidRPr="002A6AC6" w:rsidRDefault="0029430D" w:rsidP="002A6AC6">
      <w:pPr>
        <w:ind w:left="284" w:hanging="284"/>
        <w:rPr>
          <w:sz w:val="20"/>
          <w:lang w:val="en-US"/>
        </w:rPr>
      </w:pPr>
      <w:r w:rsidRPr="002A6AC6">
        <w:rPr>
          <w:sz w:val="20"/>
          <w:vertAlign w:val="superscript"/>
          <w:lang w:val="en-US"/>
        </w:rPr>
        <w:t>d</w:t>
      </w:r>
      <w:r w:rsidR="002A6AC6">
        <w:rPr>
          <w:sz w:val="20"/>
          <w:vertAlign w:val="superscript"/>
          <w:lang w:val="en-US"/>
        </w:rPr>
        <w:tab/>
      </w:r>
      <w:r w:rsidRPr="002A6AC6">
        <w:rPr>
          <w:sz w:val="20"/>
          <w:lang w:val="en-US"/>
        </w:rPr>
        <w:t>Non-inferior to glipizide + metformin</w:t>
      </w:r>
    </w:p>
    <w:p w14:paraId="5BBE67CC" w14:textId="29AC85F2" w:rsidR="0029430D" w:rsidRPr="002A6AC6" w:rsidRDefault="0029430D" w:rsidP="002A6AC6">
      <w:pPr>
        <w:ind w:left="284" w:hanging="284"/>
        <w:rPr>
          <w:sz w:val="20"/>
          <w:lang w:val="en-US"/>
        </w:rPr>
      </w:pPr>
      <w:r w:rsidRPr="002A6AC6">
        <w:rPr>
          <w:sz w:val="20"/>
          <w:vertAlign w:val="superscript"/>
          <w:lang w:val="en-US"/>
        </w:rPr>
        <w:t>*</w:t>
      </w:r>
      <w:r w:rsidR="002A6AC6">
        <w:rPr>
          <w:sz w:val="20"/>
          <w:vertAlign w:val="superscript"/>
          <w:lang w:val="en-US"/>
        </w:rPr>
        <w:tab/>
      </w:r>
      <w:r w:rsidRPr="002A6AC6">
        <w:rPr>
          <w:sz w:val="20"/>
          <w:lang w:val="en-US"/>
        </w:rPr>
        <w:t>p-value &lt; 0.0001</w:t>
      </w:r>
    </w:p>
    <w:p w14:paraId="32A0E483" w14:textId="77777777" w:rsidR="0029430D" w:rsidRPr="00312F3E" w:rsidRDefault="0029430D" w:rsidP="0029430D">
      <w:pPr>
        <w:rPr>
          <w:sz w:val="24"/>
          <w:szCs w:val="24"/>
          <w:lang w:val="en-US"/>
        </w:rPr>
      </w:pPr>
    </w:p>
    <w:p w14:paraId="616B428A" w14:textId="658EF99F" w:rsidR="0029430D" w:rsidRPr="00312F3E" w:rsidRDefault="0029430D" w:rsidP="00312F3E">
      <w:pPr>
        <w:ind w:left="851"/>
        <w:rPr>
          <w:sz w:val="24"/>
          <w:szCs w:val="24"/>
          <w:lang w:val="en-US"/>
        </w:rPr>
      </w:pPr>
      <w:r w:rsidRPr="00312F3E">
        <w:rPr>
          <w:sz w:val="24"/>
          <w:szCs w:val="24"/>
          <w:lang w:val="en-US"/>
        </w:rPr>
        <w:t xml:space="preserve">Dapagliflozin as an add-on with either metformin, glimepiride, metformin and a </w:t>
      </w:r>
      <w:proofErr w:type="spellStart"/>
      <w:r w:rsidRPr="00312F3E">
        <w:rPr>
          <w:sz w:val="24"/>
          <w:szCs w:val="24"/>
          <w:lang w:val="en-US"/>
        </w:rPr>
        <w:t>sulphonylurea</w:t>
      </w:r>
      <w:proofErr w:type="spellEnd"/>
      <w:r w:rsidRPr="00312F3E">
        <w:rPr>
          <w:sz w:val="24"/>
          <w:szCs w:val="24"/>
          <w:lang w:val="en-US"/>
        </w:rPr>
        <w:t>, sitagliptin (with or without metformin) or insulin resulted in statistically significant reductions in HbA1c at 24 weeks compared with subjects receiving placebo (p</w:t>
      </w:r>
      <w:r w:rsidR="002A6AC6">
        <w:rPr>
          <w:sz w:val="24"/>
          <w:szCs w:val="24"/>
          <w:lang w:val="en-US"/>
        </w:rPr>
        <w:t> </w:t>
      </w:r>
      <w:r w:rsidRPr="00312F3E">
        <w:rPr>
          <w:sz w:val="24"/>
          <w:szCs w:val="24"/>
          <w:lang w:val="en-US"/>
        </w:rPr>
        <w:t>&lt;</w:t>
      </w:r>
      <w:r w:rsidR="002A6AC6">
        <w:rPr>
          <w:sz w:val="24"/>
          <w:szCs w:val="24"/>
          <w:lang w:val="en-US"/>
        </w:rPr>
        <w:t> </w:t>
      </w:r>
      <w:r w:rsidRPr="00312F3E">
        <w:rPr>
          <w:sz w:val="24"/>
          <w:szCs w:val="24"/>
          <w:lang w:val="en-US"/>
        </w:rPr>
        <w:t>0.0001; Tables 4, 5 and 6).</w:t>
      </w:r>
    </w:p>
    <w:p w14:paraId="6AE496E0" w14:textId="77777777" w:rsidR="0029430D" w:rsidRPr="00312F3E" w:rsidRDefault="0029430D" w:rsidP="00312F3E">
      <w:pPr>
        <w:ind w:left="851"/>
        <w:rPr>
          <w:sz w:val="24"/>
          <w:szCs w:val="24"/>
          <w:lang w:val="en-US"/>
        </w:rPr>
      </w:pPr>
    </w:p>
    <w:p w14:paraId="5E7CFB0C" w14:textId="1833F0F1" w:rsidR="0029430D" w:rsidRPr="00312F3E" w:rsidRDefault="0029430D" w:rsidP="00312F3E">
      <w:pPr>
        <w:ind w:left="851"/>
        <w:rPr>
          <w:sz w:val="24"/>
          <w:szCs w:val="24"/>
          <w:lang w:val="en-US"/>
        </w:rPr>
      </w:pPr>
      <w:r w:rsidRPr="00312F3E">
        <w:rPr>
          <w:sz w:val="24"/>
          <w:szCs w:val="24"/>
          <w:lang w:val="en-US"/>
        </w:rPr>
        <w:t>The reductions in HbA1c observed at week 24 were sustained in add-on combination studies (glimepiride and insulin) with 48-week data (glimepiride) and up to 104-week data (insulin). At week 48 when added to sitagliptin (with or without metformin), the adjusted mean change from baseline for dapagliflozin 10 mg and placebo was -0.30% and 0.38%, respectively. For the add-on to metformin study, HbA1c reductions were sustained through week 102 (-0.78% and 0.02% adjusted mean change from baseline for 10 mg and placebo, respectively). At week 104 for insulin (with or without additional oral glucose-lowering medicinal products), the HbA1c reductions were -0.71% and -0.06% adjusted mean change from baseline for dapagliflozin 10 mg and placebo, respectively. At weeks 48 and 104, the insulin dose remained stable compared to baseline in subjects treated with dapagliflozin 10</w:t>
      </w:r>
      <w:r w:rsidR="002A6AC6">
        <w:rPr>
          <w:sz w:val="24"/>
          <w:szCs w:val="24"/>
          <w:lang w:val="en-US"/>
        </w:rPr>
        <w:t> </w:t>
      </w:r>
      <w:r w:rsidRPr="00312F3E">
        <w:rPr>
          <w:sz w:val="24"/>
          <w:szCs w:val="24"/>
          <w:lang w:val="en-US"/>
        </w:rPr>
        <w:t>mg at an average dose of 76 IU/day. In the placebo group there was a mean increase of 10.5 IU/day and 18.3 IU/day from baseline (mean average dose of 84 and 92 IU/day) at weeks 48 and 104, respectively. The proportion of subjects remaining in the study at week 104 was 72.4% for the group treated with dapagliflozin 10 mg and 54.8% for the placebo group.</w:t>
      </w:r>
    </w:p>
    <w:p w14:paraId="7BB7D5F2" w14:textId="77777777" w:rsidR="0029430D" w:rsidRPr="00312F3E" w:rsidRDefault="0029430D" w:rsidP="00312F3E">
      <w:pPr>
        <w:ind w:left="851"/>
        <w:rPr>
          <w:sz w:val="24"/>
          <w:szCs w:val="24"/>
          <w:lang w:val="en-US"/>
        </w:rPr>
      </w:pPr>
    </w:p>
    <w:p w14:paraId="569795E8" w14:textId="77777777" w:rsidR="0029430D" w:rsidRPr="00312F3E" w:rsidRDefault="0029430D" w:rsidP="0029430D">
      <w:pPr>
        <w:keepNext/>
        <w:pageBreakBefore/>
        <w:tabs>
          <w:tab w:val="left" w:pos="1304"/>
        </w:tabs>
        <w:autoSpaceDE w:val="0"/>
        <w:autoSpaceDN w:val="0"/>
        <w:adjustRightInd w:val="0"/>
        <w:rPr>
          <w:sz w:val="24"/>
          <w:szCs w:val="24"/>
          <w:lang w:val="en-US"/>
        </w:rPr>
      </w:pPr>
      <w:r w:rsidRPr="00312F3E">
        <w:rPr>
          <w:b/>
          <w:bCs/>
          <w:sz w:val="24"/>
          <w:szCs w:val="24"/>
          <w:lang w:val="en-US" w:eastAsia="en-GB"/>
        </w:rPr>
        <w:t>Table 4. Results of 24-week (</w:t>
      </w:r>
      <w:proofErr w:type="spellStart"/>
      <w:r w:rsidRPr="00312F3E">
        <w:rPr>
          <w:b/>
          <w:bCs/>
          <w:sz w:val="24"/>
          <w:szCs w:val="24"/>
          <w:lang w:val="en-US" w:eastAsia="en-GB"/>
        </w:rPr>
        <w:t>LOCF</w:t>
      </w:r>
      <w:r w:rsidRPr="00312F3E">
        <w:rPr>
          <w:b/>
          <w:bCs/>
          <w:sz w:val="24"/>
          <w:szCs w:val="24"/>
          <w:vertAlign w:val="superscript"/>
          <w:lang w:val="en-US" w:eastAsia="en-GB"/>
        </w:rPr>
        <w:t>a</w:t>
      </w:r>
      <w:proofErr w:type="spellEnd"/>
      <w:r w:rsidRPr="00312F3E">
        <w:rPr>
          <w:b/>
          <w:bCs/>
          <w:sz w:val="24"/>
          <w:szCs w:val="24"/>
          <w:lang w:val="en-US" w:eastAsia="en-GB"/>
        </w:rPr>
        <w:t>) placebo-controlled studies of dapagliflozin in add-on combination with metformin or sitagliptin (with or without metformin)</w:t>
      </w:r>
    </w:p>
    <w:tbl>
      <w:tblPr>
        <w:tblW w:w="5000" w:type="pct"/>
        <w:jc w:val="center"/>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2168"/>
        <w:gridCol w:w="1982"/>
        <w:gridCol w:w="672"/>
        <w:gridCol w:w="1175"/>
        <w:gridCol w:w="1817"/>
        <w:gridCol w:w="1824"/>
      </w:tblGrid>
      <w:tr w:rsidR="0029430D" w:rsidRPr="002A6AC6" w14:paraId="1D585FA0" w14:textId="77777777" w:rsidTr="00312F3E">
        <w:trPr>
          <w:jc w:val="center"/>
        </w:trPr>
        <w:tc>
          <w:tcPr>
            <w:tcW w:w="4997" w:type="pct"/>
            <w:gridSpan w:val="6"/>
            <w:tcBorders>
              <w:top w:val="single" w:sz="18" w:space="0" w:color="auto"/>
              <w:left w:val="nil"/>
              <w:right w:val="nil"/>
            </w:tcBorders>
            <w:hideMark/>
          </w:tcPr>
          <w:p w14:paraId="105EBBD4" w14:textId="77777777" w:rsidR="0029430D" w:rsidRPr="002A6AC6" w:rsidRDefault="0029430D">
            <w:pPr>
              <w:ind w:left="5140"/>
              <w:rPr>
                <w:sz w:val="22"/>
                <w:szCs w:val="22"/>
              </w:rPr>
            </w:pPr>
            <w:r w:rsidRPr="002A6AC6">
              <w:rPr>
                <w:sz w:val="22"/>
                <w:szCs w:val="22"/>
              </w:rPr>
              <w:t xml:space="preserve">Add-on </w:t>
            </w:r>
            <w:proofErr w:type="spellStart"/>
            <w:r w:rsidRPr="002A6AC6">
              <w:rPr>
                <w:sz w:val="22"/>
                <w:szCs w:val="22"/>
              </w:rPr>
              <w:t>combination</w:t>
            </w:r>
            <w:proofErr w:type="spellEnd"/>
          </w:p>
        </w:tc>
      </w:tr>
      <w:tr w:rsidR="0029430D" w:rsidRPr="002A6AC6" w14:paraId="6DEC28D1" w14:textId="77777777" w:rsidTr="00312F3E">
        <w:trPr>
          <w:jc w:val="center"/>
        </w:trPr>
        <w:tc>
          <w:tcPr>
            <w:tcW w:w="2387" w:type="pct"/>
            <w:gridSpan w:val="3"/>
            <w:tcBorders>
              <w:left w:val="nil"/>
              <w:right w:val="nil"/>
            </w:tcBorders>
            <w:hideMark/>
          </w:tcPr>
          <w:p w14:paraId="62594C06" w14:textId="77777777" w:rsidR="0029430D" w:rsidRPr="002A6AC6" w:rsidRDefault="0029430D">
            <w:pPr>
              <w:tabs>
                <w:tab w:val="left" w:pos="1304"/>
              </w:tabs>
              <w:ind w:left="3581"/>
              <w:jc w:val="right"/>
              <w:rPr>
                <w:sz w:val="22"/>
                <w:szCs w:val="22"/>
              </w:rPr>
            </w:pPr>
            <w:r w:rsidRPr="002A6AC6">
              <w:rPr>
                <w:sz w:val="22"/>
                <w:szCs w:val="22"/>
              </w:rPr>
              <w:t>Metformin</w:t>
            </w:r>
            <w:r w:rsidRPr="002A6AC6">
              <w:rPr>
                <w:sz w:val="22"/>
                <w:szCs w:val="22"/>
                <w:vertAlign w:val="superscript"/>
              </w:rPr>
              <w:t>1</w:t>
            </w:r>
          </w:p>
        </w:tc>
        <w:tc>
          <w:tcPr>
            <w:tcW w:w="2613" w:type="pct"/>
            <w:gridSpan w:val="3"/>
            <w:tcBorders>
              <w:left w:val="nil"/>
              <w:right w:val="nil"/>
            </w:tcBorders>
            <w:hideMark/>
          </w:tcPr>
          <w:p w14:paraId="16C66649" w14:textId="77777777" w:rsidR="0029430D" w:rsidRPr="002A6AC6" w:rsidRDefault="0029430D">
            <w:pPr>
              <w:tabs>
                <w:tab w:val="left" w:pos="1304"/>
              </w:tabs>
              <w:autoSpaceDE w:val="0"/>
              <w:autoSpaceDN w:val="0"/>
              <w:adjustRightInd w:val="0"/>
              <w:ind w:left="1320"/>
              <w:jc w:val="center"/>
              <w:rPr>
                <w:b/>
                <w:bCs/>
                <w:sz w:val="22"/>
                <w:szCs w:val="22"/>
              </w:rPr>
            </w:pPr>
            <w:r w:rsidRPr="002A6AC6">
              <w:rPr>
                <w:b/>
                <w:bCs/>
                <w:sz w:val="22"/>
                <w:szCs w:val="22"/>
              </w:rPr>
              <w:t>DPP-4 inhibitor</w:t>
            </w:r>
          </w:p>
          <w:p w14:paraId="544ECBC5" w14:textId="77777777" w:rsidR="0029430D" w:rsidRPr="002A6AC6" w:rsidRDefault="0029430D">
            <w:pPr>
              <w:tabs>
                <w:tab w:val="left" w:pos="1304"/>
              </w:tabs>
              <w:autoSpaceDE w:val="0"/>
              <w:autoSpaceDN w:val="0"/>
              <w:adjustRightInd w:val="0"/>
              <w:ind w:left="1320"/>
              <w:jc w:val="center"/>
              <w:rPr>
                <w:sz w:val="22"/>
                <w:szCs w:val="22"/>
                <w:lang w:eastAsia="en-US"/>
              </w:rPr>
            </w:pPr>
            <w:r w:rsidRPr="002A6AC6">
              <w:rPr>
                <w:b/>
                <w:bCs/>
                <w:sz w:val="22"/>
                <w:szCs w:val="22"/>
              </w:rPr>
              <w:t>(sitagliptin</w:t>
            </w:r>
            <w:r w:rsidRPr="002A6AC6">
              <w:rPr>
                <w:rFonts w:eastAsia="TimesNewRoman"/>
                <w:b/>
                <w:bCs/>
                <w:sz w:val="22"/>
                <w:szCs w:val="22"/>
                <w:vertAlign w:val="superscript"/>
              </w:rPr>
              <w:t>2</w:t>
            </w:r>
            <w:r w:rsidRPr="002A6AC6">
              <w:rPr>
                <w:rFonts w:eastAsia="TimesNewRoman"/>
                <w:sz w:val="22"/>
                <w:szCs w:val="22"/>
              </w:rPr>
              <w:t xml:space="preserve">) </w:t>
            </w:r>
            <w:r w:rsidRPr="002A6AC6">
              <w:rPr>
                <w:b/>
                <w:bCs/>
                <w:sz w:val="22"/>
                <w:szCs w:val="22"/>
              </w:rPr>
              <w:t>± metformin</w:t>
            </w:r>
            <w:r w:rsidRPr="002A6AC6">
              <w:rPr>
                <w:rFonts w:eastAsia="TimesNewRoman"/>
                <w:sz w:val="22"/>
                <w:szCs w:val="22"/>
                <w:vertAlign w:val="superscript"/>
              </w:rPr>
              <w:t>1</w:t>
            </w:r>
          </w:p>
        </w:tc>
      </w:tr>
      <w:tr w:rsidR="0029430D" w:rsidRPr="002A6AC6" w14:paraId="4783AD3D" w14:textId="77777777" w:rsidTr="00312F3E">
        <w:trPr>
          <w:jc w:val="center"/>
        </w:trPr>
        <w:tc>
          <w:tcPr>
            <w:tcW w:w="1073" w:type="pct"/>
            <w:tcBorders>
              <w:top w:val="single" w:sz="4" w:space="0" w:color="7F7F7F" w:themeColor="text1" w:themeTint="80"/>
              <w:left w:val="nil"/>
              <w:bottom w:val="single" w:sz="4" w:space="0" w:color="7F7F7F" w:themeColor="text1" w:themeTint="80"/>
              <w:right w:val="nil"/>
            </w:tcBorders>
          </w:tcPr>
          <w:p w14:paraId="17E6DB7B" w14:textId="77777777" w:rsidR="0029430D" w:rsidRPr="002A6AC6" w:rsidRDefault="0029430D">
            <w:pPr>
              <w:rPr>
                <w:sz w:val="22"/>
                <w:szCs w:val="22"/>
              </w:rPr>
            </w:pPr>
          </w:p>
        </w:tc>
        <w:tc>
          <w:tcPr>
            <w:tcW w:w="981" w:type="pct"/>
            <w:tcBorders>
              <w:top w:val="single" w:sz="4" w:space="0" w:color="7F7F7F" w:themeColor="text1" w:themeTint="80"/>
              <w:left w:val="nil"/>
              <w:bottom w:val="single" w:sz="4" w:space="0" w:color="7F7F7F" w:themeColor="text1" w:themeTint="80"/>
              <w:right w:val="nil"/>
            </w:tcBorders>
            <w:hideMark/>
          </w:tcPr>
          <w:p w14:paraId="0E7EB369" w14:textId="77777777" w:rsidR="0029430D" w:rsidRPr="002A6AC6" w:rsidRDefault="0029430D">
            <w:pPr>
              <w:tabs>
                <w:tab w:val="left" w:pos="1304"/>
              </w:tabs>
              <w:autoSpaceDE w:val="0"/>
              <w:autoSpaceDN w:val="0"/>
              <w:adjustRightInd w:val="0"/>
              <w:jc w:val="center"/>
              <w:rPr>
                <w:sz w:val="22"/>
                <w:szCs w:val="22"/>
              </w:rPr>
            </w:pPr>
            <w:r w:rsidRPr="002A6AC6">
              <w:rPr>
                <w:b/>
                <w:bCs/>
                <w:sz w:val="22"/>
                <w:szCs w:val="22"/>
              </w:rPr>
              <w:t>Dapagliflozin 10 mg</w:t>
            </w:r>
          </w:p>
        </w:tc>
        <w:tc>
          <w:tcPr>
            <w:tcW w:w="981" w:type="pct"/>
            <w:gridSpan w:val="2"/>
            <w:tcBorders>
              <w:top w:val="single" w:sz="4" w:space="0" w:color="7F7F7F" w:themeColor="text1" w:themeTint="80"/>
              <w:left w:val="nil"/>
              <w:bottom w:val="single" w:sz="4" w:space="0" w:color="7F7F7F" w:themeColor="text1" w:themeTint="80"/>
              <w:right w:val="nil"/>
            </w:tcBorders>
            <w:hideMark/>
          </w:tcPr>
          <w:p w14:paraId="2DB57FB0" w14:textId="77777777" w:rsidR="0029430D" w:rsidRPr="002A6AC6" w:rsidRDefault="0029430D">
            <w:pPr>
              <w:jc w:val="center"/>
              <w:rPr>
                <w:sz w:val="22"/>
                <w:szCs w:val="22"/>
              </w:rPr>
            </w:pPr>
            <w:r w:rsidRPr="002A6AC6">
              <w:rPr>
                <w:b/>
                <w:bCs/>
                <w:sz w:val="22"/>
                <w:szCs w:val="22"/>
              </w:rPr>
              <w:t>Placebo</w:t>
            </w:r>
          </w:p>
        </w:tc>
        <w:tc>
          <w:tcPr>
            <w:tcW w:w="981" w:type="pct"/>
            <w:tcBorders>
              <w:top w:val="single" w:sz="4" w:space="0" w:color="7F7F7F" w:themeColor="text1" w:themeTint="80"/>
              <w:left w:val="nil"/>
              <w:bottom w:val="single" w:sz="4" w:space="0" w:color="7F7F7F" w:themeColor="text1" w:themeTint="80"/>
              <w:right w:val="nil"/>
            </w:tcBorders>
            <w:hideMark/>
          </w:tcPr>
          <w:p w14:paraId="26F053C9" w14:textId="77777777" w:rsidR="0029430D" w:rsidRPr="002A6AC6" w:rsidRDefault="0029430D">
            <w:pPr>
              <w:jc w:val="center"/>
              <w:rPr>
                <w:sz w:val="22"/>
                <w:szCs w:val="22"/>
              </w:rPr>
            </w:pPr>
            <w:r w:rsidRPr="002A6AC6">
              <w:rPr>
                <w:b/>
                <w:bCs/>
                <w:sz w:val="22"/>
                <w:szCs w:val="22"/>
              </w:rPr>
              <w:t>Dapagliflozin 10 mg</w:t>
            </w:r>
          </w:p>
        </w:tc>
        <w:tc>
          <w:tcPr>
            <w:tcW w:w="981" w:type="pct"/>
            <w:tcBorders>
              <w:top w:val="single" w:sz="4" w:space="0" w:color="7F7F7F" w:themeColor="text1" w:themeTint="80"/>
              <w:left w:val="nil"/>
              <w:bottom w:val="single" w:sz="4" w:space="0" w:color="7F7F7F" w:themeColor="text1" w:themeTint="80"/>
              <w:right w:val="nil"/>
            </w:tcBorders>
            <w:hideMark/>
          </w:tcPr>
          <w:p w14:paraId="6CCB1F7B" w14:textId="77777777" w:rsidR="0029430D" w:rsidRPr="002A6AC6" w:rsidRDefault="0029430D">
            <w:pPr>
              <w:jc w:val="center"/>
              <w:rPr>
                <w:b/>
                <w:bCs/>
                <w:sz w:val="22"/>
                <w:szCs w:val="22"/>
              </w:rPr>
            </w:pPr>
            <w:r w:rsidRPr="002A6AC6">
              <w:rPr>
                <w:b/>
                <w:bCs/>
                <w:sz w:val="22"/>
                <w:szCs w:val="22"/>
              </w:rPr>
              <w:t>Placebo</w:t>
            </w:r>
          </w:p>
        </w:tc>
      </w:tr>
      <w:tr w:rsidR="0029430D" w:rsidRPr="002A6AC6" w14:paraId="7086A7BE" w14:textId="77777777" w:rsidTr="00312F3E">
        <w:trPr>
          <w:jc w:val="center"/>
        </w:trPr>
        <w:tc>
          <w:tcPr>
            <w:tcW w:w="1073" w:type="pct"/>
            <w:tcBorders>
              <w:left w:val="nil"/>
              <w:right w:val="nil"/>
            </w:tcBorders>
            <w:hideMark/>
          </w:tcPr>
          <w:p w14:paraId="2199EB3B" w14:textId="77777777" w:rsidR="0029430D" w:rsidRPr="002A6AC6" w:rsidRDefault="0029430D">
            <w:pPr>
              <w:rPr>
                <w:sz w:val="22"/>
                <w:szCs w:val="22"/>
              </w:rPr>
            </w:pPr>
            <w:r w:rsidRPr="002A6AC6">
              <w:rPr>
                <w:sz w:val="22"/>
                <w:szCs w:val="22"/>
              </w:rPr>
              <w:t>N</w:t>
            </w:r>
            <w:r w:rsidRPr="002A6AC6">
              <w:rPr>
                <w:sz w:val="22"/>
                <w:szCs w:val="22"/>
                <w:vertAlign w:val="superscript"/>
              </w:rPr>
              <w:t>b</w:t>
            </w:r>
          </w:p>
        </w:tc>
        <w:tc>
          <w:tcPr>
            <w:tcW w:w="981" w:type="pct"/>
            <w:tcBorders>
              <w:left w:val="nil"/>
              <w:right w:val="nil"/>
            </w:tcBorders>
            <w:hideMark/>
          </w:tcPr>
          <w:p w14:paraId="28E209C1" w14:textId="77777777" w:rsidR="0029430D" w:rsidRPr="002A6AC6" w:rsidRDefault="0029430D">
            <w:pPr>
              <w:jc w:val="center"/>
              <w:rPr>
                <w:sz w:val="22"/>
                <w:szCs w:val="22"/>
              </w:rPr>
            </w:pPr>
            <w:r w:rsidRPr="002A6AC6">
              <w:rPr>
                <w:sz w:val="22"/>
                <w:szCs w:val="22"/>
              </w:rPr>
              <w:t>135</w:t>
            </w:r>
          </w:p>
        </w:tc>
        <w:tc>
          <w:tcPr>
            <w:tcW w:w="981" w:type="pct"/>
            <w:gridSpan w:val="2"/>
            <w:tcBorders>
              <w:left w:val="nil"/>
              <w:right w:val="nil"/>
            </w:tcBorders>
            <w:hideMark/>
          </w:tcPr>
          <w:p w14:paraId="029D0A5B" w14:textId="77777777" w:rsidR="0029430D" w:rsidRPr="002A6AC6" w:rsidRDefault="0029430D">
            <w:pPr>
              <w:jc w:val="center"/>
              <w:rPr>
                <w:sz w:val="22"/>
                <w:szCs w:val="22"/>
              </w:rPr>
            </w:pPr>
            <w:r w:rsidRPr="002A6AC6">
              <w:rPr>
                <w:sz w:val="22"/>
                <w:szCs w:val="22"/>
              </w:rPr>
              <w:t>137</w:t>
            </w:r>
          </w:p>
        </w:tc>
        <w:tc>
          <w:tcPr>
            <w:tcW w:w="981" w:type="pct"/>
            <w:tcBorders>
              <w:left w:val="nil"/>
              <w:right w:val="nil"/>
            </w:tcBorders>
            <w:hideMark/>
          </w:tcPr>
          <w:p w14:paraId="5DA30558" w14:textId="77777777" w:rsidR="0029430D" w:rsidRPr="002A6AC6" w:rsidRDefault="0029430D">
            <w:pPr>
              <w:jc w:val="center"/>
              <w:rPr>
                <w:sz w:val="22"/>
                <w:szCs w:val="22"/>
              </w:rPr>
            </w:pPr>
            <w:r w:rsidRPr="002A6AC6">
              <w:rPr>
                <w:sz w:val="22"/>
                <w:szCs w:val="22"/>
              </w:rPr>
              <w:t>223</w:t>
            </w:r>
          </w:p>
        </w:tc>
        <w:tc>
          <w:tcPr>
            <w:tcW w:w="981" w:type="pct"/>
            <w:tcBorders>
              <w:left w:val="nil"/>
              <w:right w:val="nil"/>
            </w:tcBorders>
            <w:hideMark/>
          </w:tcPr>
          <w:p w14:paraId="5210FB54" w14:textId="77777777" w:rsidR="0029430D" w:rsidRPr="002A6AC6" w:rsidRDefault="0029430D">
            <w:pPr>
              <w:jc w:val="center"/>
              <w:rPr>
                <w:sz w:val="22"/>
                <w:szCs w:val="22"/>
              </w:rPr>
            </w:pPr>
            <w:r w:rsidRPr="002A6AC6">
              <w:rPr>
                <w:sz w:val="22"/>
                <w:szCs w:val="22"/>
              </w:rPr>
              <w:t>224</w:t>
            </w:r>
          </w:p>
        </w:tc>
      </w:tr>
      <w:tr w:rsidR="0029430D" w:rsidRPr="002A6AC6" w14:paraId="1E1F33A2" w14:textId="77777777" w:rsidTr="00312F3E">
        <w:trPr>
          <w:jc w:val="center"/>
        </w:trPr>
        <w:tc>
          <w:tcPr>
            <w:tcW w:w="1073" w:type="pct"/>
            <w:tcBorders>
              <w:top w:val="single" w:sz="4" w:space="0" w:color="7F7F7F" w:themeColor="text1" w:themeTint="80"/>
              <w:left w:val="nil"/>
              <w:bottom w:val="single" w:sz="4" w:space="0" w:color="7F7F7F" w:themeColor="text1" w:themeTint="80"/>
              <w:right w:val="nil"/>
            </w:tcBorders>
            <w:hideMark/>
          </w:tcPr>
          <w:p w14:paraId="78DE293E" w14:textId="77777777" w:rsidR="0029430D" w:rsidRPr="006A7320" w:rsidRDefault="0029430D">
            <w:pPr>
              <w:rPr>
                <w:sz w:val="22"/>
                <w:szCs w:val="22"/>
                <w:lang w:val="en-US"/>
              </w:rPr>
            </w:pPr>
            <w:r w:rsidRPr="006A7320">
              <w:rPr>
                <w:sz w:val="22"/>
                <w:szCs w:val="22"/>
                <w:lang w:val="en-US"/>
              </w:rPr>
              <w:t>HbA1c (%)</w:t>
            </w:r>
          </w:p>
          <w:p w14:paraId="7DE12E39" w14:textId="77777777" w:rsidR="0029430D" w:rsidRPr="006A7320" w:rsidRDefault="0029430D">
            <w:pPr>
              <w:rPr>
                <w:b/>
                <w:bCs/>
                <w:sz w:val="22"/>
                <w:szCs w:val="22"/>
                <w:lang w:val="en-US"/>
              </w:rPr>
            </w:pPr>
            <w:r w:rsidRPr="006A7320">
              <w:rPr>
                <w:b/>
                <w:bCs/>
                <w:sz w:val="22"/>
                <w:szCs w:val="22"/>
                <w:lang w:val="en-US"/>
              </w:rPr>
              <w:t>Baseline (mean)</w:t>
            </w:r>
          </w:p>
          <w:p w14:paraId="42B746E7" w14:textId="77777777" w:rsidR="0029430D" w:rsidRPr="006A7320" w:rsidRDefault="0029430D">
            <w:pPr>
              <w:tabs>
                <w:tab w:val="left" w:pos="1304"/>
              </w:tabs>
              <w:ind w:left="179"/>
              <w:rPr>
                <w:b/>
                <w:bCs/>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0C27F20C" w14:textId="77777777" w:rsidR="0029430D" w:rsidRPr="002A6AC6" w:rsidRDefault="0029430D">
            <w:pPr>
              <w:tabs>
                <w:tab w:val="left" w:pos="1304"/>
              </w:tabs>
              <w:ind w:left="179"/>
              <w:rPr>
                <w:b/>
                <w:bCs/>
                <w:sz w:val="22"/>
                <w:szCs w:val="22"/>
              </w:rPr>
            </w:pPr>
            <w:r w:rsidRPr="002A6AC6">
              <w:rPr>
                <w:b/>
                <w:bCs/>
                <w:sz w:val="22"/>
                <w:szCs w:val="22"/>
              </w:rPr>
              <w:t xml:space="preserve">Difference from </w:t>
            </w:r>
            <w:proofErr w:type="spellStart"/>
            <w:r w:rsidRPr="002A6AC6">
              <w:rPr>
                <w:b/>
                <w:bCs/>
                <w:sz w:val="22"/>
                <w:szCs w:val="22"/>
              </w:rPr>
              <w:t>placebo</w:t>
            </w:r>
            <w:r w:rsidRPr="002A6AC6">
              <w:rPr>
                <w:b/>
                <w:bCs/>
                <w:sz w:val="22"/>
                <w:szCs w:val="22"/>
                <w:vertAlign w:val="superscript"/>
              </w:rPr>
              <w:t>c</w:t>
            </w:r>
            <w:proofErr w:type="spellEnd"/>
          </w:p>
          <w:p w14:paraId="737D7FF0" w14:textId="77777777" w:rsidR="0029430D" w:rsidRPr="002A6AC6" w:rsidRDefault="0029430D">
            <w:pPr>
              <w:tabs>
                <w:tab w:val="left" w:pos="1304"/>
              </w:tabs>
              <w:ind w:left="179"/>
              <w:rPr>
                <w:sz w:val="22"/>
                <w:szCs w:val="22"/>
              </w:rPr>
            </w:pPr>
            <w:r w:rsidRPr="002A6AC6">
              <w:rPr>
                <w:b/>
                <w:bCs/>
                <w:sz w:val="22"/>
                <w:szCs w:val="22"/>
              </w:rPr>
              <w:t>(95% CI)</w:t>
            </w:r>
          </w:p>
        </w:tc>
        <w:tc>
          <w:tcPr>
            <w:tcW w:w="981" w:type="pct"/>
            <w:tcBorders>
              <w:top w:val="single" w:sz="4" w:space="0" w:color="7F7F7F" w:themeColor="text1" w:themeTint="80"/>
              <w:left w:val="nil"/>
              <w:bottom w:val="single" w:sz="4" w:space="0" w:color="7F7F7F" w:themeColor="text1" w:themeTint="80"/>
              <w:right w:val="nil"/>
            </w:tcBorders>
          </w:tcPr>
          <w:p w14:paraId="30A20244" w14:textId="77777777" w:rsidR="0029430D" w:rsidRPr="002A6AC6" w:rsidRDefault="0029430D">
            <w:pPr>
              <w:jc w:val="center"/>
              <w:rPr>
                <w:sz w:val="22"/>
                <w:szCs w:val="22"/>
              </w:rPr>
            </w:pPr>
          </w:p>
          <w:p w14:paraId="523DA9B8" w14:textId="77777777" w:rsidR="0029430D" w:rsidRPr="002A6AC6" w:rsidRDefault="0029430D">
            <w:pPr>
              <w:jc w:val="center"/>
              <w:rPr>
                <w:sz w:val="22"/>
                <w:szCs w:val="22"/>
              </w:rPr>
            </w:pPr>
            <w:r w:rsidRPr="002A6AC6">
              <w:rPr>
                <w:sz w:val="22"/>
                <w:szCs w:val="22"/>
              </w:rPr>
              <w:t>7.92</w:t>
            </w:r>
          </w:p>
          <w:p w14:paraId="22A4C878" w14:textId="77777777" w:rsidR="0029430D" w:rsidRPr="002A6AC6" w:rsidRDefault="0029430D">
            <w:pPr>
              <w:jc w:val="center"/>
              <w:rPr>
                <w:sz w:val="22"/>
                <w:szCs w:val="22"/>
              </w:rPr>
            </w:pPr>
          </w:p>
          <w:p w14:paraId="26AB6828" w14:textId="77777777" w:rsidR="0029430D" w:rsidRPr="002A6AC6" w:rsidRDefault="0029430D">
            <w:pPr>
              <w:jc w:val="center"/>
              <w:rPr>
                <w:sz w:val="22"/>
                <w:szCs w:val="22"/>
              </w:rPr>
            </w:pPr>
            <w:r w:rsidRPr="002A6AC6">
              <w:rPr>
                <w:sz w:val="22"/>
                <w:szCs w:val="22"/>
              </w:rPr>
              <w:t>-0.84</w:t>
            </w:r>
          </w:p>
          <w:p w14:paraId="18C781BA" w14:textId="77777777" w:rsidR="0029430D" w:rsidRPr="002A6AC6" w:rsidRDefault="0029430D">
            <w:pPr>
              <w:jc w:val="center"/>
              <w:rPr>
                <w:sz w:val="22"/>
                <w:szCs w:val="22"/>
              </w:rPr>
            </w:pPr>
          </w:p>
          <w:p w14:paraId="38C88314" w14:textId="77777777" w:rsidR="0029430D" w:rsidRPr="002A6AC6" w:rsidRDefault="0029430D">
            <w:pPr>
              <w:jc w:val="center"/>
              <w:rPr>
                <w:sz w:val="22"/>
                <w:szCs w:val="22"/>
              </w:rPr>
            </w:pPr>
            <w:r w:rsidRPr="002A6AC6">
              <w:rPr>
                <w:sz w:val="22"/>
                <w:szCs w:val="22"/>
              </w:rPr>
              <w:t>-0.54*</w:t>
            </w:r>
          </w:p>
          <w:p w14:paraId="7F596D2E" w14:textId="77777777" w:rsidR="0029430D" w:rsidRPr="002A6AC6" w:rsidRDefault="0029430D">
            <w:pPr>
              <w:jc w:val="center"/>
              <w:rPr>
                <w:sz w:val="22"/>
                <w:szCs w:val="22"/>
              </w:rPr>
            </w:pPr>
            <w:r w:rsidRPr="002A6AC6">
              <w:rPr>
                <w:sz w:val="22"/>
                <w:szCs w:val="22"/>
              </w:rPr>
              <w:t>(-0.74, -0.34)</w:t>
            </w:r>
          </w:p>
        </w:tc>
        <w:tc>
          <w:tcPr>
            <w:tcW w:w="981" w:type="pct"/>
            <w:gridSpan w:val="2"/>
            <w:tcBorders>
              <w:top w:val="single" w:sz="4" w:space="0" w:color="7F7F7F" w:themeColor="text1" w:themeTint="80"/>
              <w:left w:val="nil"/>
              <w:bottom w:val="single" w:sz="4" w:space="0" w:color="7F7F7F" w:themeColor="text1" w:themeTint="80"/>
              <w:right w:val="nil"/>
            </w:tcBorders>
          </w:tcPr>
          <w:p w14:paraId="24BE7287" w14:textId="77777777" w:rsidR="0029430D" w:rsidRPr="002A6AC6" w:rsidRDefault="0029430D">
            <w:pPr>
              <w:jc w:val="center"/>
              <w:rPr>
                <w:sz w:val="22"/>
                <w:szCs w:val="22"/>
              </w:rPr>
            </w:pPr>
          </w:p>
          <w:p w14:paraId="393C5F6A" w14:textId="77777777" w:rsidR="0029430D" w:rsidRPr="002A6AC6" w:rsidRDefault="0029430D">
            <w:pPr>
              <w:jc w:val="center"/>
              <w:rPr>
                <w:sz w:val="22"/>
                <w:szCs w:val="22"/>
              </w:rPr>
            </w:pPr>
            <w:r w:rsidRPr="002A6AC6">
              <w:rPr>
                <w:sz w:val="22"/>
                <w:szCs w:val="22"/>
              </w:rPr>
              <w:t>8.11</w:t>
            </w:r>
          </w:p>
          <w:p w14:paraId="5C252C17" w14:textId="77777777" w:rsidR="0029430D" w:rsidRPr="002A6AC6" w:rsidRDefault="0029430D">
            <w:pPr>
              <w:jc w:val="center"/>
              <w:rPr>
                <w:sz w:val="22"/>
                <w:szCs w:val="22"/>
              </w:rPr>
            </w:pPr>
            <w:r w:rsidRPr="002A6AC6">
              <w:rPr>
                <w:sz w:val="22"/>
                <w:szCs w:val="22"/>
              </w:rPr>
              <w:t>-0.30</w:t>
            </w:r>
          </w:p>
        </w:tc>
        <w:tc>
          <w:tcPr>
            <w:tcW w:w="981" w:type="pct"/>
            <w:tcBorders>
              <w:top w:val="single" w:sz="4" w:space="0" w:color="7F7F7F" w:themeColor="text1" w:themeTint="80"/>
              <w:left w:val="nil"/>
              <w:bottom w:val="single" w:sz="4" w:space="0" w:color="7F7F7F" w:themeColor="text1" w:themeTint="80"/>
              <w:right w:val="nil"/>
            </w:tcBorders>
          </w:tcPr>
          <w:p w14:paraId="19194C3E" w14:textId="77777777" w:rsidR="0029430D" w:rsidRPr="002A6AC6" w:rsidRDefault="0029430D">
            <w:pPr>
              <w:jc w:val="center"/>
              <w:rPr>
                <w:sz w:val="22"/>
                <w:szCs w:val="22"/>
              </w:rPr>
            </w:pPr>
          </w:p>
          <w:p w14:paraId="7A8EB0D9" w14:textId="77777777" w:rsidR="0029430D" w:rsidRPr="002A6AC6" w:rsidRDefault="0029430D">
            <w:pPr>
              <w:jc w:val="center"/>
              <w:rPr>
                <w:sz w:val="22"/>
                <w:szCs w:val="22"/>
              </w:rPr>
            </w:pPr>
            <w:r w:rsidRPr="002A6AC6">
              <w:rPr>
                <w:sz w:val="22"/>
                <w:szCs w:val="22"/>
              </w:rPr>
              <w:t>7.90</w:t>
            </w:r>
          </w:p>
          <w:p w14:paraId="4F237C3A" w14:textId="77777777" w:rsidR="0029430D" w:rsidRPr="002A6AC6" w:rsidRDefault="0029430D">
            <w:pPr>
              <w:jc w:val="center"/>
              <w:rPr>
                <w:sz w:val="22"/>
                <w:szCs w:val="22"/>
              </w:rPr>
            </w:pPr>
          </w:p>
          <w:p w14:paraId="1F619F9A" w14:textId="77777777" w:rsidR="0029430D" w:rsidRPr="002A6AC6" w:rsidRDefault="0029430D">
            <w:pPr>
              <w:jc w:val="center"/>
              <w:rPr>
                <w:sz w:val="22"/>
                <w:szCs w:val="22"/>
              </w:rPr>
            </w:pPr>
            <w:r w:rsidRPr="002A6AC6">
              <w:rPr>
                <w:sz w:val="22"/>
                <w:szCs w:val="22"/>
              </w:rPr>
              <w:t>-0.45</w:t>
            </w:r>
          </w:p>
          <w:p w14:paraId="7F34AB50" w14:textId="77777777" w:rsidR="0029430D" w:rsidRPr="002A6AC6" w:rsidRDefault="0029430D">
            <w:pPr>
              <w:jc w:val="center"/>
              <w:rPr>
                <w:sz w:val="22"/>
                <w:szCs w:val="22"/>
              </w:rPr>
            </w:pPr>
          </w:p>
          <w:p w14:paraId="229D0A22" w14:textId="77777777" w:rsidR="0029430D" w:rsidRPr="002A6AC6" w:rsidRDefault="0029430D">
            <w:pPr>
              <w:jc w:val="center"/>
              <w:rPr>
                <w:sz w:val="22"/>
                <w:szCs w:val="22"/>
              </w:rPr>
            </w:pPr>
            <w:r w:rsidRPr="002A6AC6">
              <w:rPr>
                <w:sz w:val="22"/>
                <w:szCs w:val="22"/>
              </w:rPr>
              <w:t>-0.48*</w:t>
            </w:r>
          </w:p>
          <w:p w14:paraId="7D9A8DBE" w14:textId="77777777" w:rsidR="0029430D" w:rsidRPr="002A6AC6" w:rsidRDefault="0029430D">
            <w:pPr>
              <w:jc w:val="center"/>
              <w:rPr>
                <w:sz w:val="22"/>
                <w:szCs w:val="22"/>
              </w:rPr>
            </w:pPr>
            <w:r w:rsidRPr="002A6AC6">
              <w:rPr>
                <w:sz w:val="22"/>
                <w:szCs w:val="22"/>
              </w:rPr>
              <w:t>(-0.62, -0.34)</w:t>
            </w:r>
          </w:p>
        </w:tc>
        <w:tc>
          <w:tcPr>
            <w:tcW w:w="981" w:type="pct"/>
            <w:tcBorders>
              <w:top w:val="single" w:sz="4" w:space="0" w:color="7F7F7F" w:themeColor="text1" w:themeTint="80"/>
              <w:left w:val="nil"/>
              <w:bottom w:val="single" w:sz="4" w:space="0" w:color="7F7F7F" w:themeColor="text1" w:themeTint="80"/>
              <w:right w:val="nil"/>
            </w:tcBorders>
          </w:tcPr>
          <w:p w14:paraId="2D3CB899" w14:textId="77777777" w:rsidR="0029430D" w:rsidRPr="002A6AC6" w:rsidRDefault="0029430D">
            <w:pPr>
              <w:jc w:val="center"/>
              <w:rPr>
                <w:sz w:val="22"/>
                <w:szCs w:val="22"/>
              </w:rPr>
            </w:pPr>
          </w:p>
          <w:p w14:paraId="0D8281C1" w14:textId="77777777" w:rsidR="0029430D" w:rsidRPr="002A6AC6" w:rsidRDefault="0029430D">
            <w:pPr>
              <w:jc w:val="center"/>
              <w:rPr>
                <w:sz w:val="22"/>
                <w:szCs w:val="22"/>
              </w:rPr>
            </w:pPr>
            <w:r w:rsidRPr="002A6AC6">
              <w:rPr>
                <w:sz w:val="22"/>
                <w:szCs w:val="22"/>
              </w:rPr>
              <w:t>7.97</w:t>
            </w:r>
          </w:p>
          <w:p w14:paraId="62B8771E" w14:textId="77777777" w:rsidR="0029430D" w:rsidRPr="002A6AC6" w:rsidRDefault="0029430D">
            <w:pPr>
              <w:jc w:val="center"/>
              <w:rPr>
                <w:sz w:val="22"/>
                <w:szCs w:val="22"/>
              </w:rPr>
            </w:pPr>
          </w:p>
          <w:p w14:paraId="59BEA7F8" w14:textId="77777777" w:rsidR="0029430D" w:rsidRPr="002A6AC6" w:rsidRDefault="0029430D">
            <w:pPr>
              <w:jc w:val="center"/>
              <w:rPr>
                <w:sz w:val="22"/>
                <w:szCs w:val="22"/>
              </w:rPr>
            </w:pPr>
            <w:r w:rsidRPr="002A6AC6">
              <w:rPr>
                <w:sz w:val="22"/>
                <w:szCs w:val="22"/>
              </w:rPr>
              <w:t>0.04</w:t>
            </w:r>
          </w:p>
          <w:p w14:paraId="023EA86B" w14:textId="77777777" w:rsidR="0029430D" w:rsidRPr="002A6AC6" w:rsidRDefault="0029430D">
            <w:pPr>
              <w:jc w:val="center"/>
              <w:rPr>
                <w:sz w:val="22"/>
                <w:szCs w:val="22"/>
              </w:rPr>
            </w:pPr>
          </w:p>
          <w:p w14:paraId="38CFC3C0" w14:textId="77777777" w:rsidR="0029430D" w:rsidRPr="002A6AC6" w:rsidRDefault="0029430D">
            <w:pPr>
              <w:jc w:val="center"/>
              <w:rPr>
                <w:sz w:val="22"/>
                <w:szCs w:val="22"/>
              </w:rPr>
            </w:pPr>
          </w:p>
          <w:p w14:paraId="15955D0B" w14:textId="77777777" w:rsidR="0029430D" w:rsidRPr="002A6AC6" w:rsidRDefault="0029430D">
            <w:pPr>
              <w:jc w:val="center"/>
              <w:rPr>
                <w:sz w:val="22"/>
                <w:szCs w:val="22"/>
              </w:rPr>
            </w:pPr>
          </w:p>
        </w:tc>
      </w:tr>
      <w:tr w:rsidR="0029430D" w:rsidRPr="002A6AC6" w14:paraId="2B7E8A51" w14:textId="77777777" w:rsidTr="00312F3E">
        <w:trPr>
          <w:jc w:val="center"/>
        </w:trPr>
        <w:tc>
          <w:tcPr>
            <w:tcW w:w="1073" w:type="pct"/>
            <w:tcBorders>
              <w:left w:val="nil"/>
              <w:right w:val="nil"/>
            </w:tcBorders>
            <w:hideMark/>
          </w:tcPr>
          <w:p w14:paraId="2E0C9004" w14:textId="77777777" w:rsidR="0029430D" w:rsidRPr="006A7320" w:rsidRDefault="0029430D">
            <w:pPr>
              <w:rPr>
                <w:sz w:val="22"/>
                <w:szCs w:val="22"/>
                <w:lang w:val="en-US"/>
              </w:rPr>
            </w:pPr>
            <w:r w:rsidRPr="006A7320">
              <w:rPr>
                <w:sz w:val="22"/>
                <w:szCs w:val="22"/>
                <w:lang w:val="en-US"/>
              </w:rPr>
              <w:t>Subjects (%) achieving:</w:t>
            </w:r>
          </w:p>
          <w:p w14:paraId="32FDABD7" w14:textId="77777777" w:rsidR="0029430D" w:rsidRPr="006A7320" w:rsidRDefault="0029430D">
            <w:pPr>
              <w:rPr>
                <w:sz w:val="22"/>
                <w:szCs w:val="22"/>
                <w:lang w:val="en-US"/>
              </w:rPr>
            </w:pPr>
            <w:r w:rsidRPr="006A7320">
              <w:rPr>
                <w:sz w:val="22"/>
                <w:szCs w:val="22"/>
                <w:lang w:val="en-US"/>
              </w:rPr>
              <w:t>HbA1c &lt; 7%</w:t>
            </w:r>
          </w:p>
          <w:p w14:paraId="48B62E66" w14:textId="77777777" w:rsidR="0029430D" w:rsidRPr="006A7320" w:rsidRDefault="0029430D">
            <w:pPr>
              <w:ind w:left="179"/>
              <w:rPr>
                <w:b/>
                <w:bCs/>
                <w:sz w:val="22"/>
                <w:szCs w:val="22"/>
                <w:lang w:val="en-US"/>
              </w:rPr>
            </w:pPr>
            <w:r w:rsidRPr="006A7320">
              <w:rPr>
                <w:b/>
                <w:bCs/>
                <w:sz w:val="22"/>
                <w:szCs w:val="22"/>
                <w:lang w:val="en-US"/>
              </w:rPr>
              <w:t>Adjusted for baseline</w:t>
            </w:r>
          </w:p>
        </w:tc>
        <w:tc>
          <w:tcPr>
            <w:tcW w:w="981" w:type="pct"/>
            <w:tcBorders>
              <w:left w:val="nil"/>
              <w:right w:val="nil"/>
            </w:tcBorders>
          </w:tcPr>
          <w:p w14:paraId="101EC9FC" w14:textId="77777777" w:rsidR="0029430D" w:rsidRPr="006A7320" w:rsidRDefault="0029430D">
            <w:pPr>
              <w:jc w:val="center"/>
              <w:rPr>
                <w:sz w:val="22"/>
                <w:szCs w:val="22"/>
                <w:lang w:val="en-US"/>
              </w:rPr>
            </w:pPr>
          </w:p>
          <w:p w14:paraId="0837949A" w14:textId="77777777" w:rsidR="0029430D" w:rsidRPr="006A7320" w:rsidRDefault="0029430D">
            <w:pPr>
              <w:jc w:val="center"/>
              <w:rPr>
                <w:sz w:val="22"/>
                <w:szCs w:val="22"/>
                <w:lang w:val="en-US"/>
              </w:rPr>
            </w:pPr>
          </w:p>
          <w:p w14:paraId="574C996E" w14:textId="77777777" w:rsidR="0029430D" w:rsidRPr="006A7320" w:rsidRDefault="0029430D">
            <w:pPr>
              <w:jc w:val="center"/>
              <w:rPr>
                <w:sz w:val="22"/>
                <w:szCs w:val="22"/>
                <w:lang w:val="en-US"/>
              </w:rPr>
            </w:pPr>
          </w:p>
          <w:p w14:paraId="30A707B9" w14:textId="77777777" w:rsidR="0029430D" w:rsidRPr="006A7320" w:rsidRDefault="0029430D">
            <w:pPr>
              <w:jc w:val="center"/>
              <w:rPr>
                <w:sz w:val="22"/>
                <w:szCs w:val="22"/>
                <w:lang w:val="en-US"/>
              </w:rPr>
            </w:pPr>
          </w:p>
          <w:p w14:paraId="12E01A3A" w14:textId="77777777" w:rsidR="0029430D" w:rsidRPr="002A6AC6" w:rsidRDefault="0029430D">
            <w:pPr>
              <w:jc w:val="center"/>
              <w:rPr>
                <w:sz w:val="22"/>
                <w:szCs w:val="22"/>
              </w:rPr>
            </w:pPr>
            <w:r w:rsidRPr="002A6AC6">
              <w:rPr>
                <w:sz w:val="22"/>
                <w:szCs w:val="22"/>
              </w:rPr>
              <w:t>40.6</w:t>
            </w:r>
            <w:r w:rsidRPr="002A6AC6">
              <w:rPr>
                <w:sz w:val="22"/>
                <w:szCs w:val="22"/>
                <w:vertAlign w:val="superscript"/>
              </w:rPr>
              <w:t>**</w:t>
            </w:r>
          </w:p>
        </w:tc>
        <w:tc>
          <w:tcPr>
            <w:tcW w:w="981" w:type="pct"/>
            <w:gridSpan w:val="2"/>
            <w:tcBorders>
              <w:left w:val="nil"/>
              <w:right w:val="nil"/>
            </w:tcBorders>
          </w:tcPr>
          <w:p w14:paraId="3A5AEAA1" w14:textId="77777777" w:rsidR="0029430D" w:rsidRPr="002A6AC6" w:rsidRDefault="0029430D">
            <w:pPr>
              <w:jc w:val="center"/>
              <w:rPr>
                <w:sz w:val="22"/>
                <w:szCs w:val="22"/>
              </w:rPr>
            </w:pPr>
          </w:p>
          <w:p w14:paraId="4CE7E7DF" w14:textId="77777777" w:rsidR="0029430D" w:rsidRPr="002A6AC6" w:rsidRDefault="0029430D">
            <w:pPr>
              <w:jc w:val="center"/>
              <w:rPr>
                <w:sz w:val="22"/>
                <w:szCs w:val="22"/>
              </w:rPr>
            </w:pPr>
          </w:p>
          <w:p w14:paraId="77B7377E" w14:textId="77777777" w:rsidR="0029430D" w:rsidRPr="002A6AC6" w:rsidRDefault="0029430D">
            <w:pPr>
              <w:jc w:val="center"/>
              <w:rPr>
                <w:sz w:val="22"/>
                <w:szCs w:val="22"/>
              </w:rPr>
            </w:pPr>
          </w:p>
          <w:p w14:paraId="4AD8C2AD" w14:textId="77777777" w:rsidR="0029430D" w:rsidRPr="002A6AC6" w:rsidRDefault="0029430D">
            <w:pPr>
              <w:jc w:val="center"/>
              <w:rPr>
                <w:sz w:val="22"/>
                <w:szCs w:val="22"/>
              </w:rPr>
            </w:pPr>
          </w:p>
          <w:p w14:paraId="78B141E2" w14:textId="77777777" w:rsidR="0029430D" w:rsidRPr="002A6AC6" w:rsidRDefault="0029430D">
            <w:pPr>
              <w:jc w:val="center"/>
              <w:rPr>
                <w:sz w:val="22"/>
                <w:szCs w:val="22"/>
              </w:rPr>
            </w:pPr>
            <w:r w:rsidRPr="002A6AC6">
              <w:rPr>
                <w:sz w:val="22"/>
                <w:szCs w:val="22"/>
              </w:rPr>
              <w:t>25.9</w:t>
            </w:r>
          </w:p>
        </w:tc>
        <w:tc>
          <w:tcPr>
            <w:tcW w:w="981" w:type="pct"/>
            <w:tcBorders>
              <w:left w:val="nil"/>
              <w:right w:val="nil"/>
            </w:tcBorders>
          </w:tcPr>
          <w:p w14:paraId="43396F8A" w14:textId="77777777" w:rsidR="0029430D" w:rsidRPr="002A6AC6" w:rsidRDefault="0029430D">
            <w:pPr>
              <w:jc w:val="center"/>
              <w:rPr>
                <w:sz w:val="22"/>
                <w:szCs w:val="22"/>
              </w:rPr>
            </w:pPr>
          </w:p>
          <w:p w14:paraId="0D78E577" w14:textId="77777777" w:rsidR="0029430D" w:rsidRPr="002A6AC6" w:rsidRDefault="0029430D">
            <w:pPr>
              <w:jc w:val="center"/>
              <w:rPr>
                <w:sz w:val="22"/>
                <w:szCs w:val="22"/>
              </w:rPr>
            </w:pPr>
          </w:p>
          <w:p w14:paraId="7207C205" w14:textId="77777777" w:rsidR="0029430D" w:rsidRPr="002A6AC6" w:rsidRDefault="0029430D">
            <w:pPr>
              <w:jc w:val="center"/>
              <w:rPr>
                <w:sz w:val="22"/>
                <w:szCs w:val="22"/>
              </w:rPr>
            </w:pPr>
          </w:p>
          <w:p w14:paraId="2EAB3812" w14:textId="77777777" w:rsidR="0029430D" w:rsidRPr="002A6AC6" w:rsidRDefault="0029430D">
            <w:pPr>
              <w:jc w:val="center"/>
              <w:rPr>
                <w:sz w:val="22"/>
                <w:szCs w:val="22"/>
              </w:rPr>
            </w:pPr>
          </w:p>
          <w:p w14:paraId="7992E6EC" w14:textId="77777777" w:rsidR="0029430D" w:rsidRPr="002A6AC6" w:rsidRDefault="0029430D">
            <w:pPr>
              <w:jc w:val="center"/>
              <w:rPr>
                <w:sz w:val="22"/>
                <w:szCs w:val="22"/>
              </w:rPr>
            </w:pPr>
          </w:p>
        </w:tc>
        <w:tc>
          <w:tcPr>
            <w:tcW w:w="981" w:type="pct"/>
            <w:tcBorders>
              <w:left w:val="nil"/>
              <w:right w:val="nil"/>
            </w:tcBorders>
          </w:tcPr>
          <w:p w14:paraId="13B1EA84" w14:textId="77777777" w:rsidR="0029430D" w:rsidRPr="002A6AC6" w:rsidRDefault="0029430D">
            <w:pPr>
              <w:jc w:val="center"/>
              <w:rPr>
                <w:sz w:val="22"/>
                <w:szCs w:val="22"/>
              </w:rPr>
            </w:pPr>
          </w:p>
        </w:tc>
      </w:tr>
      <w:tr w:rsidR="0029430D" w:rsidRPr="002A6AC6" w14:paraId="455C8BDE" w14:textId="77777777" w:rsidTr="00312F3E">
        <w:trPr>
          <w:jc w:val="center"/>
        </w:trPr>
        <w:tc>
          <w:tcPr>
            <w:tcW w:w="1073" w:type="pct"/>
            <w:tcBorders>
              <w:top w:val="single" w:sz="4" w:space="0" w:color="7F7F7F" w:themeColor="text1" w:themeTint="80"/>
              <w:left w:val="nil"/>
              <w:bottom w:val="single" w:sz="18" w:space="0" w:color="auto"/>
              <w:right w:val="nil"/>
            </w:tcBorders>
            <w:hideMark/>
          </w:tcPr>
          <w:p w14:paraId="308D2064" w14:textId="77777777" w:rsidR="0029430D" w:rsidRPr="006A7320" w:rsidRDefault="0029430D">
            <w:pPr>
              <w:rPr>
                <w:sz w:val="22"/>
                <w:szCs w:val="22"/>
                <w:lang w:val="en-US"/>
              </w:rPr>
            </w:pPr>
            <w:r w:rsidRPr="006A7320">
              <w:rPr>
                <w:sz w:val="22"/>
                <w:szCs w:val="22"/>
                <w:lang w:val="en-US"/>
              </w:rPr>
              <w:t>Body weight (kg)</w:t>
            </w:r>
          </w:p>
          <w:p w14:paraId="31206370" w14:textId="77777777" w:rsidR="0029430D" w:rsidRPr="006A7320" w:rsidRDefault="0029430D">
            <w:pPr>
              <w:ind w:left="179"/>
              <w:rPr>
                <w:b/>
                <w:bCs/>
                <w:sz w:val="22"/>
                <w:szCs w:val="22"/>
                <w:lang w:val="en-US"/>
              </w:rPr>
            </w:pPr>
            <w:r w:rsidRPr="006A7320">
              <w:rPr>
                <w:b/>
                <w:bCs/>
                <w:sz w:val="22"/>
                <w:szCs w:val="22"/>
                <w:lang w:val="en-US"/>
              </w:rPr>
              <w:t>Baseline (mean)</w:t>
            </w:r>
          </w:p>
          <w:p w14:paraId="429381A0" w14:textId="77777777" w:rsidR="0029430D" w:rsidRPr="006A7320" w:rsidRDefault="0029430D">
            <w:pPr>
              <w:ind w:left="179"/>
              <w:rPr>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2FE0AAF9" w14:textId="77777777" w:rsidR="0029430D" w:rsidRPr="006A7320" w:rsidRDefault="0029430D">
            <w:pPr>
              <w:ind w:left="179"/>
              <w:rPr>
                <w:b/>
                <w:bCs/>
                <w:sz w:val="22"/>
                <w:szCs w:val="22"/>
                <w:lang w:val="en-US"/>
              </w:rPr>
            </w:pPr>
            <w:r w:rsidRPr="006A7320">
              <w:rPr>
                <w:b/>
                <w:bCs/>
                <w:sz w:val="22"/>
                <w:szCs w:val="22"/>
                <w:lang w:val="en-US"/>
              </w:rPr>
              <w:t xml:space="preserve">Difference from </w:t>
            </w:r>
            <w:proofErr w:type="spellStart"/>
            <w:r w:rsidRPr="006A7320">
              <w:rPr>
                <w:b/>
                <w:bCs/>
                <w:sz w:val="22"/>
                <w:szCs w:val="22"/>
                <w:lang w:val="en-US"/>
              </w:rPr>
              <w:t>placebo</w:t>
            </w:r>
            <w:r w:rsidRPr="006A7320">
              <w:rPr>
                <w:b/>
                <w:bCs/>
                <w:sz w:val="22"/>
                <w:szCs w:val="22"/>
                <w:vertAlign w:val="superscript"/>
                <w:lang w:val="en-US"/>
              </w:rPr>
              <w:t>c</w:t>
            </w:r>
            <w:proofErr w:type="spellEnd"/>
          </w:p>
          <w:p w14:paraId="590BCFBF" w14:textId="77777777" w:rsidR="0029430D" w:rsidRPr="002A6AC6" w:rsidRDefault="0029430D">
            <w:pPr>
              <w:ind w:left="462"/>
              <w:rPr>
                <w:sz w:val="22"/>
                <w:szCs w:val="22"/>
              </w:rPr>
            </w:pPr>
            <w:r w:rsidRPr="002A6AC6">
              <w:rPr>
                <w:b/>
                <w:bCs/>
                <w:sz w:val="22"/>
                <w:szCs w:val="22"/>
              </w:rPr>
              <w:t>(95% CI)</w:t>
            </w:r>
          </w:p>
        </w:tc>
        <w:tc>
          <w:tcPr>
            <w:tcW w:w="981" w:type="pct"/>
            <w:tcBorders>
              <w:top w:val="single" w:sz="4" w:space="0" w:color="7F7F7F" w:themeColor="text1" w:themeTint="80"/>
              <w:left w:val="nil"/>
              <w:bottom w:val="single" w:sz="18" w:space="0" w:color="auto"/>
              <w:right w:val="nil"/>
            </w:tcBorders>
          </w:tcPr>
          <w:p w14:paraId="352DC28E" w14:textId="77777777" w:rsidR="0029430D" w:rsidRPr="002A6AC6" w:rsidRDefault="0029430D">
            <w:pPr>
              <w:jc w:val="center"/>
              <w:rPr>
                <w:sz w:val="22"/>
                <w:szCs w:val="22"/>
              </w:rPr>
            </w:pPr>
          </w:p>
          <w:p w14:paraId="378D9834" w14:textId="77777777" w:rsidR="0029430D" w:rsidRPr="002A6AC6" w:rsidRDefault="0029430D">
            <w:pPr>
              <w:jc w:val="center"/>
              <w:rPr>
                <w:sz w:val="22"/>
                <w:szCs w:val="22"/>
              </w:rPr>
            </w:pPr>
            <w:r w:rsidRPr="002A6AC6">
              <w:rPr>
                <w:sz w:val="22"/>
                <w:szCs w:val="22"/>
              </w:rPr>
              <w:t>86.28</w:t>
            </w:r>
          </w:p>
          <w:p w14:paraId="4E14DBD4" w14:textId="77777777" w:rsidR="0029430D" w:rsidRPr="002A6AC6" w:rsidRDefault="0029430D">
            <w:pPr>
              <w:jc w:val="center"/>
              <w:rPr>
                <w:sz w:val="22"/>
                <w:szCs w:val="22"/>
              </w:rPr>
            </w:pPr>
          </w:p>
          <w:p w14:paraId="11424529" w14:textId="77777777" w:rsidR="0029430D" w:rsidRPr="002A6AC6" w:rsidRDefault="0029430D">
            <w:pPr>
              <w:jc w:val="center"/>
              <w:rPr>
                <w:sz w:val="22"/>
                <w:szCs w:val="22"/>
              </w:rPr>
            </w:pPr>
            <w:r w:rsidRPr="002A6AC6">
              <w:rPr>
                <w:sz w:val="22"/>
                <w:szCs w:val="22"/>
              </w:rPr>
              <w:t>-2.86</w:t>
            </w:r>
          </w:p>
          <w:p w14:paraId="3663F403" w14:textId="77777777" w:rsidR="0029430D" w:rsidRPr="002A6AC6" w:rsidRDefault="0029430D">
            <w:pPr>
              <w:jc w:val="center"/>
              <w:rPr>
                <w:sz w:val="22"/>
                <w:szCs w:val="22"/>
              </w:rPr>
            </w:pPr>
          </w:p>
          <w:p w14:paraId="3394E0D2" w14:textId="77777777" w:rsidR="0029430D" w:rsidRPr="002A6AC6" w:rsidRDefault="0029430D">
            <w:pPr>
              <w:jc w:val="center"/>
              <w:rPr>
                <w:sz w:val="22"/>
                <w:szCs w:val="22"/>
              </w:rPr>
            </w:pPr>
            <w:r w:rsidRPr="002A6AC6">
              <w:rPr>
                <w:sz w:val="22"/>
                <w:szCs w:val="22"/>
              </w:rPr>
              <w:t>-1.97*</w:t>
            </w:r>
          </w:p>
          <w:p w14:paraId="7181A7EF" w14:textId="77777777" w:rsidR="0029430D" w:rsidRPr="002A6AC6" w:rsidRDefault="0029430D">
            <w:pPr>
              <w:jc w:val="center"/>
              <w:rPr>
                <w:sz w:val="22"/>
                <w:szCs w:val="22"/>
              </w:rPr>
            </w:pPr>
            <w:r w:rsidRPr="002A6AC6">
              <w:rPr>
                <w:sz w:val="22"/>
                <w:szCs w:val="22"/>
              </w:rPr>
              <w:t>(-2.63, -1.31)</w:t>
            </w:r>
          </w:p>
        </w:tc>
        <w:tc>
          <w:tcPr>
            <w:tcW w:w="981" w:type="pct"/>
            <w:gridSpan w:val="2"/>
            <w:tcBorders>
              <w:top w:val="single" w:sz="4" w:space="0" w:color="7F7F7F" w:themeColor="text1" w:themeTint="80"/>
              <w:left w:val="nil"/>
              <w:bottom w:val="single" w:sz="18" w:space="0" w:color="auto"/>
              <w:right w:val="nil"/>
            </w:tcBorders>
          </w:tcPr>
          <w:p w14:paraId="16147F40" w14:textId="77777777" w:rsidR="0029430D" w:rsidRPr="002A6AC6" w:rsidRDefault="0029430D">
            <w:pPr>
              <w:jc w:val="center"/>
              <w:rPr>
                <w:sz w:val="22"/>
                <w:szCs w:val="22"/>
              </w:rPr>
            </w:pPr>
          </w:p>
          <w:p w14:paraId="2B6284CE" w14:textId="77777777" w:rsidR="0029430D" w:rsidRPr="002A6AC6" w:rsidRDefault="0029430D">
            <w:pPr>
              <w:jc w:val="center"/>
              <w:rPr>
                <w:sz w:val="22"/>
                <w:szCs w:val="22"/>
              </w:rPr>
            </w:pPr>
            <w:r w:rsidRPr="002A6AC6">
              <w:rPr>
                <w:sz w:val="22"/>
                <w:szCs w:val="22"/>
              </w:rPr>
              <w:t>87.74</w:t>
            </w:r>
          </w:p>
          <w:p w14:paraId="7D8DA268" w14:textId="77777777" w:rsidR="0029430D" w:rsidRPr="002A6AC6" w:rsidRDefault="0029430D">
            <w:pPr>
              <w:jc w:val="center"/>
              <w:rPr>
                <w:sz w:val="22"/>
                <w:szCs w:val="22"/>
              </w:rPr>
            </w:pPr>
          </w:p>
          <w:p w14:paraId="3D9C6C3D" w14:textId="77777777" w:rsidR="0029430D" w:rsidRPr="002A6AC6" w:rsidRDefault="0029430D">
            <w:pPr>
              <w:jc w:val="center"/>
              <w:rPr>
                <w:sz w:val="22"/>
                <w:szCs w:val="22"/>
              </w:rPr>
            </w:pPr>
            <w:r w:rsidRPr="002A6AC6">
              <w:rPr>
                <w:sz w:val="22"/>
                <w:szCs w:val="22"/>
              </w:rPr>
              <w:t>-0.89</w:t>
            </w:r>
          </w:p>
        </w:tc>
        <w:tc>
          <w:tcPr>
            <w:tcW w:w="981" w:type="pct"/>
            <w:tcBorders>
              <w:top w:val="single" w:sz="4" w:space="0" w:color="7F7F7F" w:themeColor="text1" w:themeTint="80"/>
              <w:left w:val="nil"/>
              <w:bottom w:val="single" w:sz="18" w:space="0" w:color="auto"/>
              <w:right w:val="nil"/>
            </w:tcBorders>
          </w:tcPr>
          <w:p w14:paraId="34F12EC3" w14:textId="77777777" w:rsidR="0029430D" w:rsidRPr="002A6AC6" w:rsidRDefault="0029430D">
            <w:pPr>
              <w:jc w:val="center"/>
              <w:rPr>
                <w:sz w:val="22"/>
                <w:szCs w:val="22"/>
              </w:rPr>
            </w:pPr>
          </w:p>
          <w:p w14:paraId="239BB713" w14:textId="77777777" w:rsidR="0029430D" w:rsidRPr="002A6AC6" w:rsidRDefault="0029430D">
            <w:pPr>
              <w:jc w:val="center"/>
              <w:rPr>
                <w:sz w:val="22"/>
                <w:szCs w:val="22"/>
              </w:rPr>
            </w:pPr>
            <w:r w:rsidRPr="002A6AC6">
              <w:rPr>
                <w:sz w:val="22"/>
                <w:szCs w:val="22"/>
              </w:rPr>
              <w:t>91.02</w:t>
            </w:r>
          </w:p>
          <w:p w14:paraId="27CB0B47" w14:textId="77777777" w:rsidR="0029430D" w:rsidRPr="002A6AC6" w:rsidRDefault="0029430D">
            <w:pPr>
              <w:jc w:val="center"/>
              <w:rPr>
                <w:sz w:val="22"/>
                <w:szCs w:val="22"/>
              </w:rPr>
            </w:pPr>
          </w:p>
          <w:p w14:paraId="337C5F30" w14:textId="77777777" w:rsidR="0029430D" w:rsidRPr="002A6AC6" w:rsidRDefault="0029430D">
            <w:pPr>
              <w:jc w:val="center"/>
              <w:rPr>
                <w:sz w:val="22"/>
                <w:szCs w:val="22"/>
              </w:rPr>
            </w:pPr>
            <w:r w:rsidRPr="002A6AC6">
              <w:rPr>
                <w:sz w:val="22"/>
                <w:szCs w:val="22"/>
              </w:rPr>
              <w:t>-2.14</w:t>
            </w:r>
          </w:p>
          <w:p w14:paraId="455C7759" w14:textId="77777777" w:rsidR="0029430D" w:rsidRPr="002A6AC6" w:rsidRDefault="0029430D">
            <w:pPr>
              <w:jc w:val="center"/>
              <w:rPr>
                <w:sz w:val="22"/>
                <w:szCs w:val="22"/>
              </w:rPr>
            </w:pPr>
          </w:p>
          <w:p w14:paraId="075B730B" w14:textId="77777777" w:rsidR="0029430D" w:rsidRPr="002A6AC6" w:rsidRDefault="0029430D">
            <w:pPr>
              <w:jc w:val="center"/>
              <w:rPr>
                <w:sz w:val="22"/>
                <w:szCs w:val="22"/>
              </w:rPr>
            </w:pPr>
            <w:r w:rsidRPr="002A6AC6">
              <w:rPr>
                <w:sz w:val="22"/>
                <w:szCs w:val="22"/>
              </w:rPr>
              <w:t>-1.89*</w:t>
            </w:r>
          </w:p>
          <w:p w14:paraId="5A591B13" w14:textId="77777777" w:rsidR="0029430D" w:rsidRPr="002A6AC6" w:rsidRDefault="0029430D">
            <w:pPr>
              <w:jc w:val="center"/>
              <w:rPr>
                <w:sz w:val="22"/>
                <w:szCs w:val="22"/>
              </w:rPr>
            </w:pPr>
            <w:r w:rsidRPr="002A6AC6">
              <w:rPr>
                <w:sz w:val="22"/>
                <w:szCs w:val="22"/>
              </w:rPr>
              <w:t>(-2.37, -1.40)</w:t>
            </w:r>
          </w:p>
        </w:tc>
        <w:tc>
          <w:tcPr>
            <w:tcW w:w="981" w:type="pct"/>
            <w:tcBorders>
              <w:top w:val="single" w:sz="4" w:space="0" w:color="7F7F7F" w:themeColor="text1" w:themeTint="80"/>
              <w:left w:val="nil"/>
              <w:bottom w:val="single" w:sz="18" w:space="0" w:color="auto"/>
              <w:right w:val="nil"/>
            </w:tcBorders>
          </w:tcPr>
          <w:p w14:paraId="27709CF1" w14:textId="77777777" w:rsidR="0029430D" w:rsidRPr="002A6AC6" w:rsidRDefault="0029430D">
            <w:pPr>
              <w:jc w:val="center"/>
              <w:rPr>
                <w:sz w:val="22"/>
                <w:szCs w:val="22"/>
              </w:rPr>
            </w:pPr>
          </w:p>
          <w:p w14:paraId="264198C0" w14:textId="77777777" w:rsidR="0029430D" w:rsidRPr="002A6AC6" w:rsidRDefault="0029430D">
            <w:pPr>
              <w:jc w:val="center"/>
              <w:rPr>
                <w:sz w:val="22"/>
                <w:szCs w:val="22"/>
              </w:rPr>
            </w:pPr>
            <w:r w:rsidRPr="002A6AC6">
              <w:rPr>
                <w:sz w:val="22"/>
                <w:szCs w:val="22"/>
              </w:rPr>
              <w:t>89.23</w:t>
            </w:r>
          </w:p>
          <w:p w14:paraId="3D8DD75D" w14:textId="77777777" w:rsidR="0029430D" w:rsidRPr="002A6AC6" w:rsidRDefault="0029430D">
            <w:pPr>
              <w:jc w:val="center"/>
              <w:rPr>
                <w:sz w:val="22"/>
                <w:szCs w:val="22"/>
              </w:rPr>
            </w:pPr>
          </w:p>
          <w:p w14:paraId="058BEDEB" w14:textId="77777777" w:rsidR="0029430D" w:rsidRPr="002A6AC6" w:rsidRDefault="0029430D">
            <w:pPr>
              <w:jc w:val="center"/>
              <w:rPr>
                <w:sz w:val="22"/>
                <w:szCs w:val="22"/>
              </w:rPr>
            </w:pPr>
            <w:r w:rsidRPr="002A6AC6">
              <w:rPr>
                <w:sz w:val="22"/>
                <w:szCs w:val="22"/>
              </w:rPr>
              <w:t>-0.26</w:t>
            </w:r>
          </w:p>
          <w:p w14:paraId="64330FC2" w14:textId="77777777" w:rsidR="0029430D" w:rsidRPr="002A6AC6" w:rsidRDefault="0029430D">
            <w:pPr>
              <w:jc w:val="center"/>
              <w:rPr>
                <w:sz w:val="22"/>
                <w:szCs w:val="22"/>
              </w:rPr>
            </w:pPr>
          </w:p>
          <w:p w14:paraId="15F078F2" w14:textId="77777777" w:rsidR="0029430D" w:rsidRPr="002A6AC6" w:rsidRDefault="0029430D">
            <w:pPr>
              <w:jc w:val="center"/>
              <w:rPr>
                <w:sz w:val="22"/>
                <w:szCs w:val="22"/>
              </w:rPr>
            </w:pPr>
          </w:p>
        </w:tc>
      </w:tr>
    </w:tbl>
    <w:p w14:paraId="0A6EA715" w14:textId="31578605" w:rsidR="0029430D" w:rsidRPr="002A6AC6" w:rsidRDefault="0029430D" w:rsidP="002A6AC6">
      <w:pPr>
        <w:ind w:left="284" w:hanging="284"/>
        <w:rPr>
          <w:sz w:val="20"/>
          <w:lang w:val="en-GB" w:eastAsia="en-US"/>
        </w:rPr>
      </w:pPr>
      <w:r w:rsidRPr="002A6AC6">
        <w:rPr>
          <w:sz w:val="20"/>
          <w:vertAlign w:val="superscript"/>
        </w:rPr>
        <w:t>1</w:t>
      </w:r>
      <w:r w:rsidR="002A6AC6">
        <w:rPr>
          <w:sz w:val="20"/>
          <w:vertAlign w:val="superscript"/>
        </w:rPr>
        <w:tab/>
      </w:r>
      <w:proofErr w:type="spellStart"/>
      <w:r w:rsidRPr="002A6AC6">
        <w:rPr>
          <w:sz w:val="20"/>
        </w:rPr>
        <w:t>Metformin</w:t>
      </w:r>
      <w:proofErr w:type="spellEnd"/>
      <w:r w:rsidRPr="002A6AC6">
        <w:rPr>
          <w:sz w:val="20"/>
        </w:rPr>
        <w:t xml:space="preserve"> ≥ 1500 mg/</w:t>
      </w:r>
      <w:proofErr w:type="spellStart"/>
      <w:r w:rsidRPr="002A6AC6">
        <w:rPr>
          <w:sz w:val="20"/>
        </w:rPr>
        <w:t>day</w:t>
      </w:r>
      <w:proofErr w:type="spellEnd"/>
      <w:r w:rsidRPr="002A6AC6">
        <w:rPr>
          <w:sz w:val="20"/>
        </w:rPr>
        <w:t>;</w:t>
      </w:r>
    </w:p>
    <w:p w14:paraId="520C8587" w14:textId="37B2C1E0" w:rsidR="0029430D" w:rsidRPr="002A6AC6" w:rsidRDefault="0029430D" w:rsidP="002A6AC6">
      <w:pPr>
        <w:ind w:left="284" w:hanging="284"/>
        <w:rPr>
          <w:sz w:val="20"/>
        </w:rPr>
      </w:pPr>
      <w:r w:rsidRPr="002A6AC6">
        <w:rPr>
          <w:sz w:val="20"/>
          <w:vertAlign w:val="superscript"/>
        </w:rPr>
        <w:t>2</w:t>
      </w:r>
      <w:r w:rsidR="002A6AC6">
        <w:rPr>
          <w:sz w:val="20"/>
          <w:vertAlign w:val="superscript"/>
        </w:rPr>
        <w:tab/>
      </w:r>
      <w:proofErr w:type="spellStart"/>
      <w:r w:rsidR="002A6AC6">
        <w:rPr>
          <w:sz w:val="20"/>
        </w:rPr>
        <w:t>S</w:t>
      </w:r>
      <w:r w:rsidRPr="002A6AC6">
        <w:rPr>
          <w:sz w:val="20"/>
        </w:rPr>
        <w:t>itagliptin</w:t>
      </w:r>
      <w:proofErr w:type="spellEnd"/>
      <w:r w:rsidRPr="002A6AC6">
        <w:rPr>
          <w:sz w:val="20"/>
        </w:rPr>
        <w:t xml:space="preserve"> 100 mg/</w:t>
      </w:r>
      <w:proofErr w:type="spellStart"/>
      <w:r w:rsidRPr="002A6AC6">
        <w:rPr>
          <w:sz w:val="20"/>
        </w:rPr>
        <w:t>day</w:t>
      </w:r>
      <w:proofErr w:type="spellEnd"/>
    </w:p>
    <w:p w14:paraId="456B6F06" w14:textId="46B84921" w:rsidR="0029430D" w:rsidRPr="002A6AC6" w:rsidRDefault="0029430D" w:rsidP="002A6AC6">
      <w:pPr>
        <w:ind w:left="284" w:hanging="284"/>
        <w:rPr>
          <w:sz w:val="20"/>
          <w:lang w:val="en-US"/>
        </w:rPr>
      </w:pPr>
      <w:r w:rsidRPr="002A6AC6">
        <w:rPr>
          <w:sz w:val="20"/>
          <w:vertAlign w:val="superscript"/>
          <w:lang w:val="en-US"/>
        </w:rPr>
        <w:t>a</w:t>
      </w:r>
      <w:r w:rsidR="002A6AC6">
        <w:rPr>
          <w:sz w:val="20"/>
          <w:vertAlign w:val="superscript"/>
          <w:lang w:val="en-US"/>
        </w:rPr>
        <w:tab/>
      </w:r>
      <w:r w:rsidRPr="002A6AC6">
        <w:rPr>
          <w:sz w:val="20"/>
          <w:lang w:val="en-US"/>
        </w:rPr>
        <w:t>LOCF: Last observation (prior to rescue for rescued subjects) carried forward</w:t>
      </w:r>
    </w:p>
    <w:p w14:paraId="458F10FF" w14:textId="26DA545A" w:rsidR="0029430D" w:rsidRPr="002A6AC6" w:rsidRDefault="0029430D" w:rsidP="002A6AC6">
      <w:pPr>
        <w:ind w:left="284" w:hanging="284"/>
        <w:rPr>
          <w:sz w:val="20"/>
          <w:lang w:val="en-US"/>
        </w:rPr>
      </w:pPr>
      <w:r w:rsidRPr="002A6AC6">
        <w:rPr>
          <w:sz w:val="20"/>
          <w:vertAlign w:val="superscript"/>
          <w:lang w:val="en-US"/>
        </w:rPr>
        <w:t>b</w:t>
      </w:r>
      <w:r w:rsidR="002A6AC6">
        <w:rPr>
          <w:sz w:val="20"/>
          <w:vertAlign w:val="superscript"/>
          <w:lang w:val="en-US"/>
        </w:rPr>
        <w:tab/>
      </w:r>
      <w:r w:rsidRPr="002A6AC6">
        <w:rPr>
          <w:sz w:val="20"/>
          <w:lang w:val="en-US"/>
        </w:rPr>
        <w:t xml:space="preserve">All </w:t>
      </w:r>
      <w:proofErr w:type="spellStart"/>
      <w:r w:rsidRPr="002A6AC6">
        <w:rPr>
          <w:sz w:val="20"/>
          <w:lang w:val="en-US"/>
        </w:rPr>
        <w:t>randomised</w:t>
      </w:r>
      <w:proofErr w:type="spellEnd"/>
      <w:r w:rsidRPr="002A6AC6">
        <w:rPr>
          <w:sz w:val="20"/>
          <w:lang w:val="en-US"/>
        </w:rPr>
        <w:t xml:space="preserve"> subjects who took at least one dose of double-blind study medicinal product during the short-term double-blind period</w:t>
      </w:r>
    </w:p>
    <w:p w14:paraId="1C8BDBFC" w14:textId="20E2C09D" w:rsidR="0029430D" w:rsidRPr="002A6AC6" w:rsidRDefault="0029430D" w:rsidP="002A6AC6">
      <w:pPr>
        <w:ind w:left="284" w:hanging="284"/>
        <w:rPr>
          <w:sz w:val="20"/>
          <w:lang w:val="en-US"/>
        </w:rPr>
      </w:pPr>
      <w:r w:rsidRPr="002A6AC6">
        <w:rPr>
          <w:sz w:val="20"/>
          <w:vertAlign w:val="superscript"/>
          <w:lang w:val="en-US"/>
        </w:rPr>
        <w:t>c</w:t>
      </w:r>
      <w:r w:rsidR="002A6AC6">
        <w:rPr>
          <w:sz w:val="20"/>
          <w:vertAlign w:val="superscript"/>
          <w:lang w:val="en-US"/>
        </w:rPr>
        <w:tab/>
      </w:r>
      <w:r w:rsidRPr="002A6AC6">
        <w:rPr>
          <w:sz w:val="20"/>
          <w:lang w:val="en-US"/>
        </w:rPr>
        <w:t>Least squares mean adjusted for baseline value</w:t>
      </w:r>
    </w:p>
    <w:p w14:paraId="3C8301C1" w14:textId="3603F830" w:rsidR="0029430D" w:rsidRPr="002A6AC6" w:rsidRDefault="0029430D" w:rsidP="002A6AC6">
      <w:pPr>
        <w:ind w:left="284" w:hanging="284"/>
        <w:rPr>
          <w:sz w:val="20"/>
          <w:lang w:val="en-US"/>
        </w:rPr>
      </w:pPr>
      <w:r w:rsidRPr="002A6AC6">
        <w:rPr>
          <w:sz w:val="20"/>
          <w:vertAlign w:val="superscript"/>
          <w:lang w:val="en-US"/>
        </w:rPr>
        <w:t>*</w:t>
      </w:r>
      <w:r w:rsidR="002A6AC6">
        <w:rPr>
          <w:sz w:val="20"/>
          <w:vertAlign w:val="superscript"/>
          <w:lang w:val="en-US"/>
        </w:rPr>
        <w:tab/>
      </w:r>
      <w:r w:rsidRPr="002A6AC6">
        <w:rPr>
          <w:sz w:val="20"/>
          <w:lang w:val="en-US"/>
        </w:rPr>
        <w:t>p-value &lt; 0.0001 versus placebo + oral glucose-lowering medicinal product</w:t>
      </w:r>
    </w:p>
    <w:p w14:paraId="08E70D3A" w14:textId="51552945" w:rsidR="0029430D" w:rsidRPr="002A6AC6" w:rsidRDefault="0029430D" w:rsidP="002A6AC6">
      <w:pPr>
        <w:ind w:left="284" w:hanging="284"/>
        <w:rPr>
          <w:sz w:val="20"/>
          <w:lang w:val="en-US"/>
        </w:rPr>
      </w:pPr>
      <w:r w:rsidRPr="002A6AC6">
        <w:rPr>
          <w:sz w:val="20"/>
          <w:vertAlign w:val="superscript"/>
          <w:lang w:val="en-US"/>
        </w:rPr>
        <w:t>**</w:t>
      </w:r>
      <w:r w:rsidR="002A6AC6">
        <w:rPr>
          <w:sz w:val="20"/>
          <w:vertAlign w:val="superscript"/>
          <w:lang w:val="en-US"/>
        </w:rPr>
        <w:tab/>
      </w:r>
      <w:r w:rsidRPr="002A6AC6">
        <w:rPr>
          <w:sz w:val="20"/>
          <w:lang w:val="en-US"/>
        </w:rPr>
        <w:t>p-value &lt; 0.05 versus placebo + oral glucose-lowering medicinal product</w:t>
      </w:r>
    </w:p>
    <w:p w14:paraId="22F321D2" w14:textId="77777777" w:rsidR="0029430D" w:rsidRPr="00312F3E" w:rsidRDefault="0029430D" w:rsidP="0029430D">
      <w:pPr>
        <w:keepNext/>
        <w:pageBreakBefore/>
        <w:rPr>
          <w:b/>
          <w:bCs/>
          <w:sz w:val="24"/>
          <w:szCs w:val="24"/>
          <w:lang w:val="en-US"/>
        </w:rPr>
      </w:pPr>
      <w:r w:rsidRPr="00312F3E">
        <w:rPr>
          <w:b/>
          <w:bCs/>
          <w:sz w:val="24"/>
          <w:szCs w:val="24"/>
          <w:lang w:val="en-US"/>
        </w:rPr>
        <w:t>Table 5. Results of 24-week placebo-controlled studies of dapagliflozin in add-on combination</w:t>
      </w:r>
    </w:p>
    <w:p w14:paraId="64652E28" w14:textId="77777777" w:rsidR="0029430D" w:rsidRPr="00312F3E" w:rsidRDefault="0029430D" w:rsidP="0029430D">
      <w:pPr>
        <w:rPr>
          <w:sz w:val="24"/>
          <w:szCs w:val="24"/>
          <w:lang w:val="en-US"/>
        </w:rPr>
      </w:pPr>
      <w:r w:rsidRPr="00312F3E">
        <w:rPr>
          <w:b/>
          <w:bCs/>
          <w:sz w:val="24"/>
          <w:szCs w:val="24"/>
          <w:lang w:val="en-US"/>
        </w:rPr>
        <w:t xml:space="preserve">with </w:t>
      </w:r>
      <w:proofErr w:type="spellStart"/>
      <w:r w:rsidRPr="00312F3E">
        <w:rPr>
          <w:b/>
          <w:bCs/>
          <w:sz w:val="24"/>
          <w:szCs w:val="24"/>
          <w:lang w:val="en-US"/>
        </w:rPr>
        <w:t>sulphonylurea</w:t>
      </w:r>
      <w:proofErr w:type="spellEnd"/>
      <w:r w:rsidRPr="00312F3E">
        <w:rPr>
          <w:b/>
          <w:bCs/>
          <w:sz w:val="24"/>
          <w:szCs w:val="24"/>
          <w:lang w:val="en-US"/>
        </w:rPr>
        <w:t xml:space="preserve"> (glimepiride) or metformin and a </w:t>
      </w:r>
      <w:proofErr w:type="spellStart"/>
      <w:r w:rsidRPr="00312F3E">
        <w:rPr>
          <w:b/>
          <w:bCs/>
          <w:sz w:val="24"/>
          <w:szCs w:val="24"/>
          <w:lang w:val="en-US"/>
        </w:rPr>
        <w:t>sulphonylurea</w:t>
      </w:r>
      <w:proofErr w:type="spellEnd"/>
    </w:p>
    <w:tbl>
      <w:tblPr>
        <w:tblW w:w="5000" w:type="pct"/>
        <w:jc w:val="center"/>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2607"/>
        <w:gridCol w:w="2235"/>
        <w:gridCol w:w="664"/>
        <w:gridCol w:w="913"/>
        <w:gridCol w:w="1654"/>
        <w:gridCol w:w="1565"/>
      </w:tblGrid>
      <w:tr w:rsidR="0029430D" w:rsidRPr="002A6AC6" w14:paraId="1A640AE5" w14:textId="77777777" w:rsidTr="00312F3E">
        <w:trPr>
          <w:jc w:val="center"/>
        </w:trPr>
        <w:tc>
          <w:tcPr>
            <w:tcW w:w="4997" w:type="pct"/>
            <w:gridSpan w:val="6"/>
            <w:tcBorders>
              <w:top w:val="single" w:sz="18" w:space="0" w:color="auto"/>
              <w:left w:val="nil"/>
              <w:right w:val="nil"/>
            </w:tcBorders>
            <w:hideMark/>
          </w:tcPr>
          <w:p w14:paraId="18A8AF91" w14:textId="77777777" w:rsidR="0029430D" w:rsidRPr="002A6AC6" w:rsidRDefault="0029430D">
            <w:pPr>
              <w:ind w:left="5849"/>
              <w:rPr>
                <w:sz w:val="22"/>
                <w:szCs w:val="22"/>
              </w:rPr>
            </w:pPr>
            <w:r w:rsidRPr="002A6AC6">
              <w:rPr>
                <w:sz w:val="22"/>
                <w:szCs w:val="22"/>
              </w:rPr>
              <w:t xml:space="preserve">Add-on </w:t>
            </w:r>
            <w:proofErr w:type="spellStart"/>
            <w:r w:rsidRPr="002A6AC6">
              <w:rPr>
                <w:sz w:val="22"/>
                <w:szCs w:val="22"/>
              </w:rPr>
              <w:t>combination</w:t>
            </w:r>
            <w:proofErr w:type="spellEnd"/>
          </w:p>
        </w:tc>
      </w:tr>
      <w:tr w:rsidR="0029430D" w:rsidRPr="002A6AC6" w14:paraId="267D4E83" w14:textId="77777777" w:rsidTr="00312F3E">
        <w:trPr>
          <w:jc w:val="center"/>
        </w:trPr>
        <w:tc>
          <w:tcPr>
            <w:tcW w:w="2658" w:type="pct"/>
            <w:gridSpan w:val="3"/>
            <w:tcBorders>
              <w:left w:val="nil"/>
              <w:right w:val="nil"/>
            </w:tcBorders>
            <w:hideMark/>
          </w:tcPr>
          <w:p w14:paraId="0B02B608" w14:textId="77777777" w:rsidR="0029430D" w:rsidRPr="002A6AC6" w:rsidRDefault="0029430D">
            <w:pPr>
              <w:tabs>
                <w:tab w:val="left" w:pos="1304"/>
              </w:tabs>
              <w:ind w:left="4006"/>
              <w:jc w:val="right"/>
              <w:rPr>
                <w:sz w:val="22"/>
                <w:szCs w:val="22"/>
              </w:rPr>
            </w:pPr>
            <w:proofErr w:type="spellStart"/>
            <w:r w:rsidRPr="002A6AC6">
              <w:rPr>
                <w:sz w:val="22"/>
                <w:szCs w:val="22"/>
              </w:rPr>
              <w:t>Sulphonylurea</w:t>
            </w:r>
            <w:proofErr w:type="spellEnd"/>
            <w:r w:rsidRPr="002A6AC6">
              <w:rPr>
                <w:sz w:val="22"/>
                <w:szCs w:val="22"/>
              </w:rPr>
              <w:t xml:space="preserve"> (glimepiride</w:t>
            </w:r>
            <w:r w:rsidRPr="002A6AC6">
              <w:rPr>
                <w:sz w:val="22"/>
                <w:szCs w:val="22"/>
                <w:vertAlign w:val="superscript"/>
              </w:rPr>
              <w:t>1</w:t>
            </w:r>
            <w:r w:rsidRPr="002A6AC6">
              <w:rPr>
                <w:sz w:val="22"/>
                <w:szCs w:val="22"/>
              </w:rPr>
              <w:t>)</w:t>
            </w:r>
          </w:p>
        </w:tc>
        <w:tc>
          <w:tcPr>
            <w:tcW w:w="2342" w:type="pct"/>
            <w:gridSpan w:val="3"/>
            <w:tcBorders>
              <w:left w:val="nil"/>
              <w:right w:val="nil"/>
            </w:tcBorders>
            <w:hideMark/>
          </w:tcPr>
          <w:p w14:paraId="020E0549" w14:textId="77777777" w:rsidR="0029430D" w:rsidRPr="002A6AC6" w:rsidRDefault="0029430D">
            <w:pPr>
              <w:tabs>
                <w:tab w:val="left" w:pos="1304"/>
              </w:tabs>
              <w:autoSpaceDE w:val="0"/>
              <w:autoSpaceDN w:val="0"/>
              <w:adjustRightInd w:val="0"/>
              <w:ind w:left="1320"/>
              <w:jc w:val="center"/>
              <w:rPr>
                <w:b/>
                <w:bCs/>
                <w:sz w:val="22"/>
                <w:szCs w:val="22"/>
              </w:rPr>
            </w:pPr>
            <w:proofErr w:type="spellStart"/>
            <w:r w:rsidRPr="002A6AC6">
              <w:rPr>
                <w:b/>
                <w:bCs/>
                <w:sz w:val="22"/>
                <w:szCs w:val="22"/>
              </w:rPr>
              <w:t>Sulphonylurea</w:t>
            </w:r>
            <w:proofErr w:type="spellEnd"/>
            <w:r w:rsidRPr="002A6AC6">
              <w:rPr>
                <w:b/>
                <w:bCs/>
                <w:sz w:val="22"/>
                <w:szCs w:val="22"/>
              </w:rPr>
              <w:t xml:space="preserve"> </w:t>
            </w:r>
          </w:p>
          <w:p w14:paraId="6EED73B8" w14:textId="77777777" w:rsidR="0029430D" w:rsidRPr="002A6AC6" w:rsidRDefault="0029430D">
            <w:pPr>
              <w:tabs>
                <w:tab w:val="left" w:pos="1304"/>
              </w:tabs>
              <w:autoSpaceDE w:val="0"/>
              <w:autoSpaceDN w:val="0"/>
              <w:adjustRightInd w:val="0"/>
              <w:ind w:left="1320"/>
              <w:jc w:val="center"/>
              <w:rPr>
                <w:sz w:val="22"/>
                <w:szCs w:val="22"/>
                <w:lang w:eastAsia="en-US"/>
              </w:rPr>
            </w:pPr>
            <w:r w:rsidRPr="002A6AC6">
              <w:rPr>
                <w:b/>
                <w:bCs/>
                <w:sz w:val="22"/>
                <w:szCs w:val="22"/>
              </w:rPr>
              <w:t>+ metformin</w:t>
            </w:r>
            <w:r w:rsidRPr="002A6AC6">
              <w:rPr>
                <w:b/>
                <w:bCs/>
                <w:sz w:val="22"/>
                <w:szCs w:val="22"/>
                <w:vertAlign w:val="superscript"/>
              </w:rPr>
              <w:t>2</w:t>
            </w:r>
          </w:p>
        </w:tc>
      </w:tr>
      <w:tr w:rsidR="0029430D" w:rsidRPr="002A6AC6" w14:paraId="679D37E8" w14:textId="77777777" w:rsidTr="00312F3E">
        <w:trPr>
          <w:jc w:val="center"/>
        </w:trPr>
        <w:tc>
          <w:tcPr>
            <w:tcW w:w="1258" w:type="pct"/>
            <w:tcBorders>
              <w:top w:val="single" w:sz="4" w:space="0" w:color="7F7F7F" w:themeColor="text1" w:themeTint="80"/>
              <w:left w:val="nil"/>
              <w:bottom w:val="single" w:sz="4" w:space="0" w:color="7F7F7F" w:themeColor="text1" w:themeTint="80"/>
              <w:right w:val="nil"/>
            </w:tcBorders>
          </w:tcPr>
          <w:p w14:paraId="3039BAF4" w14:textId="77777777" w:rsidR="0029430D" w:rsidRPr="002A6AC6" w:rsidRDefault="0029430D">
            <w:pPr>
              <w:rPr>
                <w:sz w:val="22"/>
                <w:szCs w:val="22"/>
              </w:rPr>
            </w:pPr>
          </w:p>
        </w:tc>
        <w:tc>
          <w:tcPr>
            <w:tcW w:w="1079" w:type="pct"/>
            <w:tcBorders>
              <w:top w:val="single" w:sz="4" w:space="0" w:color="7F7F7F" w:themeColor="text1" w:themeTint="80"/>
              <w:left w:val="nil"/>
              <w:bottom w:val="single" w:sz="4" w:space="0" w:color="7F7F7F" w:themeColor="text1" w:themeTint="80"/>
              <w:right w:val="nil"/>
            </w:tcBorders>
            <w:hideMark/>
          </w:tcPr>
          <w:p w14:paraId="31C5E16F" w14:textId="77777777" w:rsidR="0029430D" w:rsidRPr="002A6AC6" w:rsidRDefault="0029430D">
            <w:pPr>
              <w:tabs>
                <w:tab w:val="left" w:pos="1304"/>
              </w:tabs>
              <w:autoSpaceDE w:val="0"/>
              <w:autoSpaceDN w:val="0"/>
              <w:adjustRightInd w:val="0"/>
              <w:jc w:val="center"/>
              <w:rPr>
                <w:sz w:val="22"/>
                <w:szCs w:val="22"/>
              </w:rPr>
            </w:pPr>
            <w:r w:rsidRPr="002A6AC6">
              <w:rPr>
                <w:b/>
                <w:bCs/>
                <w:sz w:val="22"/>
                <w:szCs w:val="22"/>
              </w:rPr>
              <w:t>Dapagliflozin 10 mg</w:t>
            </w:r>
          </w:p>
        </w:tc>
        <w:tc>
          <w:tcPr>
            <w:tcW w:w="861" w:type="pct"/>
            <w:gridSpan w:val="2"/>
            <w:tcBorders>
              <w:top w:val="single" w:sz="4" w:space="0" w:color="7F7F7F" w:themeColor="text1" w:themeTint="80"/>
              <w:left w:val="nil"/>
              <w:bottom w:val="single" w:sz="4" w:space="0" w:color="7F7F7F" w:themeColor="text1" w:themeTint="80"/>
              <w:right w:val="nil"/>
            </w:tcBorders>
            <w:hideMark/>
          </w:tcPr>
          <w:p w14:paraId="0F661B0C" w14:textId="77777777" w:rsidR="0029430D" w:rsidRPr="002A6AC6" w:rsidRDefault="0029430D">
            <w:pPr>
              <w:jc w:val="center"/>
              <w:rPr>
                <w:sz w:val="22"/>
                <w:szCs w:val="22"/>
              </w:rPr>
            </w:pPr>
            <w:r w:rsidRPr="002A6AC6">
              <w:rPr>
                <w:b/>
                <w:bCs/>
                <w:sz w:val="22"/>
                <w:szCs w:val="22"/>
              </w:rPr>
              <w:t>Placebo</w:t>
            </w:r>
          </w:p>
        </w:tc>
        <w:tc>
          <w:tcPr>
            <w:tcW w:w="924" w:type="pct"/>
            <w:tcBorders>
              <w:top w:val="single" w:sz="4" w:space="0" w:color="7F7F7F" w:themeColor="text1" w:themeTint="80"/>
              <w:left w:val="nil"/>
              <w:bottom w:val="single" w:sz="4" w:space="0" w:color="7F7F7F" w:themeColor="text1" w:themeTint="80"/>
              <w:right w:val="nil"/>
            </w:tcBorders>
            <w:hideMark/>
          </w:tcPr>
          <w:p w14:paraId="5B2845EB" w14:textId="77777777" w:rsidR="0029430D" w:rsidRPr="002A6AC6" w:rsidRDefault="0029430D">
            <w:pPr>
              <w:jc w:val="center"/>
              <w:rPr>
                <w:sz w:val="22"/>
                <w:szCs w:val="22"/>
              </w:rPr>
            </w:pPr>
            <w:r w:rsidRPr="002A6AC6">
              <w:rPr>
                <w:b/>
                <w:bCs/>
                <w:sz w:val="22"/>
                <w:szCs w:val="22"/>
              </w:rPr>
              <w:t>Dapagliflozin 10 mg</w:t>
            </w:r>
          </w:p>
        </w:tc>
        <w:tc>
          <w:tcPr>
            <w:tcW w:w="875" w:type="pct"/>
            <w:tcBorders>
              <w:top w:val="single" w:sz="4" w:space="0" w:color="7F7F7F" w:themeColor="text1" w:themeTint="80"/>
              <w:left w:val="nil"/>
              <w:bottom w:val="single" w:sz="4" w:space="0" w:color="7F7F7F" w:themeColor="text1" w:themeTint="80"/>
              <w:right w:val="nil"/>
            </w:tcBorders>
            <w:hideMark/>
          </w:tcPr>
          <w:p w14:paraId="330F28CE" w14:textId="77777777" w:rsidR="0029430D" w:rsidRPr="002A6AC6" w:rsidRDefault="0029430D">
            <w:pPr>
              <w:jc w:val="center"/>
              <w:rPr>
                <w:b/>
                <w:bCs/>
                <w:sz w:val="22"/>
                <w:szCs w:val="22"/>
              </w:rPr>
            </w:pPr>
            <w:r w:rsidRPr="002A6AC6">
              <w:rPr>
                <w:b/>
                <w:bCs/>
                <w:sz w:val="22"/>
                <w:szCs w:val="22"/>
              </w:rPr>
              <w:t>Placebo</w:t>
            </w:r>
          </w:p>
        </w:tc>
      </w:tr>
      <w:tr w:rsidR="0029430D" w:rsidRPr="002A6AC6" w14:paraId="44201712" w14:textId="77777777" w:rsidTr="00312F3E">
        <w:trPr>
          <w:jc w:val="center"/>
        </w:trPr>
        <w:tc>
          <w:tcPr>
            <w:tcW w:w="1258" w:type="pct"/>
            <w:tcBorders>
              <w:left w:val="nil"/>
              <w:right w:val="nil"/>
            </w:tcBorders>
            <w:hideMark/>
          </w:tcPr>
          <w:p w14:paraId="1576ADA7" w14:textId="77777777" w:rsidR="0029430D" w:rsidRPr="002A6AC6" w:rsidRDefault="0029430D">
            <w:pPr>
              <w:rPr>
                <w:sz w:val="22"/>
                <w:szCs w:val="22"/>
              </w:rPr>
            </w:pPr>
            <w:r w:rsidRPr="002A6AC6">
              <w:rPr>
                <w:sz w:val="22"/>
                <w:szCs w:val="22"/>
              </w:rPr>
              <w:t>N</w:t>
            </w:r>
            <w:r w:rsidRPr="002A6AC6">
              <w:rPr>
                <w:sz w:val="22"/>
                <w:szCs w:val="22"/>
                <w:vertAlign w:val="superscript"/>
              </w:rPr>
              <w:t>a</w:t>
            </w:r>
          </w:p>
        </w:tc>
        <w:tc>
          <w:tcPr>
            <w:tcW w:w="1079" w:type="pct"/>
            <w:tcBorders>
              <w:left w:val="nil"/>
              <w:right w:val="nil"/>
            </w:tcBorders>
            <w:hideMark/>
          </w:tcPr>
          <w:p w14:paraId="04F0A881" w14:textId="77777777" w:rsidR="0029430D" w:rsidRPr="002A6AC6" w:rsidRDefault="0029430D">
            <w:pPr>
              <w:jc w:val="center"/>
              <w:rPr>
                <w:sz w:val="22"/>
                <w:szCs w:val="22"/>
              </w:rPr>
            </w:pPr>
            <w:r w:rsidRPr="002A6AC6">
              <w:rPr>
                <w:sz w:val="22"/>
                <w:szCs w:val="22"/>
              </w:rPr>
              <w:t xml:space="preserve">151 </w:t>
            </w:r>
          </w:p>
        </w:tc>
        <w:tc>
          <w:tcPr>
            <w:tcW w:w="861" w:type="pct"/>
            <w:gridSpan w:val="2"/>
            <w:tcBorders>
              <w:left w:val="nil"/>
              <w:right w:val="nil"/>
            </w:tcBorders>
            <w:hideMark/>
          </w:tcPr>
          <w:p w14:paraId="1F7CFF42" w14:textId="77777777" w:rsidR="0029430D" w:rsidRPr="002A6AC6" w:rsidRDefault="0029430D">
            <w:pPr>
              <w:jc w:val="center"/>
              <w:rPr>
                <w:sz w:val="22"/>
                <w:szCs w:val="22"/>
              </w:rPr>
            </w:pPr>
            <w:r w:rsidRPr="002A6AC6">
              <w:rPr>
                <w:sz w:val="22"/>
                <w:szCs w:val="22"/>
              </w:rPr>
              <w:t xml:space="preserve">145 </w:t>
            </w:r>
          </w:p>
        </w:tc>
        <w:tc>
          <w:tcPr>
            <w:tcW w:w="924" w:type="pct"/>
            <w:tcBorders>
              <w:left w:val="nil"/>
              <w:right w:val="nil"/>
            </w:tcBorders>
            <w:hideMark/>
          </w:tcPr>
          <w:p w14:paraId="195948C4" w14:textId="77777777" w:rsidR="0029430D" w:rsidRPr="002A6AC6" w:rsidRDefault="0029430D">
            <w:pPr>
              <w:jc w:val="center"/>
              <w:rPr>
                <w:sz w:val="22"/>
                <w:szCs w:val="22"/>
              </w:rPr>
            </w:pPr>
            <w:r w:rsidRPr="002A6AC6">
              <w:rPr>
                <w:sz w:val="22"/>
                <w:szCs w:val="22"/>
              </w:rPr>
              <w:t xml:space="preserve">108 </w:t>
            </w:r>
          </w:p>
        </w:tc>
        <w:tc>
          <w:tcPr>
            <w:tcW w:w="875" w:type="pct"/>
            <w:tcBorders>
              <w:left w:val="nil"/>
              <w:right w:val="nil"/>
            </w:tcBorders>
            <w:hideMark/>
          </w:tcPr>
          <w:p w14:paraId="11494D1D" w14:textId="77777777" w:rsidR="0029430D" w:rsidRPr="002A6AC6" w:rsidRDefault="0029430D">
            <w:pPr>
              <w:jc w:val="center"/>
              <w:rPr>
                <w:sz w:val="22"/>
                <w:szCs w:val="22"/>
              </w:rPr>
            </w:pPr>
            <w:r w:rsidRPr="002A6AC6">
              <w:rPr>
                <w:sz w:val="22"/>
                <w:szCs w:val="22"/>
              </w:rPr>
              <w:t>108</w:t>
            </w:r>
          </w:p>
        </w:tc>
      </w:tr>
      <w:tr w:rsidR="0029430D" w:rsidRPr="002A6AC6" w14:paraId="70B05879" w14:textId="77777777" w:rsidTr="00312F3E">
        <w:trPr>
          <w:jc w:val="center"/>
        </w:trPr>
        <w:tc>
          <w:tcPr>
            <w:tcW w:w="1258" w:type="pct"/>
            <w:tcBorders>
              <w:top w:val="single" w:sz="4" w:space="0" w:color="7F7F7F" w:themeColor="text1" w:themeTint="80"/>
              <w:left w:val="nil"/>
              <w:bottom w:val="single" w:sz="4" w:space="0" w:color="7F7F7F" w:themeColor="text1" w:themeTint="80"/>
              <w:right w:val="nil"/>
            </w:tcBorders>
            <w:hideMark/>
          </w:tcPr>
          <w:p w14:paraId="1E21D699" w14:textId="77777777" w:rsidR="0029430D" w:rsidRPr="006A7320" w:rsidRDefault="0029430D">
            <w:pPr>
              <w:rPr>
                <w:sz w:val="22"/>
                <w:szCs w:val="22"/>
                <w:lang w:val="en-US"/>
              </w:rPr>
            </w:pPr>
            <w:r w:rsidRPr="006A7320">
              <w:rPr>
                <w:sz w:val="22"/>
                <w:szCs w:val="22"/>
                <w:lang w:val="en-US"/>
              </w:rPr>
              <w:t>HbA1c (</w:t>
            </w:r>
            <w:proofErr w:type="gramStart"/>
            <w:r w:rsidRPr="006A7320">
              <w:rPr>
                <w:sz w:val="22"/>
                <w:szCs w:val="22"/>
                <w:lang w:val="en-US"/>
              </w:rPr>
              <w:t>%)</w:t>
            </w:r>
            <w:r w:rsidRPr="006A7320">
              <w:rPr>
                <w:sz w:val="22"/>
                <w:szCs w:val="22"/>
                <w:vertAlign w:val="superscript"/>
                <w:lang w:val="en-US"/>
              </w:rPr>
              <w:t>b</w:t>
            </w:r>
            <w:proofErr w:type="gramEnd"/>
          </w:p>
          <w:p w14:paraId="133262E2" w14:textId="77777777" w:rsidR="0029430D" w:rsidRPr="006A7320" w:rsidRDefault="0029430D">
            <w:pPr>
              <w:rPr>
                <w:b/>
                <w:bCs/>
                <w:sz w:val="22"/>
                <w:szCs w:val="22"/>
                <w:lang w:val="en-US"/>
              </w:rPr>
            </w:pPr>
            <w:r w:rsidRPr="006A7320">
              <w:rPr>
                <w:b/>
                <w:bCs/>
                <w:sz w:val="22"/>
                <w:szCs w:val="22"/>
                <w:lang w:val="en-US"/>
              </w:rPr>
              <w:t>Baseline (mean)</w:t>
            </w:r>
          </w:p>
          <w:p w14:paraId="0F082D87" w14:textId="77777777" w:rsidR="0029430D" w:rsidRPr="006A7320" w:rsidRDefault="0029430D">
            <w:pPr>
              <w:tabs>
                <w:tab w:val="left" w:pos="1304"/>
              </w:tabs>
              <w:ind w:left="179"/>
              <w:rPr>
                <w:b/>
                <w:bCs/>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47C75B13" w14:textId="77777777" w:rsidR="0029430D" w:rsidRPr="002A6AC6" w:rsidRDefault="0029430D">
            <w:pPr>
              <w:tabs>
                <w:tab w:val="left" w:pos="1304"/>
              </w:tabs>
              <w:ind w:left="179"/>
              <w:rPr>
                <w:b/>
                <w:bCs/>
                <w:sz w:val="22"/>
                <w:szCs w:val="22"/>
              </w:rPr>
            </w:pPr>
            <w:r w:rsidRPr="002A6AC6">
              <w:rPr>
                <w:b/>
                <w:bCs/>
                <w:sz w:val="22"/>
                <w:szCs w:val="22"/>
              </w:rPr>
              <w:t xml:space="preserve">Difference from </w:t>
            </w:r>
            <w:proofErr w:type="spellStart"/>
            <w:r w:rsidRPr="002A6AC6">
              <w:rPr>
                <w:b/>
                <w:bCs/>
                <w:sz w:val="22"/>
                <w:szCs w:val="22"/>
              </w:rPr>
              <w:t>placebo</w:t>
            </w:r>
            <w:r w:rsidRPr="002A6AC6">
              <w:rPr>
                <w:b/>
                <w:bCs/>
                <w:sz w:val="22"/>
                <w:szCs w:val="22"/>
                <w:vertAlign w:val="superscript"/>
              </w:rPr>
              <w:t>c</w:t>
            </w:r>
            <w:proofErr w:type="spellEnd"/>
          </w:p>
          <w:p w14:paraId="45FDC93C" w14:textId="77777777" w:rsidR="0029430D" w:rsidRPr="002A6AC6" w:rsidRDefault="0029430D">
            <w:pPr>
              <w:tabs>
                <w:tab w:val="left" w:pos="1304"/>
              </w:tabs>
              <w:ind w:left="179"/>
              <w:rPr>
                <w:sz w:val="22"/>
                <w:szCs w:val="22"/>
              </w:rPr>
            </w:pPr>
            <w:r w:rsidRPr="002A6AC6">
              <w:rPr>
                <w:b/>
                <w:bCs/>
                <w:sz w:val="22"/>
                <w:szCs w:val="22"/>
              </w:rPr>
              <w:t>(95% CI)</w:t>
            </w:r>
          </w:p>
        </w:tc>
        <w:tc>
          <w:tcPr>
            <w:tcW w:w="1079" w:type="pct"/>
            <w:tcBorders>
              <w:top w:val="single" w:sz="4" w:space="0" w:color="7F7F7F" w:themeColor="text1" w:themeTint="80"/>
              <w:left w:val="nil"/>
              <w:bottom w:val="single" w:sz="4" w:space="0" w:color="7F7F7F" w:themeColor="text1" w:themeTint="80"/>
              <w:right w:val="nil"/>
            </w:tcBorders>
          </w:tcPr>
          <w:p w14:paraId="341DDAC4" w14:textId="77777777" w:rsidR="0029430D" w:rsidRPr="002A6AC6" w:rsidRDefault="0029430D">
            <w:pPr>
              <w:jc w:val="center"/>
              <w:rPr>
                <w:sz w:val="22"/>
                <w:szCs w:val="22"/>
              </w:rPr>
            </w:pPr>
          </w:p>
          <w:p w14:paraId="785E4E1E" w14:textId="77777777" w:rsidR="0029430D" w:rsidRPr="002A6AC6" w:rsidRDefault="0029430D">
            <w:pPr>
              <w:jc w:val="center"/>
              <w:rPr>
                <w:sz w:val="22"/>
                <w:szCs w:val="22"/>
              </w:rPr>
            </w:pPr>
            <w:r w:rsidRPr="002A6AC6">
              <w:rPr>
                <w:sz w:val="22"/>
                <w:szCs w:val="22"/>
              </w:rPr>
              <w:t>8.07</w:t>
            </w:r>
          </w:p>
          <w:p w14:paraId="54E7C896" w14:textId="77777777" w:rsidR="0029430D" w:rsidRPr="002A6AC6" w:rsidRDefault="0029430D">
            <w:pPr>
              <w:jc w:val="center"/>
              <w:rPr>
                <w:sz w:val="22"/>
                <w:szCs w:val="22"/>
              </w:rPr>
            </w:pPr>
            <w:r w:rsidRPr="002A6AC6">
              <w:rPr>
                <w:sz w:val="22"/>
                <w:szCs w:val="22"/>
              </w:rPr>
              <w:t>-0.82</w:t>
            </w:r>
          </w:p>
          <w:p w14:paraId="5B070DB7" w14:textId="77777777" w:rsidR="0029430D" w:rsidRPr="002A6AC6" w:rsidRDefault="0029430D">
            <w:pPr>
              <w:jc w:val="center"/>
              <w:rPr>
                <w:sz w:val="22"/>
                <w:szCs w:val="22"/>
              </w:rPr>
            </w:pPr>
            <w:r w:rsidRPr="002A6AC6">
              <w:rPr>
                <w:sz w:val="22"/>
                <w:szCs w:val="22"/>
              </w:rPr>
              <w:t>-0.68</w:t>
            </w:r>
            <w:r w:rsidRPr="002A6AC6">
              <w:rPr>
                <w:sz w:val="22"/>
                <w:szCs w:val="22"/>
                <w:vertAlign w:val="superscript"/>
              </w:rPr>
              <w:t>*</w:t>
            </w:r>
          </w:p>
          <w:p w14:paraId="38A5FC8C" w14:textId="77777777" w:rsidR="0029430D" w:rsidRPr="002A6AC6" w:rsidRDefault="0029430D">
            <w:pPr>
              <w:jc w:val="center"/>
              <w:rPr>
                <w:sz w:val="22"/>
                <w:szCs w:val="22"/>
              </w:rPr>
            </w:pPr>
            <w:r w:rsidRPr="002A6AC6">
              <w:rPr>
                <w:sz w:val="22"/>
                <w:szCs w:val="22"/>
              </w:rPr>
              <w:t>(-0.86, -0.51)</w:t>
            </w:r>
          </w:p>
        </w:tc>
        <w:tc>
          <w:tcPr>
            <w:tcW w:w="861" w:type="pct"/>
            <w:gridSpan w:val="2"/>
            <w:tcBorders>
              <w:top w:val="single" w:sz="4" w:space="0" w:color="7F7F7F" w:themeColor="text1" w:themeTint="80"/>
              <w:left w:val="nil"/>
              <w:bottom w:val="single" w:sz="4" w:space="0" w:color="7F7F7F" w:themeColor="text1" w:themeTint="80"/>
              <w:right w:val="nil"/>
            </w:tcBorders>
          </w:tcPr>
          <w:p w14:paraId="52D6633F" w14:textId="77777777" w:rsidR="0029430D" w:rsidRPr="002A6AC6" w:rsidRDefault="0029430D">
            <w:pPr>
              <w:jc w:val="center"/>
              <w:rPr>
                <w:sz w:val="22"/>
                <w:szCs w:val="22"/>
              </w:rPr>
            </w:pPr>
          </w:p>
          <w:p w14:paraId="05AA404E" w14:textId="77777777" w:rsidR="0029430D" w:rsidRPr="002A6AC6" w:rsidRDefault="0029430D">
            <w:pPr>
              <w:jc w:val="center"/>
              <w:rPr>
                <w:sz w:val="22"/>
                <w:szCs w:val="22"/>
              </w:rPr>
            </w:pPr>
            <w:r w:rsidRPr="002A6AC6">
              <w:rPr>
                <w:sz w:val="22"/>
                <w:szCs w:val="22"/>
              </w:rPr>
              <w:t>8.15</w:t>
            </w:r>
          </w:p>
          <w:p w14:paraId="6F71B0B2" w14:textId="77777777" w:rsidR="0029430D" w:rsidRPr="002A6AC6" w:rsidRDefault="0029430D">
            <w:pPr>
              <w:jc w:val="center"/>
              <w:rPr>
                <w:sz w:val="22"/>
                <w:szCs w:val="22"/>
              </w:rPr>
            </w:pPr>
            <w:r w:rsidRPr="002A6AC6">
              <w:rPr>
                <w:sz w:val="22"/>
                <w:szCs w:val="22"/>
              </w:rPr>
              <w:t>-0.13</w:t>
            </w:r>
          </w:p>
        </w:tc>
        <w:tc>
          <w:tcPr>
            <w:tcW w:w="924" w:type="pct"/>
            <w:tcBorders>
              <w:top w:val="single" w:sz="4" w:space="0" w:color="7F7F7F" w:themeColor="text1" w:themeTint="80"/>
              <w:left w:val="nil"/>
              <w:bottom w:val="single" w:sz="4" w:space="0" w:color="7F7F7F" w:themeColor="text1" w:themeTint="80"/>
              <w:right w:val="nil"/>
            </w:tcBorders>
          </w:tcPr>
          <w:p w14:paraId="77949DFD" w14:textId="77777777" w:rsidR="0029430D" w:rsidRPr="002A6AC6" w:rsidRDefault="0029430D">
            <w:pPr>
              <w:jc w:val="center"/>
              <w:rPr>
                <w:sz w:val="22"/>
                <w:szCs w:val="22"/>
              </w:rPr>
            </w:pPr>
          </w:p>
          <w:p w14:paraId="1B7DE088" w14:textId="77777777" w:rsidR="0029430D" w:rsidRPr="002A6AC6" w:rsidRDefault="0029430D">
            <w:pPr>
              <w:jc w:val="center"/>
              <w:rPr>
                <w:sz w:val="22"/>
                <w:szCs w:val="22"/>
              </w:rPr>
            </w:pPr>
            <w:r w:rsidRPr="002A6AC6">
              <w:rPr>
                <w:sz w:val="22"/>
                <w:szCs w:val="22"/>
              </w:rPr>
              <w:t>8.08</w:t>
            </w:r>
          </w:p>
          <w:p w14:paraId="471B915B" w14:textId="77777777" w:rsidR="0029430D" w:rsidRPr="002A6AC6" w:rsidRDefault="0029430D">
            <w:pPr>
              <w:jc w:val="center"/>
              <w:rPr>
                <w:sz w:val="22"/>
                <w:szCs w:val="22"/>
              </w:rPr>
            </w:pPr>
            <w:r w:rsidRPr="002A6AC6">
              <w:rPr>
                <w:sz w:val="22"/>
                <w:szCs w:val="22"/>
              </w:rPr>
              <w:t>-0.86</w:t>
            </w:r>
          </w:p>
          <w:p w14:paraId="07A422A2" w14:textId="77777777" w:rsidR="0029430D" w:rsidRPr="002A6AC6" w:rsidRDefault="0029430D">
            <w:pPr>
              <w:jc w:val="center"/>
              <w:rPr>
                <w:sz w:val="22"/>
                <w:szCs w:val="22"/>
              </w:rPr>
            </w:pPr>
            <w:r w:rsidRPr="002A6AC6">
              <w:rPr>
                <w:sz w:val="22"/>
                <w:szCs w:val="22"/>
              </w:rPr>
              <w:t>−0.69</w:t>
            </w:r>
            <w:r w:rsidRPr="002A6AC6">
              <w:rPr>
                <w:sz w:val="22"/>
                <w:szCs w:val="22"/>
                <w:vertAlign w:val="superscript"/>
              </w:rPr>
              <w:t>*</w:t>
            </w:r>
          </w:p>
          <w:p w14:paraId="3ED15AC6" w14:textId="77777777" w:rsidR="0029430D" w:rsidRPr="002A6AC6" w:rsidRDefault="0029430D">
            <w:pPr>
              <w:jc w:val="center"/>
              <w:rPr>
                <w:sz w:val="22"/>
                <w:szCs w:val="22"/>
              </w:rPr>
            </w:pPr>
            <w:r w:rsidRPr="002A6AC6">
              <w:rPr>
                <w:sz w:val="22"/>
                <w:szCs w:val="22"/>
              </w:rPr>
              <w:t>(−0.89, −0.49)</w:t>
            </w:r>
          </w:p>
        </w:tc>
        <w:tc>
          <w:tcPr>
            <w:tcW w:w="875" w:type="pct"/>
            <w:tcBorders>
              <w:top w:val="single" w:sz="4" w:space="0" w:color="7F7F7F" w:themeColor="text1" w:themeTint="80"/>
              <w:left w:val="nil"/>
              <w:bottom w:val="single" w:sz="4" w:space="0" w:color="7F7F7F" w:themeColor="text1" w:themeTint="80"/>
              <w:right w:val="nil"/>
            </w:tcBorders>
          </w:tcPr>
          <w:p w14:paraId="00942112" w14:textId="77777777" w:rsidR="0029430D" w:rsidRPr="002A6AC6" w:rsidRDefault="0029430D">
            <w:pPr>
              <w:jc w:val="center"/>
              <w:rPr>
                <w:sz w:val="22"/>
                <w:szCs w:val="22"/>
              </w:rPr>
            </w:pPr>
          </w:p>
          <w:p w14:paraId="4DC5596C" w14:textId="77777777" w:rsidR="0029430D" w:rsidRPr="002A6AC6" w:rsidRDefault="0029430D">
            <w:pPr>
              <w:jc w:val="center"/>
              <w:rPr>
                <w:sz w:val="22"/>
                <w:szCs w:val="22"/>
              </w:rPr>
            </w:pPr>
            <w:r w:rsidRPr="002A6AC6">
              <w:rPr>
                <w:sz w:val="22"/>
                <w:szCs w:val="22"/>
              </w:rPr>
              <w:t>8.24</w:t>
            </w:r>
          </w:p>
          <w:p w14:paraId="270472AF" w14:textId="77777777" w:rsidR="0029430D" w:rsidRPr="002A6AC6" w:rsidRDefault="0029430D">
            <w:pPr>
              <w:jc w:val="center"/>
              <w:rPr>
                <w:sz w:val="22"/>
                <w:szCs w:val="22"/>
              </w:rPr>
            </w:pPr>
            <w:r w:rsidRPr="002A6AC6">
              <w:rPr>
                <w:sz w:val="22"/>
                <w:szCs w:val="22"/>
              </w:rPr>
              <w:t>-0.17</w:t>
            </w:r>
          </w:p>
        </w:tc>
      </w:tr>
      <w:tr w:rsidR="0029430D" w:rsidRPr="002A6AC6" w14:paraId="58188493" w14:textId="77777777" w:rsidTr="00312F3E">
        <w:trPr>
          <w:jc w:val="center"/>
        </w:trPr>
        <w:tc>
          <w:tcPr>
            <w:tcW w:w="1258" w:type="pct"/>
            <w:tcBorders>
              <w:left w:val="nil"/>
              <w:right w:val="nil"/>
            </w:tcBorders>
            <w:hideMark/>
          </w:tcPr>
          <w:p w14:paraId="383EFCF0" w14:textId="77777777" w:rsidR="0029430D" w:rsidRPr="006A7320" w:rsidRDefault="0029430D">
            <w:pPr>
              <w:rPr>
                <w:b/>
                <w:bCs/>
                <w:sz w:val="22"/>
                <w:szCs w:val="22"/>
                <w:lang w:val="en-US"/>
              </w:rPr>
            </w:pPr>
            <w:r w:rsidRPr="006A7320">
              <w:rPr>
                <w:sz w:val="22"/>
                <w:szCs w:val="22"/>
                <w:lang w:val="en-US"/>
              </w:rPr>
              <w:t>Subjects (%) achieving: HbA1c &lt; 7% (LOCF)</w:t>
            </w:r>
            <w:r w:rsidRPr="006A7320">
              <w:rPr>
                <w:sz w:val="22"/>
                <w:szCs w:val="22"/>
                <w:vertAlign w:val="superscript"/>
                <w:lang w:val="en-US"/>
              </w:rPr>
              <w:t>d</w:t>
            </w:r>
          </w:p>
          <w:p w14:paraId="637A5B14" w14:textId="77777777" w:rsidR="0029430D" w:rsidRPr="006A7320" w:rsidRDefault="0029430D">
            <w:pPr>
              <w:ind w:left="179"/>
              <w:rPr>
                <w:b/>
                <w:bCs/>
                <w:sz w:val="22"/>
                <w:szCs w:val="22"/>
                <w:lang w:val="en-US"/>
              </w:rPr>
            </w:pPr>
            <w:r w:rsidRPr="006A7320">
              <w:rPr>
                <w:b/>
                <w:bCs/>
                <w:sz w:val="22"/>
                <w:szCs w:val="22"/>
                <w:lang w:val="en-US"/>
              </w:rPr>
              <w:t>Adjusted for baseline</w:t>
            </w:r>
          </w:p>
        </w:tc>
        <w:tc>
          <w:tcPr>
            <w:tcW w:w="1079" w:type="pct"/>
            <w:tcBorders>
              <w:left w:val="nil"/>
              <w:right w:val="nil"/>
            </w:tcBorders>
          </w:tcPr>
          <w:p w14:paraId="6804EA93" w14:textId="77777777" w:rsidR="0029430D" w:rsidRPr="006A7320" w:rsidRDefault="0029430D">
            <w:pPr>
              <w:jc w:val="center"/>
              <w:rPr>
                <w:sz w:val="22"/>
                <w:szCs w:val="22"/>
                <w:lang w:val="en-US"/>
              </w:rPr>
            </w:pPr>
          </w:p>
          <w:p w14:paraId="1FA80137" w14:textId="77777777" w:rsidR="0029430D" w:rsidRPr="006A7320" w:rsidRDefault="0029430D">
            <w:pPr>
              <w:jc w:val="center"/>
              <w:rPr>
                <w:sz w:val="22"/>
                <w:szCs w:val="22"/>
                <w:lang w:val="en-US"/>
              </w:rPr>
            </w:pPr>
          </w:p>
          <w:p w14:paraId="0B435F78" w14:textId="77777777" w:rsidR="0029430D" w:rsidRPr="002A6AC6" w:rsidRDefault="0029430D">
            <w:pPr>
              <w:jc w:val="center"/>
              <w:rPr>
                <w:sz w:val="22"/>
                <w:szCs w:val="22"/>
              </w:rPr>
            </w:pPr>
            <w:r w:rsidRPr="002A6AC6">
              <w:rPr>
                <w:sz w:val="22"/>
                <w:szCs w:val="22"/>
              </w:rPr>
              <w:t>31.7</w:t>
            </w:r>
            <w:r w:rsidRPr="002A6AC6">
              <w:rPr>
                <w:sz w:val="22"/>
                <w:szCs w:val="22"/>
                <w:vertAlign w:val="superscript"/>
              </w:rPr>
              <w:t>*</w:t>
            </w:r>
          </w:p>
        </w:tc>
        <w:tc>
          <w:tcPr>
            <w:tcW w:w="861" w:type="pct"/>
            <w:gridSpan w:val="2"/>
            <w:tcBorders>
              <w:left w:val="nil"/>
              <w:right w:val="nil"/>
            </w:tcBorders>
          </w:tcPr>
          <w:p w14:paraId="32B232D2" w14:textId="77777777" w:rsidR="0029430D" w:rsidRPr="002A6AC6" w:rsidRDefault="0029430D">
            <w:pPr>
              <w:jc w:val="center"/>
              <w:rPr>
                <w:sz w:val="22"/>
                <w:szCs w:val="22"/>
              </w:rPr>
            </w:pPr>
          </w:p>
          <w:p w14:paraId="79546CEA" w14:textId="77777777" w:rsidR="0029430D" w:rsidRPr="002A6AC6" w:rsidRDefault="0029430D">
            <w:pPr>
              <w:jc w:val="center"/>
              <w:rPr>
                <w:sz w:val="22"/>
                <w:szCs w:val="22"/>
              </w:rPr>
            </w:pPr>
          </w:p>
          <w:p w14:paraId="36E349EA" w14:textId="77777777" w:rsidR="0029430D" w:rsidRPr="002A6AC6" w:rsidRDefault="0029430D">
            <w:pPr>
              <w:jc w:val="center"/>
              <w:rPr>
                <w:sz w:val="22"/>
                <w:szCs w:val="22"/>
              </w:rPr>
            </w:pPr>
            <w:r w:rsidRPr="002A6AC6">
              <w:rPr>
                <w:sz w:val="22"/>
                <w:szCs w:val="22"/>
              </w:rPr>
              <w:t>13.0</w:t>
            </w:r>
          </w:p>
        </w:tc>
        <w:tc>
          <w:tcPr>
            <w:tcW w:w="924" w:type="pct"/>
            <w:tcBorders>
              <w:left w:val="nil"/>
              <w:right w:val="nil"/>
            </w:tcBorders>
          </w:tcPr>
          <w:p w14:paraId="4897680E" w14:textId="77777777" w:rsidR="0029430D" w:rsidRPr="002A6AC6" w:rsidRDefault="0029430D">
            <w:pPr>
              <w:jc w:val="center"/>
              <w:rPr>
                <w:sz w:val="22"/>
                <w:szCs w:val="22"/>
              </w:rPr>
            </w:pPr>
          </w:p>
          <w:p w14:paraId="737FB6F3" w14:textId="77777777" w:rsidR="0029430D" w:rsidRPr="002A6AC6" w:rsidRDefault="0029430D">
            <w:pPr>
              <w:jc w:val="center"/>
              <w:rPr>
                <w:sz w:val="22"/>
                <w:szCs w:val="22"/>
              </w:rPr>
            </w:pPr>
          </w:p>
          <w:p w14:paraId="059A8EA1" w14:textId="77777777" w:rsidR="0029430D" w:rsidRPr="002A6AC6" w:rsidRDefault="0029430D">
            <w:pPr>
              <w:jc w:val="center"/>
              <w:rPr>
                <w:sz w:val="22"/>
                <w:szCs w:val="22"/>
              </w:rPr>
            </w:pPr>
            <w:r w:rsidRPr="002A6AC6">
              <w:rPr>
                <w:sz w:val="22"/>
                <w:szCs w:val="22"/>
              </w:rPr>
              <w:t>31.8</w:t>
            </w:r>
            <w:r w:rsidRPr="002A6AC6">
              <w:rPr>
                <w:sz w:val="22"/>
                <w:szCs w:val="22"/>
                <w:vertAlign w:val="superscript"/>
              </w:rPr>
              <w:t>*</w:t>
            </w:r>
          </w:p>
        </w:tc>
        <w:tc>
          <w:tcPr>
            <w:tcW w:w="875" w:type="pct"/>
            <w:tcBorders>
              <w:left w:val="nil"/>
              <w:right w:val="nil"/>
            </w:tcBorders>
          </w:tcPr>
          <w:p w14:paraId="155E5DD4" w14:textId="77777777" w:rsidR="0029430D" w:rsidRPr="002A6AC6" w:rsidRDefault="0029430D">
            <w:pPr>
              <w:jc w:val="center"/>
              <w:rPr>
                <w:sz w:val="22"/>
                <w:szCs w:val="22"/>
              </w:rPr>
            </w:pPr>
          </w:p>
          <w:p w14:paraId="60424F5A" w14:textId="77777777" w:rsidR="0029430D" w:rsidRPr="002A6AC6" w:rsidRDefault="0029430D">
            <w:pPr>
              <w:jc w:val="center"/>
              <w:rPr>
                <w:sz w:val="22"/>
                <w:szCs w:val="22"/>
              </w:rPr>
            </w:pPr>
          </w:p>
          <w:p w14:paraId="6AEB1885" w14:textId="77777777" w:rsidR="0029430D" w:rsidRPr="002A6AC6" w:rsidRDefault="0029430D">
            <w:pPr>
              <w:jc w:val="center"/>
              <w:rPr>
                <w:sz w:val="22"/>
                <w:szCs w:val="22"/>
              </w:rPr>
            </w:pPr>
            <w:r w:rsidRPr="002A6AC6">
              <w:rPr>
                <w:sz w:val="22"/>
                <w:szCs w:val="22"/>
              </w:rPr>
              <w:t>11.1</w:t>
            </w:r>
          </w:p>
        </w:tc>
      </w:tr>
      <w:tr w:rsidR="0029430D" w:rsidRPr="002A6AC6" w14:paraId="6646CFC0" w14:textId="77777777" w:rsidTr="00312F3E">
        <w:trPr>
          <w:jc w:val="center"/>
        </w:trPr>
        <w:tc>
          <w:tcPr>
            <w:tcW w:w="1258" w:type="pct"/>
            <w:tcBorders>
              <w:top w:val="single" w:sz="4" w:space="0" w:color="7F7F7F" w:themeColor="text1" w:themeTint="80"/>
              <w:left w:val="nil"/>
              <w:bottom w:val="single" w:sz="18" w:space="0" w:color="auto"/>
              <w:right w:val="nil"/>
            </w:tcBorders>
            <w:hideMark/>
          </w:tcPr>
          <w:p w14:paraId="3FA2E8B9" w14:textId="77777777" w:rsidR="0029430D" w:rsidRPr="006A7320" w:rsidRDefault="0029430D">
            <w:pPr>
              <w:rPr>
                <w:b/>
                <w:bCs/>
                <w:sz w:val="22"/>
                <w:szCs w:val="22"/>
                <w:lang w:val="en-US"/>
              </w:rPr>
            </w:pPr>
            <w:r w:rsidRPr="006A7320">
              <w:rPr>
                <w:sz w:val="22"/>
                <w:szCs w:val="22"/>
                <w:lang w:val="en-US"/>
              </w:rPr>
              <w:t>Body weight (kg)</w:t>
            </w:r>
          </w:p>
          <w:p w14:paraId="67C6DB92" w14:textId="77777777" w:rsidR="0029430D" w:rsidRPr="006A7320" w:rsidRDefault="0029430D">
            <w:pPr>
              <w:ind w:left="179"/>
              <w:rPr>
                <w:sz w:val="22"/>
                <w:szCs w:val="22"/>
                <w:lang w:val="en-US"/>
              </w:rPr>
            </w:pPr>
            <w:r w:rsidRPr="006A7320">
              <w:rPr>
                <w:sz w:val="22"/>
                <w:szCs w:val="22"/>
                <w:lang w:val="en-US"/>
              </w:rPr>
              <w:t>(LOCF)</w:t>
            </w:r>
            <w:r w:rsidRPr="006A7320">
              <w:rPr>
                <w:sz w:val="22"/>
                <w:szCs w:val="22"/>
                <w:vertAlign w:val="superscript"/>
                <w:lang w:val="en-US"/>
              </w:rPr>
              <w:t>d</w:t>
            </w:r>
          </w:p>
          <w:p w14:paraId="52E24C20" w14:textId="77777777" w:rsidR="0029430D" w:rsidRPr="006A7320" w:rsidRDefault="0029430D">
            <w:pPr>
              <w:ind w:left="179"/>
              <w:rPr>
                <w:b/>
                <w:bCs/>
                <w:sz w:val="22"/>
                <w:szCs w:val="22"/>
                <w:lang w:val="en-US"/>
              </w:rPr>
            </w:pPr>
            <w:r w:rsidRPr="006A7320">
              <w:rPr>
                <w:b/>
                <w:bCs/>
                <w:sz w:val="22"/>
                <w:szCs w:val="22"/>
                <w:lang w:val="en-US"/>
              </w:rPr>
              <w:t>Baseline (mean)</w:t>
            </w:r>
          </w:p>
          <w:p w14:paraId="4E8F4A88" w14:textId="77777777" w:rsidR="0029430D" w:rsidRPr="006A7320" w:rsidRDefault="0029430D">
            <w:pPr>
              <w:ind w:left="179"/>
              <w:rPr>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6A2B1440" w14:textId="77777777" w:rsidR="0029430D" w:rsidRPr="006A7320" w:rsidRDefault="0029430D">
            <w:pPr>
              <w:ind w:left="179"/>
              <w:rPr>
                <w:b/>
                <w:bCs/>
                <w:sz w:val="22"/>
                <w:szCs w:val="22"/>
                <w:lang w:val="en-US"/>
              </w:rPr>
            </w:pPr>
            <w:r w:rsidRPr="006A7320">
              <w:rPr>
                <w:b/>
                <w:bCs/>
                <w:sz w:val="22"/>
                <w:szCs w:val="22"/>
                <w:lang w:val="en-US"/>
              </w:rPr>
              <w:t xml:space="preserve">Difference from </w:t>
            </w:r>
            <w:proofErr w:type="spellStart"/>
            <w:r w:rsidRPr="006A7320">
              <w:rPr>
                <w:b/>
                <w:bCs/>
                <w:sz w:val="22"/>
                <w:szCs w:val="22"/>
                <w:lang w:val="en-US"/>
              </w:rPr>
              <w:t>placebo</w:t>
            </w:r>
            <w:r w:rsidRPr="006A7320">
              <w:rPr>
                <w:b/>
                <w:bCs/>
                <w:sz w:val="22"/>
                <w:szCs w:val="22"/>
                <w:vertAlign w:val="superscript"/>
                <w:lang w:val="en-US"/>
              </w:rPr>
              <w:t>c</w:t>
            </w:r>
            <w:proofErr w:type="spellEnd"/>
          </w:p>
          <w:p w14:paraId="11B4DB15" w14:textId="77777777" w:rsidR="0029430D" w:rsidRPr="002A6AC6" w:rsidRDefault="0029430D">
            <w:pPr>
              <w:ind w:left="462"/>
              <w:rPr>
                <w:sz w:val="22"/>
                <w:szCs w:val="22"/>
              </w:rPr>
            </w:pPr>
            <w:r w:rsidRPr="002A6AC6">
              <w:rPr>
                <w:b/>
                <w:bCs/>
                <w:sz w:val="22"/>
                <w:szCs w:val="22"/>
              </w:rPr>
              <w:t>(95% CI)</w:t>
            </w:r>
          </w:p>
        </w:tc>
        <w:tc>
          <w:tcPr>
            <w:tcW w:w="1079" w:type="pct"/>
            <w:tcBorders>
              <w:top w:val="single" w:sz="4" w:space="0" w:color="7F7F7F" w:themeColor="text1" w:themeTint="80"/>
              <w:left w:val="nil"/>
              <w:bottom w:val="single" w:sz="18" w:space="0" w:color="auto"/>
              <w:right w:val="nil"/>
            </w:tcBorders>
          </w:tcPr>
          <w:p w14:paraId="62456375" w14:textId="77777777" w:rsidR="0029430D" w:rsidRPr="002A6AC6" w:rsidRDefault="0029430D">
            <w:pPr>
              <w:jc w:val="center"/>
              <w:rPr>
                <w:sz w:val="22"/>
                <w:szCs w:val="22"/>
              </w:rPr>
            </w:pPr>
          </w:p>
          <w:p w14:paraId="1B056D80" w14:textId="77777777" w:rsidR="0029430D" w:rsidRPr="002A6AC6" w:rsidRDefault="0029430D">
            <w:pPr>
              <w:jc w:val="center"/>
              <w:rPr>
                <w:sz w:val="22"/>
                <w:szCs w:val="22"/>
              </w:rPr>
            </w:pPr>
          </w:p>
          <w:p w14:paraId="3A4693DA" w14:textId="77777777" w:rsidR="0029430D" w:rsidRPr="002A6AC6" w:rsidRDefault="0029430D">
            <w:pPr>
              <w:jc w:val="center"/>
              <w:rPr>
                <w:sz w:val="22"/>
                <w:szCs w:val="22"/>
              </w:rPr>
            </w:pPr>
            <w:r w:rsidRPr="002A6AC6">
              <w:rPr>
                <w:sz w:val="22"/>
                <w:szCs w:val="22"/>
              </w:rPr>
              <w:t>80.56</w:t>
            </w:r>
          </w:p>
          <w:p w14:paraId="40A2EF8E" w14:textId="77777777" w:rsidR="0029430D" w:rsidRPr="002A6AC6" w:rsidRDefault="0029430D">
            <w:pPr>
              <w:jc w:val="center"/>
              <w:rPr>
                <w:sz w:val="22"/>
                <w:szCs w:val="22"/>
              </w:rPr>
            </w:pPr>
            <w:r w:rsidRPr="002A6AC6">
              <w:rPr>
                <w:sz w:val="22"/>
                <w:szCs w:val="22"/>
              </w:rPr>
              <w:t>-2.26</w:t>
            </w:r>
          </w:p>
          <w:p w14:paraId="45CD00DD" w14:textId="77777777" w:rsidR="0029430D" w:rsidRPr="002A6AC6" w:rsidRDefault="0029430D">
            <w:pPr>
              <w:jc w:val="center"/>
              <w:rPr>
                <w:sz w:val="22"/>
                <w:szCs w:val="22"/>
              </w:rPr>
            </w:pPr>
            <w:r w:rsidRPr="002A6AC6">
              <w:rPr>
                <w:sz w:val="22"/>
                <w:szCs w:val="22"/>
              </w:rPr>
              <w:t>-1.54</w:t>
            </w:r>
            <w:r w:rsidRPr="002A6AC6">
              <w:rPr>
                <w:sz w:val="22"/>
                <w:szCs w:val="22"/>
                <w:vertAlign w:val="superscript"/>
              </w:rPr>
              <w:t>*</w:t>
            </w:r>
          </w:p>
          <w:p w14:paraId="64A6F5CD" w14:textId="77777777" w:rsidR="0029430D" w:rsidRPr="002A6AC6" w:rsidRDefault="0029430D">
            <w:pPr>
              <w:jc w:val="center"/>
              <w:rPr>
                <w:sz w:val="22"/>
                <w:szCs w:val="22"/>
              </w:rPr>
            </w:pPr>
            <w:r w:rsidRPr="002A6AC6">
              <w:rPr>
                <w:sz w:val="22"/>
                <w:szCs w:val="22"/>
              </w:rPr>
              <w:t>(-2.17, -0.92)</w:t>
            </w:r>
          </w:p>
        </w:tc>
        <w:tc>
          <w:tcPr>
            <w:tcW w:w="861" w:type="pct"/>
            <w:gridSpan w:val="2"/>
            <w:tcBorders>
              <w:top w:val="single" w:sz="4" w:space="0" w:color="7F7F7F" w:themeColor="text1" w:themeTint="80"/>
              <w:left w:val="nil"/>
              <w:bottom w:val="single" w:sz="18" w:space="0" w:color="auto"/>
              <w:right w:val="nil"/>
            </w:tcBorders>
          </w:tcPr>
          <w:p w14:paraId="7430994E" w14:textId="77777777" w:rsidR="0029430D" w:rsidRPr="002A6AC6" w:rsidRDefault="0029430D">
            <w:pPr>
              <w:jc w:val="center"/>
              <w:rPr>
                <w:sz w:val="22"/>
                <w:szCs w:val="22"/>
              </w:rPr>
            </w:pPr>
          </w:p>
          <w:p w14:paraId="07762B64" w14:textId="77777777" w:rsidR="0029430D" w:rsidRPr="002A6AC6" w:rsidRDefault="0029430D">
            <w:pPr>
              <w:jc w:val="center"/>
              <w:rPr>
                <w:sz w:val="22"/>
                <w:szCs w:val="22"/>
              </w:rPr>
            </w:pPr>
          </w:p>
          <w:p w14:paraId="5B6B5E16" w14:textId="77777777" w:rsidR="0029430D" w:rsidRPr="002A6AC6" w:rsidRDefault="0029430D">
            <w:pPr>
              <w:jc w:val="center"/>
              <w:rPr>
                <w:sz w:val="22"/>
                <w:szCs w:val="22"/>
              </w:rPr>
            </w:pPr>
            <w:r w:rsidRPr="002A6AC6">
              <w:rPr>
                <w:sz w:val="22"/>
                <w:szCs w:val="22"/>
              </w:rPr>
              <w:t>80.94</w:t>
            </w:r>
          </w:p>
          <w:p w14:paraId="41056C20" w14:textId="77777777" w:rsidR="0029430D" w:rsidRPr="002A6AC6" w:rsidRDefault="0029430D">
            <w:pPr>
              <w:jc w:val="center"/>
              <w:rPr>
                <w:sz w:val="22"/>
                <w:szCs w:val="22"/>
              </w:rPr>
            </w:pPr>
            <w:r w:rsidRPr="002A6AC6">
              <w:rPr>
                <w:sz w:val="22"/>
                <w:szCs w:val="22"/>
              </w:rPr>
              <w:t>-0.72</w:t>
            </w:r>
          </w:p>
        </w:tc>
        <w:tc>
          <w:tcPr>
            <w:tcW w:w="924" w:type="pct"/>
            <w:tcBorders>
              <w:top w:val="single" w:sz="4" w:space="0" w:color="7F7F7F" w:themeColor="text1" w:themeTint="80"/>
              <w:left w:val="nil"/>
              <w:bottom w:val="single" w:sz="18" w:space="0" w:color="auto"/>
              <w:right w:val="nil"/>
            </w:tcBorders>
          </w:tcPr>
          <w:p w14:paraId="0811E451" w14:textId="77777777" w:rsidR="0029430D" w:rsidRPr="002A6AC6" w:rsidRDefault="0029430D">
            <w:pPr>
              <w:jc w:val="center"/>
              <w:rPr>
                <w:sz w:val="22"/>
                <w:szCs w:val="22"/>
              </w:rPr>
            </w:pPr>
          </w:p>
          <w:p w14:paraId="31709EFD" w14:textId="77777777" w:rsidR="0029430D" w:rsidRPr="002A6AC6" w:rsidRDefault="0029430D">
            <w:pPr>
              <w:jc w:val="center"/>
              <w:rPr>
                <w:sz w:val="22"/>
                <w:szCs w:val="22"/>
              </w:rPr>
            </w:pPr>
          </w:p>
          <w:p w14:paraId="48902627" w14:textId="77777777" w:rsidR="0029430D" w:rsidRPr="002A6AC6" w:rsidRDefault="0029430D">
            <w:pPr>
              <w:jc w:val="center"/>
              <w:rPr>
                <w:sz w:val="22"/>
                <w:szCs w:val="22"/>
              </w:rPr>
            </w:pPr>
            <w:r w:rsidRPr="002A6AC6">
              <w:rPr>
                <w:sz w:val="22"/>
                <w:szCs w:val="22"/>
              </w:rPr>
              <w:t>88.57</w:t>
            </w:r>
          </w:p>
          <w:p w14:paraId="5D1482A1" w14:textId="77777777" w:rsidR="0029430D" w:rsidRPr="002A6AC6" w:rsidRDefault="0029430D">
            <w:pPr>
              <w:jc w:val="center"/>
              <w:rPr>
                <w:sz w:val="22"/>
                <w:szCs w:val="22"/>
              </w:rPr>
            </w:pPr>
            <w:r w:rsidRPr="002A6AC6">
              <w:rPr>
                <w:sz w:val="22"/>
                <w:szCs w:val="22"/>
              </w:rPr>
              <w:t>-2.65</w:t>
            </w:r>
          </w:p>
          <w:p w14:paraId="76E439DE" w14:textId="77777777" w:rsidR="0029430D" w:rsidRPr="002A6AC6" w:rsidRDefault="0029430D">
            <w:pPr>
              <w:jc w:val="center"/>
              <w:rPr>
                <w:sz w:val="22"/>
                <w:szCs w:val="22"/>
              </w:rPr>
            </w:pPr>
            <w:r w:rsidRPr="002A6AC6">
              <w:rPr>
                <w:sz w:val="22"/>
                <w:szCs w:val="22"/>
              </w:rPr>
              <w:t>−2.07</w:t>
            </w:r>
            <w:r w:rsidRPr="002A6AC6">
              <w:rPr>
                <w:sz w:val="22"/>
                <w:szCs w:val="22"/>
                <w:vertAlign w:val="superscript"/>
              </w:rPr>
              <w:t>*</w:t>
            </w:r>
          </w:p>
          <w:p w14:paraId="2C8D029E" w14:textId="77777777" w:rsidR="0029430D" w:rsidRPr="002A6AC6" w:rsidRDefault="0029430D">
            <w:pPr>
              <w:jc w:val="center"/>
              <w:rPr>
                <w:sz w:val="22"/>
                <w:szCs w:val="22"/>
              </w:rPr>
            </w:pPr>
            <w:r w:rsidRPr="002A6AC6">
              <w:rPr>
                <w:sz w:val="22"/>
                <w:szCs w:val="22"/>
              </w:rPr>
              <w:t>(−2.79, −1.35)</w:t>
            </w:r>
          </w:p>
        </w:tc>
        <w:tc>
          <w:tcPr>
            <w:tcW w:w="875" w:type="pct"/>
            <w:tcBorders>
              <w:top w:val="single" w:sz="4" w:space="0" w:color="7F7F7F" w:themeColor="text1" w:themeTint="80"/>
              <w:left w:val="nil"/>
              <w:bottom w:val="single" w:sz="18" w:space="0" w:color="auto"/>
              <w:right w:val="nil"/>
            </w:tcBorders>
          </w:tcPr>
          <w:p w14:paraId="38AA42BD" w14:textId="77777777" w:rsidR="0029430D" w:rsidRPr="002A6AC6" w:rsidRDefault="0029430D">
            <w:pPr>
              <w:jc w:val="center"/>
              <w:rPr>
                <w:sz w:val="22"/>
                <w:szCs w:val="22"/>
              </w:rPr>
            </w:pPr>
          </w:p>
          <w:p w14:paraId="76CF103E" w14:textId="77777777" w:rsidR="0029430D" w:rsidRPr="002A6AC6" w:rsidRDefault="0029430D">
            <w:pPr>
              <w:jc w:val="center"/>
              <w:rPr>
                <w:sz w:val="22"/>
                <w:szCs w:val="22"/>
              </w:rPr>
            </w:pPr>
          </w:p>
          <w:p w14:paraId="00AF1496" w14:textId="77777777" w:rsidR="0029430D" w:rsidRPr="002A6AC6" w:rsidRDefault="0029430D">
            <w:pPr>
              <w:jc w:val="center"/>
              <w:rPr>
                <w:sz w:val="22"/>
                <w:szCs w:val="22"/>
              </w:rPr>
            </w:pPr>
            <w:r w:rsidRPr="002A6AC6">
              <w:rPr>
                <w:sz w:val="22"/>
                <w:szCs w:val="22"/>
              </w:rPr>
              <w:t>90.07</w:t>
            </w:r>
          </w:p>
          <w:p w14:paraId="57B56DEC" w14:textId="77777777" w:rsidR="0029430D" w:rsidRPr="002A6AC6" w:rsidRDefault="0029430D">
            <w:pPr>
              <w:jc w:val="center"/>
              <w:rPr>
                <w:sz w:val="22"/>
                <w:szCs w:val="22"/>
              </w:rPr>
            </w:pPr>
            <w:r w:rsidRPr="002A6AC6">
              <w:rPr>
                <w:sz w:val="22"/>
                <w:szCs w:val="22"/>
              </w:rPr>
              <w:t>-0.58</w:t>
            </w:r>
          </w:p>
        </w:tc>
      </w:tr>
    </w:tbl>
    <w:p w14:paraId="459CD5F6" w14:textId="2C2CE5FD" w:rsidR="0029430D" w:rsidRPr="00583F33" w:rsidRDefault="0029430D" w:rsidP="002A6AC6">
      <w:pPr>
        <w:ind w:left="284" w:hanging="284"/>
        <w:rPr>
          <w:sz w:val="20"/>
          <w:lang w:val="en-GB" w:eastAsia="en-US"/>
        </w:rPr>
      </w:pPr>
      <w:r w:rsidRPr="00583F33">
        <w:rPr>
          <w:sz w:val="20"/>
          <w:vertAlign w:val="superscript"/>
        </w:rPr>
        <w:t>1</w:t>
      </w:r>
      <w:r w:rsidR="002A6AC6" w:rsidRPr="00583F33">
        <w:rPr>
          <w:sz w:val="20"/>
          <w:vertAlign w:val="superscript"/>
        </w:rPr>
        <w:tab/>
      </w:r>
      <w:proofErr w:type="spellStart"/>
      <w:r w:rsidR="002A6AC6" w:rsidRPr="00583F33">
        <w:rPr>
          <w:sz w:val="20"/>
        </w:rPr>
        <w:t>Gl</w:t>
      </w:r>
      <w:r w:rsidRPr="00583F33">
        <w:rPr>
          <w:sz w:val="20"/>
        </w:rPr>
        <w:t>imepiride</w:t>
      </w:r>
      <w:proofErr w:type="spellEnd"/>
      <w:r w:rsidRPr="00583F33">
        <w:rPr>
          <w:sz w:val="20"/>
        </w:rPr>
        <w:t xml:space="preserve"> 4 mg/</w:t>
      </w:r>
      <w:proofErr w:type="spellStart"/>
      <w:r w:rsidRPr="00583F33">
        <w:rPr>
          <w:sz w:val="20"/>
        </w:rPr>
        <w:t>day</w:t>
      </w:r>
      <w:proofErr w:type="spellEnd"/>
      <w:r w:rsidRPr="00583F33">
        <w:rPr>
          <w:sz w:val="20"/>
        </w:rPr>
        <w:t>;</w:t>
      </w:r>
    </w:p>
    <w:p w14:paraId="2CC916B6" w14:textId="517FDCC5" w:rsidR="0029430D" w:rsidRPr="00583F33" w:rsidRDefault="0029430D" w:rsidP="002A6AC6">
      <w:pPr>
        <w:ind w:left="284" w:hanging="284"/>
        <w:rPr>
          <w:sz w:val="20"/>
          <w:lang w:val="en-US"/>
        </w:rPr>
      </w:pPr>
      <w:r w:rsidRPr="00583F33">
        <w:rPr>
          <w:sz w:val="20"/>
          <w:vertAlign w:val="superscript"/>
          <w:lang w:val="en-US"/>
        </w:rPr>
        <w:t>2</w:t>
      </w:r>
      <w:r w:rsidR="002A6AC6" w:rsidRPr="00583F33">
        <w:rPr>
          <w:sz w:val="20"/>
          <w:vertAlign w:val="superscript"/>
          <w:lang w:val="en-US"/>
        </w:rPr>
        <w:tab/>
      </w:r>
      <w:r w:rsidRPr="00583F33">
        <w:rPr>
          <w:sz w:val="20"/>
          <w:lang w:val="en-US"/>
        </w:rPr>
        <w:t xml:space="preserve">Metformin (immediate- or extended-release formulations) ≥1500 mg/day plus maximum tolerated dose, which must be at least half maximum dose, of a </w:t>
      </w:r>
      <w:proofErr w:type="spellStart"/>
      <w:r w:rsidRPr="00583F33">
        <w:rPr>
          <w:sz w:val="20"/>
          <w:lang w:val="en-US"/>
        </w:rPr>
        <w:t>sulphonylurea</w:t>
      </w:r>
      <w:proofErr w:type="spellEnd"/>
      <w:r w:rsidRPr="00583F33">
        <w:rPr>
          <w:sz w:val="20"/>
          <w:lang w:val="en-US"/>
        </w:rPr>
        <w:t xml:space="preserve"> for at least 8 weeks prior to enrolment.</w:t>
      </w:r>
    </w:p>
    <w:p w14:paraId="3978FD83" w14:textId="314564CF" w:rsidR="0029430D" w:rsidRPr="00583F33" w:rsidRDefault="0029430D" w:rsidP="002A6AC6">
      <w:pPr>
        <w:ind w:left="284" w:hanging="284"/>
        <w:rPr>
          <w:sz w:val="20"/>
          <w:lang w:val="en-US"/>
        </w:rPr>
      </w:pPr>
      <w:r w:rsidRPr="00583F33">
        <w:rPr>
          <w:sz w:val="20"/>
          <w:vertAlign w:val="superscript"/>
          <w:lang w:val="en-US"/>
        </w:rPr>
        <w:t>a</w:t>
      </w:r>
      <w:r w:rsidR="002A6AC6" w:rsidRPr="00583F33">
        <w:rPr>
          <w:sz w:val="20"/>
          <w:vertAlign w:val="superscript"/>
          <w:lang w:val="en-US"/>
        </w:rPr>
        <w:tab/>
      </w:r>
      <w:proofErr w:type="spellStart"/>
      <w:r w:rsidRPr="00583F33">
        <w:rPr>
          <w:sz w:val="20"/>
          <w:lang w:val="en-US"/>
        </w:rPr>
        <w:t>Randomised</w:t>
      </w:r>
      <w:proofErr w:type="spellEnd"/>
      <w:r w:rsidRPr="00583F33">
        <w:rPr>
          <w:sz w:val="20"/>
          <w:lang w:val="en-US"/>
        </w:rPr>
        <w:t xml:space="preserve"> and treated patients with baseline and at least 1 post-baseline efficacy measurement.</w:t>
      </w:r>
    </w:p>
    <w:p w14:paraId="71A269AC" w14:textId="4E391A9C" w:rsidR="0029430D" w:rsidRPr="00583F33" w:rsidRDefault="0029430D" w:rsidP="002A6AC6">
      <w:pPr>
        <w:ind w:left="284" w:hanging="284"/>
        <w:rPr>
          <w:sz w:val="20"/>
          <w:lang w:val="en-US"/>
        </w:rPr>
      </w:pPr>
      <w:r w:rsidRPr="00583F33">
        <w:rPr>
          <w:sz w:val="20"/>
          <w:vertAlign w:val="superscript"/>
          <w:lang w:val="en-US"/>
        </w:rPr>
        <w:t>b</w:t>
      </w:r>
      <w:r w:rsidR="002A6AC6" w:rsidRPr="00583F33">
        <w:rPr>
          <w:sz w:val="20"/>
          <w:vertAlign w:val="superscript"/>
          <w:lang w:val="en-US"/>
        </w:rPr>
        <w:tab/>
      </w:r>
      <w:r w:rsidRPr="00583F33">
        <w:rPr>
          <w:sz w:val="20"/>
          <w:lang w:val="en-US"/>
        </w:rPr>
        <w:t xml:space="preserve">Columns 1 and 2, HbA1c </w:t>
      </w:r>
      <w:proofErr w:type="spellStart"/>
      <w:r w:rsidRPr="00583F33">
        <w:rPr>
          <w:sz w:val="20"/>
          <w:lang w:val="en-US"/>
        </w:rPr>
        <w:t>analysed</w:t>
      </w:r>
      <w:proofErr w:type="spellEnd"/>
      <w:r w:rsidRPr="00583F33">
        <w:rPr>
          <w:sz w:val="20"/>
          <w:lang w:val="en-US"/>
        </w:rPr>
        <w:t xml:space="preserve"> using LOCF (see footnote d); Columns 3 and 4, HbA1c </w:t>
      </w:r>
      <w:proofErr w:type="spellStart"/>
      <w:r w:rsidRPr="00583F33">
        <w:rPr>
          <w:sz w:val="20"/>
          <w:lang w:val="en-US"/>
        </w:rPr>
        <w:t>analysed</w:t>
      </w:r>
      <w:proofErr w:type="spellEnd"/>
      <w:r w:rsidRPr="00583F33">
        <w:rPr>
          <w:sz w:val="20"/>
          <w:lang w:val="en-US"/>
        </w:rPr>
        <w:t xml:space="preserve"> using LRM (see footnote e)</w:t>
      </w:r>
    </w:p>
    <w:p w14:paraId="7EBCD894" w14:textId="7FBEC276" w:rsidR="0029430D" w:rsidRPr="00583F33" w:rsidRDefault="0029430D" w:rsidP="002A6AC6">
      <w:pPr>
        <w:ind w:left="284" w:hanging="284"/>
        <w:rPr>
          <w:sz w:val="20"/>
          <w:lang w:val="en-US"/>
        </w:rPr>
      </w:pPr>
      <w:r w:rsidRPr="00583F33">
        <w:rPr>
          <w:sz w:val="20"/>
          <w:vertAlign w:val="superscript"/>
          <w:lang w:val="en-US"/>
        </w:rPr>
        <w:t>c</w:t>
      </w:r>
      <w:r w:rsidR="002A6AC6" w:rsidRPr="00583F33">
        <w:rPr>
          <w:sz w:val="20"/>
          <w:vertAlign w:val="superscript"/>
          <w:lang w:val="en-US"/>
        </w:rPr>
        <w:tab/>
      </w:r>
      <w:r w:rsidRPr="00583F33">
        <w:rPr>
          <w:sz w:val="20"/>
          <w:lang w:val="en-US"/>
        </w:rPr>
        <w:t>Least squares mean adjusted for baseline value</w:t>
      </w:r>
    </w:p>
    <w:p w14:paraId="2DCD9197" w14:textId="5437295E" w:rsidR="0029430D" w:rsidRPr="00583F33" w:rsidRDefault="0029430D" w:rsidP="002A6AC6">
      <w:pPr>
        <w:ind w:left="284" w:hanging="284"/>
        <w:rPr>
          <w:sz w:val="20"/>
          <w:lang w:val="en-US"/>
        </w:rPr>
      </w:pPr>
      <w:r w:rsidRPr="00583F33">
        <w:rPr>
          <w:sz w:val="20"/>
          <w:vertAlign w:val="superscript"/>
          <w:lang w:val="en-US"/>
        </w:rPr>
        <w:t>d</w:t>
      </w:r>
      <w:r w:rsidR="002A6AC6" w:rsidRPr="00583F33">
        <w:rPr>
          <w:sz w:val="20"/>
          <w:vertAlign w:val="superscript"/>
          <w:lang w:val="en-US"/>
        </w:rPr>
        <w:tab/>
      </w:r>
      <w:r w:rsidRPr="00583F33">
        <w:rPr>
          <w:sz w:val="20"/>
          <w:lang w:val="en-US"/>
        </w:rPr>
        <w:t>LOCF: Last observation (prior to rescue for rescued subjects) carried forward</w:t>
      </w:r>
    </w:p>
    <w:p w14:paraId="42571004" w14:textId="633AE8C4" w:rsidR="0029430D" w:rsidRPr="00583F33" w:rsidRDefault="0029430D" w:rsidP="002A6AC6">
      <w:pPr>
        <w:ind w:left="284" w:hanging="284"/>
        <w:rPr>
          <w:sz w:val="20"/>
          <w:lang w:val="en-US"/>
        </w:rPr>
      </w:pPr>
      <w:r w:rsidRPr="00583F33">
        <w:rPr>
          <w:sz w:val="20"/>
          <w:vertAlign w:val="superscript"/>
          <w:lang w:val="en-US"/>
        </w:rPr>
        <w:t>e</w:t>
      </w:r>
      <w:r w:rsidR="002A6AC6" w:rsidRPr="00583F33">
        <w:rPr>
          <w:sz w:val="20"/>
          <w:vertAlign w:val="superscript"/>
          <w:lang w:val="en-US"/>
        </w:rPr>
        <w:tab/>
      </w:r>
      <w:r w:rsidRPr="00583F33">
        <w:rPr>
          <w:sz w:val="20"/>
          <w:lang w:val="en-US"/>
        </w:rPr>
        <w:t>LRM: Longitudinal repeated measures analysis</w:t>
      </w:r>
    </w:p>
    <w:p w14:paraId="210E5235" w14:textId="66009D70" w:rsidR="0029430D" w:rsidRPr="00583F33" w:rsidRDefault="0029430D" w:rsidP="002A6AC6">
      <w:pPr>
        <w:ind w:left="284" w:hanging="284"/>
        <w:rPr>
          <w:sz w:val="20"/>
          <w:lang w:val="en-US"/>
        </w:rPr>
      </w:pPr>
      <w:r w:rsidRPr="00583F33">
        <w:rPr>
          <w:sz w:val="20"/>
          <w:vertAlign w:val="superscript"/>
          <w:lang w:val="en-US"/>
        </w:rPr>
        <w:t>*</w:t>
      </w:r>
      <w:r w:rsidR="002A6AC6" w:rsidRPr="00583F33">
        <w:rPr>
          <w:sz w:val="20"/>
          <w:vertAlign w:val="superscript"/>
          <w:lang w:val="en-US"/>
        </w:rPr>
        <w:tab/>
      </w:r>
      <w:r w:rsidRPr="00583F33">
        <w:rPr>
          <w:sz w:val="20"/>
          <w:lang w:val="en-US"/>
        </w:rPr>
        <w:t>p-value &lt; 0.0001 versus placebo + oral glucose-lowering medicinal product(s)</w:t>
      </w:r>
    </w:p>
    <w:p w14:paraId="3D746C2F" w14:textId="77777777" w:rsidR="0029430D" w:rsidRPr="00312F3E" w:rsidRDefault="0029430D" w:rsidP="0029430D">
      <w:pPr>
        <w:keepNext/>
        <w:pageBreakBefore/>
        <w:rPr>
          <w:sz w:val="24"/>
          <w:szCs w:val="24"/>
          <w:lang w:val="en-US"/>
        </w:rPr>
      </w:pPr>
      <w:r w:rsidRPr="00312F3E">
        <w:rPr>
          <w:b/>
          <w:bCs/>
          <w:sz w:val="24"/>
          <w:szCs w:val="24"/>
          <w:lang w:val="en-US"/>
        </w:rPr>
        <w:t>Table 6. Results at week 24 (</w:t>
      </w:r>
      <w:proofErr w:type="spellStart"/>
      <w:r w:rsidRPr="00312F3E">
        <w:rPr>
          <w:b/>
          <w:bCs/>
          <w:sz w:val="24"/>
          <w:szCs w:val="24"/>
          <w:lang w:val="en-US"/>
        </w:rPr>
        <w:t>LOCF</w:t>
      </w:r>
      <w:r w:rsidRPr="00312F3E">
        <w:rPr>
          <w:b/>
          <w:bCs/>
          <w:sz w:val="24"/>
          <w:szCs w:val="24"/>
          <w:vertAlign w:val="superscript"/>
          <w:lang w:val="en-US"/>
        </w:rPr>
        <w:t>a</w:t>
      </w:r>
      <w:proofErr w:type="spellEnd"/>
      <w:r w:rsidRPr="00312F3E">
        <w:rPr>
          <w:b/>
          <w:bCs/>
          <w:sz w:val="24"/>
          <w:szCs w:val="24"/>
          <w:lang w:val="en-US"/>
        </w:rPr>
        <w:t>) in a placebo-controlled study of dapagliflozin in combination with insulin (alone or with oral glucose-lowering medicinal products)</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352"/>
        <w:gridCol w:w="2487"/>
        <w:gridCol w:w="2799"/>
      </w:tblGrid>
      <w:tr w:rsidR="0029430D" w:rsidRPr="006A7320" w14:paraId="788F4341" w14:textId="77777777" w:rsidTr="00312F3E">
        <w:tc>
          <w:tcPr>
            <w:tcW w:w="2258" w:type="pct"/>
            <w:tcBorders>
              <w:top w:val="single" w:sz="18" w:space="0" w:color="auto"/>
              <w:left w:val="nil"/>
              <w:right w:val="nil"/>
            </w:tcBorders>
            <w:vAlign w:val="bottom"/>
          </w:tcPr>
          <w:p w14:paraId="36671201" w14:textId="77777777" w:rsidR="0029430D" w:rsidRPr="006A7320" w:rsidRDefault="0029430D">
            <w:pPr>
              <w:rPr>
                <w:b/>
                <w:bCs/>
                <w:sz w:val="22"/>
                <w:szCs w:val="22"/>
                <w:lang w:val="en-US"/>
              </w:rPr>
            </w:pPr>
          </w:p>
          <w:p w14:paraId="2B2A7C6B" w14:textId="77777777" w:rsidR="0029430D" w:rsidRPr="000B19A7" w:rsidRDefault="0029430D">
            <w:pPr>
              <w:rPr>
                <w:sz w:val="22"/>
                <w:szCs w:val="22"/>
              </w:rPr>
            </w:pPr>
            <w:r w:rsidRPr="000B19A7">
              <w:rPr>
                <w:sz w:val="22"/>
                <w:szCs w:val="22"/>
              </w:rPr>
              <w:t>Parameter</w:t>
            </w:r>
          </w:p>
        </w:tc>
        <w:tc>
          <w:tcPr>
            <w:tcW w:w="1290" w:type="pct"/>
            <w:tcBorders>
              <w:top w:val="single" w:sz="18" w:space="0" w:color="auto"/>
              <w:left w:val="nil"/>
              <w:right w:val="nil"/>
            </w:tcBorders>
            <w:hideMark/>
          </w:tcPr>
          <w:p w14:paraId="17F3D65C" w14:textId="77777777" w:rsidR="0029430D" w:rsidRPr="006A7320" w:rsidRDefault="0029430D">
            <w:pPr>
              <w:tabs>
                <w:tab w:val="left" w:pos="1304"/>
              </w:tabs>
              <w:autoSpaceDE w:val="0"/>
              <w:autoSpaceDN w:val="0"/>
              <w:adjustRightInd w:val="0"/>
              <w:jc w:val="center"/>
              <w:rPr>
                <w:sz w:val="22"/>
                <w:szCs w:val="22"/>
                <w:lang w:val="en-US"/>
              </w:rPr>
            </w:pPr>
            <w:r w:rsidRPr="006A7320">
              <w:rPr>
                <w:sz w:val="22"/>
                <w:szCs w:val="22"/>
                <w:lang w:val="en-US"/>
              </w:rPr>
              <w:t>Dapagliflozin 10 mg + insulin ± oral glucose-lowering medicinal products</w:t>
            </w:r>
            <w:r w:rsidRPr="006A7320">
              <w:rPr>
                <w:sz w:val="22"/>
                <w:szCs w:val="22"/>
                <w:vertAlign w:val="superscript"/>
                <w:lang w:val="en-US"/>
              </w:rPr>
              <w:t>2</w:t>
            </w:r>
          </w:p>
        </w:tc>
        <w:tc>
          <w:tcPr>
            <w:tcW w:w="1452" w:type="pct"/>
            <w:tcBorders>
              <w:top w:val="single" w:sz="18" w:space="0" w:color="auto"/>
              <w:left w:val="nil"/>
              <w:right w:val="nil"/>
            </w:tcBorders>
            <w:hideMark/>
          </w:tcPr>
          <w:p w14:paraId="007357D3" w14:textId="77777777" w:rsidR="0029430D" w:rsidRPr="006A7320" w:rsidRDefault="0029430D">
            <w:pPr>
              <w:jc w:val="center"/>
              <w:rPr>
                <w:b/>
                <w:bCs/>
                <w:sz w:val="22"/>
                <w:szCs w:val="22"/>
                <w:lang w:val="en-US"/>
              </w:rPr>
            </w:pPr>
            <w:r w:rsidRPr="006A7320">
              <w:rPr>
                <w:sz w:val="22"/>
                <w:szCs w:val="22"/>
                <w:lang w:val="en-US"/>
              </w:rPr>
              <w:t xml:space="preserve">Placebo </w:t>
            </w:r>
          </w:p>
          <w:p w14:paraId="63FCE94E" w14:textId="77777777" w:rsidR="0029430D" w:rsidRPr="006A7320" w:rsidRDefault="0029430D">
            <w:pPr>
              <w:jc w:val="center"/>
              <w:rPr>
                <w:sz w:val="22"/>
                <w:szCs w:val="22"/>
                <w:lang w:val="en-US"/>
              </w:rPr>
            </w:pPr>
            <w:r w:rsidRPr="006A7320">
              <w:rPr>
                <w:sz w:val="22"/>
                <w:szCs w:val="22"/>
                <w:lang w:val="en-US"/>
              </w:rPr>
              <w:t>+ insulin ± oral glucose-lowering medicinal products</w:t>
            </w:r>
            <w:r w:rsidRPr="006A7320">
              <w:rPr>
                <w:sz w:val="22"/>
                <w:szCs w:val="22"/>
                <w:vertAlign w:val="superscript"/>
                <w:lang w:val="en-US"/>
              </w:rPr>
              <w:t>2</w:t>
            </w:r>
          </w:p>
        </w:tc>
      </w:tr>
      <w:tr w:rsidR="0029430D" w:rsidRPr="000B19A7" w14:paraId="3498BD3E" w14:textId="77777777" w:rsidTr="00312F3E">
        <w:tc>
          <w:tcPr>
            <w:tcW w:w="2258" w:type="pct"/>
            <w:tcBorders>
              <w:left w:val="nil"/>
              <w:right w:val="nil"/>
            </w:tcBorders>
            <w:hideMark/>
          </w:tcPr>
          <w:p w14:paraId="2B140BD3" w14:textId="77777777" w:rsidR="0029430D" w:rsidRPr="000B19A7" w:rsidRDefault="0029430D">
            <w:pPr>
              <w:ind w:left="37"/>
              <w:rPr>
                <w:sz w:val="22"/>
                <w:szCs w:val="22"/>
              </w:rPr>
            </w:pPr>
            <w:r w:rsidRPr="000B19A7">
              <w:rPr>
                <w:sz w:val="22"/>
                <w:szCs w:val="22"/>
              </w:rPr>
              <w:t>N</w:t>
            </w:r>
            <w:r w:rsidRPr="000B19A7">
              <w:rPr>
                <w:sz w:val="22"/>
                <w:szCs w:val="22"/>
                <w:vertAlign w:val="superscript"/>
              </w:rPr>
              <w:t>b</w:t>
            </w:r>
          </w:p>
        </w:tc>
        <w:tc>
          <w:tcPr>
            <w:tcW w:w="1290" w:type="pct"/>
            <w:tcBorders>
              <w:left w:val="nil"/>
              <w:right w:val="nil"/>
            </w:tcBorders>
            <w:hideMark/>
          </w:tcPr>
          <w:p w14:paraId="3B167731" w14:textId="77777777" w:rsidR="0029430D" w:rsidRPr="000B19A7" w:rsidRDefault="0029430D">
            <w:pPr>
              <w:jc w:val="center"/>
              <w:rPr>
                <w:sz w:val="22"/>
                <w:szCs w:val="22"/>
              </w:rPr>
            </w:pPr>
            <w:r w:rsidRPr="000B19A7">
              <w:rPr>
                <w:sz w:val="22"/>
                <w:szCs w:val="22"/>
              </w:rPr>
              <w:t>194</w:t>
            </w:r>
          </w:p>
        </w:tc>
        <w:tc>
          <w:tcPr>
            <w:tcW w:w="1452" w:type="pct"/>
            <w:tcBorders>
              <w:left w:val="nil"/>
              <w:right w:val="nil"/>
            </w:tcBorders>
            <w:hideMark/>
          </w:tcPr>
          <w:p w14:paraId="67E76EF6" w14:textId="77777777" w:rsidR="0029430D" w:rsidRPr="000B19A7" w:rsidRDefault="0029430D">
            <w:pPr>
              <w:jc w:val="center"/>
              <w:rPr>
                <w:sz w:val="22"/>
                <w:szCs w:val="22"/>
              </w:rPr>
            </w:pPr>
            <w:r w:rsidRPr="000B19A7">
              <w:rPr>
                <w:sz w:val="22"/>
                <w:szCs w:val="22"/>
              </w:rPr>
              <w:t>193</w:t>
            </w:r>
          </w:p>
        </w:tc>
      </w:tr>
      <w:tr w:rsidR="0029430D" w:rsidRPr="000B19A7" w14:paraId="0FA4AE4F" w14:textId="77777777" w:rsidTr="00312F3E">
        <w:tc>
          <w:tcPr>
            <w:tcW w:w="2258" w:type="pct"/>
            <w:tcBorders>
              <w:top w:val="single" w:sz="4" w:space="0" w:color="7F7F7F" w:themeColor="text1" w:themeTint="80"/>
              <w:left w:val="nil"/>
              <w:bottom w:val="single" w:sz="4" w:space="0" w:color="7F7F7F" w:themeColor="text1" w:themeTint="80"/>
              <w:right w:val="nil"/>
            </w:tcBorders>
            <w:hideMark/>
          </w:tcPr>
          <w:p w14:paraId="62A0C040" w14:textId="77777777" w:rsidR="0029430D" w:rsidRPr="006A7320" w:rsidRDefault="0029430D">
            <w:pPr>
              <w:rPr>
                <w:sz w:val="22"/>
                <w:szCs w:val="22"/>
                <w:lang w:val="en-US"/>
              </w:rPr>
            </w:pPr>
            <w:r w:rsidRPr="006A7320">
              <w:rPr>
                <w:sz w:val="22"/>
                <w:szCs w:val="22"/>
                <w:lang w:val="en-US"/>
              </w:rPr>
              <w:t>HbA1c (%)</w:t>
            </w:r>
          </w:p>
          <w:p w14:paraId="4BFC3117" w14:textId="77777777" w:rsidR="0029430D" w:rsidRPr="006A7320" w:rsidRDefault="0029430D">
            <w:pPr>
              <w:rPr>
                <w:b/>
                <w:bCs/>
                <w:sz w:val="22"/>
                <w:szCs w:val="22"/>
                <w:lang w:val="en-US"/>
              </w:rPr>
            </w:pPr>
            <w:r w:rsidRPr="006A7320">
              <w:rPr>
                <w:b/>
                <w:bCs/>
                <w:sz w:val="22"/>
                <w:szCs w:val="22"/>
                <w:lang w:val="en-US"/>
              </w:rPr>
              <w:t>Baseline (mean)</w:t>
            </w:r>
          </w:p>
          <w:p w14:paraId="24F41107" w14:textId="77777777" w:rsidR="0029430D" w:rsidRPr="006A7320" w:rsidRDefault="0029430D">
            <w:pPr>
              <w:tabs>
                <w:tab w:val="left" w:pos="1304"/>
              </w:tabs>
              <w:ind w:left="179"/>
              <w:rPr>
                <w:b/>
                <w:bCs/>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423E12EF" w14:textId="77777777" w:rsidR="0029430D" w:rsidRPr="000B19A7" w:rsidRDefault="0029430D">
            <w:pPr>
              <w:tabs>
                <w:tab w:val="left" w:pos="1304"/>
              </w:tabs>
              <w:ind w:left="179"/>
              <w:rPr>
                <w:b/>
                <w:bCs/>
                <w:sz w:val="22"/>
                <w:szCs w:val="22"/>
              </w:rPr>
            </w:pPr>
            <w:r w:rsidRPr="000B19A7">
              <w:rPr>
                <w:b/>
                <w:bCs/>
                <w:sz w:val="22"/>
                <w:szCs w:val="22"/>
              </w:rPr>
              <w:t xml:space="preserve">Difference from </w:t>
            </w:r>
            <w:proofErr w:type="spellStart"/>
            <w:r w:rsidRPr="000B19A7">
              <w:rPr>
                <w:b/>
                <w:bCs/>
                <w:sz w:val="22"/>
                <w:szCs w:val="22"/>
              </w:rPr>
              <w:t>placebo</w:t>
            </w:r>
            <w:r w:rsidRPr="000B19A7">
              <w:rPr>
                <w:b/>
                <w:bCs/>
                <w:sz w:val="22"/>
                <w:szCs w:val="22"/>
                <w:vertAlign w:val="superscript"/>
              </w:rPr>
              <w:t>c</w:t>
            </w:r>
            <w:proofErr w:type="spellEnd"/>
          </w:p>
          <w:p w14:paraId="6269290C" w14:textId="77777777" w:rsidR="0029430D" w:rsidRPr="000B19A7" w:rsidRDefault="0029430D">
            <w:pPr>
              <w:tabs>
                <w:tab w:val="left" w:pos="1304"/>
              </w:tabs>
              <w:ind w:left="462"/>
              <w:rPr>
                <w:sz w:val="22"/>
                <w:szCs w:val="22"/>
              </w:rPr>
            </w:pPr>
            <w:r w:rsidRPr="000B19A7">
              <w:rPr>
                <w:b/>
                <w:bCs/>
                <w:sz w:val="22"/>
                <w:szCs w:val="22"/>
              </w:rPr>
              <w:t>(95% CI)</w:t>
            </w:r>
          </w:p>
        </w:tc>
        <w:tc>
          <w:tcPr>
            <w:tcW w:w="1290" w:type="pct"/>
            <w:tcBorders>
              <w:top w:val="single" w:sz="4" w:space="0" w:color="7F7F7F" w:themeColor="text1" w:themeTint="80"/>
              <w:left w:val="nil"/>
              <w:bottom w:val="single" w:sz="4" w:space="0" w:color="7F7F7F" w:themeColor="text1" w:themeTint="80"/>
              <w:right w:val="nil"/>
            </w:tcBorders>
          </w:tcPr>
          <w:p w14:paraId="7758A379" w14:textId="77777777" w:rsidR="0029430D" w:rsidRPr="000B19A7" w:rsidRDefault="0029430D">
            <w:pPr>
              <w:jc w:val="center"/>
              <w:rPr>
                <w:sz w:val="22"/>
                <w:szCs w:val="22"/>
              </w:rPr>
            </w:pPr>
          </w:p>
          <w:p w14:paraId="1E844B4D" w14:textId="77777777" w:rsidR="0029430D" w:rsidRPr="000B19A7" w:rsidRDefault="0029430D">
            <w:pPr>
              <w:jc w:val="center"/>
              <w:rPr>
                <w:sz w:val="22"/>
                <w:szCs w:val="22"/>
              </w:rPr>
            </w:pPr>
            <w:r w:rsidRPr="000B19A7">
              <w:rPr>
                <w:sz w:val="22"/>
                <w:szCs w:val="22"/>
              </w:rPr>
              <w:t>8.58</w:t>
            </w:r>
          </w:p>
          <w:p w14:paraId="544983A4" w14:textId="77777777" w:rsidR="0029430D" w:rsidRPr="000B19A7" w:rsidRDefault="0029430D">
            <w:pPr>
              <w:jc w:val="center"/>
              <w:rPr>
                <w:sz w:val="22"/>
                <w:szCs w:val="22"/>
              </w:rPr>
            </w:pPr>
            <w:r w:rsidRPr="000B19A7">
              <w:rPr>
                <w:sz w:val="22"/>
                <w:szCs w:val="22"/>
              </w:rPr>
              <w:t>-0.90</w:t>
            </w:r>
          </w:p>
          <w:p w14:paraId="234C0D09" w14:textId="77777777" w:rsidR="0029430D" w:rsidRPr="000B19A7" w:rsidRDefault="0029430D">
            <w:pPr>
              <w:jc w:val="center"/>
              <w:rPr>
                <w:sz w:val="22"/>
                <w:szCs w:val="22"/>
              </w:rPr>
            </w:pPr>
            <w:r w:rsidRPr="000B19A7">
              <w:rPr>
                <w:sz w:val="22"/>
                <w:szCs w:val="22"/>
              </w:rPr>
              <w:t>-0.60</w:t>
            </w:r>
            <w:r w:rsidRPr="000B19A7">
              <w:rPr>
                <w:sz w:val="22"/>
                <w:szCs w:val="22"/>
                <w:vertAlign w:val="superscript"/>
              </w:rPr>
              <w:t>*</w:t>
            </w:r>
          </w:p>
          <w:p w14:paraId="379CDFAC" w14:textId="77777777" w:rsidR="0029430D" w:rsidRPr="000B19A7" w:rsidRDefault="0029430D">
            <w:pPr>
              <w:jc w:val="center"/>
              <w:rPr>
                <w:sz w:val="22"/>
                <w:szCs w:val="22"/>
              </w:rPr>
            </w:pPr>
            <w:r w:rsidRPr="000B19A7">
              <w:rPr>
                <w:sz w:val="22"/>
                <w:szCs w:val="22"/>
              </w:rPr>
              <w:t>(-0.74, -0.45)</w:t>
            </w:r>
          </w:p>
        </w:tc>
        <w:tc>
          <w:tcPr>
            <w:tcW w:w="1452" w:type="pct"/>
            <w:tcBorders>
              <w:top w:val="single" w:sz="4" w:space="0" w:color="7F7F7F" w:themeColor="text1" w:themeTint="80"/>
              <w:left w:val="nil"/>
              <w:bottom w:val="single" w:sz="4" w:space="0" w:color="7F7F7F" w:themeColor="text1" w:themeTint="80"/>
              <w:right w:val="nil"/>
            </w:tcBorders>
          </w:tcPr>
          <w:p w14:paraId="183D9551" w14:textId="77777777" w:rsidR="0029430D" w:rsidRPr="000B19A7" w:rsidRDefault="0029430D">
            <w:pPr>
              <w:jc w:val="center"/>
              <w:rPr>
                <w:sz w:val="22"/>
                <w:szCs w:val="22"/>
              </w:rPr>
            </w:pPr>
          </w:p>
          <w:p w14:paraId="0D95F103" w14:textId="77777777" w:rsidR="0029430D" w:rsidRPr="000B19A7" w:rsidRDefault="0029430D">
            <w:pPr>
              <w:jc w:val="center"/>
              <w:rPr>
                <w:sz w:val="22"/>
                <w:szCs w:val="22"/>
              </w:rPr>
            </w:pPr>
            <w:r w:rsidRPr="000B19A7">
              <w:rPr>
                <w:sz w:val="22"/>
                <w:szCs w:val="22"/>
              </w:rPr>
              <w:t>8.46</w:t>
            </w:r>
          </w:p>
          <w:p w14:paraId="4C4BB67D" w14:textId="77777777" w:rsidR="0029430D" w:rsidRPr="000B19A7" w:rsidRDefault="0029430D">
            <w:pPr>
              <w:jc w:val="center"/>
              <w:rPr>
                <w:sz w:val="22"/>
                <w:szCs w:val="22"/>
              </w:rPr>
            </w:pPr>
            <w:r w:rsidRPr="000B19A7">
              <w:rPr>
                <w:sz w:val="22"/>
                <w:szCs w:val="22"/>
              </w:rPr>
              <w:t>-0.30</w:t>
            </w:r>
          </w:p>
        </w:tc>
      </w:tr>
      <w:tr w:rsidR="0029430D" w:rsidRPr="000B19A7" w14:paraId="43748C4D" w14:textId="77777777" w:rsidTr="00312F3E">
        <w:tc>
          <w:tcPr>
            <w:tcW w:w="2258" w:type="pct"/>
            <w:tcBorders>
              <w:left w:val="nil"/>
              <w:right w:val="nil"/>
            </w:tcBorders>
            <w:hideMark/>
          </w:tcPr>
          <w:p w14:paraId="3BBFB875" w14:textId="77777777" w:rsidR="0029430D" w:rsidRPr="006A7320" w:rsidRDefault="0029430D">
            <w:pPr>
              <w:rPr>
                <w:sz w:val="22"/>
                <w:szCs w:val="22"/>
                <w:lang w:val="en-US"/>
              </w:rPr>
            </w:pPr>
            <w:r w:rsidRPr="006A7320">
              <w:rPr>
                <w:sz w:val="22"/>
                <w:szCs w:val="22"/>
                <w:lang w:val="en-US"/>
              </w:rPr>
              <w:t>Body weight (kg)</w:t>
            </w:r>
          </w:p>
          <w:p w14:paraId="45143D57" w14:textId="77777777" w:rsidR="0029430D" w:rsidRPr="006A7320" w:rsidRDefault="0029430D">
            <w:pPr>
              <w:ind w:left="179"/>
              <w:rPr>
                <w:b/>
                <w:bCs/>
                <w:sz w:val="22"/>
                <w:szCs w:val="22"/>
                <w:lang w:val="en-US"/>
              </w:rPr>
            </w:pPr>
            <w:r w:rsidRPr="006A7320">
              <w:rPr>
                <w:b/>
                <w:bCs/>
                <w:sz w:val="22"/>
                <w:szCs w:val="22"/>
                <w:lang w:val="en-US"/>
              </w:rPr>
              <w:t>Baseline (mean)</w:t>
            </w:r>
          </w:p>
          <w:p w14:paraId="34820E78" w14:textId="77777777" w:rsidR="0029430D" w:rsidRPr="006A7320" w:rsidRDefault="0029430D">
            <w:pPr>
              <w:ind w:left="179"/>
              <w:rPr>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7C71DF97" w14:textId="77777777" w:rsidR="0029430D" w:rsidRPr="006A7320" w:rsidRDefault="0029430D">
            <w:pPr>
              <w:ind w:left="179"/>
              <w:rPr>
                <w:b/>
                <w:bCs/>
                <w:sz w:val="22"/>
                <w:szCs w:val="22"/>
                <w:lang w:val="en-US"/>
              </w:rPr>
            </w:pPr>
            <w:r w:rsidRPr="006A7320">
              <w:rPr>
                <w:b/>
                <w:bCs/>
                <w:sz w:val="22"/>
                <w:szCs w:val="22"/>
                <w:lang w:val="en-US"/>
              </w:rPr>
              <w:t xml:space="preserve">Difference from </w:t>
            </w:r>
            <w:proofErr w:type="spellStart"/>
            <w:r w:rsidRPr="006A7320">
              <w:rPr>
                <w:b/>
                <w:bCs/>
                <w:sz w:val="22"/>
                <w:szCs w:val="22"/>
                <w:lang w:val="en-US"/>
              </w:rPr>
              <w:t>placebo</w:t>
            </w:r>
            <w:r w:rsidRPr="006A7320">
              <w:rPr>
                <w:b/>
                <w:bCs/>
                <w:sz w:val="22"/>
                <w:szCs w:val="22"/>
                <w:vertAlign w:val="superscript"/>
                <w:lang w:val="en-US"/>
              </w:rPr>
              <w:t>c</w:t>
            </w:r>
            <w:proofErr w:type="spellEnd"/>
          </w:p>
          <w:p w14:paraId="379BA76E" w14:textId="77777777" w:rsidR="0029430D" w:rsidRPr="000B19A7" w:rsidRDefault="0029430D">
            <w:pPr>
              <w:ind w:left="462"/>
              <w:rPr>
                <w:sz w:val="22"/>
                <w:szCs w:val="22"/>
              </w:rPr>
            </w:pPr>
            <w:r w:rsidRPr="000B19A7">
              <w:rPr>
                <w:b/>
                <w:bCs/>
                <w:sz w:val="22"/>
                <w:szCs w:val="22"/>
              </w:rPr>
              <w:t>(95% CI)</w:t>
            </w:r>
          </w:p>
        </w:tc>
        <w:tc>
          <w:tcPr>
            <w:tcW w:w="1290" w:type="pct"/>
            <w:tcBorders>
              <w:left w:val="nil"/>
              <w:right w:val="nil"/>
            </w:tcBorders>
          </w:tcPr>
          <w:p w14:paraId="6972FF4D" w14:textId="77777777" w:rsidR="0029430D" w:rsidRPr="000B19A7" w:rsidRDefault="0029430D">
            <w:pPr>
              <w:jc w:val="center"/>
              <w:rPr>
                <w:sz w:val="22"/>
                <w:szCs w:val="22"/>
              </w:rPr>
            </w:pPr>
          </w:p>
          <w:p w14:paraId="7BB90CBA" w14:textId="77777777" w:rsidR="0029430D" w:rsidRPr="000B19A7" w:rsidRDefault="0029430D">
            <w:pPr>
              <w:jc w:val="center"/>
              <w:rPr>
                <w:sz w:val="22"/>
                <w:szCs w:val="22"/>
              </w:rPr>
            </w:pPr>
            <w:r w:rsidRPr="000B19A7">
              <w:rPr>
                <w:sz w:val="22"/>
                <w:szCs w:val="22"/>
              </w:rPr>
              <w:t>94.63</w:t>
            </w:r>
          </w:p>
          <w:p w14:paraId="052A4106" w14:textId="77777777" w:rsidR="0029430D" w:rsidRPr="000B19A7" w:rsidRDefault="0029430D">
            <w:pPr>
              <w:jc w:val="center"/>
              <w:rPr>
                <w:sz w:val="22"/>
                <w:szCs w:val="22"/>
              </w:rPr>
            </w:pPr>
            <w:r w:rsidRPr="000B19A7">
              <w:rPr>
                <w:sz w:val="22"/>
                <w:szCs w:val="22"/>
              </w:rPr>
              <w:t>-1.67</w:t>
            </w:r>
          </w:p>
          <w:p w14:paraId="410D23A0" w14:textId="77777777" w:rsidR="0029430D" w:rsidRPr="000B19A7" w:rsidRDefault="0029430D">
            <w:pPr>
              <w:jc w:val="center"/>
              <w:rPr>
                <w:sz w:val="22"/>
                <w:szCs w:val="22"/>
              </w:rPr>
            </w:pPr>
            <w:r w:rsidRPr="000B19A7">
              <w:rPr>
                <w:sz w:val="22"/>
                <w:szCs w:val="22"/>
              </w:rPr>
              <w:t>-1.68</w:t>
            </w:r>
            <w:r w:rsidRPr="000B19A7">
              <w:rPr>
                <w:sz w:val="22"/>
                <w:szCs w:val="22"/>
                <w:vertAlign w:val="superscript"/>
              </w:rPr>
              <w:t>*</w:t>
            </w:r>
          </w:p>
          <w:p w14:paraId="301C7D8E" w14:textId="77777777" w:rsidR="0029430D" w:rsidRPr="000B19A7" w:rsidRDefault="0029430D">
            <w:pPr>
              <w:jc w:val="center"/>
              <w:rPr>
                <w:sz w:val="22"/>
                <w:szCs w:val="22"/>
              </w:rPr>
            </w:pPr>
            <w:r w:rsidRPr="000B19A7">
              <w:rPr>
                <w:sz w:val="22"/>
                <w:szCs w:val="22"/>
              </w:rPr>
              <w:t>(-2.19, -1.18)</w:t>
            </w:r>
          </w:p>
        </w:tc>
        <w:tc>
          <w:tcPr>
            <w:tcW w:w="1452" w:type="pct"/>
            <w:tcBorders>
              <w:left w:val="nil"/>
              <w:right w:val="nil"/>
            </w:tcBorders>
          </w:tcPr>
          <w:p w14:paraId="50096E8D" w14:textId="77777777" w:rsidR="0029430D" w:rsidRPr="000B19A7" w:rsidRDefault="0029430D">
            <w:pPr>
              <w:jc w:val="center"/>
              <w:rPr>
                <w:sz w:val="22"/>
                <w:szCs w:val="22"/>
              </w:rPr>
            </w:pPr>
          </w:p>
          <w:p w14:paraId="14E2F962" w14:textId="77777777" w:rsidR="0029430D" w:rsidRPr="000B19A7" w:rsidRDefault="0029430D">
            <w:pPr>
              <w:jc w:val="center"/>
              <w:rPr>
                <w:sz w:val="22"/>
                <w:szCs w:val="22"/>
              </w:rPr>
            </w:pPr>
            <w:r w:rsidRPr="000B19A7">
              <w:rPr>
                <w:sz w:val="22"/>
                <w:szCs w:val="22"/>
              </w:rPr>
              <w:t>94.21</w:t>
            </w:r>
          </w:p>
          <w:p w14:paraId="6285D621" w14:textId="77777777" w:rsidR="0029430D" w:rsidRPr="000B19A7" w:rsidRDefault="0029430D">
            <w:pPr>
              <w:jc w:val="center"/>
              <w:rPr>
                <w:sz w:val="22"/>
                <w:szCs w:val="22"/>
              </w:rPr>
            </w:pPr>
            <w:r w:rsidRPr="000B19A7">
              <w:rPr>
                <w:sz w:val="22"/>
                <w:szCs w:val="22"/>
              </w:rPr>
              <w:t>0.02</w:t>
            </w:r>
          </w:p>
        </w:tc>
      </w:tr>
      <w:tr w:rsidR="0029430D" w:rsidRPr="000B19A7" w14:paraId="3197DE0A" w14:textId="77777777" w:rsidTr="00312F3E">
        <w:tc>
          <w:tcPr>
            <w:tcW w:w="2258" w:type="pct"/>
            <w:tcBorders>
              <w:top w:val="single" w:sz="4" w:space="0" w:color="7F7F7F" w:themeColor="text1" w:themeTint="80"/>
              <w:left w:val="nil"/>
              <w:bottom w:val="single" w:sz="18" w:space="0" w:color="auto"/>
              <w:right w:val="nil"/>
            </w:tcBorders>
            <w:hideMark/>
          </w:tcPr>
          <w:p w14:paraId="6937376B" w14:textId="77777777" w:rsidR="0029430D" w:rsidRPr="006A7320" w:rsidRDefault="0029430D">
            <w:pPr>
              <w:rPr>
                <w:sz w:val="22"/>
                <w:szCs w:val="22"/>
                <w:lang w:val="en-US"/>
              </w:rPr>
            </w:pPr>
            <w:r w:rsidRPr="006A7320">
              <w:rPr>
                <w:sz w:val="22"/>
                <w:szCs w:val="22"/>
                <w:lang w:val="en-US"/>
              </w:rPr>
              <w:t>Mean daily insulin dose (IU)</w:t>
            </w:r>
            <w:r w:rsidRPr="006A7320">
              <w:rPr>
                <w:sz w:val="22"/>
                <w:szCs w:val="22"/>
                <w:vertAlign w:val="superscript"/>
                <w:lang w:val="en-US"/>
              </w:rPr>
              <w:t>1</w:t>
            </w:r>
          </w:p>
          <w:p w14:paraId="0655EEB9" w14:textId="77777777" w:rsidR="0029430D" w:rsidRPr="006A7320" w:rsidRDefault="0029430D">
            <w:pPr>
              <w:rPr>
                <w:sz w:val="22"/>
                <w:szCs w:val="22"/>
                <w:lang w:val="en-US"/>
              </w:rPr>
            </w:pPr>
            <w:r w:rsidRPr="006A7320">
              <w:rPr>
                <w:sz w:val="22"/>
                <w:szCs w:val="22"/>
                <w:lang w:val="en-US"/>
              </w:rPr>
              <w:t>Baseline (mean)</w:t>
            </w:r>
          </w:p>
          <w:p w14:paraId="29B3E36F" w14:textId="77777777" w:rsidR="0029430D" w:rsidRPr="006A7320" w:rsidRDefault="0029430D">
            <w:pPr>
              <w:rPr>
                <w:sz w:val="22"/>
                <w:szCs w:val="22"/>
                <w:lang w:val="en-US"/>
              </w:rPr>
            </w:pPr>
            <w:r w:rsidRPr="006A7320">
              <w:rPr>
                <w:sz w:val="22"/>
                <w:szCs w:val="22"/>
                <w:lang w:val="en-US"/>
              </w:rPr>
              <w:t xml:space="preserve">Change from </w:t>
            </w:r>
            <w:proofErr w:type="spellStart"/>
            <w:r w:rsidRPr="006A7320">
              <w:rPr>
                <w:sz w:val="22"/>
                <w:szCs w:val="22"/>
                <w:lang w:val="en-US"/>
              </w:rPr>
              <w:t>baselinec</w:t>
            </w:r>
            <w:proofErr w:type="spellEnd"/>
          </w:p>
          <w:p w14:paraId="7528E3F3" w14:textId="77777777" w:rsidR="0029430D" w:rsidRPr="006A7320" w:rsidRDefault="0029430D">
            <w:pPr>
              <w:rPr>
                <w:sz w:val="22"/>
                <w:szCs w:val="22"/>
                <w:lang w:val="en-US"/>
              </w:rPr>
            </w:pPr>
            <w:r w:rsidRPr="006A7320">
              <w:rPr>
                <w:sz w:val="22"/>
                <w:szCs w:val="22"/>
                <w:lang w:val="en-US"/>
              </w:rPr>
              <w:t xml:space="preserve">Difference from </w:t>
            </w:r>
            <w:proofErr w:type="spellStart"/>
            <w:r w:rsidRPr="006A7320">
              <w:rPr>
                <w:sz w:val="22"/>
                <w:szCs w:val="22"/>
                <w:lang w:val="en-US"/>
              </w:rPr>
              <w:t>placebo</w:t>
            </w:r>
            <w:r w:rsidRPr="006A7320">
              <w:rPr>
                <w:sz w:val="22"/>
                <w:szCs w:val="22"/>
                <w:vertAlign w:val="superscript"/>
                <w:lang w:val="en-US"/>
              </w:rPr>
              <w:t>c</w:t>
            </w:r>
            <w:proofErr w:type="spellEnd"/>
          </w:p>
          <w:p w14:paraId="3CBDDE2F" w14:textId="77777777" w:rsidR="0029430D" w:rsidRPr="006A7320" w:rsidRDefault="0029430D">
            <w:pPr>
              <w:ind w:left="179"/>
              <w:rPr>
                <w:sz w:val="22"/>
                <w:szCs w:val="22"/>
                <w:lang w:val="en-US"/>
              </w:rPr>
            </w:pPr>
            <w:r w:rsidRPr="006A7320">
              <w:rPr>
                <w:sz w:val="22"/>
                <w:szCs w:val="22"/>
                <w:lang w:val="en-US"/>
              </w:rPr>
              <w:t>(95% CI)</w:t>
            </w:r>
          </w:p>
          <w:p w14:paraId="5B01831F" w14:textId="77777777" w:rsidR="0029430D" w:rsidRPr="006A7320" w:rsidRDefault="0029430D">
            <w:pPr>
              <w:rPr>
                <w:sz w:val="22"/>
                <w:szCs w:val="22"/>
                <w:lang w:val="en-US"/>
              </w:rPr>
            </w:pPr>
            <w:r w:rsidRPr="006A7320">
              <w:rPr>
                <w:sz w:val="22"/>
                <w:szCs w:val="22"/>
                <w:lang w:val="en-US"/>
              </w:rPr>
              <w:t>Subjects with mean daily</w:t>
            </w:r>
          </w:p>
          <w:p w14:paraId="64101221" w14:textId="77777777" w:rsidR="0029430D" w:rsidRPr="006A7320" w:rsidRDefault="0029430D">
            <w:pPr>
              <w:rPr>
                <w:sz w:val="22"/>
                <w:szCs w:val="22"/>
                <w:lang w:val="en-US"/>
              </w:rPr>
            </w:pPr>
            <w:r w:rsidRPr="006A7320">
              <w:rPr>
                <w:sz w:val="22"/>
                <w:szCs w:val="22"/>
                <w:lang w:val="en-US"/>
              </w:rPr>
              <w:t>insulin dose reduction of at</w:t>
            </w:r>
          </w:p>
          <w:p w14:paraId="57945BF8" w14:textId="77777777" w:rsidR="0029430D" w:rsidRPr="000B19A7" w:rsidRDefault="0029430D">
            <w:pPr>
              <w:rPr>
                <w:b/>
                <w:bCs/>
                <w:sz w:val="22"/>
                <w:szCs w:val="22"/>
              </w:rPr>
            </w:pPr>
            <w:proofErr w:type="spellStart"/>
            <w:r w:rsidRPr="000B19A7">
              <w:rPr>
                <w:b/>
                <w:bCs/>
                <w:sz w:val="22"/>
                <w:szCs w:val="22"/>
              </w:rPr>
              <w:t>least</w:t>
            </w:r>
            <w:proofErr w:type="spellEnd"/>
            <w:r w:rsidRPr="000B19A7">
              <w:rPr>
                <w:b/>
                <w:bCs/>
                <w:sz w:val="22"/>
                <w:szCs w:val="22"/>
              </w:rPr>
              <w:t xml:space="preserve"> 10% (%)</w:t>
            </w:r>
          </w:p>
        </w:tc>
        <w:tc>
          <w:tcPr>
            <w:tcW w:w="1290" w:type="pct"/>
            <w:tcBorders>
              <w:top w:val="single" w:sz="4" w:space="0" w:color="7F7F7F" w:themeColor="text1" w:themeTint="80"/>
              <w:left w:val="nil"/>
              <w:bottom w:val="single" w:sz="18" w:space="0" w:color="auto"/>
              <w:right w:val="nil"/>
            </w:tcBorders>
          </w:tcPr>
          <w:p w14:paraId="71992D14" w14:textId="77777777" w:rsidR="0029430D" w:rsidRPr="000B19A7" w:rsidRDefault="0029430D">
            <w:pPr>
              <w:jc w:val="center"/>
              <w:rPr>
                <w:sz w:val="22"/>
                <w:szCs w:val="22"/>
              </w:rPr>
            </w:pPr>
          </w:p>
          <w:p w14:paraId="1C635F5D" w14:textId="77777777" w:rsidR="0029430D" w:rsidRPr="000B19A7" w:rsidRDefault="0029430D">
            <w:pPr>
              <w:jc w:val="center"/>
              <w:rPr>
                <w:sz w:val="22"/>
                <w:szCs w:val="22"/>
              </w:rPr>
            </w:pPr>
            <w:r w:rsidRPr="000B19A7">
              <w:rPr>
                <w:sz w:val="22"/>
                <w:szCs w:val="22"/>
              </w:rPr>
              <w:t>77.96</w:t>
            </w:r>
          </w:p>
          <w:p w14:paraId="2B4E3972" w14:textId="77777777" w:rsidR="0029430D" w:rsidRPr="000B19A7" w:rsidRDefault="0029430D">
            <w:pPr>
              <w:jc w:val="center"/>
              <w:rPr>
                <w:sz w:val="22"/>
                <w:szCs w:val="22"/>
              </w:rPr>
            </w:pPr>
            <w:r w:rsidRPr="000B19A7">
              <w:rPr>
                <w:sz w:val="22"/>
                <w:szCs w:val="22"/>
              </w:rPr>
              <w:t>-1.16</w:t>
            </w:r>
          </w:p>
          <w:p w14:paraId="72FE88E7" w14:textId="77777777" w:rsidR="0029430D" w:rsidRPr="000B19A7" w:rsidRDefault="0029430D">
            <w:pPr>
              <w:jc w:val="center"/>
              <w:rPr>
                <w:sz w:val="22"/>
                <w:szCs w:val="22"/>
              </w:rPr>
            </w:pPr>
            <w:r w:rsidRPr="000B19A7">
              <w:rPr>
                <w:sz w:val="22"/>
                <w:szCs w:val="22"/>
              </w:rPr>
              <w:t>-6.23</w:t>
            </w:r>
            <w:r w:rsidRPr="000B19A7">
              <w:rPr>
                <w:sz w:val="22"/>
                <w:szCs w:val="22"/>
                <w:vertAlign w:val="superscript"/>
              </w:rPr>
              <w:t>*</w:t>
            </w:r>
          </w:p>
          <w:p w14:paraId="29D6F27E" w14:textId="77777777" w:rsidR="0029430D" w:rsidRPr="000B19A7" w:rsidRDefault="0029430D">
            <w:pPr>
              <w:jc w:val="center"/>
              <w:rPr>
                <w:sz w:val="22"/>
                <w:szCs w:val="22"/>
              </w:rPr>
            </w:pPr>
            <w:r w:rsidRPr="000B19A7">
              <w:rPr>
                <w:sz w:val="22"/>
                <w:szCs w:val="22"/>
              </w:rPr>
              <w:t>(-8.84, -3.63)</w:t>
            </w:r>
          </w:p>
          <w:p w14:paraId="362186E5" w14:textId="77777777" w:rsidR="0029430D" w:rsidRPr="000B19A7" w:rsidRDefault="0029430D">
            <w:pPr>
              <w:jc w:val="center"/>
              <w:rPr>
                <w:sz w:val="22"/>
                <w:szCs w:val="22"/>
              </w:rPr>
            </w:pPr>
          </w:p>
          <w:p w14:paraId="3F40BEBB" w14:textId="77777777" w:rsidR="0029430D" w:rsidRPr="000B19A7" w:rsidRDefault="0029430D">
            <w:pPr>
              <w:jc w:val="center"/>
              <w:rPr>
                <w:sz w:val="22"/>
                <w:szCs w:val="22"/>
              </w:rPr>
            </w:pPr>
          </w:p>
          <w:p w14:paraId="31E1E6F9" w14:textId="77777777" w:rsidR="0029430D" w:rsidRPr="000B19A7" w:rsidRDefault="0029430D">
            <w:pPr>
              <w:jc w:val="center"/>
              <w:rPr>
                <w:sz w:val="22"/>
                <w:szCs w:val="22"/>
              </w:rPr>
            </w:pPr>
            <w:r w:rsidRPr="000B19A7">
              <w:rPr>
                <w:sz w:val="22"/>
                <w:szCs w:val="22"/>
              </w:rPr>
              <w:t>19.7</w:t>
            </w:r>
            <w:r w:rsidRPr="000B19A7">
              <w:rPr>
                <w:sz w:val="22"/>
                <w:szCs w:val="22"/>
                <w:vertAlign w:val="superscript"/>
              </w:rPr>
              <w:t>**</w:t>
            </w:r>
          </w:p>
        </w:tc>
        <w:tc>
          <w:tcPr>
            <w:tcW w:w="1452" w:type="pct"/>
            <w:tcBorders>
              <w:top w:val="single" w:sz="4" w:space="0" w:color="7F7F7F" w:themeColor="text1" w:themeTint="80"/>
              <w:left w:val="nil"/>
              <w:bottom w:val="single" w:sz="18" w:space="0" w:color="auto"/>
              <w:right w:val="nil"/>
            </w:tcBorders>
          </w:tcPr>
          <w:p w14:paraId="4266AC88" w14:textId="77777777" w:rsidR="0029430D" w:rsidRPr="000B19A7" w:rsidRDefault="0029430D">
            <w:pPr>
              <w:jc w:val="center"/>
              <w:rPr>
                <w:sz w:val="22"/>
                <w:szCs w:val="22"/>
              </w:rPr>
            </w:pPr>
          </w:p>
          <w:p w14:paraId="77F5C195" w14:textId="77777777" w:rsidR="0029430D" w:rsidRPr="000B19A7" w:rsidRDefault="0029430D">
            <w:pPr>
              <w:jc w:val="center"/>
              <w:rPr>
                <w:sz w:val="22"/>
                <w:szCs w:val="22"/>
              </w:rPr>
            </w:pPr>
            <w:r w:rsidRPr="000B19A7">
              <w:rPr>
                <w:sz w:val="22"/>
                <w:szCs w:val="22"/>
              </w:rPr>
              <w:t>73.96</w:t>
            </w:r>
          </w:p>
          <w:p w14:paraId="2A106BB7" w14:textId="77777777" w:rsidR="0029430D" w:rsidRPr="000B19A7" w:rsidRDefault="0029430D">
            <w:pPr>
              <w:jc w:val="center"/>
              <w:rPr>
                <w:sz w:val="22"/>
                <w:szCs w:val="22"/>
              </w:rPr>
            </w:pPr>
            <w:r w:rsidRPr="000B19A7">
              <w:rPr>
                <w:sz w:val="22"/>
                <w:szCs w:val="22"/>
              </w:rPr>
              <w:t>5.08</w:t>
            </w:r>
          </w:p>
          <w:p w14:paraId="53010540" w14:textId="77777777" w:rsidR="0029430D" w:rsidRPr="000B19A7" w:rsidRDefault="0029430D">
            <w:pPr>
              <w:jc w:val="center"/>
              <w:rPr>
                <w:sz w:val="22"/>
                <w:szCs w:val="22"/>
              </w:rPr>
            </w:pPr>
          </w:p>
          <w:p w14:paraId="693343CF" w14:textId="77777777" w:rsidR="0029430D" w:rsidRPr="000B19A7" w:rsidRDefault="0029430D">
            <w:pPr>
              <w:jc w:val="center"/>
              <w:rPr>
                <w:sz w:val="22"/>
                <w:szCs w:val="22"/>
              </w:rPr>
            </w:pPr>
          </w:p>
          <w:p w14:paraId="6EBD5B0D" w14:textId="77777777" w:rsidR="0029430D" w:rsidRPr="000B19A7" w:rsidRDefault="0029430D">
            <w:pPr>
              <w:jc w:val="center"/>
              <w:rPr>
                <w:sz w:val="22"/>
                <w:szCs w:val="22"/>
              </w:rPr>
            </w:pPr>
          </w:p>
          <w:p w14:paraId="715AEF6A" w14:textId="77777777" w:rsidR="0029430D" w:rsidRPr="000B19A7" w:rsidRDefault="0029430D">
            <w:pPr>
              <w:jc w:val="center"/>
              <w:rPr>
                <w:sz w:val="22"/>
                <w:szCs w:val="22"/>
              </w:rPr>
            </w:pPr>
          </w:p>
          <w:p w14:paraId="489FB2B6" w14:textId="77777777" w:rsidR="0029430D" w:rsidRPr="000B19A7" w:rsidRDefault="0029430D">
            <w:pPr>
              <w:jc w:val="center"/>
              <w:rPr>
                <w:sz w:val="22"/>
                <w:szCs w:val="22"/>
              </w:rPr>
            </w:pPr>
            <w:r w:rsidRPr="000B19A7">
              <w:rPr>
                <w:sz w:val="22"/>
                <w:szCs w:val="22"/>
              </w:rPr>
              <w:t>11.0</w:t>
            </w:r>
          </w:p>
        </w:tc>
      </w:tr>
    </w:tbl>
    <w:p w14:paraId="2A2DEB05" w14:textId="214CAFC8" w:rsidR="0029430D" w:rsidRPr="00583F33" w:rsidRDefault="0029430D" w:rsidP="000B19A7">
      <w:pPr>
        <w:ind w:left="284" w:hanging="284"/>
        <w:rPr>
          <w:sz w:val="20"/>
          <w:lang w:val="en-GB" w:eastAsia="en-US"/>
        </w:rPr>
      </w:pPr>
      <w:r w:rsidRPr="000B19A7">
        <w:rPr>
          <w:sz w:val="22"/>
          <w:szCs w:val="22"/>
          <w:vertAlign w:val="superscript"/>
          <w:lang w:val="en-US"/>
        </w:rPr>
        <w:t>a</w:t>
      </w:r>
      <w:r w:rsidR="000B19A7">
        <w:rPr>
          <w:sz w:val="22"/>
          <w:szCs w:val="22"/>
          <w:vertAlign w:val="superscript"/>
          <w:lang w:val="en-US"/>
        </w:rPr>
        <w:tab/>
      </w:r>
      <w:r w:rsidRPr="00583F33">
        <w:rPr>
          <w:sz w:val="20"/>
          <w:lang w:val="en-US"/>
        </w:rPr>
        <w:t>LOCF: Last observation (prior to or on the date of the first insulin up-titration, if needed) carried forward</w:t>
      </w:r>
    </w:p>
    <w:p w14:paraId="3E9DD9EF" w14:textId="160040B5" w:rsidR="0029430D" w:rsidRPr="00583F33" w:rsidRDefault="0029430D" w:rsidP="000B19A7">
      <w:pPr>
        <w:ind w:left="284" w:hanging="284"/>
        <w:rPr>
          <w:sz w:val="20"/>
          <w:lang w:val="en-US"/>
        </w:rPr>
      </w:pPr>
      <w:r w:rsidRPr="00583F33">
        <w:rPr>
          <w:sz w:val="20"/>
          <w:vertAlign w:val="superscript"/>
          <w:lang w:val="en-US"/>
        </w:rPr>
        <w:t>b</w:t>
      </w:r>
      <w:r w:rsidR="000B19A7" w:rsidRPr="00583F33">
        <w:rPr>
          <w:sz w:val="20"/>
          <w:vertAlign w:val="superscript"/>
          <w:lang w:val="en-US"/>
        </w:rPr>
        <w:tab/>
      </w:r>
      <w:r w:rsidRPr="00583F33">
        <w:rPr>
          <w:sz w:val="20"/>
          <w:lang w:val="en-US"/>
        </w:rPr>
        <w:t xml:space="preserve">All </w:t>
      </w:r>
      <w:proofErr w:type="spellStart"/>
      <w:r w:rsidRPr="00583F33">
        <w:rPr>
          <w:sz w:val="20"/>
          <w:lang w:val="en-US"/>
        </w:rPr>
        <w:t>randomised</w:t>
      </w:r>
      <w:proofErr w:type="spellEnd"/>
      <w:r w:rsidRPr="00583F33">
        <w:rPr>
          <w:sz w:val="20"/>
          <w:lang w:val="en-US"/>
        </w:rPr>
        <w:t xml:space="preserve"> subjects who took at least one dose of double-blind study medicinal product during the short-term double-blind period</w:t>
      </w:r>
    </w:p>
    <w:p w14:paraId="48BE8BBA" w14:textId="22BF2A4F" w:rsidR="0029430D" w:rsidRPr="00583F33" w:rsidRDefault="0029430D" w:rsidP="000B19A7">
      <w:pPr>
        <w:ind w:left="284" w:hanging="284"/>
        <w:rPr>
          <w:sz w:val="20"/>
          <w:lang w:val="en-US"/>
        </w:rPr>
      </w:pPr>
      <w:r w:rsidRPr="00583F33">
        <w:rPr>
          <w:sz w:val="20"/>
          <w:vertAlign w:val="superscript"/>
          <w:lang w:val="en-US"/>
        </w:rPr>
        <w:t>c</w:t>
      </w:r>
      <w:r w:rsidR="000B19A7" w:rsidRPr="00583F33">
        <w:rPr>
          <w:sz w:val="20"/>
          <w:vertAlign w:val="superscript"/>
          <w:lang w:val="en-US"/>
        </w:rPr>
        <w:tab/>
      </w:r>
      <w:r w:rsidRPr="00583F33">
        <w:rPr>
          <w:sz w:val="20"/>
          <w:lang w:val="en-US"/>
        </w:rPr>
        <w:t>Least squares mean adjusted for baseline value and presence of oral glucose-lowering medicinal product</w:t>
      </w:r>
    </w:p>
    <w:p w14:paraId="5103399C" w14:textId="1AC6E847" w:rsidR="0029430D" w:rsidRPr="00583F33" w:rsidRDefault="0029430D" w:rsidP="000B19A7">
      <w:pPr>
        <w:ind w:left="284" w:hanging="284"/>
        <w:rPr>
          <w:sz w:val="20"/>
          <w:lang w:val="en-US"/>
        </w:rPr>
      </w:pPr>
      <w:r w:rsidRPr="00583F33">
        <w:rPr>
          <w:sz w:val="20"/>
          <w:vertAlign w:val="superscript"/>
          <w:lang w:val="en-US"/>
        </w:rPr>
        <w:t>*</w:t>
      </w:r>
      <w:r w:rsidR="000B19A7" w:rsidRPr="00583F33">
        <w:rPr>
          <w:sz w:val="20"/>
          <w:vertAlign w:val="superscript"/>
          <w:lang w:val="en-US"/>
        </w:rPr>
        <w:tab/>
      </w:r>
      <w:r w:rsidRPr="00583F33">
        <w:rPr>
          <w:sz w:val="20"/>
          <w:lang w:val="en-US"/>
        </w:rPr>
        <w:t>p-value &lt; 0.0001 versus placebo + insulin ± oral glucose-lowering medicinal product</w:t>
      </w:r>
    </w:p>
    <w:p w14:paraId="03C5E3C0" w14:textId="5BC99B85" w:rsidR="0029430D" w:rsidRPr="00583F33" w:rsidRDefault="0029430D" w:rsidP="000B19A7">
      <w:pPr>
        <w:ind w:left="284" w:hanging="284"/>
        <w:rPr>
          <w:sz w:val="20"/>
          <w:lang w:val="en-US"/>
        </w:rPr>
      </w:pPr>
      <w:r w:rsidRPr="00583F33">
        <w:rPr>
          <w:sz w:val="20"/>
          <w:vertAlign w:val="superscript"/>
          <w:lang w:val="en-US"/>
        </w:rPr>
        <w:t>**</w:t>
      </w:r>
      <w:r w:rsidR="000B19A7" w:rsidRPr="00583F33">
        <w:rPr>
          <w:sz w:val="20"/>
          <w:vertAlign w:val="superscript"/>
          <w:lang w:val="en-US"/>
        </w:rPr>
        <w:tab/>
      </w:r>
      <w:r w:rsidRPr="00583F33">
        <w:rPr>
          <w:sz w:val="20"/>
          <w:lang w:val="en-US"/>
        </w:rPr>
        <w:t>p-value &lt; 0.05 versus placebo + insulin ± oral glucose-lowering medicinal product</w:t>
      </w:r>
    </w:p>
    <w:p w14:paraId="59BEFA91" w14:textId="60603234" w:rsidR="0029430D" w:rsidRPr="00583F33" w:rsidRDefault="0029430D" w:rsidP="000B19A7">
      <w:pPr>
        <w:ind w:left="284" w:hanging="284"/>
        <w:rPr>
          <w:sz w:val="20"/>
          <w:lang w:val="en-US"/>
        </w:rPr>
      </w:pPr>
      <w:r w:rsidRPr="00583F33">
        <w:rPr>
          <w:sz w:val="20"/>
          <w:vertAlign w:val="superscript"/>
          <w:lang w:val="en-US"/>
        </w:rPr>
        <w:t>1</w:t>
      </w:r>
      <w:r w:rsidR="000B19A7" w:rsidRPr="00583F33">
        <w:rPr>
          <w:sz w:val="20"/>
          <w:vertAlign w:val="superscript"/>
          <w:lang w:val="en-US"/>
        </w:rPr>
        <w:tab/>
      </w:r>
      <w:r w:rsidRPr="00583F33">
        <w:rPr>
          <w:sz w:val="20"/>
          <w:lang w:val="en-US"/>
        </w:rPr>
        <w:t>Up-titration of insulin regimens (including short-acting, intermediate, and basal insulin) was only allowed if subjects met pre-defined FPG criteria.</w:t>
      </w:r>
    </w:p>
    <w:p w14:paraId="0E9F60E6" w14:textId="6572DC84" w:rsidR="0029430D" w:rsidRPr="00583F33" w:rsidRDefault="0029430D" w:rsidP="000B19A7">
      <w:pPr>
        <w:ind w:left="284" w:hanging="284"/>
        <w:rPr>
          <w:sz w:val="20"/>
          <w:lang w:val="en-US"/>
        </w:rPr>
      </w:pPr>
      <w:r w:rsidRPr="00583F33">
        <w:rPr>
          <w:sz w:val="20"/>
          <w:vertAlign w:val="superscript"/>
          <w:lang w:val="en-US"/>
        </w:rPr>
        <w:t>2</w:t>
      </w:r>
      <w:r w:rsidR="000B19A7" w:rsidRPr="00583F33">
        <w:rPr>
          <w:sz w:val="20"/>
          <w:vertAlign w:val="superscript"/>
          <w:lang w:val="en-US"/>
        </w:rPr>
        <w:tab/>
      </w:r>
      <w:r w:rsidRPr="00583F33">
        <w:rPr>
          <w:sz w:val="20"/>
          <w:lang w:val="en-US"/>
        </w:rPr>
        <w:t xml:space="preserve">Fifty percent of subjects were on insulin monotherapy at baseline; 50% were on 1 or 2 oral glucose-lowering medicinal product(s) in addition to insulin: Of this latter group, 80% were on metformin alone, 12% were on metformin plus </w:t>
      </w:r>
      <w:proofErr w:type="spellStart"/>
      <w:r w:rsidRPr="00583F33">
        <w:rPr>
          <w:sz w:val="20"/>
          <w:lang w:val="en-US"/>
        </w:rPr>
        <w:t>sulphonylurea</w:t>
      </w:r>
      <w:proofErr w:type="spellEnd"/>
      <w:r w:rsidRPr="00583F33">
        <w:rPr>
          <w:sz w:val="20"/>
          <w:lang w:val="en-US"/>
        </w:rPr>
        <w:t xml:space="preserve"> therapy, and the rest were on other oral glucose-lowering medicinal products.</w:t>
      </w:r>
    </w:p>
    <w:p w14:paraId="13551154" w14:textId="77777777" w:rsidR="0029430D" w:rsidRPr="00312F3E" w:rsidRDefault="0029430D" w:rsidP="00312F3E">
      <w:pPr>
        <w:rPr>
          <w:sz w:val="24"/>
          <w:szCs w:val="24"/>
          <w:lang w:val="en-US"/>
        </w:rPr>
      </w:pPr>
    </w:p>
    <w:p w14:paraId="418678B7" w14:textId="77777777" w:rsidR="0029430D" w:rsidRPr="000B19A7" w:rsidRDefault="0029430D" w:rsidP="00312F3E">
      <w:pPr>
        <w:ind w:left="851"/>
        <w:rPr>
          <w:i/>
          <w:sz w:val="24"/>
          <w:szCs w:val="24"/>
          <w:lang w:val="en-US"/>
        </w:rPr>
      </w:pPr>
      <w:r w:rsidRPr="000B19A7">
        <w:rPr>
          <w:i/>
          <w:sz w:val="24"/>
          <w:szCs w:val="24"/>
          <w:lang w:val="en-US"/>
        </w:rPr>
        <w:t>In combination with metformin in drug-naive patients</w:t>
      </w:r>
    </w:p>
    <w:p w14:paraId="5ED1DCF8" w14:textId="1AB1D972" w:rsidR="0029430D" w:rsidRPr="00312F3E" w:rsidRDefault="0029430D" w:rsidP="00312F3E">
      <w:pPr>
        <w:ind w:left="851"/>
        <w:rPr>
          <w:sz w:val="24"/>
          <w:szCs w:val="24"/>
          <w:lang w:val="en-US"/>
        </w:rPr>
      </w:pPr>
      <w:r w:rsidRPr="00312F3E">
        <w:rPr>
          <w:sz w:val="24"/>
          <w:szCs w:val="24"/>
          <w:lang w:val="en-US"/>
        </w:rPr>
        <w:t>A total of 1,236 drug-naive patients with inadequately controlled type 2 diabetes (HbA1c ≥</w:t>
      </w:r>
      <w:r w:rsidR="00583F33">
        <w:rPr>
          <w:sz w:val="24"/>
          <w:szCs w:val="24"/>
          <w:lang w:val="en-US"/>
        </w:rPr>
        <w:t> </w:t>
      </w:r>
      <w:r w:rsidRPr="00312F3E">
        <w:rPr>
          <w:sz w:val="24"/>
          <w:szCs w:val="24"/>
          <w:lang w:val="en-US"/>
        </w:rPr>
        <w:t xml:space="preserve">7.5% and ≤ 12%) participated in two active-controlled studies of 24 weeks duration to evaluate the efficacy and safety of dapagliflozin (5 mg or 10 mg) in combination with metformin in drug-naive patients versus therapy with the </w:t>
      </w:r>
      <w:proofErr w:type="spellStart"/>
      <w:r w:rsidRPr="00312F3E">
        <w:rPr>
          <w:sz w:val="24"/>
          <w:szCs w:val="24"/>
          <w:lang w:val="en-US"/>
        </w:rPr>
        <w:t>monocomponents</w:t>
      </w:r>
      <w:proofErr w:type="spellEnd"/>
      <w:r w:rsidRPr="00312F3E">
        <w:rPr>
          <w:sz w:val="24"/>
          <w:szCs w:val="24"/>
          <w:lang w:val="en-US"/>
        </w:rPr>
        <w:t>.</w:t>
      </w:r>
    </w:p>
    <w:p w14:paraId="341703CA" w14:textId="77777777" w:rsidR="0029430D" w:rsidRPr="00312F3E" w:rsidRDefault="0029430D" w:rsidP="00312F3E">
      <w:pPr>
        <w:ind w:left="851"/>
        <w:rPr>
          <w:sz w:val="24"/>
          <w:szCs w:val="24"/>
          <w:lang w:val="en-US"/>
        </w:rPr>
      </w:pPr>
    </w:p>
    <w:p w14:paraId="71F93339" w14:textId="77777777" w:rsidR="0029430D" w:rsidRPr="00312F3E" w:rsidRDefault="0029430D" w:rsidP="00312F3E">
      <w:pPr>
        <w:ind w:left="851"/>
        <w:rPr>
          <w:sz w:val="24"/>
          <w:szCs w:val="24"/>
          <w:lang w:val="en-US"/>
        </w:rPr>
      </w:pPr>
      <w:r w:rsidRPr="00312F3E">
        <w:rPr>
          <w:sz w:val="24"/>
          <w:szCs w:val="24"/>
          <w:lang w:val="en-US"/>
        </w:rPr>
        <w:t>Treatment with dapagliflozin 10 mg in combination with metformin (up to 2000 mg per day) provided significant improvements in HbA1c compared to the individual components (Table 7), and led to greater reductions in fasting plasma glucose (FPG) (compared to the individual components) and body weight (compared to metformin).</w:t>
      </w:r>
    </w:p>
    <w:p w14:paraId="002EFF8E" w14:textId="77777777" w:rsidR="0029430D" w:rsidRPr="00312F3E" w:rsidRDefault="0029430D" w:rsidP="00312F3E">
      <w:pPr>
        <w:ind w:left="851"/>
        <w:rPr>
          <w:sz w:val="24"/>
          <w:szCs w:val="24"/>
          <w:lang w:val="en-US"/>
        </w:rPr>
      </w:pPr>
    </w:p>
    <w:p w14:paraId="260EA927" w14:textId="77777777" w:rsidR="0029430D" w:rsidRPr="00312F3E" w:rsidRDefault="0029430D" w:rsidP="0029430D">
      <w:pPr>
        <w:keepNext/>
        <w:pageBreakBefore/>
        <w:tabs>
          <w:tab w:val="left" w:pos="1304"/>
        </w:tabs>
        <w:autoSpaceDE w:val="0"/>
        <w:autoSpaceDN w:val="0"/>
        <w:adjustRightInd w:val="0"/>
        <w:rPr>
          <w:sz w:val="24"/>
          <w:szCs w:val="24"/>
          <w:lang w:val="en-US"/>
        </w:rPr>
      </w:pPr>
      <w:r w:rsidRPr="00312F3E">
        <w:rPr>
          <w:b/>
          <w:bCs/>
          <w:sz w:val="24"/>
          <w:szCs w:val="24"/>
          <w:lang w:val="en-US" w:eastAsia="en-GB"/>
        </w:rPr>
        <w:t>Table 7. Results at week 24 (</w:t>
      </w:r>
      <w:proofErr w:type="spellStart"/>
      <w:r w:rsidRPr="00312F3E">
        <w:rPr>
          <w:b/>
          <w:bCs/>
          <w:sz w:val="24"/>
          <w:szCs w:val="24"/>
          <w:lang w:val="en-US" w:eastAsia="en-GB"/>
        </w:rPr>
        <w:t>LOCF</w:t>
      </w:r>
      <w:r w:rsidRPr="00312F3E">
        <w:rPr>
          <w:b/>
          <w:bCs/>
          <w:sz w:val="24"/>
          <w:szCs w:val="24"/>
          <w:vertAlign w:val="superscript"/>
          <w:lang w:val="en-US" w:eastAsia="en-GB"/>
        </w:rPr>
        <w:t>a</w:t>
      </w:r>
      <w:proofErr w:type="spellEnd"/>
      <w:r w:rsidRPr="00312F3E">
        <w:rPr>
          <w:b/>
          <w:bCs/>
          <w:sz w:val="24"/>
          <w:szCs w:val="24"/>
          <w:lang w:val="en-US" w:eastAsia="en-GB"/>
        </w:rPr>
        <w:t>) in an active-controlled study of dapagliflozin and metformin combination therapy in drug-naive patients</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730"/>
        <w:gridCol w:w="1968"/>
        <w:gridCol w:w="1970"/>
        <w:gridCol w:w="1970"/>
      </w:tblGrid>
      <w:tr w:rsidR="0029430D" w:rsidRPr="000B19A7" w14:paraId="0A4E586E" w14:textId="77777777" w:rsidTr="00312F3E">
        <w:tc>
          <w:tcPr>
            <w:tcW w:w="1935" w:type="pct"/>
            <w:tcBorders>
              <w:top w:val="single" w:sz="18" w:space="0" w:color="auto"/>
              <w:left w:val="nil"/>
              <w:right w:val="nil"/>
            </w:tcBorders>
            <w:vAlign w:val="bottom"/>
            <w:hideMark/>
          </w:tcPr>
          <w:p w14:paraId="1B7C0A59" w14:textId="77777777" w:rsidR="0029430D" w:rsidRPr="000B19A7" w:rsidRDefault="0029430D">
            <w:pPr>
              <w:rPr>
                <w:sz w:val="22"/>
                <w:szCs w:val="22"/>
              </w:rPr>
            </w:pPr>
            <w:r w:rsidRPr="000B19A7">
              <w:rPr>
                <w:sz w:val="22"/>
                <w:szCs w:val="22"/>
              </w:rPr>
              <w:t>Parameter</w:t>
            </w:r>
          </w:p>
        </w:tc>
        <w:tc>
          <w:tcPr>
            <w:tcW w:w="1021" w:type="pct"/>
            <w:tcBorders>
              <w:top w:val="single" w:sz="18" w:space="0" w:color="auto"/>
              <w:left w:val="nil"/>
              <w:right w:val="nil"/>
            </w:tcBorders>
            <w:hideMark/>
          </w:tcPr>
          <w:p w14:paraId="00A5BDA5" w14:textId="77777777" w:rsidR="0029430D" w:rsidRPr="000B19A7" w:rsidRDefault="0029430D">
            <w:pPr>
              <w:tabs>
                <w:tab w:val="left" w:pos="1304"/>
              </w:tabs>
              <w:autoSpaceDE w:val="0"/>
              <w:autoSpaceDN w:val="0"/>
              <w:adjustRightInd w:val="0"/>
              <w:jc w:val="center"/>
              <w:rPr>
                <w:sz w:val="22"/>
                <w:szCs w:val="22"/>
              </w:rPr>
            </w:pPr>
            <w:r w:rsidRPr="000B19A7">
              <w:rPr>
                <w:sz w:val="22"/>
                <w:szCs w:val="22"/>
              </w:rPr>
              <w:t>Dapagliflozin 10 mg</w:t>
            </w:r>
          </w:p>
          <w:p w14:paraId="71691717" w14:textId="77777777" w:rsidR="0029430D" w:rsidRPr="000B19A7" w:rsidRDefault="0029430D">
            <w:pPr>
              <w:tabs>
                <w:tab w:val="left" w:pos="1304"/>
              </w:tabs>
              <w:autoSpaceDE w:val="0"/>
              <w:autoSpaceDN w:val="0"/>
              <w:adjustRightInd w:val="0"/>
              <w:jc w:val="center"/>
              <w:rPr>
                <w:sz w:val="22"/>
                <w:szCs w:val="22"/>
              </w:rPr>
            </w:pPr>
            <w:r w:rsidRPr="000B19A7">
              <w:rPr>
                <w:sz w:val="22"/>
                <w:szCs w:val="22"/>
              </w:rPr>
              <w:t>+</w:t>
            </w:r>
          </w:p>
          <w:p w14:paraId="67A7B761" w14:textId="77777777" w:rsidR="0029430D" w:rsidRPr="000B19A7" w:rsidRDefault="0029430D">
            <w:pPr>
              <w:tabs>
                <w:tab w:val="left" w:pos="1304"/>
              </w:tabs>
              <w:autoSpaceDE w:val="0"/>
              <w:autoSpaceDN w:val="0"/>
              <w:adjustRightInd w:val="0"/>
              <w:jc w:val="center"/>
              <w:rPr>
                <w:sz w:val="22"/>
                <w:szCs w:val="22"/>
                <w:lang w:eastAsia="en-US"/>
              </w:rPr>
            </w:pPr>
            <w:r w:rsidRPr="000B19A7">
              <w:rPr>
                <w:sz w:val="22"/>
                <w:szCs w:val="22"/>
              </w:rPr>
              <w:t>metformin</w:t>
            </w:r>
          </w:p>
        </w:tc>
        <w:tc>
          <w:tcPr>
            <w:tcW w:w="1022" w:type="pct"/>
            <w:tcBorders>
              <w:top w:val="single" w:sz="18" w:space="0" w:color="auto"/>
              <w:left w:val="nil"/>
              <w:right w:val="nil"/>
            </w:tcBorders>
            <w:hideMark/>
          </w:tcPr>
          <w:p w14:paraId="2832EA84" w14:textId="77777777" w:rsidR="0029430D" w:rsidRPr="000B19A7" w:rsidRDefault="0029430D">
            <w:pPr>
              <w:jc w:val="center"/>
              <w:rPr>
                <w:sz w:val="22"/>
                <w:szCs w:val="22"/>
              </w:rPr>
            </w:pPr>
            <w:r w:rsidRPr="000B19A7">
              <w:rPr>
                <w:sz w:val="22"/>
                <w:szCs w:val="22"/>
              </w:rPr>
              <w:t>Dapagliflozin 10 mg</w:t>
            </w:r>
          </w:p>
        </w:tc>
        <w:tc>
          <w:tcPr>
            <w:tcW w:w="1022" w:type="pct"/>
            <w:tcBorders>
              <w:top w:val="single" w:sz="18" w:space="0" w:color="auto"/>
              <w:left w:val="nil"/>
              <w:right w:val="nil"/>
            </w:tcBorders>
            <w:hideMark/>
          </w:tcPr>
          <w:p w14:paraId="445BA178" w14:textId="77777777" w:rsidR="0029430D" w:rsidRPr="000B19A7" w:rsidRDefault="0029430D">
            <w:pPr>
              <w:jc w:val="center"/>
              <w:rPr>
                <w:sz w:val="22"/>
                <w:szCs w:val="22"/>
              </w:rPr>
            </w:pPr>
            <w:r w:rsidRPr="000B19A7">
              <w:rPr>
                <w:sz w:val="22"/>
                <w:szCs w:val="22"/>
              </w:rPr>
              <w:t>Metformin</w:t>
            </w:r>
          </w:p>
        </w:tc>
      </w:tr>
      <w:tr w:rsidR="0029430D" w:rsidRPr="000B19A7" w14:paraId="31151C2C" w14:textId="77777777" w:rsidTr="00312F3E">
        <w:tc>
          <w:tcPr>
            <w:tcW w:w="1935" w:type="pct"/>
            <w:tcBorders>
              <w:left w:val="nil"/>
              <w:right w:val="nil"/>
            </w:tcBorders>
            <w:vAlign w:val="bottom"/>
            <w:hideMark/>
          </w:tcPr>
          <w:p w14:paraId="7AA333A6" w14:textId="77777777" w:rsidR="0029430D" w:rsidRPr="000B19A7" w:rsidRDefault="0029430D">
            <w:pPr>
              <w:rPr>
                <w:sz w:val="22"/>
                <w:szCs w:val="22"/>
              </w:rPr>
            </w:pPr>
            <w:r w:rsidRPr="000B19A7">
              <w:rPr>
                <w:sz w:val="22"/>
                <w:szCs w:val="22"/>
              </w:rPr>
              <w:t>N</w:t>
            </w:r>
            <w:r w:rsidRPr="000B19A7">
              <w:rPr>
                <w:sz w:val="22"/>
                <w:szCs w:val="22"/>
                <w:vertAlign w:val="superscript"/>
              </w:rPr>
              <w:t>b</w:t>
            </w:r>
          </w:p>
        </w:tc>
        <w:tc>
          <w:tcPr>
            <w:tcW w:w="1021" w:type="pct"/>
            <w:tcBorders>
              <w:left w:val="nil"/>
              <w:right w:val="nil"/>
            </w:tcBorders>
            <w:vAlign w:val="bottom"/>
            <w:hideMark/>
          </w:tcPr>
          <w:p w14:paraId="62015047" w14:textId="77777777" w:rsidR="0029430D" w:rsidRPr="000B19A7" w:rsidRDefault="0029430D">
            <w:pPr>
              <w:jc w:val="center"/>
              <w:rPr>
                <w:sz w:val="22"/>
                <w:szCs w:val="22"/>
              </w:rPr>
            </w:pPr>
            <w:r w:rsidRPr="000B19A7">
              <w:rPr>
                <w:sz w:val="22"/>
                <w:szCs w:val="22"/>
              </w:rPr>
              <w:t>211</w:t>
            </w:r>
            <w:r w:rsidRPr="000B19A7">
              <w:rPr>
                <w:sz w:val="22"/>
                <w:szCs w:val="22"/>
                <w:vertAlign w:val="superscript"/>
              </w:rPr>
              <w:t>b</w:t>
            </w:r>
          </w:p>
        </w:tc>
        <w:tc>
          <w:tcPr>
            <w:tcW w:w="1022" w:type="pct"/>
            <w:tcBorders>
              <w:left w:val="nil"/>
              <w:right w:val="nil"/>
            </w:tcBorders>
            <w:vAlign w:val="bottom"/>
            <w:hideMark/>
          </w:tcPr>
          <w:p w14:paraId="6771A010" w14:textId="77777777" w:rsidR="0029430D" w:rsidRPr="000B19A7" w:rsidRDefault="0029430D">
            <w:pPr>
              <w:jc w:val="center"/>
              <w:rPr>
                <w:sz w:val="22"/>
                <w:szCs w:val="22"/>
              </w:rPr>
            </w:pPr>
            <w:r w:rsidRPr="000B19A7">
              <w:rPr>
                <w:sz w:val="22"/>
                <w:szCs w:val="22"/>
              </w:rPr>
              <w:t>219</w:t>
            </w:r>
            <w:r w:rsidRPr="000B19A7">
              <w:rPr>
                <w:sz w:val="22"/>
                <w:szCs w:val="22"/>
                <w:vertAlign w:val="superscript"/>
              </w:rPr>
              <w:t>b</w:t>
            </w:r>
          </w:p>
        </w:tc>
        <w:tc>
          <w:tcPr>
            <w:tcW w:w="1022" w:type="pct"/>
            <w:tcBorders>
              <w:left w:val="nil"/>
              <w:right w:val="nil"/>
            </w:tcBorders>
            <w:vAlign w:val="bottom"/>
            <w:hideMark/>
          </w:tcPr>
          <w:p w14:paraId="0D1671B6" w14:textId="77777777" w:rsidR="0029430D" w:rsidRPr="000B19A7" w:rsidRDefault="0029430D">
            <w:pPr>
              <w:jc w:val="center"/>
              <w:rPr>
                <w:sz w:val="22"/>
                <w:szCs w:val="22"/>
              </w:rPr>
            </w:pPr>
            <w:r w:rsidRPr="000B19A7">
              <w:rPr>
                <w:sz w:val="22"/>
                <w:szCs w:val="22"/>
              </w:rPr>
              <w:t>208</w:t>
            </w:r>
            <w:r w:rsidRPr="000B19A7">
              <w:rPr>
                <w:sz w:val="22"/>
                <w:szCs w:val="22"/>
                <w:vertAlign w:val="superscript"/>
              </w:rPr>
              <w:t>b</w:t>
            </w:r>
          </w:p>
        </w:tc>
      </w:tr>
      <w:tr w:rsidR="0029430D" w:rsidRPr="000B19A7" w14:paraId="3337F949" w14:textId="77777777" w:rsidTr="00312F3E">
        <w:tc>
          <w:tcPr>
            <w:tcW w:w="1935" w:type="pct"/>
            <w:tcBorders>
              <w:top w:val="single" w:sz="4" w:space="0" w:color="7F7F7F" w:themeColor="text1" w:themeTint="80"/>
              <w:left w:val="nil"/>
              <w:bottom w:val="single" w:sz="18" w:space="0" w:color="auto"/>
              <w:right w:val="nil"/>
            </w:tcBorders>
            <w:vAlign w:val="bottom"/>
            <w:hideMark/>
          </w:tcPr>
          <w:p w14:paraId="11E6A1A6" w14:textId="77777777" w:rsidR="0029430D" w:rsidRPr="006A7320" w:rsidRDefault="0029430D">
            <w:pPr>
              <w:rPr>
                <w:sz w:val="22"/>
                <w:szCs w:val="22"/>
                <w:lang w:val="en-US"/>
              </w:rPr>
            </w:pPr>
            <w:r w:rsidRPr="006A7320">
              <w:rPr>
                <w:sz w:val="22"/>
                <w:szCs w:val="22"/>
                <w:lang w:val="en-US"/>
              </w:rPr>
              <w:t>HbA1c (%)</w:t>
            </w:r>
          </w:p>
          <w:p w14:paraId="57D412BA" w14:textId="77777777" w:rsidR="0029430D" w:rsidRPr="006A7320" w:rsidRDefault="0029430D">
            <w:pPr>
              <w:rPr>
                <w:b/>
                <w:bCs/>
                <w:sz w:val="22"/>
                <w:szCs w:val="22"/>
                <w:lang w:val="en-US"/>
              </w:rPr>
            </w:pPr>
            <w:r w:rsidRPr="006A7320">
              <w:rPr>
                <w:b/>
                <w:bCs/>
                <w:sz w:val="22"/>
                <w:szCs w:val="22"/>
                <w:lang w:val="en-US"/>
              </w:rPr>
              <w:t>Baseline (mean)</w:t>
            </w:r>
          </w:p>
          <w:p w14:paraId="7DDF56F6" w14:textId="77777777" w:rsidR="0029430D" w:rsidRPr="006A7320" w:rsidRDefault="0029430D">
            <w:pPr>
              <w:tabs>
                <w:tab w:val="left" w:pos="1304"/>
              </w:tabs>
              <w:ind w:left="179"/>
              <w:rPr>
                <w:b/>
                <w:bCs/>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7C18230F" w14:textId="77777777" w:rsidR="0029430D" w:rsidRPr="006A7320" w:rsidRDefault="0029430D">
            <w:pPr>
              <w:tabs>
                <w:tab w:val="left" w:pos="1304"/>
              </w:tabs>
              <w:ind w:left="179"/>
              <w:rPr>
                <w:b/>
                <w:bCs/>
                <w:sz w:val="22"/>
                <w:szCs w:val="22"/>
                <w:lang w:val="en-US"/>
              </w:rPr>
            </w:pPr>
            <w:r w:rsidRPr="006A7320">
              <w:rPr>
                <w:b/>
                <w:bCs/>
                <w:sz w:val="22"/>
                <w:szCs w:val="22"/>
                <w:lang w:val="en-US"/>
              </w:rPr>
              <w:t xml:space="preserve">Difference from </w:t>
            </w:r>
            <w:proofErr w:type="spellStart"/>
            <w:r w:rsidRPr="006A7320">
              <w:rPr>
                <w:b/>
                <w:bCs/>
                <w:sz w:val="22"/>
                <w:szCs w:val="22"/>
                <w:lang w:val="en-US"/>
              </w:rPr>
              <w:t>dapagliflozin</w:t>
            </w:r>
            <w:r w:rsidRPr="006A7320">
              <w:rPr>
                <w:b/>
                <w:bCs/>
                <w:sz w:val="22"/>
                <w:szCs w:val="22"/>
                <w:vertAlign w:val="superscript"/>
                <w:lang w:val="en-US"/>
              </w:rPr>
              <w:t>c</w:t>
            </w:r>
            <w:proofErr w:type="spellEnd"/>
          </w:p>
          <w:p w14:paraId="4505F4DA" w14:textId="77777777" w:rsidR="0029430D" w:rsidRPr="006A7320" w:rsidRDefault="0029430D">
            <w:pPr>
              <w:tabs>
                <w:tab w:val="left" w:pos="1304"/>
              </w:tabs>
              <w:ind w:left="321"/>
              <w:rPr>
                <w:b/>
                <w:bCs/>
                <w:sz w:val="22"/>
                <w:szCs w:val="22"/>
                <w:lang w:val="en-US"/>
              </w:rPr>
            </w:pPr>
            <w:r w:rsidRPr="006A7320">
              <w:rPr>
                <w:b/>
                <w:bCs/>
                <w:sz w:val="22"/>
                <w:szCs w:val="22"/>
                <w:lang w:val="en-US"/>
              </w:rPr>
              <w:t>(95% CI)</w:t>
            </w:r>
          </w:p>
          <w:p w14:paraId="108F3986" w14:textId="77777777" w:rsidR="0029430D" w:rsidRPr="006A7320" w:rsidRDefault="0029430D">
            <w:pPr>
              <w:tabs>
                <w:tab w:val="left" w:pos="1304"/>
              </w:tabs>
              <w:ind w:left="179"/>
              <w:rPr>
                <w:b/>
                <w:bCs/>
                <w:sz w:val="22"/>
                <w:szCs w:val="22"/>
                <w:lang w:val="en-US"/>
              </w:rPr>
            </w:pPr>
            <w:r w:rsidRPr="006A7320">
              <w:rPr>
                <w:b/>
                <w:bCs/>
                <w:sz w:val="22"/>
                <w:szCs w:val="22"/>
                <w:lang w:val="en-US"/>
              </w:rPr>
              <w:t xml:space="preserve">Difference from </w:t>
            </w:r>
            <w:proofErr w:type="spellStart"/>
            <w:r w:rsidRPr="006A7320">
              <w:rPr>
                <w:b/>
                <w:bCs/>
                <w:sz w:val="22"/>
                <w:szCs w:val="22"/>
                <w:lang w:val="en-US"/>
              </w:rPr>
              <w:t>metformin</w:t>
            </w:r>
            <w:r w:rsidRPr="006A7320">
              <w:rPr>
                <w:b/>
                <w:bCs/>
                <w:sz w:val="22"/>
                <w:szCs w:val="22"/>
                <w:vertAlign w:val="superscript"/>
                <w:lang w:val="en-US"/>
              </w:rPr>
              <w:t>c</w:t>
            </w:r>
            <w:proofErr w:type="spellEnd"/>
          </w:p>
          <w:p w14:paraId="619E737D" w14:textId="77777777" w:rsidR="0029430D" w:rsidRPr="000B19A7" w:rsidRDefault="0029430D">
            <w:pPr>
              <w:tabs>
                <w:tab w:val="left" w:pos="1304"/>
              </w:tabs>
              <w:ind w:left="321"/>
              <w:rPr>
                <w:sz w:val="22"/>
                <w:szCs w:val="22"/>
              </w:rPr>
            </w:pPr>
            <w:r w:rsidRPr="000B19A7">
              <w:rPr>
                <w:b/>
                <w:bCs/>
                <w:sz w:val="22"/>
                <w:szCs w:val="22"/>
              </w:rPr>
              <w:t>(95% CI)</w:t>
            </w:r>
          </w:p>
        </w:tc>
        <w:tc>
          <w:tcPr>
            <w:tcW w:w="1021" w:type="pct"/>
            <w:tcBorders>
              <w:top w:val="single" w:sz="4" w:space="0" w:color="7F7F7F" w:themeColor="text1" w:themeTint="80"/>
              <w:left w:val="nil"/>
              <w:bottom w:val="single" w:sz="18" w:space="0" w:color="auto"/>
              <w:right w:val="nil"/>
            </w:tcBorders>
            <w:vAlign w:val="bottom"/>
            <w:hideMark/>
          </w:tcPr>
          <w:p w14:paraId="16C169E4" w14:textId="77777777" w:rsidR="0029430D" w:rsidRPr="000B19A7" w:rsidRDefault="0029430D">
            <w:pPr>
              <w:jc w:val="center"/>
              <w:rPr>
                <w:sz w:val="22"/>
                <w:szCs w:val="22"/>
              </w:rPr>
            </w:pPr>
            <w:r w:rsidRPr="000B19A7">
              <w:rPr>
                <w:sz w:val="22"/>
                <w:szCs w:val="22"/>
              </w:rPr>
              <w:t>9.10</w:t>
            </w:r>
          </w:p>
          <w:p w14:paraId="1507FD63" w14:textId="77777777" w:rsidR="0029430D" w:rsidRPr="000B19A7" w:rsidRDefault="0029430D">
            <w:pPr>
              <w:jc w:val="center"/>
              <w:rPr>
                <w:sz w:val="22"/>
                <w:szCs w:val="22"/>
              </w:rPr>
            </w:pPr>
            <w:r w:rsidRPr="000B19A7">
              <w:rPr>
                <w:sz w:val="22"/>
                <w:szCs w:val="22"/>
              </w:rPr>
              <w:t>-1.98</w:t>
            </w:r>
          </w:p>
          <w:p w14:paraId="6E908339" w14:textId="77777777" w:rsidR="0029430D" w:rsidRPr="000B19A7" w:rsidRDefault="0029430D">
            <w:pPr>
              <w:jc w:val="center"/>
              <w:rPr>
                <w:sz w:val="22"/>
                <w:szCs w:val="22"/>
              </w:rPr>
            </w:pPr>
            <w:r w:rsidRPr="000B19A7">
              <w:rPr>
                <w:sz w:val="22"/>
                <w:szCs w:val="22"/>
              </w:rPr>
              <w:t>−0.53</w:t>
            </w:r>
            <w:r w:rsidRPr="000B19A7">
              <w:rPr>
                <w:sz w:val="22"/>
                <w:szCs w:val="22"/>
                <w:vertAlign w:val="superscript"/>
              </w:rPr>
              <w:t>*</w:t>
            </w:r>
          </w:p>
          <w:p w14:paraId="39070DC1" w14:textId="77777777" w:rsidR="0029430D" w:rsidRPr="000B19A7" w:rsidRDefault="0029430D">
            <w:pPr>
              <w:jc w:val="center"/>
              <w:rPr>
                <w:sz w:val="22"/>
                <w:szCs w:val="22"/>
              </w:rPr>
            </w:pPr>
            <w:r w:rsidRPr="000B19A7">
              <w:rPr>
                <w:sz w:val="22"/>
                <w:szCs w:val="22"/>
              </w:rPr>
              <w:t>(−0.74, −0.32)</w:t>
            </w:r>
          </w:p>
          <w:p w14:paraId="5EA77C41" w14:textId="77777777" w:rsidR="0029430D" w:rsidRPr="000B19A7" w:rsidRDefault="0029430D">
            <w:pPr>
              <w:jc w:val="center"/>
              <w:rPr>
                <w:sz w:val="22"/>
                <w:szCs w:val="22"/>
              </w:rPr>
            </w:pPr>
            <w:r w:rsidRPr="000B19A7">
              <w:rPr>
                <w:sz w:val="22"/>
                <w:szCs w:val="22"/>
              </w:rPr>
              <w:t>−0.54</w:t>
            </w:r>
            <w:r w:rsidRPr="000B19A7">
              <w:rPr>
                <w:sz w:val="22"/>
                <w:szCs w:val="22"/>
                <w:vertAlign w:val="superscript"/>
              </w:rPr>
              <w:t>*</w:t>
            </w:r>
          </w:p>
          <w:p w14:paraId="5A56ACF8" w14:textId="77777777" w:rsidR="0029430D" w:rsidRPr="000B19A7" w:rsidRDefault="0029430D">
            <w:pPr>
              <w:jc w:val="center"/>
              <w:rPr>
                <w:sz w:val="22"/>
                <w:szCs w:val="22"/>
              </w:rPr>
            </w:pPr>
            <w:r w:rsidRPr="000B19A7">
              <w:rPr>
                <w:sz w:val="22"/>
                <w:szCs w:val="22"/>
              </w:rPr>
              <w:t>(−0.75, −0.33)</w:t>
            </w:r>
          </w:p>
        </w:tc>
        <w:tc>
          <w:tcPr>
            <w:tcW w:w="1022" w:type="pct"/>
            <w:tcBorders>
              <w:top w:val="single" w:sz="4" w:space="0" w:color="7F7F7F" w:themeColor="text1" w:themeTint="80"/>
              <w:left w:val="nil"/>
              <w:bottom w:val="single" w:sz="18" w:space="0" w:color="auto"/>
              <w:right w:val="nil"/>
            </w:tcBorders>
            <w:vAlign w:val="bottom"/>
          </w:tcPr>
          <w:p w14:paraId="4A367A63" w14:textId="77777777" w:rsidR="0029430D" w:rsidRPr="000B19A7" w:rsidRDefault="0029430D">
            <w:pPr>
              <w:tabs>
                <w:tab w:val="left" w:pos="1304"/>
              </w:tabs>
              <w:jc w:val="center"/>
              <w:rPr>
                <w:sz w:val="22"/>
                <w:szCs w:val="22"/>
              </w:rPr>
            </w:pPr>
            <w:r w:rsidRPr="000B19A7">
              <w:rPr>
                <w:sz w:val="22"/>
                <w:szCs w:val="22"/>
              </w:rPr>
              <w:t>9.03</w:t>
            </w:r>
          </w:p>
          <w:p w14:paraId="27020F11" w14:textId="77777777" w:rsidR="0029430D" w:rsidRPr="000B19A7" w:rsidRDefault="0029430D">
            <w:pPr>
              <w:tabs>
                <w:tab w:val="left" w:pos="1304"/>
              </w:tabs>
              <w:jc w:val="center"/>
              <w:rPr>
                <w:sz w:val="22"/>
                <w:szCs w:val="22"/>
              </w:rPr>
            </w:pPr>
            <w:r w:rsidRPr="000B19A7">
              <w:rPr>
                <w:sz w:val="22"/>
                <w:szCs w:val="22"/>
              </w:rPr>
              <w:t>-1.45</w:t>
            </w:r>
          </w:p>
          <w:p w14:paraId="1508D69F" w14:textId="77777777" w:rsidR="0029430D" w:rsidRPr="000B19A7" w:rsidRDefault="0029430D">
            <w:pPr>
              <w:tabs>
                <w:tab w:val="left" w:pos="1304"/>
              </w:tabs>
              <w:jc w:val="center"/>
              <w:rPr>
                <w:sz w:val="22"/>
                <w:szCs w:val="22"/>
              </w:rPr>
            </w:pPr>
          </w:p>
          <w:p w14:paraId="0F1E4444" w14:textId="77777777" w:rsidR="0029430D" w:rsidRPr="000B19A7" w:rsidRDefault="0029430D">
            <w:pPr>
              <w:tabs>
                <w:tab w:val="left" w:pos="1304"/>
              </w:tabs>
              <w:jc w:val="center"/>
              <w:rPr>
                <w:sz w:val="22"/>
                <w:szCs w:val="22"/>
              </w:rPr>
            </w:pPr>
          </w:p>
          <w:p w14:paraId="172DA884" w14:textId="77777777" w:rsidR="0029430D" w:rsidRPr="000B19A7" w:rsidRDefault="0029430D">
            <w:pPr>
              <w:tabs>
                <w:tab w:val="left" w:pos="1304"/>
              </w:tabs>
              <w:jc w:val="center"/>
              <w:rPr>
                <w:sz w:val="22"/>
                <w:szCs w:val="22"/>
              </w:rPr>
            </w:pPr>
            <w:r w:rsidRPr="000B19A7">
              <w:rPr>
                <w:sz w:val="22"/>
                <w:szCs w:val="22"/>
              </w:rPr>
              <w:t>−0.01</w:t>
            </w:r>
          </w:p>
          <w:p w14:paraId="4DA69230" w14:textId="77777777" w:rsidR="0029430D" w:rsidRPr="000B19A7" w:rsidRDefault="0029430D">
            <w:pPr>
              <w:tabs>
                <w:tab w:val="left" w:pos="1304"/>
              </w:tabs>
              <w:jc w:val="center"/>
              <w:rPr>
                <w:sz w:val="22"/>
                <w:szCs w:val="22"/>
              </w:rPr>
            </w:pPr>
            <w:r w:rsidRPr="000B19A7">
              <w:rPr>
                <w:sz w:val="22"/>
                <w:szCs w:val="22"/>
              </w:rPr>
              <w:t>(−0.22, 0.20)</w:t>
            </w:r>
          </w:p>
        </w:tc>
        <w:tc>
          <w:tcPr>
            <w:tcW w:w="1022" w:type="pct"/>
            <w:tcBorders>
              <w:top w:val="single" w:sz="4" w:space="0" w:color="7F7F7F" w:themeColor="text1" w:themeTint="80"/>
              <w:left w:val="nil"/>
              <w:bottom w:val="single" w:sz="18" w:space="0" w:color="auto"/>
              <w:right w:val="nil"/>
            </w:tcBorders>
            <w:vAlign w:val="bottom"/>
          </w:tcPr>
          <w:p w14:paraId="0A432B29" w14:textId="77777777" w:rsidR="0029430D" w:rsidRPr="000B19A7" w:rsidRDefault="0029430D">
            <w:pPr>
              <w:jc w:val="center"/>
              <w:rPr>
                <w:sz w:val="22"/>
                <w:szCs w:val="22"/>
              </w:rPr>
            </w:pPr>
            <w:r w:rsidRPr="000B19A7">
              <w:rPr>
                <w:sz w:val="22"/>
                <w:szCs w:val="22"/>
              </w:rPr>
              <w:t>9.03</w:t>
            </w:r>
          </w:p>
          <w:p w14:paraId="4DDB70B3" w14:textId="77777777" w:rsidR="0029430D" w:rsidRPr="000B19A7" w:rsidRDefault="0029430D">
            <w:pPr>
              <w:jc w:val="center"/>
              <w:rPr>
                <w:sz w:val="22"/>
                <w:szCs w:val="22"/>
              </w:rPr>
            </w:pPr>
            <w:r w:rsidRPr="000B19A7">
              <w:rPr>
                <w:sz w:val="22"/>
                <w:szCs w:val="22"/>
              </w:rPr>
              <w:t>-1.44</w:t>
            </w:r>
          </w:p>
          <w:p w14:paraId="767F74B1" w14:textId="77777777" w:rsidR="0029430D" w:rsidRPr="000B19A7" w:rsidRDefault="0029430D">
            <w:pPr>
              <w:jc w:val="center"/>
              <w:rPr>
                <w:sz w:val="22"/>
                <w:szCs w:val="22"/>
              </w:rPr>
            </w:pPr>
          </w:p>
          <w:p w14:paraId="12AC9933" w14:textId="77777777" w:rsidR="0029430D" w:rsidRPr="000B19A7" w:rsidRDefault="0029430D">
            <w:pPr>
              <w:jc w:val="center"/>
              <w:rPr>
                <w:sz w:val="22"/>
                <w:szCs w:val="22"/>
              </w:rPr>
            </w:pPr>
          </w:p>
          <w:p w14:paraId="027DE66A" w14:textId="77777777" w:rsidR="0029430D" w:rsidRPr="000B19A7" w:rsidRDefault="0029430D">
            <w:pPr>
              <w:jc w:val="center"/>
              <w:rPr>
                <w:sz w:val="22"/>
                <w:szCs w:val="22"/>
              </w:rPr>
            </w:pPr>
          </w:p>
          <w:p w14:paraId="32FD1C6B" w14:textId="77777777" w:rsidR="0029430D" w:rsidRPr="000B19A7" w:rsidRDefault="0029430D">
            <w:pPr>
              <w:jc w:val="center"/>
              <w:rPr>
                <w:sz w:val="22"/>
                <w:szCs w:val="22"/>
              </w:rPr>
            </w:pPr>
          </w:p>
        </w:tc>
      </w:tr>
    </w:tbl>
    <w:p w14:paraId="056329C8" w14:textId="64410939" w:rsidR="0029430D" w:rsidRPr="000B19A7" w:rsidRDefault="0029430D" w:rsidP="000B19A7">
      <w:pPr>
        <w:ind w:left="284" w:hanging="284"/>
        <w:rPr>
          <w:sz w:val="20"/>
          <w:lang w:val="en-GB" w:eastAsia="en-US"/>
        </w:rPr>
      </w:pPr>
      <w:r w:rsidRPr="000B19A7">
        <w:rPr>
          <w:sz w:val="20"/>
          <w:vertAlign w:val="superscript"/>
          <w:lang w:val="en-US"/>
        </w:rPr>
        <w:t>a</w:t>
      </w:r>
      <w:r w:rsidR="000B19A7">
        <w:rPr>
          <w:sz w:val="20"/>
          <w:vertAlign w:val="superscript"/>
          <w:lang w:val="en-US"/>
        </w:rPr>
        <w:tab/>
      </w:r>
      <w:r w:rsidRPr="000B19A7">
        <w:rPr>
          <w:sz w:val="20"/>
          <w:lang w:val="en-US"/>
        </w:rPr>
        <w:t>LOCF: last observation (prior to rescue for rescued patients) carried forward.</w:t>
      </w:r>
    </w:p>
    <w:p w14:paraId="4846A357" w14:textId="2E0BB5B0" w:rsidR="0029430D" w:rsidRPr="000B19A7" w:rsidRDefault="0029430D" w:rsidP="000B19A7">
      <w:pPr>
        <w:ind w:left="284" w:hanging="284"/>
        <w:rPr>
          <w:sz w:val="20"/>
          <w:lang w:val="en-US"/>
        </w:rPr>
      </w:pPr>
      <w:r w:rsidRPr="000B19A7">
        <w:rPr>
          <w:sz w:val="20"/>
          <w:vertAlign w:val="superscript"/>
          <w:lang w:val="en-US"/>
        </w:rPr>
        <w:t>b</w:t>
      </w:r>
      <w:r w:rsidR="000B19A7">
        <w:rPr>
          <w:sz w:val="20"/>
          <w:vertAlign w:val="superscript"/>
          <w:lang w:val="en-US"/>
        </w:rPr>
        <w:tab/>
      </w:r>
      <w:r w:rsidRPr="000B19A7">
        <w:rPr>
          <w:sz w:val="20"/>
          <w:lang w:val="en-US"/>
        </w:rPr>
        <w:t xml:space="preserve">All </w:t>
      </w:r>
      <w:proofErr w:type="spellStart"/>
      <w:r w:rsidRPr="000B19A7">
        <w:rPr>
          <w:sz w:val="20"/>
          <w:lang w:val="en-US"/>
        </w:rPr>
        <w:t>randomised</w:t>
      </w:r>
      <w:proofErr w:type="spellEnd"/>
      <w:r w:rsidRPr="000B19A7">
        <w:rPr>
          <w:sz w:val="20"/>
          <w:lang w:val="en-US"/>
        </w:rPr>
        <w:t xml:space="preserve"> patients who took at least one dose of double-blind study medicinal product during the short-term double-blind period.</w:t>
      </w:r>
    </w:p>
    <w:p w14:paraId="58F51799" w14:textId="1245DC95" w:rsidR="0029430D" w:rsidRPr="000B19A7" w:rsidRDefault="0029430D" w:rsidP="000B19A7">
      <w:pPr>
        <w:ind w:left="284" w:hanging="284"/>
        <w:rPr>
          <w:sz w:val="20"/>
          <w:lang w:val="en-US"/>
        </w:rPr>
      </w:pPr>
      <w:r w:rsidRPr="000B19A7">
        <w:rPr>
          <w:sz w:val="20"/>
          <w:vertAlign w:val="superscript"/>
          <w:lang w:val="en-US"/>
        </w:rPr>
        <w:t>c</w:t>
      </w:r>
      <w:r w:rsidR="000B19A7">
        <w:rPr>
          <w:sz w:val="20"/>
          <w:vertAlign w:val="superscript"/>
          <w:lang w:val="en-US"/>
        </w:rPr>
        <w:tab/>
      </w:r>
      <w:r w:rsidRPr="000B19A7">
        <w:rPr>
          <w:sz w:val="20"/>
          <w:lang w:val="en-US"/>
        </w:rPr>
        <w:t>Least squares mean adjusted for baseline value.</w:t>
      </w:r>
    </w:p>
    <w:p w14:paraId="4D971E00" w14:textId="1D2C0A16" w:rsidR="0029430D" w:rsidRPr="000B19A7" w:rsidRDefault="0029430D" w:rsidP="000B19A7">
      <w:pPr>
        <w:ind w:left="284" w:hanging="284"/>
        <w:rPr>
          <w:sz w:val="20"/>
          <w:lang w:val="en-US"/>
        </w:rPr>
      </w:pPr>
      <w:r w:rsidRPr="000B19A7">
        <w:rPr>
          <w:sz w:val="20"/>
          <w:vertAlign w:val="superscript"/>
          <w:lang w:val="en-US"/>
        </w:rPr>
        <w:t>*</w:t>
      </w:r>
      <w:r w:rsidR="000B19A7">
        <w:rPr>
          <w:sz w:val="20"/>
          <w:vertAlign w:val="superscript"/>
          <w:lang w:val="en-US"/>
        </w:rPr>
        <w:tab/>
      </w:r>
      <w:r w:rsidRPr="000B19A7">
        <w:rPr>
          <w:sz w:val="20"/>
          <w:lang w:val="en-US"/>
        </w:rPr>
        <w:t>p-value &lt;0.0001.</w:t>
      </w:r>
    </w:p>
    <w:p w14:paraId="3966C28A" w14:textId="77777777" w:rsidR="0029430D" w:rsidRPr="00312F3E" w:rsidRDefault="0029430D" w:rsidP="0029430D">
      <w:pPr>
        <w:rPr>
          <w:sz w:val="24"/>
          <w:szCs w:val="24"/>
          <w:lang w:val="en-US"/>
        </w:rPr>
      </w:pPr>
    </w:p>
    <w:p w14:paraId="3641E81F" w14:textId="77777777" w:rsidR="0029430D" w:rsidRPr="00312F3E" w:rsidRDefault="0029430D" w:rsidP="00312F3E">
      <w:pPr>
        <w:ind w:left="851"/>
        <w:rPr>
          <w:i/>
          <w:iCs/>
          <w:sz w:val="24"/>
          <w:szCs w:val="24"/>
          <w:lang w:val="en-US"/>
        </w:rPr>
      </w:pPr>
      <w:r w:rsidRPr="00312F3E">
        <w:rPr>
          <w:i/>
          <w:iCs/>
          <w:sz w:val="24"/>
          <w:szCs w:val="24"/>
          <w:lang w:val="en-US"/>
        </w:rPr>
        <w:t>Combination therapy with prolonged-release exenatide</w:t>
      </w:r>
    </w:p>
    <w:p w14:paraId="1972CBC0" w14:textId="77777777" w:rsidR="0029430D" w:rsidRPr="00312F3E" w:rsidRDefault="0029430D" w:rsidP="00312F3E">
      <w:pPr>
        <w:ind w:left="851"/>
        <w:rPr>
          <w:sz w:val="24"/>
          <w:szCs w:val="24"/>
          <w:lang w:val="en-US"/>
        </w:rPr>
      </w:pPr>
      <w:r w:rsidRPr="00312F3E">
        <w:rPr>
          <w:sz w:val="24"/>
          <w:szCs w:val="24"/>
          <w:lang w:val="en-US"/>
        </w:rPr>
        <w:t xml:space="preserve">In a 28-week, double-blind, active comparator-controlled study, the combination of dapagliflozin and prolonged-release exenatide (a GLP-1 receptor agonist) was compared to dapagliflozin alone and prolonged-release exenatide alone in subjects with inadequate </w:t>
      </w:r>
      <w:proofErr w:type="spellStart"/>
      <w:r w:rsidRPr="00312F3E">
        <w:rPr>
          <w:sz w:val="24"/>
          <w:szCs w:val="24"/>
          <w:lang w:val="en-US"/>
        </w:rPr>
        <w:t>glycaemic</w:t>
      </w:r>
      <w:proofErr w:type="spellEnd"/>
      <w:r w:rsidRPr="00312F3E">
        <w:rPr>
          <w:sz w:val="24"/>
          <w:szCs w:val="24"/>
          <w:lang w:val="en-US"/>
        </w:rPr>
        <w:t xml:space="preserve"> control on metformin alone (HbA1c ≥ 8% and ≤ 12%). All treatment groups had a reduction in HbA1c compared to baseline. The combination treatment with dapagliflozin 10 mg and prolonged-release exenatide group showed superior reductions in HbA1c from baseline compared to dapagliflozin alone and prolonged-release exenatide alone (Table 8).</w:t>
      </w:r>
    </w:p>
    <w:p w14:paraId="63FF3A19" w14:textId="77777777" w:rsidR="0029430D" w:rsidRPr="00312F3E" w:rsidRDefault="0029430D" w:rsidP="0029430D">
      <w:pPr>
        <w:rPr>
          <w:sz w:val="24"/>
          <w:szCs w:val="24"/>
          <w:lang w:val="en-US"/>
        </w:rPr>
      </w:pPr>
    </w:p>
    <w:p w14:paraId="5164B782" w14:textId="77777777" w:rsidR="0029430D" w:rsidRPr="00312F3E" w:rsidRDefault="0029430D" w:rsidP="0029430D">
      <w:pPr>
        <w:keepNext/>
        <w:rPr>
          <w:sz w:val="24"/>
          <w:szCs w:val="24"/>
          <w:lang w:val="en-US"/>
        </w:rPr>
      </w:pPr>
      <w:r w:rsidRPr="00312F3E">
        <w:rPr>
          <w:b/>
          <w:bCs/>
          <w:sz w:val="24"/>
          <w:szCs w:val="24"/>
          <w:lang w:val="en-US"/>
        </w:rPr>
        <w:t>Table 8. Results of one 28-week study of dapagliflozin and prolonged-release exenatide versus dapagliflozin alone and prolonged-release exenatide alone, in combination with metformin (intent to treat patients)</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386"/>
        <w:gridCol w:w="2117"/>
        <w:gridCol w:w="2115"/>
        <w:gridCol w:w="2020"/>
      </w:tblGrid>
      <w:tr w:rsidR="0029430D" w:rsidRPr="000B19A7" w14:paraId="272B0895" w14:textId="77777777" w:rsidTr="00312F3E">
        <w:tc>
          <w:tcPr>
            <w:tcW w:w="1756" w:type="pct"/>
            <w:tcBorders>
              <w:top w:val="single" w:sz="18" w:space="0" w:color="auto"/>
              <w:left w:val="nil"/>
              <w:right w:val="nil"/>
            </w:tcBorders>
            <w:vAlign w:val="bottom"/>
            <w:hideMark/>
          </w:tcPr>
          <w:p w14:paraId="1FE0DBAF" w14:textId="77777777" w:rsidR="0029430D" w:rsidRPr="000B19A7" w:rsidRDefault="0029430D">
            <w:pPr>
              <w:rPr>
                <w:sz w:val="22"/>
                <w:szCs w:val="22"/>
              </w:rPr>
            </w:pPr>
            <w:r w:rsidRPr="000B19A7">
              <w:rPr>
                <w:sz w:val="22"/>
                <w:szCs w:val="22"/>
              </w:rPr>
              <w:t>Parameter</w:t>
            </w:r>
          </w:p>
        </w:tc>
        <w:tc>
          <w:tcPr>
            <w:tcW w:w="1098" w:type="pct"/>
            <w:tcBorders>
              <w:top w:val="single" w:sz="18" w:space="0" w:color="auto"/>
              <w:left w:val="nil"/>
              <w:right w:val="nil"/>
            </w:tcBorders>
            <w:hideMark/>
          </w:tcPr>
          <w:p w14:paraId="105879CE" w14:textId="77777777" w:rsidR="0029430D" w:rsidRPr="006A7320" w:rsidRDefault="0029430D">
            <w:pPr>
              <w:tabs>
                <w:tab w:val="left" w:pos="1304"/>
              </w:tabs>
              <w:autoSpaceDE w:val="0"/>
              <w:autoSpaceDN w:val="0"/>
              <w:adjustRightInd w:val="0"/>
              <w:jc w:val="center"/>
              <w:rPr>
                <w:sz w:val="22"/>
                <w:szCs w:val="22"/>
                <w:lang w:val="en-US"/>
              </w:rPr>
            </w:pPr>
            <w:r w:rsidRPr="006A7320">
              <w:rPr>
                <w:sz w:val="22"/>
                <w:szCs w:val="22"/>
                <w:lang w:val="en-US"/>
              </w:rPr>
              <w:t>Dapagliflozin 10 mg</w:t>
            </w:r>
          </w:p>
          <w:p w14:paraId="2D459447" w14:textId="77777777" w:rsidR="0029430D" w:rsidRPr="006A7320" w:rsidRDefault="0029430D">
            <w:pPr>
              <w:tabs>
                <w:tab w:val="left" w:pos="1304"/>
              </w:tabs>
              <w:autoSpaceDE w:val="0"/>
              <w:autoSpaceDN w:val="0"/>
              <w:adjustRightInd w:val="0"/>
              <w:jc w:val="center"/>
              <w:rPr>
                <w:sz w:val="22"/>
                <w:szCs w:val="22"/>
                <w:lang w:val="en-US"/>
              </w:rPr>
            </w:pPr>
            <w:r w:rsidRPr="006A7320">
              <w:rPr>
                <w:sz w:val="22"/>
                <w:szCs w:val="22"/>
                <w:lang w:val="en-US"/>
              </w:rPr>
              <w:t>QD</w:t>
            </w:r>
          </w:p>
          <w:p w14:paraId="6156235C" w14:textId="77777777" w:rsidR="0029430D" w:rsidRPr="006A7320" w:rsidRDefault="0029430D">
            <w:pPr>
              <w:tabs>
                <w:tab w:val="left" w:pos="1304"/>
              </w:tabs>
              <w:autoSpaceDE w:val="0"/>
              <w:autoSpaceDN w:val="0"/>
              <w:adjustRightInd w:val="0"/>
              <w:jc w:val="center"/>
              <w:rPr>
                <w:sz w:val="22"/>
                <w:szCs w:val="22"/>
                <w:lang w:val="en-US"/>
              </w:rPr>
            </w:pPr>
            <w:r w:rsidRPr="006A7320">
              <w:rPr>
                <w:sz w:val="22"/>
                <w:szCs w:val="22"/>
                <w:lang w:val="en-US"/>
              </w:rPr>
              <w:t>+</w:t>
            </w:r>
          </w:p>
          <w:p w14:paraId="409769C5" w14:textId="77777777" w:rsidR="0029430D" w:rsidRPr="006A7320" w:rsidRDefault="0029430D">
            <w:pPr>
              <w:tabs>
                <w:tab w:val="left" w:pos="1304"/>
              </w:tabs>
              <w:autoSpaceDE w:val="0"/>
              <w:autoSpaceDN w:val="0"/>
              <w:adjustRightInd w:val="0"/>
              <w:jc w:val="center"/>
              <w:rPr>
                <w:sz w:val="22"/>
                <w:szCs w:val="22"/>
                <w:lang w:val="en-US"/>
              </w:rPr>
            </w:pPr>
            <w:r w:rsidRPr="006A7320">
              <w:rPr>
                <w:sz w:val="22"/>
                <w:szCs w:val="22"/>
                <w:lang w:val="en-US"/>
              </w:rPr>
              <w:t>prolonged-release</w:t>
            </w:r>
          </w:p>
          <w:p w14:paraId="0BC1933F" w14:textId="77777777" w:rsidR="0029430D" w:rsidRPr="006A7320" w:rsidRDefault="0029430D">
            <w:pPr>
              <w:tabs>
                <w:tab w:val="left" w:pos="1304"/>
              </w:tabs>
              <w:autoSpaceDE w:val="0"/>
              <w:autoSpaceDN w:val="0"/>
              <w:adjustRightInd w:val="0"/>
              <w:jc w:val="center"/>
              <w:rPr>
                <w:sz w:val="22"/>
                <w:szCs w:val="22"/>
                <w:lang w:val="en-US" w:eastAsia="en-US"/>
              </w:rPr>
            </w:pPr>
            <w:r w:rsidRPr="006A7320">
              <w:rPr>
                <w:sz w:val="22"/>
                <w:szCs w:val="22"/>
                <w:lang w:val="en-US"/>
              </w:rPr>
              <w:t>exenatide 2 mg QW</w:t>
            </w:r>
          </w:p>
        </w:tc>
        <w:tc>
          <w:tcPr>
            <w:tcW w:w="1097" w:type="pct"/>
            <w:tcBorders>
              <w:top w:val="single" w:sz="18" w:space="0" w:color="auto"/>
              <w:left w:val="nil"/>
              <w:right w:val="nil"/>
            </w:tcBorders>
            <w:hideMark/>
          </w:tcPr>
          <w:p w14:paraId="1C3A81D9" w14:textId="77777777" w:rsidR="0029430D" w:rsidRPr="000B19A7" w:rsidRDefault="0029430D">
            <w:pPr>
              <w:jc w:val="center"/>
              <w:rPr>
                <w:sz w:val="22"/>
                <w:szCs w:val="22"/>
              </w:rPr>
            </w:pPr>
            <w:proofErr w:type="spellStart"/>
            <w:r w:rsidRPr="000B19A7">
              <w:rPr>
                <w:sz w:val="22"/>
                <w:szCs w:val="22"/>
              </w:rPr>
              <w:t>Dapagliflozin</w:t>
            </w:r>
            <w:proofErr w:type="spellEnd"/>
            <w:r w:rsidRPr="000B19A7">
              <w:rPr>
                <w:sz w:val="22"/>
                <w:szCs w:val="22"/>
              </w:rPr>
              <w:t xml:space="preserve"> 10 mg</w:t>
            </w:r>
          </w:p>
          <w:p w14:paraId="0B9430E3" w14:textId="77777777" w:rsidR="0029430D" w:rsidRPr="000B19A7" w:rsidRDefault="0029430D">
            <w:pPr>
              <w:jc w:val="center"/>
              <w:rPr>
                <w:sz w:val="22"/>
                <w:szCs w:val="22"/>
              </w:rPr>
            </w:pPr>
            <w:r w:rsidRPr="000B19A7">
              <w:rPr>
                <w:sz w:val="22"/>
                <w:szCs w:val="22"/>
              </w:rPr>
              <w:t>QD</w:t>
            </w:r>
          </w:p>
          <w:p w14:paraId="4F2419C7" w14:textId="77777777" w:rsidR="0029430D" w:rsidRPr="000B19A7" w:rsidRDefault="0029430D">
            <w:pPr>
              <w:jc w:val="center"/>
              <w:rPr>
                <w:sz w:val="22"/>
                <w:szCs w:val="22"/>
              </w:rPr>
            </w:pPr>
            <w:r w:rsidRPr="000B19A7">
              <w:rPr>
                <w:sz w:val="22"/>
                <w:szCs w:val="22"/>
              </w:rPr>
              <w:t>+</w:t>
            </w:r>
          </w:p>
          <w:p w14:paraId="36FDD2AB" w14:textId="77777777" w:rsidR="0029430D" w:rsidRPr="000B19A7" w:rsidRDefault="0029430D">
            <w:pPr>
              <w:jc w:val="center"/>
              <w:rPr>
                <w:sz w:val="22"/>
                <w:szCs w:val="22"/>
              </w:rPr>
            </w:pPr>
            <w:r w:rsidRPr="000B19A7">
              <w:rPr>
                <w:sz w:val="22"/>
                <w:szCs w:val="22"/>
              </w:rPr>
              <w:t>placebo QW</w:t>
            </w:r>
          </w:p>
        </w:tc>
        <w:tc>
          <w:tcPr>
            <w:tcW w:w="1048" w:type="pct"/>
            <w:tcBorders>
              <w:top w:val="single" w:sz="18" w:space="0" w:color="auto"/>
              <w:left w:val="nil"/>
              <w:right w:val="nil"/>
            </w:tcBorders>
            <w:hideMark/>
          </w:tcPr>
          <w:p w14:paraId="4287A8C3" w14:textId="77777777" w:rsidR="0029430D" w:rsidRPr="006A7320" w:rsidRDefault="0029430D">
            <w:pPr>
              <w:jc w:val="center"/>
              <w:rPr>
                <w:sz w:val="22"/>
                <w:szCs w:val="22"/>
                <w:lang w:val="en-US"/>
              </w:rPr>
            </w:pPr>
            <w:r w:rsidRPr="006A7320">
              <w:rPr>
                <w:sz w:val="22"/>
                <w:szCs w:val="22"/>
                <w:lang w:val="en-US"/>
              </w:rPr>
              <w:t>Prolonged-release</w:t>
            </w:r>
          </w:p>
          <w:p w14:paraId="696214FB" w14:textId="77777777" w:rsidR="0029430D" w:rsidRPr="006A7320" w:rsidRDefault="0029430D">
            <w:pPr>
              <w:jc w:val="center"/>
              <w:rPr>
                <w:sz w:val="22"/>
                <w:szCs w:val="22"/>
                <w:lang w:val="en-US"/>
              </w:rPr>
            </w:pPr>
            <w:r w:rsidRPr="006A7320">
              <w:rPr>
                <w:sz w:val="22"/>
                <w:szCs w:val="22"/>
                <w:lang w:val="en-US"/>
              </w:rPr>
              <w:t>exenatide 2 mg</w:t>
            </w:r>
          </w:p>
          <w:p w14:paraId="72CBE0B5" w14:textId="77777777" w:rsidR="0029430D" w:rsidRPr="006A7320" w:rsidRDefault="0029430D">
            <w:pPr>
              <w:jc w:val="center"/>
              <w:rPr>
                <w:sz w:val="22"/>
                <w:szCs w:val="22"/>
                <w:lang w:val="en-US"/>
              </w:rPr>
            </w:pPr>
            <w:r w:rsidRPr="006A7320">
              <w:rPr>
                <w:sz w:val="22"/>
                <w:szCs w:val="22"/>
                <w:lang w:val="en-US"/>
              </w:rPr>
              <w:t>QW</w:t>
            </w:r>
          </w:p>
          <w:p w14:paraId="127885CE" w14:textId="77777777" w:rsidR="0029430D" w:rsidRPr="006A7320" w:rsidRDefault="0029430D">
            <w:pPr>
              <w:jc w:val="center"/>
              <w:rPr>
                <w:sz w:val="22"/>
                <w:szCs w:val="22"/>
                <w:lang w:val="en-US"/>
              </w:rPr>
            </w:pPr>
            <w:r w:rsidRPr="006A7320">
              <w:rPr>
                <w:sz w:val="22"/>
                <w:szCs w:val="22"/>
                <w:lang w:val="en-US"/>
              </w:rPr>
              <w:t>+</w:t>
            </w:r>
          </w:p>
          <w:p w14:paraId="34B1E1AA" w14:textId="77777777" w:rsidR="0029430D" w:rsidRPr="000B19A7" w:rsidRDefault="0029430D">
            <w:pPr>
              <w:tabs>
                <w:tab w:val="left" w:pos="1304"/>
              </w:tabs>
              <w:jc w:val="center"/>
              <w:rPr>
                <w:sz w:val="22"/>
                <w:szCs w:val="22"/>
              </w:rPr>
            </w:pPr>
            <w:r w:rsidRPr="000B19A7">
              <w:rPr>
                <w:sz w:val="22"/>
                <w:szCs w:val="22"/>
              </w:rPr>
              <w:t>placebo QD</w:t>
            </w:r>
          </w:p>
        </w:tc>
      </w:tr>
      <w:tr w:rsidR="0029430D" w:rsidRPr="000B19A7" w14:paraId="1EAAB7AA" w14:textId="77777777" w:rsidTr="00312F3E">
        <w:tc>
          <w:tcPr>
            <w:tcW w:w="1756" w:type="pct"/>
            <w:tcBorders>
              <w:left w:val="nil"/>
              <w:right w:val="nil"/>
            </w:tcBorders>
            <w:vAlign w:val="bottom"/>
            <w:hideMark/>
          </w:tcPr>
          <w:p w14:paraId="38F4FD18" w14:textId="77777777" w:rsidR="0029430D" w:rsidRPr="000B19A7" w:rsidRDefault="0029430D">
            <w:pPr>
              <w:rPr>
                <w:sz w:val="22"/>
                <w:szCs w:val="22"/>
              </w:rPr>
            </w:pPr>
            <w:r w:rsidRPr="000B19A7">
              <w:rPr>
                <w:sz w:val="22"/>
                <w:szCs w:val="22"/>
              </w:rPr>
              <w:t>N</w:t>
            </w:r>
          </w:p>
        </w:tc>
        <w:tc>
          <w:tcPr>
            <w:tcW w:w="1098" w:type="pct"/>
            <w:tcBorders>
              <w:left w:val="nil"/>
              <w:right w:val="nil"/>
            </w:tcBorders>
            <w:vAlign w:val="bottom"/>
            <w:hideMark/>
          </w:tcPr>
          <w:p w14:paraId="299E47B4" w14:textId="77777777" w:rsidR="0029430D" w:rsidRPr="000B19A7" w:rsidRDefault="0029430D">
            <w:pPr>
              <w:jc w:val="center"/>
              <w:rPr>
                <w:sz w:val="22"/>
                <w:szCs w:val="22"/>
              </w:rPr>
            </w:pPr>
            <w:r w:rsidRPr="000B19A7">
              <w:rPr>
                <w:b/>
                <w:bCs/>
                <w:sz w:val="22"/>
                <w:szCs w:val="22"/>
              </w:rPr>
              <w:t>228</w:t>
            </w:r>
          </w:p>
        </w:tc>
        <w:tc>
          <w:tcPr>
            <w:tcW w:w="1097" w:type="pct"/>
            <w:tcBorders>
              <w:left w:val="nil"/>
              <w:right w:val="nil"/>
            </w:tcBorders>
            <w:vAlign w:val="bottom"/>
            <w:hideMark/>
          </w:tcPr>
          <w:p w14:paraId="383190E5" w14:textId="77777777" w:rsidR="0029430D" w:rsidRPr="000B19A7" w:rsidRDefault="0029430D">
            <w:pPr>
              <w:jc w:val="center"/>
              <w:rPr>
                <w:sz w:val="22"/>
                <w:szCs w:val="22"/>
              </w:rPr>
            </w:pPr>
            <w:r w:rsidRPr="000B19A7">
              <w:rPr>
                <w:b/>
                <w:bCs/>
                <w:sz w:val="22"/>
                <w:szCs w:val="22"/>
              </w:rPr>
              <w:t>230</w:t>
            </w:r>
          </w:p>
        </w:tc>
        <w:tc>
          <w:tcPr>
            <w:tcW w:w="1048" w:type="pct"/>
            <w:tcBorders>
              <w:left w:val="nil"/>
              <w:right w:val="nil"/>
            </w:tcBorders>
            <w:vAlign w:val="bottom"/>
            <w:hideMark/>
          </w:tcPr>
          <w:p w14:paraId="60906620" w14:textId="77777777" w:rsidR="0029430D" w:rsidRPr="000B19A7" w:rsidRDefault="0029430D">
            <w:pPr>
              <w:jc w:val="center"/>
              <w:rPr>
                <w:sz w:val="22"/>
                <w:szCs w:val="22"/>
              </w:rPr>
            </w:pPr>
            <w:r w:rsidRPr="000B19A7">
              <w:rPr>
                <w:b/>
                <w:bCs/>
                <w:sz w:val="22"/>
                <w:szCs w:val="22"/>
              </w:rPr>
              <w:t>227</w:t>
            </w:r>
          </w:p>
        </w:tc>
      </w:tr>
      <w:tr w:rsidR="0029430D" w:rsidRPr="000B19A7" w14:paraId="6425B598" w14:textId="77777777" w:rsidTr="00312F3E">
        <w:tc>
          <w:tcPr>
            <w:tcW w:w="1756" w:type="pct"/>
            <w:tcBorders>
              <w:top w:val="single" w:sz="4" w:space="0" w:color="7F7F7F" w:themeColor="text1" w:themeTint="80"/>
              <w:left w:val="nil"/>
              <w:bottom w:val="single" w:sz="4" w:space="0" w:color="7F7F7F" w:themeColor="text1" w:themeTint="80"/>
              <w:right w:val="nil"/>
            </w:tcBorders>
            <w:vAlign w:val="bottom"/>
            <w:hideMark/>
          </w:tcPr>
          <w:p w14:paraId="1654A6AA" w14:textId="77777777" w:rsidR="0029430D" w:rsidRPr="006A7320" w:rsidRDefault="0029430D">
            <w:pPr>
              <w:rPr>
                <w:sz w:val="22"/>
                <w:szCs w:val="22"/>
                <w:lang w:val="en-US"/>
              </w:rPr>
            </w:pPr>
            <w:r w:rsidRPr="006A7320">
              <w:rPr>
                <w:sz w:val="22"/>
                <w:szCs w:val="22"/>
                <w:lang w:val="en-US"/>
              </w:rPr>
              <w:t>HbA1c (%)</w:t>
            </w:r>
          </w:p>
          <w:p w14:paraId="488A7A2F" w14:textId="77777777" w:rsidR="0029430D" w:rsidRPr="006A7320" w:rsidRDefault="0029430D">
            <w:pPr>
              <w:rPr>
                <w:b/>
                <w:bCs/>
                <w:sz w:val="22"/>
                <w:szCs w:val="22"/>
                <w:lang w:val="en-US"/>
              </w:rPr>
            </w:pPr>
            <w:r w:rsidRPr="006A7320">
              <w:rPr>
                <w:b/>
                <w:bCs/>
                <w:sz w:val="22"/>
                <w:szCs w:val="22"/>
                <w:lang w:val="en-US"/>
              </w:rPr>
              <w:t>Baseline (mean)</w:t>
            </w:r>
          </w:p>
          <w:p w14:paraId="037E4049" w14:textId="77777777" w:rsidR="0029430D" w:rsidRPr="006A7320" w:rsidRDefault="0029430D">
            <w:pPr>
              <w:tabs>
                <w:tab w:val="left" w:pos="1304"/>
              </w:tabs>
              <w:rPr>
                <w:b/>
                <w:bCs/>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a</w:t>
            </w:r>
            <w:proofErr w:type="spellEnd"/>
          </w:p>
          <w:p w14:paraId="1D74D084" w14:textId="77777777" w:rsidR="0029430D" w:rsidRPr="006A7320" w:rsidRDefault="0029430D">
            <w:pPr>
              <w:tabs>
                <w:tab w:val="left" w:pos="1304"/>
              </w:tabs>
              <w:rPr>
                <w:b/>
                <w:bCs/>
                <w:sz w:val="22"/>
                <w:szCs w:val="22"/>
                <w:lang w:val="en-US"/>
              </w:rPr>
            </w:pPr>
            <w:r w:rsidRPr="006A7320">
              <w:rPr>
                <w:b/>
                <w:bCs/>
                <w:sz w:val="22"/>
                <w:szCs w:val="22"/>
                <w:lang w:val="en-US"/>
              </w:rPr>
              <w:t>Mean difference in change</w:t>
            </w:r>
          </w:p>
          <w:p w14:paraId="257020EF" w14:textId="77777777" w:rsidR="0029430D" w:rsidRPr="006A7320" w:rsidRDefault="0029430D">
            <w:pPr>
              <w:tabs>
                <w:tab w:val="left" w:pos="1304"/>
              </w:tabs>
              <w:rPr>
                <w:b/>
                <w:bCs/>
                <w:sz w:val="22"/>
                <w:szCs w:val="22"/>
                <w:lang w:val="en-US"/>
              </w:rPr>
            </w:pPr>
            <w:r w:rsidRPr="006A7320">
              <w:rPr>
                <w:b/>
                <w:bCs/>
                <w:sz w:val="22"/>
                <w:szCs w:val="22"/>
                <w:lang w:val="en-US"/>
              </w:rPr>
              <w:t>from baseline between</w:t>
            </w:r>
          </w:p>
          <w:p w14:paraId="59AC4784" w14:textId="77777777" w:rsidR="0029430D" w:rsidRPr="006A7320" w:rsidRDefault="0029430D">
            <w:pPr>
              <w:tabs>
                <w:tab w:val="left" w:pos="1304"/>
              </w:tabs>
              <w:rPr>
                <w:b/>
                <w:bCs/>
                <w:sz w:val="22"/>
                <w:szCs w:val="22"/>
                <w:lang w:val="en-US"/>
              </w:rPr>
            </w:pPr>
            <w:r w:rsidRPr="006A7320">
              <w:rPr>
                <w:b/>
                <w:bCs/>
                <w:sz w:val="22"/>
                <w:szCs w:val="22"/>
                <w:lang w:val="en-US"/>
              </w:rPr>
              <w:t>combination and single</w:t>
            </w:r>
          </w:p>
          <w:p w14:paraId="414072DD" w14:textId="77777777" w:rsidR="0029430D" w:rsidRPr="006A7320" w:rsidRDefault="0029430D">
            <w:pPr>
              <w:rPr>
                <w:sz w:val="22"/>
                <w:szCs w:val="22"/>
                <w:lang w:val="en-US"/>
              </w:rPr>
            </w:pPr>
            <w:r w:rsidRPr="006A7320">
              <w:rPr>
                <w:b/>
                <w:bCs/>
                <w:sz w:val="22"/>
                <w:szCs w:val="22"/>
                <w:lang w:val="en-US"/>
              </w:rPr>
              <w:t>medicinal product (95% CI)</w:t>
            </w:r>
          </w:p>
        </w:tc>
        <w:tc>
          <w:tcPr>
            <w:tcW w:w="1098" w:type="pct"/>
            <w:tcBorders>
              <w:top w:val="single" w:sz="4" w:space="0" w:color="7F7F7F" w:themeColor="text1" w:themeTint="80"/>
              <w:left w:val="nil"/>
              <w:bottom w:val="single" w:sz="4" w:space="0" w:color="7F7F7F" w:themeColor="text1" w:themeTint="80"/>
              <w:right w:val="nil"/>
            </w:tcBorders>
          </w:tcPr>
          <w:p w14:paraId="60834EF1" w14:textId="77777777" w:rsidR="0029430D" w:rsidRPr="006A7320" w:rsidRDefault="0029430D">
            <w:pPr>
              <w:jc w:val="center"/>
              <w:rPr>
                <w:sz w:val="22"/>
                <w:szCs w:val="22"/>
                <w:lang w:val="en-US"/>
              </w:rPr>
            </w:pPr>
          </w:p>
          <w:p w14:paraId="28785868" w14:textId="77777777" w:rsidR="0029430D" w:rsidRPr="000B19A7" w:rsidRDefault="0029430D">
            <w:pPr>
              <w:jc w:val="center"/>
              <w:rPr>
                <w:sz w:val="22"/>
                <w:szCs w:val="22"/>
              </w:rPr>
            </w:pPr>
            <w:r w:rsidRPr="000B19A7">
              <w:rPr>
                <w:sz w:val="22"/>
                <w:szCs w:val="22"/>
              </w:rPr>
              <w:t>9.29</w:t>
            </w:r>
          </w:p>
          <w:p w14:paraId="2BE453FE" w14:textId="77777777" w:rsidR="0029430D" w:rsidRPr="000B19A7" w:rsidRDefault="0029430D">
            <w:pPr>
              <w:jc w:val="center"/>
              <w:rPr>
                <w:sz w:val="22"/>
                <w:szCs w:val="22"/>
              </w:rPr>
            </w:pPr>
            <w:r w:rsidRPr="000B19A7">
              <w:rPr>
                <w:sz w:val="22"/>
                <w:szCs w:val="22"/>
              </w:rPr>
              <w:t>-1.98</w:t>
            </w:r>
          </w:p>
        </w:tc>
        <w:tc>
          <w:tcPr>
            <w:tcW w:w="1097" w:type="pct"/>
            <w:tcBorders>
              <w:top w:val="single" w:sz="4" w:space="0" w:color="7F7F7F" w:themeColor="text1" w:themeTint="80"/>
              <w:left w:val="nil"/>
              <w:bottom w:val="single" w:sz="4" w:space="0" w:color="7F7F7F" w:themeColor="text1" w:themeTint="80"/>
              <w:right w:val="nil"/>
            </w:tcBorders>
          </w:tcPr>
          <w:p w14:paraId="7176F250" w14:textId="77777777" w:rsidR="0029430D" w:rsidRPr="000B19A7" w:rsidRDefault="0029430D">
            <w:pPr>
              <w:tabs>
                <w:tab w:val="left" w:pos="1304"/>
              </w:tabs>
              <w:jc w:val="center"/>
              <w:rPr>
                <w:sz w:val="22"/>
                <w:szCs w:val="22"/>
              </w:rPr>
            </w:pPr>
          </w:p>
          <w:p w14:paraId="7B3AEC5B" w14:textId="77777777" w:rsidR="0029430D" w:rsidRPr="000B19A7" w:rsidRDefault="0029430D">
            <w:pPr>
              <w:tabs>
                <w:tab w:val="left" w:pos="1304"/>
              </w:tabs>
              <w:jc w:val="center"/>
              <w:rPr>
                <w:sz w:val="22"/>
                <w:szCs w:val="22"/>
              </w:rPr>
            </w:pPr>
            <w:r w:rsidRPr="000B19A7">
              <w:rPr>
                <w:sz w:val="22"/>
                <w:szCs w:val="22"/>
              </w:rPr>
              <w:t>9.25</w:t>
            </w:r>
          </w:p>
          <w:p w14:paraId="1E8A64A8" w14:textId="77777777" w:rsidR="0029430D" w:rsidRPr="000B19A7" w:rsidRDefault="0029430D">
            <w:pPr>
              <w:tabs>
                <w:tab w:val="left" w:pos="1304"/>
              </w:tabs>
              <w:jc w:val="center"/>
              <w:rPr>
                <w:sz w:val="22"/>
                <w:szCs w:val="22"/>
              </w:rPr>
            </w:pPr>
            <w:r w:rsidRPr="000B19A7">
              <w:rPr>
                <w:sz w:val="22"/>
                <w:szCs w:val="22"/>
              </w:rPr>
              <w:t>-1.39</w:t>
            </w:r>
          </w:p>
          <w:p w14:paraId="3E4455C7" w14:textId="77777777" w:rsidR="0029430D" w:rsidRPr="000B19A7" w:rsidRDefault="0029430D">
            <w:pPr>
              <w:tabs>
                <w:tab w:val="left" w:pos="1304"/>
              </w:tabs>
              <w:jc w:val="center"/>
              <w:rPr>
                <w:sz w:val="22"/>
                <w:szCs w:val="22"/>
              </w:rPr>
            </w:pPr>
          </w:p>
          <w:p w14:paraId="5E9B777A" w14:textId="77777777" w:rsidR="0029430D" w:rsidRPr="000B19A7" w:rsidRDefault="0029430D">
            <w:pPr>
              <w:tabs>
                <w:tab w:val="left" w:pos="1304"/>
              </w:tabs>
              <w:jc w:val="center"/>
              <w:rPr>
                <w:sz w:val="22"/>
                <w:szCs w:val="22"/>
              </w:rPr>
            </w:pPr>
            <w:r w:rsidRPr="000B19A7">
              <w:rPr>
                <w:sz w:val="22"/>
                <w:szCs w:val="22"/>
              </w:rPr>
              <w:t>-0.59</w:t>
            </w:r>
            <w:r w:rsidRPr="000B19A7">
              <w:rPr>
                <w:sz w:val="22"/>
                <w:szCs w:val="22"/>
                <w:vertAlign w:val="superscript"/>
              </w:rPr>
              <w:t>*</w:t>
            </w:r>
          </w:p>
          <w:p w14:paraId="0D436867" w14:textId="77777777" w:rsidR="0029430D" w:rsidRPr="000B19A7" w:rsidRDefault="0029430D">
            <w:pPr>
              <w:tabs>
                <w:tab w:val="left" w:pos="1304"/>
              </w:tabs>
              <w:jc w:val="center"/>
              <w:rPr>
                <w:sz w:val="22"/>
                <w:szCs w:val="22"/>
              </w:rPr>
            </w:pPr>
            <w:r w:rsidRPr="000B19A7">
              <w:rPr>
                <w:sz w:val="22"/>
                <w:szCs w:val="22"/>
              </w:rPr>
              <w:t>(-0.84, -0.34)</w:t>
            </w:r>
          </w:p>
          <w:p w14:paraId="6E08EC2A" w14:textId="77777777" w:rsidR="0029430D" w:rsidRPr="000B19A7" w:rsidRDefault="0029430D">
            <w:pPr>
              <w:tabs>
                <w:tab w:val="left" w:pos="1304"/>
              </w:tabs>
              <w:jc w:val="center"/>
              <w:rPr>
                <w:sz w:val="22"/>
                <w:szCs w:val="22"/>
              </w:rPr>
            </w:pPr>
          </w:p>
        </w:tc>
        <w:tc>
          <w:tcPr>
            <w:tcW w:w="1048" w:type="pct"/>
            <w:tcBorders>
              <w:top w:val="single" w:sz="4" w:space="0" w:color="7F7F7F" w:themeColor="text1" w:themeTint="80"/>
              <w:left w:val="nil"/>
              <w:bottom w:val="single" w:sz="4" w:space="0" w:color="7F7F7F" w:themeColor="text1" w:themeTint="80"/>
              <w:right w:val="nil"/>
            </w:tcBorders>
          </w:tcPr>
          <w:p w14:paraId="675902AA" w14:textId="77777777" w:rsidR="0029430D" w:rsidRPr="000B19A7" w:rsidRDefault="0029430D">
            <w:pPr>
              <w:jc w:val="center"/>
              <w:rPr>
                <w:sz w:val="22"/>
                <w:szCs w:val="22"/>
              </w:rPr>
            </w:pPr>
          </w:p>
          <w:p w14:paraId="5CC813E4" w14:textId="77777777" w:rsidR="0029430D" w:rsidRPr="000B19A7" w:rsidRDefault="0029430D">
            <w:pPr>
              <w:jc w:val="center"/>
              <w:rPr>
                <w:sz w:val="22"/>
                <w:szCs w:val="22"/>
              </w:rPr>
            </w:pPr>
            <w:r w:rsidRPr="000B19A7">
              <w:rPr>
                <w:sz w:val="22"/>
                <w:szCs w:val="22"/>
              </w:rPr>
              <w:t>9.26</w:t>
            </w:r>
          </w:p>
          <w:p w14:paraId="02AFED65" w14:textId="77777777" w:rsidR="0029430D" w:rsidRPr="000B19A7" w:rsidRDefault="0029430D">
            <w:pPr>
              <w:jc w:val="center"/>
              <w:rPr>
                <w:sz w:val="22"/>
                <w:szCs w:val="22"/>
              </w:rPr>
            </w:pPr>
            <w:r w:rsidRPr="000B19A7">
              <w:rPr>
                <w:sz w:val="22"/>
                <w:szCs w:val="22"/>
              </w:rPr>
              <w:t>-1.60</w:t>
            </w:r>
          </w:p>
          <w:p w14:paraId="3232EDD2" w14:textId="77777777" w:rsidR="0029430D" w:rsidRPr="000B19A7" w:rsidRDefault="0029430D">
            <w:pPr>
              <w:jc w:val="center"/>
              <w:rPr>
                <w:sz w:val="22"/>
                <w:szCs w:val="22"/>
              </w:rPr>
            </w:pPr>
          </w:p>
          <w:p w14:paraId="66DA589F" w14:textId="77777777" w:rsidR="0029430D" w:rsidRPr="000B19A7" w:rsidRDefault="0029430D">
            <w:pPr>
              <w:jc w:val="center"/>
              <w:rPr>
                <w:sz w:val="22"/>
                <w:szCs w:val="22"/>
              </w:rPr>
            </w:pPr>
            <w:r w:rsidRPr="000B19A7">
              <w:rPr>
                <w:sz w:val="22"/>
                <w:szCs w:val="22"/>
              </w:rPr>
              <w:t>-0.38</w:t>
            </w:r>
            <w:r w:rsidRPr="000B19A7">
              <w:rPr>
                <w:sz w:val="22"/>
                <w:szCs w:val="22"/>
                <w:vertAlign w:val="superscript"/>
              </w:rPr>
              <w:t>**</w:t>
            </w:r>
          </w:p>
          <w:p w14:paraId="6186B99B" w14:textId="77777777" w:rsidR="0029430D" w:rsidRPr="000B19A7" w:rsidRDefault="0029430D">
            <w:pPr>
              <w:jc w:val="center"/>
              <w:rPr>
                <w:sz w:val="22"/>
                <w:szCs w:val="22"/>
              </w:rPr>
            </w:pPr>
            <w:r w:rsidRPr="000B19A7">
              <w:rPr>
                <w:sz w:val="22"/>
                <w:szCs w:val="22"/>
              </w:rPr>
              <w:t>(-0.63, -0.13)</w:t>
            </w:r>
          </w:p>
          <w:p w14:paraId="088B5417" w14:textId="77777777" w:rsidR="0029430D" w:rsidRPr="000B19A7" w:rsidRDefault="0029430D">
            <w:pPr>
              <w:jc w:val="center"/>
              <w:rPr>
                <w:sz w:val="22"/>
                <w:szCs w:val="22"/>
              </w:rPr>
            </w:pPr>
          </w:p>
        </w:tc>
      </w:tr>
      <w:tr w:rsidR="0029430D" w:rsidRPr="000B19A7" w14:paraId="00E0864D" w14:textId="77777777" w:rsidTr="00312F3E">
        <w:tc>
          <w:tcPr>
            <w:tcW w:w="1756" w:type="pct"/>
            <w:tcBorders>
              <w:left w:val="nil"/>
              <w:right w:val="nil"/>
            </w:tcBorders>
            <w:vAlign w:val="bottom"/>
            <w:hideMark/>
          </w:tcPr>
          <w:p w14:paraId="15B46DC0" w14:textId="77777777" w:rsidR="0029430D" w:rsidRPr="000B19A7" w:rsidRDefault="0029430D">
            <w:pPr>
              <w:tabs>
                <w:tab w:val="left" w:pos="1304"/>
              </w:tabs>
              <w:ind w:left="37"/>
              <w:rPr>
                <w:sz w:val="22"/>
                <w:szCs w:val="22"/>
              </w:rPr>
            </w:pPr>
            <w:r w:rsidRPr="000B19A7">
              <w:rPr>
                <w:sz w:val="22"/>
                <w:szCs w:val="22"/>
              </w:rPr>
              <w:t xml:space="preserve">Subjects (%) achieving </w:t>
            </w:r>
          </w:p>
          <w:p w14:paraId="45E316F2" w14:textId="77777777" w:rsidR="0029430D" w:rsidRPr="000B19A7" w:rsidRDefault="0029430D">
            <w:pPr>
              <w:tabs>
                <w:tab w:val="left" w:pos="1304"/>
              </w:tabs>
              <w:ind w:left="37"/>
              <w:rPr>
                <w:sz w:val="22"/>
                <w:szCs w:val="22"/>
              </w:rPr>
            </w:pPr>
            <w:r w:rsidRPr="000B19A7">
              <w:rPr>
                <w:sz w:val="22"/>
                <w:szCs w:val="22"/>
              </w:rPr>
              <w:t>HbA1c &lt; 7%</w:t>
            </w:r>
          </w:p>
        </w:tc>
        <w:tc>
          <w:tcPr>
            <w:tcW w:w="1098" w:type="pct"/>
            <w:tcBorders>
              <w:left w:val="nil"/>
              <w:right w:val="nil"/>
            </w:tcBorders>
            <w:vAlign w:val="center"/>
            <w:hideMark/>
          </w:tcPr>
          <w:p w14:paraId="33F42498" w14:textId="77777777" w:rsidR="0029430D" w:rsidRPr="000B19A7" w:rsidRDefault="0029430D">
            <w:pPr>
              <w:jc w:val="center"/>
              <w:rPr>
                <w:sz w:val="22"/>
                <w:szCs w:val="22"/>
              </w:rPr>
            </w:pPr>
            <w:r w:rsidRPr="000B19A7">
              <w:rPr>
                <w:sz w:val="22"/>
                <w:szCs w:val="22"/>
              </w:rPr>
              <w:t>44.7</w:t>
            </w:r>
          </w:p>
        </w:tc>
        <w:tc>
          <w:tcPr>
            <w:tcW w:w="1097" w:type="pct"/>
            <w:tcBorders>
              <w:left w:val="nil"/>
              <w:right w:val="nil"/>
            </w:tcBorders>
            <w:vAlign w:val="center"/>
            <w:hideMark/>
          </w:tcPr>
          <w:p w14:paraId="382CBD87" w14:textId="77777777" w:rsidR="0029430D" w:rsidRPr="000B19A7" w:rsidRDefault="0029430D">
            <w:pPr>
              <w:tabs>
                <w:tab w:val="left" w:pos="1304"/>
              </w:tabs>
              <w:jc w:val="center"/>
              <w:rPr>
                <w:sz w:val="22"/>
                <w:szCs w:val="22"/>
              </w:rPr>
            </w:pPr>
            <w:r w:rsidRPr="000B19A7">
              <w:rPr>
                <w:sz w:val="22"/>
                <w:szCs w:val="22"/>
              </w:rPr>
              <w:t>19.1</w:t>
            </w:r>
          </w:p>
        </w:tc>
        <w:tc>
          <w:tcPr>
            <w:tcW w:w="1048" w:type="pct"/>
            <w:tcBorders>
              <w:left w:val="nil"/>
              <w:right w:val="nil"/>
            </w:tcBorders>
            <w:vAlign w:val="center"/>
            <w:hideMark/>
          </w:tcPr>
          <w:p w14:paraId="276FA382" w14:textId="77777777" w:rsidR="0029430D" w:rsidRPr="000B19A7" w:rsidRDefault="0029430D">
            <w:pPr>
              <w:jc w:val="center"/>
              <w:rPr>
                <w:sz w:val="22"/>
                <w:szCs w:val="22"/>
              </w:rPr>
            </w:pPr>
            <w:r w:rsidRPr="000B19A7">
              <w:rPr>
                <w:sz w:val="22"/>
                <w:szCs w:val="22"/>
              </w:rPr>
              <w:t>26.9</w:t>
            </w:r>
          </w:p>
        </w:tc>
      </w:tr>
      <w:tr w:rsidR="0029430D" w:rsidRPr="000B19A7" w14:paraId="05664353" w14:textId="77777777" w:rsidTr="00312F3E">
        <w:tc>
          <w:tcPr>
            <w:tcW w:w="1756" w:type="pct"/>
            <w:tcBorders>
              <w:top w:val="single" w:sz="4" w:space="0" w:color="7F7F7F" w:themeColor="text1" w:themeTint="80"/>
              <w:left w:val="nil"/>
              <w:bottom w:val="single" w:sz="18" w:space="0" w:color="auto"/>
              <w:right w:val="nil"/>
            </w:tcBorders>
            <w:vAlign w:val="bottom"/>
            <w:hideMark/>
          </w:tcPr>
          <w:p w14:paraId="408CE3CE" w14:textId="77777777" w:rsidR="0029430D" w:rsidRPr="006A7320" w:rsidRDefault="0029430D">
            <w:pPr>
              <w:tabs>
                <w:tab w:val="left" w:pos="1304"/>
              </w:tabs>
              <w:ind w:left="37"/>
              <w:rPr>
                <w:sz w:val="22"/>
                <w:szCs w:val="22"/>
                <w:lang w:val="en-US"/>
              </w:rPr>
            </w:pPr>
            <w:r w:rsidRPr="006A7320">
              <w:rPr>
                <w:sz w:val="22"/>
                <w:szCs w:val="22"/>
                <w:lang w:val="en-US"/>
              </w:rPr>
              <w:t>Body weight (kg)</w:t>
            </w:r>
          </w:p>
          <w:p w14:paraId="780C39A3" w14:textId="77777777" w:rsidR="0029430D" w:rsidRPr="006A7320" w:rsidRDefault="0029430D">
            <w:pPr>
              <w:tabs>
                <w:tab w:val="left" w:pos="1304"/>
              </w:tabs>
              <w:ind w:left="37"/>
              <w:rPr>
                <w:b/>
                <w:bCs/>
                <w:sz w:val="22"/>
                <w:szCs w:val="22"/>
                <w:lang w:val="en-US"/>
              </w:rPr>
            </w:pPr>
            <w:r w:rsidRPr="006A7320">
              <w:rPr>
                <w:b/>
                <w:bCs/>
                <w:sz w:val="22"/>
                <w:szCs w:val="22"/>
                <w:lang w:val="en-US"/>
              </w:rPr>
              <w:t xml:space="preserve">Baseline (mean) </w:t>
            </w:r>
          </w:p>
          <w:p w14:paraId="080C2BC9" w14:textId="77777777" w:rsidR="0029430D" w:rsidRPr="006A7320" w:rsidRDefault="0029430D">
            <w:pPr>
              <w:tabs>
                <w:tab w:val="left" w:pos="1304"/>
              </w:tabs>
              <w:ind w:left="37"/>
              <w:rPr>
                <w:b/>
                <w:bCs/>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a</w:t>
            </w:r>
            <w:proofErr w:type="spellEnd"/>
            <w:r w:rsidRPr="006A7320">
              <w:rPr>
                <w:b/>
                <w:bCs/>
                <w:sz w:val="22"/>
                <w:szCs w:val="22"/>
                <w:vertAlign w:val="superscript"/>
                <w:lang w:val="en-US"/>
              </w:rPr>
              <w:t xml:space="preserve"> </w:t>
            </w:r>
          </w:p>
          <w:p w14:paraId="55F88460" w14:textId="77777777" w:rsidR="0029430D" w:rsidRPr="006A7320" w:rsidRDefault="0029430D">
            <w:pPr>
              <w:tabs>
                <w:tab w:val="left" w:pos="1304"/>
              </w:tabs>
              <w:ind w:left="37"/>
              <w:rPr>
                <w:b/>
                <w:bCs/>
                <w:sz w:val="22"/>
                <w:szCs w:val="22"/>
                <w:lang w:val="en-US"/>
              </w:rPr>
            </w:pPr>
            <w:r w:rsidRPr="006A7320">
              <w:rPr>
                <w:b/>
                <w:bCs/>
                <w:sz w:val="22"/>
                <w:szCs w:val="22"/>
                <w:lang w:val="en-US"/>
              </w:rPr>
              <w:t>Mean difference in change</w:t>
            </w:r>
          </w:p>
          <w:p w14:paraId="39FB4638" w14:textId="77777777" w:rsidR="0029430D" w:rsidRPr="006A7320" w:rsidRDefault="0029430D">
            <w:pPr>
              <w:tabs>
                <w:tab w:val="left" w:pos="1304"/>
              </w:tabs>
              <w:ind w:left="37"/>
              <w:rPr>
                <w:b/>
                <w:bCs/>
                <w:sz w:val="22"/>
                <w:szCs w:val="22"/>
                <w:lang w:val="en-US"/>
              </w:rPr>
            </w:pPr>
            <w:r w:rsidRPr="006A7320">
              <w:rPr>
                <w:b/>
                <w:bCs/>
                <w:sz w:val="22"/>
                <w:szCs w:val="22"/>
                <w:lang w:val="en-US"/>
              </w:rPr>
              <w:t>from baseline between</w:t>
            </w:r>
          </w:p>
          <w:p w14:paraId="77C1A908" w14:textId="77777777" w:rsidR="0029430D" w:rsidRPr="006A7320" w:rsidRDefault="0029430D">
            <w:pPr>
              <w:tabs>
                <w:tab w:val="left" w:pos="1304"/>
              </w:tabs>
              <w:ind w:left="37"/>
              <w:rPr>
                <w:b/>
                <w:bCs/>
                <w:sz w:val="22"/>
                <w:szCs w:val="22"/>
                <w:lang w:val="en-US"/>
              </w:rPr>
            </w:pPr>
            <w:r w:rsidRPr="006A7320">
              <w:rPr>
                <w:b/>
                <w:bCs/>
                <w:sz w:val="22"/>
                <w:szCs w:val="22"/>
                <w:lang w:val="en-US"/>
              </w:rPr>
              <w:t>combination and single</w:t>
            </w:r>
          </w:p>
          <w:p w14:paraId="5B7E9E2D" w14:textId="77777777" w:rsidR="0029430D" w:rsidRPr="000B19A7" w:rsidRDefault="0029430D">
            <w:pPr>
              <w:tabs>
                <w:tab w:val="left" w:pos="1304"/>
              </w:tabs>
              <w:ind w:left="37"/>
              <w:rPr>
                <w:b/>
                <w:bCs/>
                <w:sz w:val="22"/>
                <w:szCs w:val="22"/>
              </w:rPr>
            </w:pPr>
            <w:r w:rsidRPr="000B19A7">
              <w:rPr>
                <w:b/>
                <w:bCs/>
                <w:sz w:val="22"/>
                <w:szCs w:val="22"/>
              </w:rPr>
              <w:t>medicinal product (95% CI)</w:t>
            </w:r>
          </w:p>
        </w:tc>
        <w:tc>
          <w:tcPr>
            <w:tcW w:w="1098" w:type="pct"/>
            <w:tcBorders>
              <w:top w:val="single" w:sz="4" w:space="0" w:color="7F7F7F" w:themeColor="text1" w:themeTint="80"/>
              <w:left w:val="nil"/>
              <w:bottom w:val="single" w:sz="18" w:space="0" w:color="auto"/>
              <w:right w:val="nil"/>
            </w:tcBorders>
          </w:tcPr>
          <w:p w14:paraId="2387115F" w14:textId="77777777" w:rsidR="0029430D" w:rsidRPr="000B19A7" w:rsidRDefault="0029430D">
            <w:pPr>
              <w:jc w:val="center"/>
              <w:rPr>
                <w:sz w:val="22"/>
                <w:szCs w:val="22"/>
              </w:rPr>
            </w:pPr>
          </w:p>
          <w:p w14:paraId="0FB22801" w14:textId="77777777" w:rsidR="0029430D" w:rsidRPr="000B19A7" w:rsidRDefault="0029430D">
            <w:pPr>
              <w:jc w:val="center"/>
              <w:rPr>
                <w:sz w:val="22"/>
                <w:szCs w:val="22"/>
              </w:rPr>
            </w:pPr>
            <w:r w:rsidRPr="000B19A7">
              <w:rPr>
                <w:sz w:val="22"/>
                <w:szCs w:val="22"/>
              </w:rPr>
              <w:t>92.13</w:t>
            </w:r>
          </w:p>
          <w:p w14:paraId="40B57492" w14:textId="77777777" w:rsidR="0029430D" w:rsidRPr="000B19A7" w:rsidRDefault="0029430D">
            <w:pPr>
              <w:jc w:val="center"/>
              <w:rPr>
                <w:sz w:val="22"/>
                <w:szCs w:val="22"/>
              </w:rPr>
            </w:pPr>
            <w:r w:rsidRPr="000B19A7">
              <w:rPr>
                <w:sz w:val="22"/>
                <w:szCs w:val="22"/>
              </w:rPr>
              <w:t>-3.55</w:t>
            </w:r>
          </w:p>
          <w:p w14:paraId="0C45E673" w14:textId="77777777" w:rsidR="0029430D" w:rsidRPr="000B19A7" w:rsidRDefault="0029430D">
            <w:pPr>
              <w:jc w:val="center"/>
              <w:rPr>
                <w:sz w:val="22"/>
                <w:szCs w:val="22"/>
              </w:rPr>
            </w:pPr>
          </w:p>
          <w:p w14:paraId="70A68258" w14:textId="77777777" w:rsidR="0029430D" w:rsidRPr="000B19A7" w:rsidRDefault="0029430D">
            <w:pPr>
              <w:jc w:val="center"/>
              <w:rPr>
                <w:sz w:val="22"/>
                <w:szCs w:val="22"/>
              </w:rPr>
            </w:pPr>
          </w:p>
          <w:p w14:paraId="3EE36F7E" w14:textId="77777777" w:rsidR="0029430D" w:rsidRPr="000B19A7" w:rsidRDefault="0029430D">
            <w:pPr>
              <w:jc w:val="center"/>
              <w:rPr>
                <w:sz w:val="22"/>
                <w:szCs w:val="22"/>
              </w:rPr>
            </w:pPr>
          </w:p>
          <w:p w14:paraId="363902A0" w14:textId="77777777" w:rsidR="0029430D" w:rsidRPr="000B19A7" w:rsidRDefault="0029430D">
            <w:pPr>
              <w:jc w:val="center"/>
              <w:rPr>
                <w:sz w:val="22"/>
                <w:szCs w:val="22"/>
              </w:rPr>
            </w:pPr>
          </w:p>
        </w:tc>
        <w:tc>
          <w:tcPr>
            <w:tcW w:w="1097" w:type="pct"/>
            <w:tcBorders>
              <w:top w:val="single" w:sz="4" w:space="0" w:color="7F7F7F" w:themeColor="text1" w:themeTint="80"/>
              <w:left w:val="nil"/>
              <w:bottom w:val="single" w:sz="18" w:space="0" w:color="auto"/>
              <w:right w:val="nil"/>
            </w:tcBorders>
          </w:tcPr>
          <w:p w14:paraId="44268366" w14:textId="77777777" w:rsidR="0029430D" w:rsidRPr="000B19A7" w:rsidRDefault="0029430D">
            <w:pPr>
              <w:tabs>
                <w:tab w:val="left" w:pos="1304"/>
              </w:tabs>
              <w:jc w:val="center"/>
              <w:rPr>
                <w:sz w:val="22"/>
                <w:szCs w:val="22"/>
              </w:rPr>
            </w:pPr>
          </w:p>
          <w:p w14:paraId="148BC0A4" w14:textId="77777777" w:rsidR="0029430D" w:rsidRPr="000B19A7" w:rsidRDefault="0029430D">
            <w:pPr>
              <w:tabs>
                <w:tab w:val="left" w:pos="1304"/>
              </w:tabs>
              <w:jc w:val="center"/>
              <w:rPr>
                <w:sz w:val="22"/>
                <w:szCs w:val="22"/>
              </w:rPr>
            </w:pPr>
            <w:r w:rsidRPr="000B19A7">
              <w:rPr>
                <w:sz w:val="22"/>
                <w:szCs w:val="22"/>
              </w:rPr>
              <w:t>90.87</w:t>
            </w:r>
          </w:p>
          <w:p w14:paraId="506A0C39" w14:textId="77777777" w:rsidR="0029430D" w:rsidRPr="000B19A7" w:rsidRDefault="0029430D">
            <w:pPr>
              <w:tabs>
                <w:tab w:val="left" w:pos="1304"/>
              </w:tabs>
              <w:jc w:val="center"/>
              <w:rPr>
                <w:sz w:val="22"/>
                <w:szCs w:val="22"/>
              </w:rPr>
            </w:pPr>
            <w:r w:rsidRPr="000B19A7">
              <w:rPr>
                <w:sz w:val="22"/>
                <w:szCs w:val="22"/>
              </w:rPr>
              <w:t>-2.22</w:t>
            </w:r>
          </w:p>
          <w:p w14:paraId="0F63CCD6" w14:textId="77777777" w:rsidR="0029430D" w:rsidRPr="000B19A7" w:rsidRDefault="0029430D">
            <w:pPr>
              <w:tabs>
                <w:tab w:val="left" w:pos="1304"/>
              </w:tabs>
              <w:jc w:val="center"/>
              <w:rPr>
                <w:sz w:val="22"/>
                <w:szCs w:val="22"/>
              </w:rPr>
            </w:pPr>
          </w:p>
          <w:p w14:paraId="02B5F753" w14:textId="77777777" w:rsidR="0029430D" w:rsidRPr="000B19A7" w:rsidRDefault="0029430D">
            <w:pPr>
              <w:tabs>
                <w:tab w:val="left" w:pos="1304"/>
              </w:tabs>
              <w:jc w:val="center"/>
              <w:rPr>
                <w:sz w:val="22"/>
                <w:szCs w:val="22"/>
              </w:rPr>
            </w:pPr>
            <w:r w:rsidRPr="000B19A7">
              <w:rPr>
                <w:sz w:val="22"/>
                <w:szCs w:val="22"/>
              </w:rPr>
              <w:t>-1.33</w:t>
            </w:r>
            <w:r w:rsidRPr="000B19A7">
              <w:rPr>
                <w:sz w:val="22"/>
                <w:szCs w:val="22"/>
                <w:vertAlign w:val="superscript"/>
              </w:rPr>
              <w:t>*</w:t>
            </w:r>
          </w:p>
          <w:p w14:paraId="19DDECDE" w14:textId="77777777" w:rsidR="0029430D" w:rsidRPr="000B19A7" w:rsidRDefault="0029430D">
            <w:pPr>
              <w:tabs>
                <w:tab w:val="left" w:pos="1304"/>
              </w:tabs>
              <w:jc w:val="center"/>
              <w:rPr>
                <w:sz w:val="22"/>
                <w:szCs w:val="22"/>
              </w:rPr>
            </w:pPr>
            <w:r w:rsidRPr="000B19A7">
              <w:rPr>
                <w:sz w:val="22"/>
                <w:szCs w:val="22"/>
              </w:rPr>
              <w:t>(-2.12, -0.55)</w:t>
            </w:r>
          </w:p>
          <w:p w14:paraId="71D4BF96" w14:textId="77777777" w:rsidR="0029430D" w:rsidRPr="000B19A7" w:rsidRDefault="0029430D">
            <w:pPr>
              <w:tabs>
                <w:tab w:val="left" w:pos="1304"/>
              </w:tabs>
              <w:jc w:val="center"/>
              <w:rPr>
                <w:sz w:val="22"/>
                <w:szCs w:val="22"/>
              </w:rPr>
            </w:pPr>
          </w:p>
        </w:tc>
        <w:tc>
          <w:tcPr>
            <w:tcW w:w="1048" w:type="pct"/>
            <w:tcBorders>
              <w:top w:val="single" w:sz="4" w:space="0" w:color="7F7F7F" w:themeColor="text1" w:themeTint="80"/>
              <w:left w:val="nil"/>
              <w:bottom w:val="single" w:sz="18" w:space="0" w:color="auto"/>
              <w:right w:val="nil"/>
            </w:tcBorders>
          </w:tcPr>
          <w:p w14:paraId="09C6E484" w14:textId="77777777" w:rsidR="0029430D" w:rsidRPr="000B19A7" w:rsidRDefault="0029430D">
            <w:pPr>
              <w:jc w:val="center"/>
              <w:rPr>
                <w:sz w:val="22"/>
                <w:szCs w:val="22"/>
              </w:rPr>
            </w:pPr>
          </w:p>
          <w:p w14:paraId="2E395BB8" w14:textId="77777777" w:rsidR="0029430D" w:rsidRPr="000B19A7" w:rsidRDefault="0029430D">
            <w:pPr>
              <w:jc w:val="center"/>
              <w:rPr>
                <w:sz w:val="22"/>
                <w:szCs w:val="22"/>
              </w:rPr>
            </w:pPr>
            <w:r w:rsidRPr="000B19A7">
              <w:rPr>
                <w:sz w:val="22"/>
                <w:szCs w:val="22"/>
              </w:rPr>
              <w:t>89.12</w:t>
            </w:r>
          </w:p>
          <w:p w14:paraId="69806B6C" w14:textId="77777777" w:rsidR="0029430D" w:rsidRPr="000B19A7" w:rsidRDefault="0029430D">
            <w:pPr>
              <w:jc w:val="center"/>
              <w:rPr>
                <w:sz w:val="22"/>
                <w:szCs w:val="22"/>
              </w:rPr>
            </w:pPr>
            <w:r w:rsidRPr="000B19A7">
              <w:rPr>
                <w:sz w:val="22"/>
                <w:szCs w:val="22"/>
              </w:rPr>
              <w:t>-1.56</w:t>
            </w:r>
          </w:p>
          <w:p w14:paraId="7EA5F64E" w14:textId="77777777" w:rsidR="0029430D" w:rsidRPr="000B19A7" w:rsidRDefault="0029430D">
            <w:pPr>
              <w:jc w:val="center"/>
              <w:rPr>
                <w:sz w:val="22"/>
                <w:szCs w:val="22"/>
              </w:rPr>
            </w:pPr>
          </w:p>
          <w:p w14:paraId="3FE71A01" w14:textId="77777777" w:rsidR="0029430D" w:rsidRPr="000B19A7" w:rsidRDefault="0029430D">
            <w:pPr>
              <w:jc w:val="center"/>
              <w:rPr>
                <w:sz w:val="22"/>
                <w:szCs w:val="22"/>
              </w:rPr>
            </w:pPr>
            <w:r w:rsidRPr="000B19A7">
              <w:rPr>
                <w:sz w:val="22"/>
                <w:szCs w:val="22"/>
              </w:rPr>
              <w:t>-2.00</w:t>
            </w:r>
            <w:r w:rsidRPr="000B19A7">
              <w:rPr>
                <w:sz w:val="22"/>
                <w:szCs w:val="22"/>
                <w:vertAlign w:val="superscript"/>
              </w:rPr>
              <w:t>*</w:t>
            </w:r>
          </w:p>
          <w:p w14:paraId="1FDD6205" w14:textId="77777777" w:rsidR="0029430D" w:rsidRPr="000B19A7" w:rsidRDefault="0029430D">
            <w:pPr>
              <w:jc w:val="center"/>
              <w:rPr>
                <w:sz w:val="22"/>
                <w:szCs w:val="22"/>
              </w:rPr>
            </w:pPr>
            <w:r w:rsidRPr="000B19A7">
              <w:rPr>
                <w:sz w:val="22"/>
                <w:szCs w:val="22"/>
              </w:rPr>
              <w:t>(-2.79, -1.20)</w:t>
            </w:r>
          </w:p>
          <w:p w14:paraId="0B062280" w14:textId="77777777" w:rsidR="0029430D" w:rsidRPr="000B19A7" w:rsidRDefault="0029430D">
            <w:pPr>
              <w:jc w:val="center"/>
              <w:rPr>
                <w:sz w:val="22"/>
                <w:szCs w:val="22"/>
              </w:rPr>
            </w:pPr>
          </w:p>
        </w:tc>
      </w:tr>
    </w:tbl>
    <w:p w14:paraId="3F316AD2" w14:textId="77777777" w:rsidR="0029430D" w:rsidRPr="000B19A7" w:rsidRDefault="0029430D" w:rsidP="000B19A7">
      <w:pPr>
        <w:ind w:left="284" w:hanging="284"/>
        <w:rPr>
          <w:sz w:val="20"/>
          <w:lang w:val="en-GB" w:eastAsia="en-US"/>
        </w:rPr>
      </w:pPr>
      <w:r w:rsidRPr="000B19A7">
        <w:rPr>
          <w:sz w:val="20"/>
          <w:lang w:val="en-US"/>
        </w:rPr>
        <w:t>QD=once daily, QW=once weekly, N=number of patients, CI=confidence interval.</w:t>
      </w:r>
    </w:p>
    <w:p w14:paraId="65DBBF72" w14:textId="2ABCF27E" w:rsidR="0029430D" w:rsidRPr="000B19A7" w:rsidRDefault="0029430D" w:rsidP="000B19A7">
      <w:pPr>
        <w:ind w:left="284" w:hanging="284"/>
        <w:rPr>
          <w:sz w:val="20"/>
          <w:lang w:val="en-US"/>
        </w:rPr>
      </w:pPr>
      <w:proofErr w:type="spellStart"/>
      <w:proofErr w:type="gramStart"/>
      <w:r w:rsidRPr="000B19A7">
        <w:rPr>
          <w:sz w:val="20"/>
          <w:vertAlign w:val="superscript"/>
          <w:lang w:val="en-US"/>
        </w:rPr>
        <w:t>a</w:t>
      </w:r>
      <w:proofErr w:type="spellEnd"/>
      <w:proofErr w:type="gramEnd"/>
      <w:r w:rsidR="000B19A7">
        <w:rPr>
          <w:sz w:val="20"/>
          <w:vertAlign w:val="superscript"/>
          <w:lang w:val="en-US"/>
        </w:rPr>
        <w:tab/>
      </w:r>
      <w:r w:rsidRPr="000B19A7">
        <w:rPr>
          <w:sz w:val="20"/>
          <w:lang w:val="en-US"/>
        </w:rPr>
        <w:t>Adjusted least squares means (LS Means) and treatment group difference(s) in the change from baseline values at week 28 are modelled using a mixed model with repeated measures (MMRM) including treatment, region, baseline HbA1c stratum (&lt; 9.0% or ≥ 9.0%), week, and treatment by week interaction as fixed factors, and baseline value as a covariate.</w:t>
      </w:r>
    </w:p>
    <w:p w14:paraId="3A4C6B5B" w14:textId="2DAF8A0A" w:rsidR="0029430D" w:rsidRPr="000B19A7" w:rsidRDefault="0029430D" w:rsidP="000B19A7">
      <w:pPr>
        <w:ind w:left="284" w:hanging="284"/>
        <w:rPr>
          <w:sz w:val="20"/>
          <w:lang w:val="en-US"/>
        </w:rPr>
      </w:pPr>
      <w:r w:rsidRPr="000B19A7">
        <w:rPr>
          <w:sz w:val="20"/>
          <w:vertAlign w:val="superscript"/>
          <w:lang w:val="en-US"/>
        </w:rPr>
        <w:t>*</w:t>
      </w:r>
      <w:r w:rsidR="000B19A7">
        <w:rPr>
          <w:sz w:val="20"/>
          <w:vertAlign w:val="superscript"/>
          <w:lang w:val="en-US"/>
        </w:rPr>
        <w:tab/>
      </w:r>
      <w:r w:rsidRPr="000B19A7">
        <w:rPr>
          <w:sz w:val="20"/>
          <w:lang w:val="en-US"/>
        </w:rPr>
        <w:t>p &lt; 0.001, **p &lt; 0.01.</w:t>
      </w:r>
    </w:p>
    <w:p w14:paraId="20BF4DF7" w14:textId="77777777" w:rsidR="0029430D" w:rsidRPr="000B19A7" w:rsidRDefault="0029430D" w:rsidP="000B19A7">
      <w:pPr>
        <w:ind w:left="284" w:hanging="284"/>
        <w:rPr>
          <w:sz w:val="20"/>
          <w:lang w:val="en-US"/>
        </w:rPr>
      </w:pPr>
      <w:r w:rsidRPr="000B19A7">
        <w:rPr>
          <w:sz w:val="20"/>
          <w:lang w:val="en-US"/>
        </w:rPr>
        <w:t>P-values are all adjusted p-values for multiplicity.</w:t>
      </w:r>
    </w:p>
    <w:p w14:paraId="661EB047" w14:textId="77777777" w:rsidR="0029430D" w:rsidRPr="000B19A7" w:rsidRDefault="0029430D" w:rsidP="000B19A7">
      <w:pPr>
        <w:ind w:left="284" w:hanging="284"/>
        <w:rPr>
          <w:sz w:val="20"/>
          <w:lang w:val="en-US"/>
        </w:rPr>
      </w:pPr>
      <w:r w:rsidRPr="000B19A7">
        <w:rPr>
          <w:sz w:val="20"/>
          <w:lang w:val="en-US"/>
        </w:rPr>
        <w:t>Analyses exclude measurements post rescue therapy and post premature discontinuation of study medicinal product.</w:t>
      </w:r>
    </w:p>
    <w:p w14:paraId="425D92CC" w14:textId="77777777" w:rsidR="0029430D" w:rsidRPr="00312F3E" w:rsidRDefault="0029430D" w:rsidP="0029430D">
      <w:pPr>
        <w:rPr>
          <w:sz w:val="24"/>
          <w:szCs w:val="24"/>
          <w:lang w:val="en-US"/>
        </w:rPr>
      </w:pPr>
    </w:p>
    <w:p w14:paraId="1AD57161" w14:textId="77777777" w:rsidR="0029430D" w:rsidRPr="00312F3E" w:rsidRDefault="0029430D" w:rsidP="00312F3E">
      <w:pPr>
        <w:ind w:left="851"/>
        <w:rPr>
          <w:i/>
          <w:iCs/>
          <w:sz w:val="24"/>
          <w:szCs w:val="24"/>
          <w:u w:val="single"/>
          <w:lang w:val="en-US"/>
        </w:rPr>
      </w:pPr>
      <w:r w:rsidRPr="00312F3E">
        <w:rPr>
          <w:i/>
          <w:iCs/>
          <w:sz w:val="24"/>
          <w:szCs w:val="24"/>
          <w:u w:val="single"/>
          <w:lang w:val="en-US"/>
        </w:rPr>
        <w:t>Fasting plasma glucose</w:t>
      </w:r>
    </w:p>
    <w:p w14:paraId="096B64D7" w14:textId="77777777" w:rsidR="0029430D" w:rsidRPr="00312F3E" w:rsidRDefault="0029430D" w:rsidP="00312F3E">
      <w:pPr>
        <w:ind w:left="851"/>
        <w:rPr>
          <w:sz w:val="24"/>
          <w:szCs w:val="24"/>
          <w:lang w:val="en-US"/>
        </w:rPr>
      </w:pPr>
      <w:r w:rsidRPr="00312F3E">
        <w:rPr>
          <w:sz w:val="24"/>
          <w:szCs w:val="24"/>
          <w:lang w:val="en-US"/>
        </w:rPr>
        <w:t xml:space="preserve">Treatment with dapagliflozin 10 mg as a monotherapy or as an add-on to either metformin, glimepiride, metformin and a </w:t>
      </w:r>
      <w:proofErr w:type="spellStart"/>
      <w:r w:rsidRPr="00312F3E">
        <w:rPr>
          <w:sz w:val="24"/>
          <w:szCs w:val="24"/>
          <w:lang w:val="en-US"/>
        </w:rPr>
        <w:t>sulphonylurea</w:t>
      </w:r>
      <w:proofErr w:type="spellEnd"/>
      <w:r w:rsidRPr="00312F3E">
        <w:rPr>
          <w:sz w:val="24"/>
          <w:szCs w:val="24"/>
          <w:lang w:val="en-US"/>
        </w:rPr>
        <w:t>, sitagliptin (with or without metformin) or insulin resulted in statistically significant reductions in FPG (-1.90 to -1.20 mmol/L [-34.2 to -21.7 mg/dL]) compared to placebo (-0.33 to 0.21 mmol/L [-6.0 to 3.8 mg/dL]). This effect was observed at week 1 of treatment and maintained in studies extended through week 104.</w:t>
      </w:r>
    </w:p>
    <w:p w14:paraId="78085455" w14:textId="77777777" w:rsidR="0029430D" w:rsidRPr="00312F3E" w:rsidRDefault="0029430D" w:rsidP="00312F3E">
      <w:pPr>
        <w:ind w:left="851"/>
        <w:rPr>
          <w:sz w:val="24"/>
          <w:szCs w:val="24"/>
          <w:lang w:val="en-US"/>
        </w:rPr>
      </w:pPr>
    </w:p>
    <w:p w14:paraId="729844FA" w14:textId="77777777" w:rsidR="0029430D" w:rsidRPr="00312F3E" w:rsidRDefault="0029430D" w:rsidP="00312F3E">
      <w:pPr>
        <w:ind w:left="851"/>
        <w:rPr>
          <w:sz w:val="24"/>
          <w:szCs w:val="24"/>
          <w:lang w:val="en-US"/>
        </w:rPr>
      </w:pPr>
      <w:r w:rsidRPr="00312F3E">
        <w:rPr>
          <w:sz w:val="24"/>
          <w:szCs w:val="24"/>
          <w:lang w:val="en-US"/>
        </w:rPr>
        <w:t>Combination therapy of dapagliflozin 10 mg and prolonged-release exenatide resulted in significantly greater reductions in FPG at week 28: -3.66 mmol/L (-65.8 mg/dL), compared to -2.73 mmol/L (-49.2 mg/dL) for dapagliflozin alone (p &lt; 0.001) and -2.54 mmol/L (-45.8 mg/dL) for exenatide alone (p &lt; 0.001).</w:t>
      </w:r>
    </w:p>
    <w:p w14:paraId="569B0DA6" w14:textId="77777777" w:rsidR="0029430D" w:rsidRPr="00312F3E" w:rsidRDefault="0029430D" w:rsidP="00312F3E">
      <w:pPr>
        <w:ind w:left="851"/>
        <w:rPr>
          <w:sz w:val="24"/>
          <w:szCs w:val="24"/>
          <w:lang w:val="en-US"/>
        </w:rPr>
      </w:pPr>
    </w:p>
    <w:p w14:paraId="156789A0" w14:textId="77777777" w:rsidR="0029430D" w:rsidRPr="00312F3E" w:rsidRDefault="0029430D" w:rsidP="00312F3E">
      <w:pPr>
        <w:ind w:left="851"/>
        <w:rPr>
          <w:sz w:val="24"/>
          <w:szCs w:val="24"/>
          <w:lang w:val="en-US"/>
        </w:rPr>
      </w:pPr>
      <w:r w:rsidRPr="00312F3E">
        <w:rPr>
          <w:sz w:val="24"/>
          <w:szCs w:val="24"/>
          <w:lang w:val="en-US"/>
        </w:rPr>
        <w:t>In a dedicated study in diabetic patients with an eGFR ≥ 45 to &lt; 60 mL/min/1.73 m</w:t>
      </w:r>
      <w:r w:rsidRPr="00312F3E">
        <w:rPr>
          <w:sz w:val="24"/>
          <w:szCs w:val="24"/>
          <w:vertAlign w:val="superscript"/>
          <w:lang w:val="en-US"/>
        </w:rPr>
        <w:t>2</w:t>
      </w:r>
      <w:r w:rsidRPr="00312F3E">
        <w:rPr>
          <w:sz w:val="24"/>
          <w:szCs w:val="24"/>
          <w:lang w:val="en-US"/>
        </w:rPr>
        <w:t>, treatment with dapagliflozin demonstrated reductions in FPG at week 24: -1.19 mmol/L (-21.46 mg/dL) compared to -0.27 mmol/L (-4.87 mg/dL) for placebo (p=0.001).</w:t>
      </w:r>
    </w:p>
    <w:p w14:paraId="40177D51" w14:textId="77777777" w:rsidR="0029430D" w:rsidRPr="00312F3E" w:rsidRDefault="0029430D" w:rsidP="00312F3E">
      <w:pPr>
        <w:ind w:left="851"/>
        <w:rPr>
          <w:sz w:val="24"/>
          <w:szCs w:val="24"/>
          <w:lang w:val="en-US"/>
        </w:rPr>
      </w:pPr>
    </w:p>
    <w:p w14:paraId="602F5D1F" w14:textId="77777777" w:rsidR="0029430D" w:rsidRPr="00312F3E" w:rsidRDefault="0029430D" w:rsidP="00312F3E">
      <w:pPr>
        <w:ind w:left="851"/>
        <w:rPr>
          <w:i/>
          <w:iCs/>
          <w:sz w:val="24"/>
          <w:szCs w:val="24"/>
          <w:u w:val="single"/>
          <w:lang w:val="en-US"/>
        </w:rPr>
      </w:pPr>
      <w:r w:rsidRPr="00312F3E">
        <w:rPr>
          <w:i/>
          <w:iCs/>
          <w:sz w:val="24"/>
          <w:szCs w:val="24"/>
          <w:u w:val="single"/>
          <w:lang w:val="en-US"/>
        </w:rPr>
        <w:t>Post-prandial glucose</w:t>
      </w:r>
    </w:p>
    <w:p w14:paraId="14146028" w14:textId="77777777" w:rsidR="0029430D" w:rsidRPr="00312F3E" w:rsidRDefault="0029430D" w:rsidP="00312F3E">
      <w:pPr>
        <w:ind w:left="851"/>
        <w:rPr>
          <w:sz w:val="24"/>
          <w:szCs w:val="24"/>
          <w:lang w:val="en-US"/>
        </w:rPr>
      </w:pPr>
      <w:r w:rsidRPr="00312F3E">
        <w:rPr>
          <w:sz w:val="24"/>
          <w:szCs w:val="24"/>
          <w:lang w:val="en-US"/>
        </w:rPr>
        <w:t>Treatment with dapagliflozin 10 mg as an add-on to glimepiride resulted in statistically significant reductions in 2-hour post-prandial glucose at 24 weeks that were maintained up to week 48.</w:t>
      </w:r>
    </w:p>
    <w:p w14:paraId="6CB9959A" w14:textId="77777777" w:rsidR="0029430D" w:rsidRPr="00312F3E" w:rsidRDefault="0029430D" w:rsidP="00312F3E">
      <w:pPr>
        <w:ind w:left="851"/>
        <w:rPr>
          <w:sz w:val="24"/>
          <w:szCs w:val="24"/>
          <w:lang w:val="en-US"/>
        </w:rPr>
      </w:pPr>
    </w:p>
    <w:p w14:paraId="26AD2231" w14:textId="77777777" w:rsidR="0029430D" w:rsidRPr="00312F3E" w:rsidRDefault="0029430D" w:rsidP="00312F3E">
      <w:pPr>
        <w:ind w:left="851"/>
        <w:rPr>
          <w:sz w:val="24"/>
          <w:szCs w:val="24"/>
          <w:lang w:val="en-US"/>
        </w:rPr>
      </w:pPr>
      <w:r w:rsidRPr="00312F3E">
        <w:rPr>
          <w:sz w:val="24"/>
          <w:szCs w:val="24"/>
          <w:lang w:val="en-US"/>
        </w:rPr>
        <w:t>Treatment with dapagliflozin 10 mg as an add-on to sitagliptin (with or without metformin) resulted in reductions in 2-hour post-prandial glucose at 24 weeks that were maintained up to week 48.</w:t>
      </w:r>
    </w:p>
    <w:p w14:paraId="5B058558" w14:textId="77777777" w:rsidR="0029430D" w:rsidRPr="00312F3E" w:rsidRDefault="0029430D" w:rsidP="00312F3E">
      <w:pPr>
        <w:ind w:left="851"/>
        <w:rPr>
          <w:sz w:val="24"/>
          <w:szCs w:val="24"/>
          <w:lang w:val="en-US"/>
        </w:rPr>
      </w:pPr>
    </w:p>
    <w:p w14:paraId="198885D4" w14:textId="0E0CBD06" w:rsidR="0029430D" w:rsidRPr="00312F3E" w:rsidRDefault="0029430D" w:rsidP="00312F3E">
      <w:pPr>
        <w:ind w:left="851"/>
        <w:rPr>
          <w:sz w:val="24"/>
          <w:szCs w:val="24"/>
          <w:lang w:val="en-US"/>
        </w:rPr>
      </w:pPr>
      <w:r w:rsidRPr="00312F3E">
        <w:rPr>
          <w:sz w:val="24"/>
          <w:szCs w:val="24"/>
          <w:lang w:val="en-US"/>
        </w:rPr>
        <w:t>Combination therapy of dapagliflozin 10 mg and prolonged-release exenatide resulted in significantly greater reductions in 2-hour post-prandial glucose at week 28 compared to either medicinal product</w:t>
      </w:r>
      <w:r w:rsidR="00583F33">
        <w:rPr>
          <w:sz w:val="24"/>
          <w:szCs w:val="24"/>
          <w:lang w:val="en-US"/>
        </w:rPr>
        <w:t xml:space="preserve"> </w:t>
      </w:r>
      <w:r w:rsidRPr="00312F3E">
        <w:rPr>
          <w:sz w:val="24"/>
          <w:szCs w:val="24"/>
          <w:lang w:val="en-US"/>
        </w:rPr>
        <w:t>alone.</w:t>
      </w:r>
    </w:p>
    <w:p w14:paraId="2582C4D9" w14:textId="77777777" w:rsidR="0029430D" w:rsidRPr="00312F3E" w:rsidRDefault="0029430D" w:rsidP="00312F3E">
      <w:pPr>
        <w:ind w:left="851"/>
        <w:rPr>
          <w:sz w:val="24"/>
          <w:szCs w:val="24"/>
          <w:lang w:val="en-US"/>
        </w:rPr>
      </w:pPr>
    </w:p>
    <w:p w14:paraId="24C68077" w14:textId="77777777" w:rsidR="0029430D" w:rsidRPr="00312F3E" w:rsidRDefault="0029430D" w:rsidP="00312F3E">
      <w:pPr>
        <w:ind w:left="851"/>
        <w:rPr>
          <w:i/>
          <w:iCs/>
          <w:sz w:val="24"/>
          <w:szCs w:val="24"/>
          <w:u w:val="single"/>
          <w:lang w:val="en-US"/>
        </w:rPr>
      </w:pPr>
      <w:r w:rsidRPr="00312F3E">
        <w:rPr>
          <w:i/>
          <w:iCs/>
          <w:sz w:val="24"/>
          <w:szCs w:val="24"/>
          <w:u w:val="single"/>
          <w:lang w:val="en-US"/>
        </w:rPr>
        <w:t>Body weight</w:t>
      </w:r>
    </w:p>
    <w:p w14:paraId="6E3B2194" w14:textId="77777777" w:rsidR="0029430D" w:rsidRPr="00312F3E" w:rsidRDefault="0029430D" w:rsidP="00312F3E">
      <w:pPr>
        <w:ind w:left="851"/>
        <w:rPr>
          <w:sz w:val="24"/>
          <w:szCs w:val="24"/>
          <w:lang w:val="en-US"/>
        </w:rPr>
      </w:pPr>
      <w:r w:rsidRPr="00312F3E">
        <w:rPr>
          <w:sz w:val="24"/>
          <w:szCs w:val="24"/>
          <w:lang w:val="en-US"/>
        </w:rPr>
        <w:t xml:space="preserve">Dapagliflozin 10 mg as an add-on to metformin, glimepiride, metformin and a </w:t>
      </w:r>
      <w:proofErr w:type="spellStart"/>
      <w:r w:rsidRPr="00312F3E">
        <w:rPr>
          <w:sz w:val="24"/>
          <w:szCs w:val="24"/>
          <w:lang w:val="en-US"/>
        </w:rPr>
        <w:t>sulphonylurea</w:t>
      </w:r>
      <w:proofErr w:type="spellEnd"/>
      <w:r w:rsidRPr="00312F3E">
        <w:rPr>
          <w:sz w:val="24"/>
          <w:szCs w:val="24"/>
          <w:lang w:val="en-US"/>
        </w:rPr>
        <w:t>, sitagliptin (with or without metformin) or insulin resulted in statistically significant body weight reduction at 24 weeks (p &lt; 0.0001, Tables 4 and 5). These effects were sustained in longer-term studies. At 48 weeks, the difference for dapagliflozin as add-on to sitagliptin (with or without metformin) compared with placebo was -2.22 kg. At 102 weeks, the difference for dapagliflozin as add-on to metformin compared with placebo, or as add-on to insulin compared with placebo was -2.14 and -2.88 kg, respectively.</w:t>
      </w:r>
    </w:p>
    <w:p w14:paraId="6D842E7D" w14:textId="77777777" w:rsidR="0029430D" w:rsidRPr="00312F3E" w:rsidRDefault="0029430D" w:rsidP="00312F3E">
      <w:pPr>
        <w:ind w:left="851"/>
        <w:rPr>
          <w:sz w:val="24"/>
          <w:szCs w:val="24"/>
          <w:lang w:val="en-US"/>
        </w:rPr>
      </w:pPr>
    </w:p>
    <w:p w14:paraId="02F857D7" w14:textId="77777777" w:rsidR="0029430D" w:rsidRPr="00312F3E" w:rsidRDefault="0029430D" w:rsidP="00312F3E">
      <w:pPr>
        <w:ind w:left="851"/>
        <w:rPr>
          <w:sz w:val="24"/>
          <w:szCs w:val="24"/>
          <w:lang w:val="en-US"/>
        </w:rPr>
      </w:pPr>
      <w:r w:rsidRPr="00312F3E">
        <w:rPr>
          <w:sz w:val="24"/>
          <w:szCs w:val="24"/>
          <w:lang w:val="en-US"/>
        </w:rPr>
        <w:t xml:space="preserve">As an add-on therapy to metformin in an active-controlled non-inferiority study, dapagliflozin resulted in a statistically significant body weight reduction compared with glipizide of -4.65 kg at 52 weeks (p &lt; 0.0001, Table 3) that was sustained at 104 and 208 weeks (-5.06 kg and –4.38 kg, respectively). </w:t>
      </w:r>
    </w:p>
    <w:p w14:paraId="0C4E9246" w14:textId="77777777" w:rsidR="0029430D" w:rsidRPr="00312F3E" w:rsidRDefault="0029430D" w:rsidP="00312F3E">
      <w:pPr>
        <w:ind w:left="851"/>
        <w:rPr>
          <w:sz w:val="24"/>
          <w:szCs w:val="24"/>
          <w:lang w:val="en-US"/>
        </w:rPr>
      </w:pPr>
    </w:p>
    <w:p w14:paraId="3D4E3FA1" w14:textId="77777777" w:rsidR="0029430D" w:rsidRPr="00312F3E" w:rsidRDefault="0029430D" w:rsidP="00312F3E">
      <w:pPr>
        <w:ind w:left="851"/>
        <w:rPr>
          <w:sz w:val="24"/>
          <w:szCs w:val="24"/>
          <w:lang w:val="en-US"/>
        </w:rPr>
      </w:pPr>
      <w:r w:rsidRPr="00312F3E">
        <w:rPr>
          <w:sz w:val="24"/>
          <w:szCs w:val="24"/>
          <w:lang w:val="en-US"/>
        </w:rPr>
        <w:t>The combination of dapagliflozin 10 mg and prolonged-release exenatide demonstrated significantly greater weight reductions compared to either medicinal product alone (Table 8).</w:t>
      </w:r>
    </w:p>
    <w:p w14:paraId="7DEBD6CC" w14:textId="77777777" w:rsidR="0029430D" w:rsidRPr="00312F3E" w:rsidRDefault="0029430D" w:rsidP="00312F3E">
      <w:pPr>
        <w:ind w:left="851"/>
        <w:rPr>
          <w:sz w:val="24"/>
          <w:szCs w:val="24"/>
          <w:lang w:val="en-US"/>
        </w:rPr>
      </w:pPr>
    </w:p>
    <w:p w14:paraId="5B9C406D" w14:textId="77777777" w:rsidR="0029430D" w:rsidRPr="00312F3E" w:rsidRDefault="0029430D" w:rsidP="00312F3E">
      <w:pPr>
        <w:ind w:left="851"/>
        <w:rPr>
          <w:sz w:val="24"/>
          <w:szCs w:val="24"/>
          <w:lang w:val="en-US"/>
        </w:rPr>
      </w:pPr>
      <w:r w:rsidRPr="00312F3E">
        <w:rPr>
          <w:sz w:val="24"/>
          <w:szCs w:val="24"/>
          <w:lang w:val="en-US"/>
        </w:rPr>
        <w:t xml:space="preserve">A 24-week study in 182 diabetic subjects using dual energy X-ray absorptiometry (DXA) to evaluate body composition demonstrated reductions with dapagliflozin 10 mg plus metformin compared with placebo plus metformin, respectively, in body weight and body fat mass as measured by DXA rather than lean tissue or fluid loss. Treatment with dapagliflozin plus metformin showed a numerical decrease in visceral adipose tissue compared with placebo plus metformin treatment in a magnetic resonance imaging </w:t>
      </w:r>
      <w:proofErr w:type="spellStart"/>
      <w:r w:rsidRPr="00312F3E">
        <w:rPr>
          <w:sz w:val="24"/>
          <w:szCs w:val="24"/>
          <w:lang w:val="en-US"/>
        </w:rPr>
        <w:t>substudy</w:t>
      </w:r>
      <w:proofErr w:type="spellEnd"/>
      <w:r w:rsidRPr="00312F3E">
        <w:rPr>
          <w:sz w:val="24"/>
          <w:szCs w:val="24"/>
          <w:lang w:val="en-US"/>
        </w:rPr>
        <w:t>.</w:t>
      </w:r>
    </w:p>
    <w:p w14:paraId="14607A3B" w14:textId="77777777" w:rsidR="0029430D" w:rsidRPr="00312F3E" w:rsidRDefault="0029430D" w:rsidP="00312F3E">
      <w:pPr>
        <w:ind w:left="851"/>
        <w:rPr>
          <w:sz w:val="24"/>
          <w:szCs w:val="24"/>
          <w:lang w:val="en-US"/>
        </w:rPr>
      </w:pPr>
    </w:p>
    <w:p w14:paraId="543DDABC" w14:textId="77777777" w:rsidR="0029430D" w:rsidRPr="00312F3E" w:rsidRDefault="0029430D" w:rsidP="00312F3E">
      <w:pPr>
        <w:ind w:left="851"/>
        <w:rPr>
          <w:i/>
          <w:iCs/>
          <w:sz w:val="24"/>
          <w:szCs w:val="24"/>
          <w:u w:val="single"/>
          <w:lang w:val="en-US"/>
        </w:rPr>
      </w:pPr>
      <w:r w:rsidRPr="00312F3E">
        <w:rPr>
          <w:i/>
          <w:iCs/>
          <w:sz w:val="24"/>
          <w:szCs w:val="24"/>
          <w:u w:val="single"/>
          <w:lang w:val="en-US"/>
        </w:rPr>
        <w:t>Blood pressure</w:t>
      </w:r>
    </w:p>
    <w:p w14:paraId="63FD4C11" w14:textId="77777777" w:rsidR="0029430D" w:rsidRPr="00312F3E" w:rsidRDefault="0029430D" w:rsidP="00312F3E">
      <w:pPr>
        <w:ind w:left="851"/>
        <w:rPr>
          <w:sz w:val="24"/>
          <w:szCs w:val="24"/>
          <w:lang w:val="en-US"/>
        </w:rPr>
      </w:pPr>
      <w:r w:rsidRPr="00312F3E">
        <w:rPr>
          <w:sz w:val="24"/>
          <w:szCs w:val="24"/>
          <w:lang w:val="en-US"/>
        </w:rPr>
        <w:t>In a pre-specified pooled analysis of 13 placebo-controlled studies, treatment with dapagliflozin 10 mg resulted in a systolic blood pressure change from baseline of –3.7 mmHg and diastolic blood pressure of –1.8 mmHg versus –0.5 mmHg systolic and -0.5 mmHg diastolic blood pressure for placebo group at week 24. Similar reductions were observed up to 104 weeks.</w:t>
      </w:r>
    </w:p>
    <w:p w14:paraId="075C05FD" w14:textId="77777777" w:rsidR="0029430D" w:rsidRPr="00312F3E" w:rsidRDefault="0029430D" w:rsidP="00312F3E">
      <w:pPr>
        <w:ind w:left="851"/>
        <w:rPr>
          <w:sz w:val="24"/>
          <w:szCs w:val="24"/>
          <w:lang w:val="en-US"/>
        </w:rPr>
      </w:pPr>
    </w:p>
    <w:p w14:paraId="705E7E45" w14:textId="77777777" w:rsidR="0029430D" w:rsidRPr="00312F3E" w:rsidRDefault="0029430D" w:rsidP="00312F3E">
      <w:pPr>
        <w:ind w:left="851"/>
        <w:rPr>
          <w:sz w:val="24"/>
          <w:szCs w:val="24"/>
          <w:lang w:val="en-US"/>
        </w:rPr>
      </w:pPr>
      <w:r w:rsidRPr="00312F3E">
        <w:rPr>
          <w:sz w:val="24"/>
          <w:szCs w:val="24"/>
          <w:lang w:val="en-US"/>
        </w:rPr>
        <w:t>Combination therapy of dapagliflozin 10 mg and prolonged-release exenatide resulted in a significantly greater reduction in systolic blood pressure at week 28 (-4.3 mmHg) compared to dapagliflozin alone (-1.8 mmHg, p &lt; 0.05) and prolonged-release exenatide alone (-1.2 mmHg, p &lt; 0.01).</w:t>
      </w:r>
    </w:p>
    <w:p w14:paraId="741F0237" w14:textId="77777777" w:rsidR="0029430D" w:rsidRPr="00312F3E" w:rsidRDefault="0029430D" w:rsidP="00312F3E">
      <w:pPr>
        <w:ind w:left="851"/>
        <w:rPr>
          <w:sz w:val="24"/>
          <w:szCs w:val="24"/>
          <w:lang w:val="en-US"/>
        </w:rPr>
      </w:pPr>
    </w:p>
    <w:p w14:paraId="64A50093" w14:textId="77777777" w:rsidR="0029430D" w:rsidRPr="00312F3E" w:rsidRDefault="0029430D" w:rsidP="00312F3E">
      <w:pPr>
        <w:ind w:left="851"/>
        <w:rPr>
          <w:sz w:val="24"/>
          <w:szCs w:val="24"/>
          <w:lang w:val="en-US"/>
        </w:rPr>
      </w:pPr>
      <w:r w:rsidRPr="00312F3E">
        <w:rPr>
          <w:sz w:val="24"/>
          <w:szCs w:val="24"/>
          <w:lang w:val="en-US"/>
        </w:rPr>
        <w:t>In two 12-week, placebo-controlled studies a total of 1,062 patients with inadequately controlled type 2 diabetes and hypertension (despite pre-existing stable treatment with an ACE-I or ARB in one study and an ACE-I or ARB plus one additional antihypertensive treatment in another study) were treated with dapagliflozin 10 mg or placebo. At week 12 for both studies, dapagliflozin 10 mg plus usual antidiabetic treatment provided improvement in HbA1c and decreased the placebo-corrected systolic blood pressure on average by 3.1 and 4.3 mmHg, respectively.</w:t>
      </w:r>
    </w:p>
    <w:p w14:paraId="2913E657" w14:textId="77777777" w:rsidR="0029430D" w:rsidRPr="00312F3E" w:rsidRDefault="0029430D" w:rsidP="00312F3E">
      <w:pPr>
        <w:ind w:left="851"/>
        <w:rPr>
          <w:sz w:val="24"/>
          <w:szCs w:val="24"/>
          <w:lang w:val="en-US"/>
        </w:rPr>
      </w:pPr>
    </w:p>
    <w:p w14:paraId="7B785066" w14:textId="77777777" w:rsidR="0029430D" w:rsidRPr="00312F3E" w:rsidRDefault="0029430D" w:rsidP="00312F3E">
      <w:pPr>
        <w:ind w:left="851"/>
        <w:rPr>
          <w:sz w:val="24"/>
          <w:szCs w:val="24"/>
          <w:lang w:val="en-US"/>
        </w:rPr>
      </w:pPr>
      <w:r w:rsidRPr="00312F3E">
        <w:rPr>
          <w:sz w:val="24"/>
          <w:szCs w:val="24"/>
          <w:lang w:val="en-US"/>
        </w:rPr>
        <w:t>In a dedicated study in diabetic patients with an eGFR ≥ 45 to &lt; 60 mL/min/1.73 m</w:t>
      </w:r>
      <w:r w:rsidRPr="00312F3E">
        <w:rPr>
          <w:sz w:val="24"/>
          <w:szCs w:val="24"/>
          <w:vertAlign w:val="superscript"/>
          <w:lang w:val="en-US"/>
        </w:rPr>
        <w:t>2</w:t>
      </w:r>
      <w:r w:rsidRPr="00312F3E">
        <w:rPr>
          <w:sz w:val="24"/>
          <w:szCs w:val="24"/>
          <w:lang w:val="en-US"/>
        </w:rPr>
        <w:t>, treatment with dapagliflozin demonstrated reductions in seated systolic blood pressure at week 24: -4.8 mmHg compared to -1.7 mmHg for placebo (p &lt; 0.05).</w:t>
      </w:r>
    </w:p>
    <w:p w14:paraId="51B14D1E" w14:textId="77777777" w:rsidR="0029430D" w:rsidRPr="00312F3E" w:rsidRDefault="0029430D" w:rsidP="00312F3E">
      <w:pPr>
        <w:ind w:left="851"/>
        <w:rPr>
          <w:sz w:val="24"/>
          <w:szCs w:val="24"/>
          <w:lang w:val="en-US"/>
        </w:rPr>
      </w:pPr>
    </w:p>
    <w:p w14:paraId="19E85FAD" w14:textId="11468BBE" w:rsidR="0029430D" w:rsidRPr="00312F3E" w:rsidRDefault="0029430D" w:rsidP="00312F3E">
      <w:pPr>
        <w:ind w:left="851"/>
        <w:rPr>
          <w:i/>
          <w:iCs/>
          <w:sz w:val="24"/>
          <w:szCs w:val="24"/>
          <w:u w:val="single"/>
          <w:lang w:val="en-US"/>
        </w:rPr>
      </w:pPr>
      <w:proofErr w:type="spellStart"/>
      <w:r w:rsidRPr="00312F3E">
        <w:rPr>
          <w:i/>
          <w:iCs/>
          <w:sz w:val="24"/>
          <w:szCs w:val="24"/>
          <w:u w:val="single"/>
          <w:lang w:val="en-US"/>
        </w:rPr>
        <w:t>Glycaemic</w:t>
      </w:r>
      <w:proofErr w:type="spellEnd"/>
      <w:r w:rsidRPr="00312F3E">
        <w:rPr>
          <w:i/>
          <w:iCs/>
          <w:sz w:val="24"/>
          <w:szCs w:val="24"/>
          <w:u w:val="single"/>
          <w:lang w:val="en-US"/>
        </w:rPr>
        <w:t xml:space="preserve"> control in patients with moderate renal impairment CKD 3A (eGFR ≥ 45 to &lt;</w:t>
      </w:r>
      <w:r w:rsidR="00B14B46">
        <w:rPr>
          <w:i/>
          <w:iCs/>
          <w:sz w:val="24"/>
          <w:szCs w:val="24"/>
          <w:u w:val="single"/>
          <w:lang w:val="en-US"/>
        </w:rPr>
        <w:t> </w:t>
      </w:r>
      <w:r w:rsidRPr="00312F3E">
        <w:rPr>
          <w:i/>
          <w:iCs/>
          <w:sz w:val="24"/>
          <w:szCs w:val="24"/>
          <w:u w:val="single"/>
          <w:lang w:val="en-US"/>
        </w:rPr>
        <w:t>60 mL/min/1.73 m</w:t>
      </w:r>
      <w:r w:rsidRPr="00312F3E">
        <w:rPr>
          <w:i/>
          <w:iCs/>
          <w:sz w:val="24"/>
          <w:szCs w:val="24"/>
          <w:u w:val="single"/>
          <w:vertAlign w:val="superscript"/>
          <w:lang w:val="en-US"/>
        </w:rPr>
        <w:t>2</w:t>
      </w:r>
      <w:r w:rsidRPr="00312F3E">
        <w:rPr>
          <w:i/>
          <w:iCs/>
          <w:sz w:val="24"/>
          <w:szCs w:val="24"/>
          <w:u w:val="single"/>
          <w:lang w:val="en-US"/>
        </w:rPr>
        <w:t>)</w:t>
      </w:r>
    </w:p>
    <w:p w14:paraId="02AB3948" w14:textId="77777777" w:rsidR="0029430D" w:rsidRPr="00312F3E" w:rsidRDefault="0029430D" w:rsidP="00312F3E">
      <w:pPr>
        <w:ind w:left="851"/>
        <w:rPr>
          <w:sz w:val="24"/>
          <w:szCs w:val="24"/>
          <w:lang w:val="en-US"/>
        </w:rPr>
      </w:pPr>
      <w:r w:rsidRPr="00312F3E">
        <w:rPr>
          <w:sz w:val="24"/>
          <w:szCs w:val="24"/>
          <w:lang w:val="en-US"/>
        </w:rPr>
        <w:t>The efficacy of dapagliflozin was assessed in a dedicated study in diabetic patients with an eGFR ≥ 45 to &lt; 60 mL/min/1.73 m</w:t>
      </w:r>
      <w:r w:rsidRPr="00312F3E">
        <w:rPr>
          <w:sz w:val="24"/>
          <w:szCs w:val="24"/>
          <w:vertAlign w:val="superscript"/>
          <w:lang w:val="en-US"/>
        </w:rPr>
        <w:t>2</w:t>
      </w:r>
      <w:r w:rsidRPr="00312F3E">
        <w:rPr>
          <w:sz w:val="24"/>
          <w:szCs w:val="24"/>
          <w:lang w:val="en-US"/>
        </w:rPr>
        <w:t xml:space="preserve"> who had inadequate </w:t>
      </w:r>
      <w:proofErr w:type="spellStart"/>
      <w:r w:rsidRPr="00312F3E">
        <w:rPr>
          <w:sz w:val="24"/>
          <w:szCs w:val="24"/>
          <w:lang w:val="en-US"/>
        </w:rPr>
        <w:t>glycaemic</w:t>
      </w:r>
      <w:proofErr w:type="spellEnd"/>
      <w:r w:rsidRPr="00312F3E">
        <w:rPr>
          <w:sz w:val="24"/>
          <w:szCs w:val="24"/>
          <w:lang w:val="en-US"/>
        </w:rPr>
        <w:t xml:space="preserve"> control on usual care. Treatment with dapagliflozin resulted in reductions in HbA1c and body weight compared with placebo (Table 9).</w:t>
      </w:r>
    </w:p>
    <w:p w14:paraId="7DC132EE" w14:textId="19BC50AB" w:rsidR="00583F33" w:rsidRDefault="00583F33">
      <w:pPr>
        <w:rPr>
          <w:sz w:val="24"/>
          <w:szCs w:val="24"/>
          <w:lang w:val="en-US"/>
        </w:rPr>
      </w:pPr>
      <w:r>
        <w:rPr>
          <w:sz w:val="24"/>
          <w:szCs w:val="24"/>
          <w:lang w:val="en-US"/>
        </w:rPr>
        <w:br w:type="page"/>
      </w:r>
    </w:p>
    <w:p w14:paraId="686F8084" w14:textId="77777777" w:rsidR="0029430D" w:rsidRPr="00312F3E" w:rsidRDefault="0029430D" w:rsidP="00312F3E">
      <w:pPr>
        <w:ind w:left="851"/>
        <w:rPr>
          <w:sz w:val="24"/>
          <w:szCs w:val="24"/>
          <w:lang w:val="en-US"/>
        </w:rPr>
      </w:pPr>
    </w:p>
    <w:p w14:paraId="77CBC201" w14:textId="77777777" w:rsidR="0029430D" w:rsidRPr="00312F3E" w:rsidRDefault="0029430D" w:rsidP="0029430D">
      <w:pPr>
        <w:keepNext/>
        <w:rPr>
          <w:sz w:val="24"/>
          <w:szCs w:val="24"/>
          <w:lang w:val="en-US"/>
        </w:rPr>
      </w:pPr>
      <w:r w:rsidRPr="00312F3E">
        <w:rPr>
          <w:b/>
          <w:bCs/>
          <w:sz w:val="24"/>
          <w:szCs w:val="24"/>
          <w:lang w:val="en-US"/>
        </w:rPr>
        <w:t>Table 9. Results at week 24 of a placebo-controlled study of dapagliflozin in diabetic patients with an eGFR ≥ 45 to &lt; 60 mL/min/1.73 m</w:t>
      </w:r>
      <w:r w:rsidRPr="00312F3E">
        <w:rPr>
          <w:b/>
          <w:bCs/>
          <w:sz w:val="24"/>
          <w:szCs w:val="24"/>
          <w:vertAlign w:val="superscript"/>
          <w:lang w:val="en-US"/>
        </w:rPr>
        <w:t>2</w:t>
      </w:r>
    </w:p>
    <w:tbl>
      <w:tblPr>
        <w:tblW w:w="5000" w:type="pct"/>
        <w:tblBorders>
          <w:top w:val="single" w:sz="18" w:space="0" w:color="auto"/>
          <w:bottom w:val="single" w:sz="4" w:space="0" w:color="auto"/>
          <w:insideH w:val="single" w:sz="4" w:space="0" w:color="7F7F7F" w:themeColor="text1" w:themeTint="80"/>
        </w:tblBorders>
        <w:tblLook w:val="04A0" w:firstRow="1" w:lastRow="0" w:firstColumn="1" w:lastColumn="0" w:noHBand="0" w:noVBand="1"/>
      </w:tblPr>
      <w:tblGrid>
        <w:gridCol w:w="3792"/>
        <w:gridCol w:w="2922"/>
        <w:gridCol w:w="2924"/>
      </w:tblGrid>
      <w:tr w:rsidR="0029430D" w:rsidRPr="00B14B46" w14:paraId="3C21088A" w14:textId="77777777" w:rsidTr="00312F3E">
        <w:tc>
          <w:tcPr>
            <w:tcW w:w="1967" w:type="pct"/>
            <w:tcBorders>
              <w:top w:val="single" w:sz="18" w:space="0" w:color="auto"/>
              <w:left w:val="nil"/>
              <w:right w:val="nil"/>
            </w:tcBorders>
          </w:tcPr>
          <w:p w14:paraId="5EDEA6B5" w14:textId="77777777" w:rsidR="0029430D" w:rsidRPr="006A7320" w:rsidRDefault="0029430D">
            <w:pPr>
              <w:rPr>
                <w:sz w:val="22"/>
                <w:szCs w:val="22"/>
                <w:lang w:val="en-US"/>
              </w:rPr>
            </w:pPr>
          </w:p>
        </w:tc>
        <w:tc>
          <w:tcPr>
            <w:tcW w:w="1516" w:type="pct"/>
            <w:tcBorders>
              <w:top w:val="single" w:sz="18" w:space="0" w:color="auto"/>
              <w:left w:val="nil"/>
              <w:right w:val="nil"/>
            </w:tcBorders>
            <w:hideMark/>
          </w:tcPr>
          <w:p w14:paraId="1EAE61D2" w14:textId="77777777" w:rsidR="0029430D" w:rsidRPr="00B14B46" w:rsidRDefault="0029430D">
            <w:pPr>
              <w:tabs>
                <w:tab w:val="left" w:pos="1304"/>
              </w:tabs>
              <w:autoSpaceDE w:val="0"/>
              <w:autoSpaceDN w:val="0"/>
              <w:adjustRightInd w:val="0"/>
              <w:jc w:val="center"/>
              <w:rPr>
                <w:b/>
                <w:bCs/>
                <w:sz w:val="22"/>
                <w:szCs w:val="22"/>
              </w:rPr>
            </w:pPr>
            <w:proofErr w:type="spellStart"/>
            <w:r w:rsidRPr="00B14B46">
              <w:rPr>
                <w:sz w:val="22"/>
                <w:szCs w:val="22"/>
              </w:rPr>
              <w:t>Dapagliflozin</w:t>
            </w:r>
            <w:r w:rsidRPr="00B14B46">
              <w:rPr>
                <w:sz w:val="22"/>
                <w:szCs w:val="22"/>
                <w:vertAlign w:val="superscript"/>
              </w:rPr>
              <w:t>a</w:t>
            </w:r>
            <w:proofErr w:type="spellEnd"/>
            <w:r w:rsidRPr="00B14B46">
              <w:rPr>
                <w:sz w:val="22"/>
                <w:szCs w:val="22"/>
              </w:rPr>
              <w:t xml:space="preserve"> </w:t>
            </w:r>
          </w:p>
          <w:p w14:paraId="22EB76A1" w14:textId="77777777" w:rsidR="0029430D" w:rsidRPr="00B14B46" w:rsidRDefault="0029430D">
            <w:pPr>
              <w:tabs>
                <w:tab w:val="left" w:pos="1304"/>
              </w:tabs>
              <w:autoSpaceDE w:val="0"/>
              <w:autoSpaceDN w:val="0"/>
              <w:adjustRightInd w:val="0"/>
              <w:jc w:val="center"/>
              <w:rPr>
                <w:sz w:val="22"/>
                <w:szCs w:val="22"/>
                <w:lang w:eastAsia="en-US"/>
              </w:rPr>
            </w:pPr>
            <w:r w:rsidRPr="00B14B46">
              <w:rPr>
                <w:sz w:val="22"/>
                <w:szCs w:val="22"/>
              </w:rPr>
              <w:t>10 mg</w:t>
            </w:r>
          </w:p>
        </w:tc>
        <w:tc>
          <w:tcPr>
            <w:tcW w:w="1517" w:type="pct"/>
            <w:tcBorders>
              <w:top w:val="single" w:sz="18" w:space="0" w:color="auto"/>
              <w:left w:val="nil"/>
              <w:right w:val="nil"/>
            </w:tcBorders>
            <w:hideMark/>
          </w:tcPr>
          <w:p w14:paraId="3E32C0F3" w14:textId="77777777" w:rsidR="0029430D" w:rsidRPr="00B14B46" w:rsidRDefault="0029430D">
            <w:pPr>
              <w:jc w:val="center"/>
              <w:rPr>
                <w:sz w:val="22"/>
                <w:szCs w:val="22"/>
              </w:rPr>
            </w:pPr>
            <w:proofErr w:type="spellStart"/>
            <w:r w:rsidRPr="00B14B46">
              <w:rPr>
                <w:sz w:val="22"/>
                <w:szCs w:val="22"/>
              </w:rPr>
              <w:t>Placebo</w:t>
            </w:r>
            <w:r w:rsidRPr="00B14B46">
              <w:rPr>
                <w:sz w:val="22"/>
                <w:szCs w:val="22"/>
                <w:vertAlign w:val="superscript"/>
              </w:rPr>
              <w:t>a</w:t>
            </w:r>
            <w:proofErr w:type="spellEnd"/>
          </w:p>
        </w:tc>
      </w:tr>
      <w:tr w:rsidR="0029430D" w:rsidRPr="00B14B46" w14:paraId="69C26009" w14:textId="77777777" w:rsidTr="00312F3E">
        <w:tc>
          <w:tcPr>
            <w:tcW w:w="1967" w:type="pct"/>
            <w:tcBorders>
              <w:left w:val="nil"/>
              <w:right w:val="nil"/>
            </w:tcBorders>
            <w:hideMark/>
          </w:tcPr>
          <w:p w14:paraId="5A515CF0" w14:textId="77777777" w:rsidR="0029430D" w:rsidRPr="00B14B46" w:rsidRDefault="0029430D">
            <w:pPr>
              <w:rPr>
                <w:sz w:val="22"/>
                <w:szCs w:val="22"/>
              </w:rPr>
            </w:pPr>
            <w:r w:rsidRPr="00B14B46">
              <w:rPr>
                <w:sz w:val="22"/>
                <w:szCs w:val="22"/>
              </w:rPr>
              <w:t>N</w:t>
            </w:r>
            <w:r w:rsidRPr="00B14B46">
              <w:rPr>
                <w:sz w:val="22"/>
                <w:szCs w:val="22"/>
                <w:vertAlign w:val="superscript"/>
              </w:rPr>
              <w:t>b</w:t>
            </w:r>
          </w:p>
        </w:tc>
        <w:tc>
          <w:tcPr>
            <w:tcW w:w="1516" w:type="pct"/>
            <w:tcBorders>
              <w:left w:val="nil"/>
              <w:right w:val="nil"/>
            </w:tcBorders>
            <w:hideMark/>
          </w:tcPr>
          <w:p w14:paraId="7E6755F9" w14:textId="77777777" w:rsidR="0029430D" w:rsidRPr="00B14B46" w:rsidRDefault="0029430D">
            <w:pPr>
              <w:jc w:val="center"/>
              <w:rPr>
                <w:sz w:val="22"/>
                <w:szCs w:val="22"/>
              </w:rPr>
            </w:pPr>
            <w:r w:rsidRPr="00B14B46">
              <w:rPr>
                <w:b/>
                <w:bCs/>
                <w:sz w:val="22"/>
                <w:szCs w:val="22"/>
              </w:rPr>
              <w:t>159</w:t>
            </w:r>
          </w:p>
        </w:tc>
        <w:tc>
          <w:tcPr>
            <w:tcW w:w="1517" w:type="pct"/>
            <w:tcBorders>
              <w:left w:val="nil"/>
              <w:right w:val="nil"/>
            </w:tcBorders>
            <w:hideMark/>
          </w:tcPr>
          <w:p w14:paraId="5D5A3C26" w14:textId="77777777" w:rsidR="0029430D" w:rsidRPr="00B14B46" w:rsidRDefault="0029430D">
            <w:pPr>
              <w:jc w:val="center"/>
              <w:rPr>
                <w:sz w:val="22"/>
                <w:szCs w:val="22"/>
              </w:rPr>
            </w:pPr>
            <w:r w:rsidRPr="00B14B46">
              <w:rPr>
                <w:b/>
                <w:bCs/>
                <w:sz w:val="22"/>
                <w:szCs w:val="22"/>
              </w:rPr>
              <w:t>161</w:t>
            </w:r>
          </w:p>
        </w:tc>
      </w:tr>
      <w:tr w:rsidR="0029430D" w:rsidRPr="00B14B46" w14:paraId="2275A9C9" w14:textId="77777777" w:rsidTr="00312F3E">
        <w:tc>
          <w:tcPr>
            <w:tcW w:w="1967" w:type="pct"/>
            <w:tcBorders>
              <w:top w:val="single" w:sz="4" w:space="0" w:color="7F7F7F" w:themeColor="text1" w:themeTint="80"/>
              <w:left w:val="nil"/>
              <w:bottom w:val="single" w:sz="4" w:space="0" w:color="7F7F7F" w:themeColor="text1" w:themeTint="80"/>
              <w:right w:val="nil"/>
            </w:tcBorders>
            <w:hideMark/>
          </w:tcPr>
          <w:p w14:paraId="60EB1821" w14:textId="77777777" w:rsidR="0029430D" w:rsidRPr="006A7320" w:rsidRDefault="0029430D">
            <w:pPr>
              <w:rPr>
                <w:sz w:val="22"/>
                <w:szCs w:val="22"/>
                <w:lang w:val="en-US"/>
              </w:rPr>
            </w:pPr>
            <w:r w:rsidRPr="006A7320">
              <w:rPr>
                <w:sz w:val="22"/>
                <w:szCs w:val="22"/>
                <w:lang w:val="en-US"/>
              </w:rPr>
              <w:t>HbA1c (%)</w:t>
            </w:r>
          </w:p>
          <w:p w14:paraId="3609822E" w14:textId="77777777" w:rsidR="0029430D" w:rsidRPr="006A7320" w:rsidRDefault="0029430D">
            <w:pPr>
              <w:rPr>
                <w:b/>
                <w:bCs/>
                <w:sz w:val="22"/>
                <w:szCs w:val="22"/>
                <w:lang w:val="en-US"/>
              </w:rPr>
            </w:pPr>
            <w:r w:rsidRPr="006A7320">
              <w:rPr>
                <w:b/>
                <w:bCs/>
                <w:sz w:val="22"/>
                <w:szCs w:val="22"/>
                <w:lang w:val="en-US"/>
              </w:rPr>
              <w:t>Baseline (mean)</w:t>
            </w:r>
          </w:p>
          <w:p w14:paraId="25D3F089" w14:textId="77777777" w:rsidR="0029430D" w:rsidRPr="006A7320" w:rsidRDefault="0029430D">
            <w:pPr>
              <w:tabs>
                <w:tab w:val="left" w:pos="1304"/>
              </w:tabs>
              <w:ind w:left="37"/>
              <w:rPr>
                <w:b/>
                <w:bCs/>
                <w:sz w:val="22"/>
                <w:szCs w:val="22"/>
                <w:lang w:val="en-US"/>
              </w:rPr>
            </w:pPr>
            <w:r w:rsidRPr="006A7320">
              <w:rPr>
                <w:b/>
                <w:bCs/>
                <w:sz w:val="22"/>
                <w:szCs w:val="22"/>
                <w:lang w:val="en-US"/>
              </w:rPr>
              <w:t xml:space="preserve">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4EBF78BB" w14:textId="77777777" w:rsidR="0029430D" w:rsidRPr="00B14B46" w:rsidRDefault="0029430D">
            <w:pPr>
              <w:tabs>
                <w:tab w:val="left" w:pos="1304"/>
              </w:tabs>
              <w:ind w:left="37"/>
              <w:rPr>
                <w:b/>
                <w:bCs/>
                <w:sz w:val="22"/>
                <w:szCs w:val="22"/>
              </w:rPr>
            </w:pPr>
            <w:r w:rsidRPr="00B14B46">
              <w:rPr>
                <w:b/>
                <w:bCs/>
                <w:sz w:val="22"/>
                <w:szCs w:val="22"/>
              </w:rPr>
              <w:t xml:space="preserve">Difference from </w:t>
            </w:r>
            <w:proofErr w:type="spellStart"/>
            <w:r w:rsidRPr="00B14B46">
              <w:rPr>
                <w:b/>
                <w:bCs/>
                <w:sz w:val="22"/>
                <w:szCs w:val="22"/>
              </w:rPr>
              <w:t>placebo</w:t>
            </w:r>
            <w:r w:rsidRPr="00B14B46">
              <w:rPr>
                <w:b/>
                <w:bCs/>
                <w:sz w:val="22"/>
                <w:szCs w:val="22"/>
                <w:vertAlign w:val="superscript"/>
              </w:rPr>
              <w:t>c</w:t>
            </w:r>
            <w:proofErr w:type="spellEnd"/>
          </w:p>
          <w:p w14:paraId="22878A48" w14:textId="77777777" w:rsidR="0029430D" w:rsidRPr="00B14B46" w:rsidRDefault="0029430D">
            <w:pPr>
              <w:tabs>
                <w:tab w:val="left" w:pos="1304"/>
              </w:tabs>
              <w:ind w:left="179"/>
              <w:rPr>
                <w:sz w:val="22"/>
                <w:szCs w:val="22"/>
              </w:rPr>
            </w:pPr>
            <w:r w:rsidRPr="00B14B46">
              <w:rPr>
                <w:b/>
                <w:bCs/>
                <w:sz w:val="22"/>
                <w:szCs w:val="22"/>
              </w:rPr>
              <w:t>(95% CI)</w:t>
            </w:r>
          </w:p>
        </w:tc>
        <w:tc>
          <w:tcPr>
            <w:tcW w:w="1516" w:type="pct"/>
            <w:tcBorders>
              <w:top w:val="single" w:sz="4" w:space="0" w:color="7F7F7F" w:themeColor="text1" w:themeTint="80"/>
              <w:left w:val="nil"/>
              <w:bottom w:val="single" w:sz="4" w:space="0" w:color="7F7F7F" w:themeColor="text1" w:themeTint="80"/>
              <w:right w:val="nil"/>
            </w:tcBorders>
          </w:tcPr>
          <w:p w14:paraId="44D0B8A8" w14:textId="77777777" w:rsidR="0029430D" w:rsidRPr="00B14B46" w:rsidRDefault="0029430D">
            <w:pPr>
              <w:jc w:val="center"/>
              <w:rPr>
                <w:sz w:val="22"/>
                <w:szCs w:val="22"/>
              </w:rPr>
            </w:pPr>
          </w:p>
          <w:p w14:paraId="1648F055" w14:textId="77777777" w:rsidR="0029430D" w:rsidRPr="00B14B46" w:rsidRDefault="0029430D">
            <w:pPr>
              <w:jc w:val="center"/>
              <w:rPr>
                <w:sz w:val="22"/>
                <w:szCs w:val="22"/>
              </w:rPr>
            </w:pPr>
            <w:r w:rsidRPr="00B14B46">
              <w:rPr>
                <w:sz w:val="22"/>
                <w:szCs w:val="22"/>
              </w:rPr>
              <w:t>8.35</w:t>
            </w:r>
          </w:p>
          <w:p w14:paraId="0738A48E" w14:textId="77777777" w:rsidR="0029430D" w:rsidRPr="00B14B46" w:rsidRDefault="0029430D">
            <w:pPr>
              <w:jc w:val="center"/>
              <w:rPr>
                <w:sz w:val="22"/>
                <w:szCs w:val="22"/>
              </w:rPr>
            </w:pPr>
            <w:r w:rsidRPr="00B14B46">
              <w:rPr>
                <w:sz w:val="22"/>
                <w:szCs w:val="22"/>
              </w:rPr>
              <w:t>-0.37</w:t>
            </w:r>
          </w:p>
          <w:p w14:paraId="230D8D7E" w14:textId="77777777" w:rsidR="0029430D" w:rsidRPr="00B14B46" w:rsidRDefault="0029430D">
            <w:pPr>
              <w:jc w:val="center"/>
              <w:rPr>
                <w:sz w:val="22"/>
                <w:szCs w:val="22"/>
              </w:rPr>
            </w:pPr>
            <w:r w:rsidRPr="00B14B46">
              <w:rPr>
                <w:sz w:val="22"/>
                <w:szCs w:val="22"/>
              </w:rPr>
              <w:t>-0.34</w:t>
            </w:r>
            <w:r w:rsidRPr="00B14B46">
              <w:rPr>
                <w:sz w:val="22"/>
                <w:szCs w:val="22"/>
                <w:vertAlign w:val="superscript"/>
              </w:rPr>
              <w:t>*</w:t>
            </w:r>
          </w:p>
          <w:p w14:paraId="59F9CD33" w14:textId="77777777" w:rsidR="0029430D" w:rsidRPr="00B14B46" w:rsidRDefault="0029430D">
            <w:pPr>
              <w:jc w:val="center"/>
              <w:rPr>
                <w:sz w:val="22"/>
                <w:szCs w:val="22"/>
              </w:rPr>
            </w:pPr>
            <w:r w:rsidRPr="00B14B46">
              <w:rPr>
                <w:sz w:val="22"/>
                <w:szCs w:val="22"/>
              </w:rPr>
              <w:t>(-0.53, -0.15)</w:t>
            </w:r>
          </w:p>
        </w:tc>
        <w:tc>
          <w:tcPr>
            <w:tcW w:w="1517" w:type="pct"/>
            <w:tcBorders>
              <w:top w:val="single" w:sz="4" w:space="0" w:color="7F7F7F" w:themeColor="text1" w:themeTint="80"/>
              <w:left w:val="nil"/>
              <w:bottom w:val="single" w:sz="4" w:space="0" w:color="7F7F7F" w:themeColor="text1" w:themeTint="80"/>
              <w:right w:val="nil"/>
            </w:tcBorders>
          </w:tcPr>
          <w:p w14:paraId="5F4200BB" w14:textId="77777777" w:rsidR="0029430D" w:rsidRPr="00B14B46" w:rsidRDefault="0029430D">
            <w:pPr>
              <w:jc w:val="center"/>
              <w:rPr>
                <w:sz w:val="22"/>
                <w:szCs w:val="22"/>
              </w:rPr>
            </w:pPr>
          </w:p>
          <w:p w14:paraId="0222F2A9" w14:textId="77777777" w:rsidR="0029430D" w:rsidRPr="00B14B46" w:rsidRDefault="0029430D">
            <w:pPr>
              <w:jc w:val="center"/>
              <w:rPr>
                <w:sz w:val="22"/>
                <w:szCs w:val="22"/>
              </w:rPr>
            </w:pPr>
            <w:r w:rsidRPr="00B14B46">
              <w:rPr>
                <w:sz w:val="22"/>
                <w:szCs w:val="22"/>
              </w:rPr>
              <w:t>8.03</w:t>
            </w:r>
          </w:p>
          <w:p w14:paraId="11C3E004" w14:textId="77777777" w:rsidR="0029430D" w:rsidRPr="00B14B46" w:rsidRDefault="0029430D">
            <w:pPr>
              <w:jc w:val="center"/>
              <w:rPr>
                <w:sz w:val="22"/>
                <w:szCs w:val="22"/>
              </w:rPr>
            </w:pPr>
            <w:r w:rsidRPr="00B14B46">
              <w:rPr>
                <w:sz w:val="22"/>
                <w:szCs w:val="22"/>
              </w:rPr>
              <w:t>-0.03</w:t>
            </w:r>
          </w:p>
        </w:tc>
      </w:tr>
      <w:tr w:rsidR="0029430D" w:rsidRPr="00B14B46" w14:paraId="761632F6" w14:textId="77777777" w:rsidTr="00312F3E">
        <w:tc>
          <w:tcPr>
            <w:tcW w:w="1967" w:type="pct"/>
            <w:tcBorders>
              <w:left w:val="nil"/>
              <w:bottom w:val="single" w:sz="18" w:space="0" w:color="auto"/>
              <w:right w:val="nil"/>
            </w:tcBorders>
            <w:hideMark/>
          </w:tcPr>
          <w:p w14:paraId="16FF5492" w14:textId="77777777" w:rsidR="0029430D" w:rsidRPr="006A7320" w:rsidRDefault="0029430D">
            <w:pPr>
              <w:rPr>
                <w:sz w:val="22"/>
                <w:szCs w:val="22"/>
                <w:lang w:val="en-US"/>
              </w:rPr>
            </w:pPr>
            <w:r w:rsidRPr="006A7320">
              <w:rPr>
                <w:sz w:val="22"/>
                <w:szCs w:val="22"/>
                <w:lang w:val="en-US"/>
              </w:rPr>
              <w:t>Body weight (kg)</w:t>
            </w:r>
          </w:p>
          <w:p w14:paraId="5C5C22A1" w14:textId="77777777" w:rsidR="0029430D" w:rsidRPr="006A7320" w:rsidRDefault="0029430D">
            <w:pPr>
              <w:ind w:left="37"/>
              <w:rPr>
                <w:b/>
                <w:bCs/>
                <w:sz w:val="22"/>
                <w:szCs w:val="22"/>
                <w:lang w:val="en-US"/>
              </w:rPr>
            </w:pPr>
            <w:r w:rsidRPr="006A7320">
              <w:rPr>
                <w:b/>
                <w:bCs/>
                <w:sz w:val="22"/>
                <w:szCs w:val="22"/>
                <w:lang w:val="en-US"/>
              </w:rPr>
              <w:t>Baseline (mean)</w:t>
            </w:r>
          </w:p>
          <w:p w14:paraId="55A9602A" w14:textId="77777777" w:rsidR="0029430D" w:rsidRPr="006A7320" w:rsidRDefault="0029430D">
            <w:pPr>
              <w:ind w:left="37"/>
              <w:rPr>
                <w:b/>
                <w:bCs/>
                <w:sz w:val="22"/>
                <w:szCs w:val="22"/>
                <w:lang w:val="en-US"/>
              </w:rPr>
            </w:pPr>
            <w:r w:rsidRPr="006A7320">
              <w:rPr>
                <w:b/>
                <w:bCs/>
                <w:sz w:val="22"/>
                <w:szCs w:val="22"/>
                <w:lang w:val="en-US"/>
              </w:rPr>
              <w:t xml:space="preserve">Percent change from </w:t>
            </w:r>
            <w:proofErr w:type="spellStart"/>
            <w:r w:rsidRPr="006A7320">
              <w:rPr>
                <w:b/>
                <w:bCs/>
                <w:sz w:val="22"/>
                <w:szCs w:val="22"/>
                <w:lang w:val="en-US"/>
              </w:rPr>
              <w:t>baseline</w:t>
            </w:r>
            <w:r w:rsidRPr="006A7320">
              <w:rPr>
                <w:b/>
                <w:bCs/>
                <w:sz w:val="22"/>
                <w:szCs w:val="22"/>
                <w:vertAlign w:val="superscript"/>
                <w:lang w:val="en-US"/>
              </w:rPr>
              <w:t>c</w:t>
            </w:r>
            <w:proofErr w:type="spellEnd"/>
          </w:p>
          <w:p w14:paraId="5DDB17C1" w14:textId="77777777" w:rsidR="0029430D" w:rsidRPr="006A7320" w:rsidRDefault="0029430D">
            <w:pPr>
              <w:ind w:left="37"/>
              <w:rPr>
                <w:b/>
                <w:bCs/>
                <w:sz w:val="22"/>
                <w:szCs w:val="22"/>
                <w:lang w:val="en-US"/>
              </w:rPr>
            </w:pPr>
            <w:r w:rsidRPr="006A7320">
              <w:rPr>
                <w:b/>
                <w:bCs/>
                <w:sz w:val="22"/>
                <w:szCs w:val="22"/>
                <w:lang w:val="en-US"/>
              </w:rPr>
              <w:t xml:space="preserve">Difference in percent change from </w:t>
            </w:r>
            <w:proofErr w:type="spellStart"/>
            <w:r w:rsidRPr="006A7320">
              <w:rPr>
                <w:b/>
                <w:bCs/>
                <w:sz w:val="22"/>
                <w:szCs w:val="22"/>
                <w:lang w:val="en-US"/>
              </w:rPr>
              <w:t>placebo</w:t>
            </w:r>
            <w:r w:rsidRPr="006A7320">
              <w:rPr>
                <w:sz w:val="22"/>
                <w:szCs w:val="22"/>
                <w:vertAlign w:val="superscript"/>
                <w:lang w:val="en-US"/>
              </w:rPr>
              <w:t>c</w:t>
            </w:r>
            <w:proofErr w:type="spellEnd"/>
          </w:p>
          <w:p w14:paraId="392B218D" w14:textId="77777777" w:rsidR="0029430D" w:rsidRPr="00B14B46" w:rsidRDefault="0029430D">
            <w:pPr>
              <w:ind w:left="179"/>
              <w:rPr>
                <w:sz w:val="22"/>
                <w:szCs w:val="22"/>
              </w:rPr>
            </w:pPr>
            <w:r w:rsidRPr="00B14B46">
              <w:rPr>
                <w:b/>
                <w:bCs/>
                <w:sz w:val="22"/>
                <w:szCs w:val="22"/>
              </w:rPr>
              <w:t>(95% CI)</w:t>
            </w:r>
          </w:p>
        </w:tc>
        <w:tc>
          <w:tcPr>
            <w:tcW w:w="1516" w:type="pct"/>
            <w:tcBorders>
              <w:left w:val="nil"/>
              <w:bottom w:val="single" w:sz="18" w:space="0" w:color="auto"/>
              <w:right w:val="nil"/>
            </w:tcBorders>
          </w:tcPr>
          <w:p w14:paraId="46B30147" w14:textId="77777777" w:rsidR="0029430D" w:rsidRPr="00B14B46" w:rsidRDefault="0029430D">
            <w:pPr>
              <w:jc w:val="center"/>
              <w:rPr>
                <w:sz w:val="22"/>
                <w:szCs w:val="22"/>
              </w:rPr>
            </w:pPr>
          </w:p>
          <w:p w14:paraId="5C44DF93" w14:textId="77777777" w:rsidR="0029430D" w:rsidRPr="00B14B46" w:rsidRDefault="0029430D">
            <w:pPr>
              <w:jc w:val="center"/>
              <w:rPr>
                <w:sz w:val="22"/>
                <w:szCs w:val="22"/>
              </w:rPr>
            </w:pPr>
            <w:r w:rsidRPr="00B14B46">
              <w:rPr>
                <w:sz w:val="22"/>
                <w:szCs w:val="22"/>
              </w:rPr>
              <w:t>92.51</w:t>
            </w:r>
          </w:p>
          <w:p w14:paraId="594201FD" w14:textId="77777777" w:rsidR="0029430D" w:rsidRPr="00B14B46" w:rsidRDefault="0029430D">
            <w:pPr>
              <w:jc w:val="center"/>
              <w:rPr>
                <w:sz w:val="22"/>
                <w:szCs w:val="22"/>
              </w:rPr>
            </w:pPr>
            <w:r w:rsidRPr="00B14B46">
              <w:rPr>
                <w:sz w:val="22"/>
                <w:szCs w:val="22"/>
              </w:rPr>
              <w:t>-3.42</w:t>
            </w:r>
          </w:p>
          <w:p w14:paraId="54531CDA" w14:textId="77777777" w:rsidR="0029430D" w:rsidRPr="00B14B46" w:rsidRDefault="0029430D">
            <w:pPr>
              <w:jc w:val="center"/>
              <w:rPr>
                <w:sz w:val="22"/>
                <w:szCs w:val="22"/>
                <w:vertAlign w:val="superscript"/>
              </w:rPr>
            </w:pPr>
            <w:r w:rsidRPr="00B14B46">
              <w:rPr>
                <w:sz w:val="22"/>
                <w:szCs w:val="22"/>
              </w:rPr>
              <w:t>-1.43</w:t>
            </w:r>
            <w:r w:rsidRPr="00B14B46">
              <w:rPr>
                <w:sz w:val="22"/>
                <w:szCs w:val="22"/>
                <w:vertAlign w:val="superscript"/>
              </w:rPr>
              <w:t>*</w:t>
            </w:r>
          </w:p>
          <w:p w14:paraId="1386BE26" w14:textId="77777777" w:rsidR="0029430D" w:rsidRPr="00B14B46" w:rsidRDefault="0029430D">
            <w:pPr>
              <w:jc w:val="center"/>
              <w:rPr>
                <w:sz w:val="22"/>
                <w:szCs w:val="22"/>
              </w:rPr>
            </w:pPr>
          </w:p>
          <w:p w14:paraId="3339814F" w14:textId="77777777" w:rsidR="0029430D" w:rsidRPr="00B14B46" w:rsidRDefault="0029430D">
            <w:pPr>
              <w:jc w:val="center"/>
              <w:rPr>
                <w:sz w:val="22"/>
                <w:szCs w:val="22"/>
              </w:rPr>
            </w:pPr>
            <w:r w:rsidRPr="00B14B46">
              <w:rPr>
                <w:sz w:val="22"/>
                <w:szCs w:val="22"/>
              </w:rPr>
              <w:t>(-2.15, -0.69)</w:t>
            </w:r>
          </w:p>
        </w:tc>
        <w:tc>
          <w:tcPr>
            <w:tcW w:w="1517" w:type="pct"/>
            <w:tcBorders>
              <w:left w:val="nil"/>
              <w:bottom w:val="single" w:sz="18" w:space="0" w:color="auto"/>
              <w:right w:val="nil"/>
            </w:tcBorders>
          </w:tcPr>
          <w:p w14:paraId="402294CE" w14:textId="77777777" w:rsidR="0029430D" w:rsidRPr="00B14B46" w:rsidRDefault="0029430D">
            <w:pPr>
              <w:jc w:val="center"/>
              <w:rPr>
                <w:sz w:val="22"/>
                <w:szCs w:val="22"/>
              </w:rPr>
            </w:pPr>
          </w:p>
          <w:p w14:paraId="09B38C44" w14:textId="77777777" w:rsidR="0029430D" w:rsidRPr="00B14B46" w:rsidRDefault="0029430D">
            <w:pPr>
              <w:jc w:val="center"/>
              <w:rPr>
                <w:sz w:val="22"/>
                <w:szCs w:val="22"/>
              </w:rPr>
            </w:pPr>
            <w:r w:rsidRPr="00B14B46">
              <w:rPr>
                <w:sz w:val="22"/>
                <w:szCs w:val="22"/>
              </w:rPr>
              <w:t>88.30</w:t>
            </w:r>
          </w:p>
          <w:p w14:paraId="4818AF9F" w14:textId="77777777" w:rsidR="0029430D" w:rsidRPr="00B14B46" w:rsidRDefault="0029430D">
            <w:pPr>
              <w:jc w:val="center"/>
              <w:rPr>
                <w:sz w:val="22"/>
                <w:szCs w:val="22"/>
              </w:rPr>
            </w:pPr>
            <w:r w:rsidRPr="00B14B46">
              <w:rPr>
                <w:sz w:val="22"/>
                <w:szCs w:val="22"/>
              </w:rPr>
              <w:t>-2.02</w:t>
            </w:r>
          </w:p>
        </w:tc>
      </w:tr>
    </w:tbl>
    <w:p w14:paraId="4CADFD27" w14:textId="1E77F3F3" w:rsidR="0029430D" w:rsidRPr="00B14B46" w:rsidRDefault="0029430D" w:rsidP="00B14B46">
      <w:pPr>
        <w:ind w:left="284" w:hanging="284"/>
        <w:rPr>
          <w:sz w:val="20"/>
          <w:lang w:val="en-GB" w:eastAsia="en-US"/>
        </w:rPr>
      </w:pPr>
      <w:r w:rsidRPr="00B14B46">
        <w:rPr>
          <w:sz w:val="20"/>
          <w:vertAlign w:val="superscript"/>
          <w:lang w:val="en-US"/>
        </w:rPr>
        <w:t>a</w:t>
      </w:r>
      <w:r w:rsidRPr="00B14B46">
        <w:rPr>
          <w:sz w:val="20"/>
          <w:lang w:val="en-US"/>
        </w:rPr>
        <w:t xml:space="preserve"> </w:t>
      </w:r>
      <w:r w:rsidR="00B14B46">
        <w:rPr>
          <w:sz w:val="20"/>
          <w:lang w:val="en-US"/>
        </w:rPr>
        <w:tab/>
      </w:r>
      <w:r w:rsidRPr="00B14B46">
        <w:rPr>
          <w:sz w:val="20"/>
          <w:lang w:val="en-US"/>
        </w:rPr>
        <w:t>Metformin or metformin hydrochloride were part of the usual care in 69.4% and 64.0% of the patients for the dapagliflozin and placebo groups, respectively.</w:t>
      </w:r>
    </w:p>
    <w:p w14:paraId="49D5AFB0" w14:textId="7AD66CEB" w:rsidR="0029430D" w:rsidRPr="00B14B46" w:rsidRDefault="0029430D" w:rsidP="00B14B46">
      <w:pPr>
        <w:ind w:left="284" w:hanging="284"/>
        <w:rPr>
          <w:sz w:val="20"/>
          <w:lang w:val="en-US"/>
        </w:rPr>
      </w:pPr>
      <w:r w:rsidRPr="00B14B46">
        <w:rPr>
          <w:sz w:val="20"/>
          <w:vertAlign w:val="superscript"/>
          <w:lang w:val="en-US"/>
        </w:rPr>
        <w:t xml:space="preserve">b </w:t>
      </w:r>
      <w:r w:rsidR="00B14B46">
        <w:rPr>
          <w:sz w:val="20"/>
          <w:vertAlign w:val="superscript"/>
          <w:lang w:val="en-US"/>
        </w:rPr>
        <w:tab/>
      </w:r>
      <w:r w:rsidRPr="00B14B46">
        <w:rPr>
          <w:sz w:val="20"/>
          <w:lang w:val="en-US"/>
        </w:rPr>
        <w:t>Least squares mean adjusted for baseline value</w:t>
      </w:r>
    </w:p>
    <w:p w14:paraId="25C1C9B5" w14:textId="0F1D63B1" w:rsidR="0029430D" w:rsidRPr="00B14B46" w:rsidRDefault="0029430D" w:rsidP="00B14B46">
      <w:pPr>
        <w:ind w:left="284" w:hanging="284"/>
        <w:rPr>
          <w:sz w:val="20"/>
          <w:lang w:val="en-US"/>
        </w:rPr>
      </w:pPr>
      <w:r w:rsidRPr="00B14B46">
        <w:rPr>
          <w:sz w:val="20"/>
          <w:vertAlign w:val="superscript"/>
          <w:lang w:val="en-US"/>
        </w:rPr>
        <w:t>c</w:t>
      </w:r>
      <w:r w:rsidRPr="00B14B46">
        <w:rPr>
          <w:sz w:val="20"/>
          <w:lang w:val="en-US"/>
        </w:rPr>
        <w:t xml:space="preserve"> </w:t>
      </w:r>
      <w:r w:rsidR="00B14B46">
        <w:rPr>
          <w:sz w:val="20"/>
          <w:lang w:val="en-US"/>
        </w:rPr>
        <w:tab/>
      </w:r>
      <w:r w:rsidRPr="00B14B46">
        <w:rPr>
          <w:sz w:val="20"/>
          <w:lang w:val="en-US"/>
        </w:rPr>
        <w:t>Derived from least squares mean adjusted for baseline value</w:t>
      </w:r>
    </w:p>
    <w:p w14:paraId="1663E545" w14:textId="75863B90" w:rsidR="0029430D" w:rsidRPr="00B14B46" w:rsidRDefault="0029430D" w:rsidP="00B14B46">
      <w:pPr>
        <w:ind w:left="284" w:hanging="284"/>
        <w:rPr>
          <w:sz w:val="20"/>
          <w:lang w:val="en-US"/>
        </w:rPr>
      </w:pPr>
      <w:r w:rsidRPr="00B14B46">
        <w:rPr>
          <w:sz w:val="20"/>
          <w:vertAlign w:val="superscript"/>
          <w:lang w:val="en-US"/>
        </w:rPr>
        <w:t>*</w:t>
      </w:r>
      <w:r w:rsidRPr="00B14B46">
        <w:rPr>
          <w:sz w:val="20"/>
          <w:lang w:val="en-US"/>
        </w:rPr>
        <w:t xml:space="preserve"> </w:t>
      </w:r>
      <w:r w:rsidR="00B14B46">
        <w:rPr>
          <w:sz w:val="20"/>
          <w:lang w:val="en-US"/>
        </w:rPr>
        <w:tab/>
      </w:r>
      <w:r w:rsidRPr="00B14B46">
        <w:rPr>
          <w:sz w:val="20"/>
          <w:lang w:val="en-US"/>
        </w:rPr>
        <w:t>p&lt;0.001</w:t>
      </w:r>
    </w:p>
    <w:p w14:paraId="115F4A9B" w14:textId="77777777" w:rsidR="0029430D" w:rsidRPr="00312F3E" w:rsidRDefault="0029430D" w:rsidP="0029430D">
      <w:pPr>
        <w:rPr>
          <w:sz w:val="24"/>
          <w:szCs w:val="24"/>
          <w:lang w:val="en-US"/>
        </w:rPr>
      </w:pPr>
    </w:p>
    <w:p w14:paraId="0FBDDB2D" w14:textId="77777777" w:rsidR="0029430D" w:rsidRPr="00312F3E" w:rsidRDefault="0029430D" w:rsidP="00312F3E">
      <w:pPr>
        <w:ind w:left="851"/>
        <w:rPr>
          <w:i/>
          <w:iCs/>
          <w:sz w:val="24"/>
          <w:szCs w:val="24"/>
          <w:u w:val="single"/>
          <w:lang w:val="en-US"/>
        </w:rPr>
      </w:pPr>
      <w:r w:rsidRPr="00312F3E">
        <w:rPr>
          <w:i/>
          <w:iCs/>
          <w:sz w:val="24"/>
          <w:szCs w:val="24"/>
          <w:u w:val="single"/>
          <w:lang w:val="en-US"/>
        </w:rPr>
        <w:t>Patients with baseline HbA1c ≥ 9%</w:t>
      </w:r>
    </w:p>
    <w:p w14:paraId="018E100A" w14:textId="77777777" w:rsidR="0029430D" w:rsidRPr="00312F3E" w:rsidRDefault="0029430D" w:rsidP="00312F3E">
      <w:pPr>
        <w:ind w:left="851"/>
        <w:rPr>
          <w:sz w:val="24"/>
          <w:szCs w:val="24"/>
          <w:lang w:val="en-US"/>
        </w:rPr>
      </w:pPr>
      <w:r w:rsidRPr="00312F3E">
        <w:rPr>
          <w:sz w:val="24"/>
          <w:szCs w:val="24"/>
          <w:lang w:val="en-US"/>
        </w:rPr>
        <w:t xml:space="preserve">In a pre-specified analysis of subjects with baseline HbA1c ≥ 9.0%, treatment with dapagliflozin 10 mg resulted in statistically significant reductions in HbA1c at week 24 as a monotherapy (adjusted mean </w:t>
      </w:r>
      <w:proofErr w:type="gramStart"/>
      <w:r w:rsidRPr="00312F3E">
        <w:rPr>
          <w:sz w:val="24"/>
          <w:szCs w:val="24"/>
          <w:lang w:val="en-US"/>
        </w:rPr>
        <w:t>change</w:t>
      </w:r>
      <w:proofErr w:type="gramEnd"/>
      <w:r w:rsidRPr="00312F3E">
        <w:rPr>
          <w:sz w:val="24"/>
          <w:szCs w:val="24"/>
          <w:lang w:val="en-US"/>
        </w:rPr>
        <w:t xml:space="preserve"> from baseline: -2.04% and 0.19% for dapagliflozin 10 mg and placebo, respectively) and as an add-on to metformin (adjusted mean change from baseline: -1.32% and -0.53% for dapagliflozin and placebo, respectively).</w:t>
      </w:r>
    </w:p>
    <w:p w14:paraId="4209F612" w14:textId="77777777" w:rsidR="0029430D" w:rsidRPr="00312F3E" w:rsidRDefault="0029430D" w:rsidP="00312F3E">
      <w:pPr>
        <w:ind w:left="851"/>
        <w:rPr>
          <w:sz w:val="24"/>
          <w:szCs w:val="24"/>
          <w:lang w:val="en-US"/>
        </w:rPr>
      </w:pPr>
    </w:p>
    <w:p w14:paraId="1331F15A" w14:textId="77777777" w:rsidR="0029430D" w:rsidRPr="00312F3E" w:rsidRDefault="0029430D" w:rsidP="00312F3E">
      <w:pPr>
        <w:ind w:left="851"/>
        <w:rPr>
          <w:i/>
          <w:iCs/>
          <w:sz w:val="24"/>
          <w:szCs w:val="24"/>
          <w:u w:val="single"/>
          <w:lang w:val="en-US"/>
        </w:rPr>
      </w:pPr>
      <w:r w:rsidRPr="00312F3E">
        <w:rPr>
          <w:i/>
          <w:iCs/>
          <w:sz w:val="24"/>
          <w:szCs w:val="24"/>
          <w:u w:val="single"/>
          <w:lang w:val="en-US"/>
        </w:rPr>
        <w:t>Cardiovascular and renal outcomes</w:t>
      </w:r>
    </w:p>
    <w:p w14:paraId="7E04BC58" w14:textId="77777777" w:rsidR="0029430D" w:rsidRPr="00312F3E" w:rsidRDefault="0029430D" w:rsidP="00312F3E">
      <w:pPr>
        <w:ind w:left="851"/>
        <w:rPr>
          <w:sz w:val="24"/>
          <w:szCs w:val="24"/>
          <w:lang w:val="en-US"/>
        </w:rPr>
      </w:pPr>
      <w:r w:rsidRPr="00312F3E">
        <w:rPr>
          <w:sz w:val="24"/>
          <w:szCs w:val="24"/>
          <w:lang w:val="en-US"/>
        </w:rPr>
        <w:t xml:space="preserve">Dapagliflozin Effect on Cardiovascular Events (DECLARE)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xml:space="preserve">, double-blind, placebo-controlled clinical study conducted to determine the effect of dapagliflozin compared with placebo on cardiovascular outcomes when added to current background therapy. All patients had type 2 diabetes mellitus and either at least two additional cardiovascular risk factors (age ≥ 55 years in men or ≥ 60 years in women and one or more of </w:t>
      </w:r>
      <w:proofErr w:type="spellStart"/>
      <w:r w:rsidRPr="00312F3E">
        <w:rPr>
          <w:sz w:val="24"/>
          <w:szCs w:val="24"/>
          <w:lang w:val="en-US"/>
        </w:rPr>
        <w:t>dyslipidaemia</w:t>
      </w:r>
      <w:proofErr w:type="spellEnd"/>
      <w:r w:rsidRPr="00312F3E">
        <w:rPr>
          <w:sz w:val="24"/>
          <w:szCs w:val="24"/>
          <w:lang w:val="en-US"/>
        </w:rPr>
        <w:t>, hypertension or current tobacco use) or established cardiovascular disease.</w:t>
      </w:r>
    </w:p>
    <w:p w14:paraId="16BA7415" w14:textId="77777777" w:rsidR="0029430D" w:rsidRPr="00312F3E" w:rsidRDefault="0029430D" w:rsidP="00312F3E">
      <w:pPr>
        <w:ind w:left="851"/>
        <w:rPr>
          <w:sz w:val="24"/>
          <w:szCs w:val="24"/>
          <w:lang w:val="en-US"/>
        </w:rPr>
      </w:pPr>
    </w:p>
    <w:p w14:paraId="0A0403B4" w14:textId="77777777" w:rsidR="0029430D" w:rsidRPr="00312F3E" w:rsidRDefault="0029430D" w:rsidP="00312F3E">
      <w:pPr>
        <w:ind w:left="851"/>
        <w:rPr>
          <w:sz w:val="24"/>
          <w:szCs w:val="24"/>
          <w:lang w:val="en-US"/>
        </w:rPr>
      </w:pPr>
      <w:r w:rsidRPr="00312F3E">
        <w:rPr>
          <w:sz w:val="24"/>
          <w:szCs w:val="24"/>
          <w:lang w:val="en-US"/>
        </w:rPr>
        <w:t xml:space="preserve">Of 17,160 </w:t>
      </w:r>
      <w:proofErr w:type="spellStart"/>
      <w:r w:rsidRPr="00312F3E">
        <w:rPr>
          <w:sz w:val="24"/>
          <w:szCs w:val="24"/>
          <w:lang w:val="en-US"/>
        </w:rPr>
        <w:t>randomised</w:t>
      </w:r>
      <w:proofErr w:type="spellEnd"/>
      <w:r w:rsidRPr="00312F3E">
        <w:rPr>
          <w:sz w:val="24"/>
          <w:szCs w:val="24"/>
          <w:lang w:val="en-US"/>
        </w:rPr>
        <w:t xml:space="preserve"> patients, 6,974 (40.6%) had established cardiovascular disease and 10,186 (59.4%) did not have established cardiovascular disease. 8,582 patients were </w:t>
      </w:r>
      <w:proofErr w:type="spellStart"/>
      <w:r w:rsidRPr="00312F3E">
        <w:rPr>
          <w:sz w:val="24"/>
          <w:szCs w:val="24"/>
          <w:lang w:val="en-US"/>
        </w:rPr>
        <w:t>randomised</w:t>
      </w:r>
      <w:proofErr w:type="spellEnd"/>
      <w:r w:rsidRPr="00312F3E">
        <w:rPr>
          <w:sz w:val="24"/>
          <w:szCs w:val="24"/>
          <w:lang w:val="en-US"/>
        </w:rPr>
        <w:t xml:space="preserve"> to dapagliflozin 10 mg and 8,578 to placebo, and were followed for a median of 4.2 years.</w:t>
      </w:r>
    </w:p>
    <w:p w14:paraId="570EBB19" w14:textId="77777777" w:rsidR="0029430D" w:rsidRPr="00312F3E" w:rsidRDefault="0029430D" w:rsidP="00312F3E">
      <w:pPr>
        <w:ind w:left="851"/>
        <w:rPr>
          <w:sz w:val="24"/>
          <w:szCs w:val="24"/>
          <w:lang w:val="en-US"/>
        </w:rPr>
      </w:pPr>
    </w:p>
    <w:p w14:paraId="6B2C9C73" w14:textId="77777777" w:rsidR="0029430D" w:rsidRPr="00312F3E" w:rsidRDefault="0029430D" w:rsidP="00312F3E">
      <w:pPr>
        <w:ind w:left="851"/>
        <w:rPr>
          <w:sz w:val="24"/>
          <w:szCs w:val="24"/>
          <w:lang w:val="en-US"/>
        </w:rPr>
      </w:pPr>
      <w:r w:rsidRPr="00312F3E">
        <w:rPr>
          <w:sz w:val="24"/>
          <w:szCs w:val="24"/>
          <w:lang w:val="en-US"/>
        </w:rPr>
        <w:t>The mean age of the study population was 63.9 years, 37.4% were female. In total, 22.4% had had diabetes for ≤ 5 years, mean duration of diabetes was 11.9 years. Mean HbA1c was 8.3% and mean BMI was 32.1 kg/m</w:t>
      </w:r>
      <w:r w:rsidRPr="00312F3E">
        <w:rPr>
          <w:sz w:val="24"/>
          <w:szCs w:val="24"/>
          <w:vertAlign w:val="superscript"/>
          <w:lang w:val="en-US"/>
        </w:rPr>
        <w:t>2</w:t>
      </w:r>
      <w:r w:rsidRPr="00312F3E">
        <w:rPr>
          <w:sz w:val="24"/>
          <w:szCs w:val="24"/>
          <w:lang w:val="en-US"/>
        </w:rPr>
        <w:t>.</w:t>
      </w:r>
    </w:p>
    <w:p w14:paraId="297AD6F9" w14:textId="77777777" w:rsidR="0029430D" w:rsidRPr="00312F3E" w:rsidRDefault="0029430D" w:rsidP="00312F3E">
      <w:pPr>
        <w:ind w:left="851"/>
        <w:rPr>
          <w:sz w:val="24"/>
          <w:szCs w:val="24"/>
          <w:lang w:val="en-US"/>
        </w:rPr>
      </w:pPr>
    </w:p>
    <w:p w14:paraId="6895D736" w14:textId="7D485486" w:rsidR="0029430D" w:rsidRPr="00312F3E" w:rsidRDefault="0029430D" w:rsidP="00312F3E">
      <w:pPr>
        <w:ind w:left="851"/>
        <w:rPr>
          <w:sz w:val="24"/>
          <w:szCs w:val="24"/>
          <w:lang w:val="en-US"/>
        </w:rPr>
      </w:pPr>
      <w:r w:rsidRPr="00312F3E">
        <w:rPr>
          <w:sz w:val="24"/>
          <w:szCs w:val="24"/>
          <w:lang w:val="en-US"/>
        </w:rPr>
        <w:t>At baseline, 10.0% of patients had a history of heart failure. Mean eGFR was 85.2</w:t>
      </w:r>
      <w:r w:rsidR="00B14B46">
        <w:rPr>
          <w:sz w:val="24"/>
          <w:szCs w:val="24"/>
          <w:lang w:val="en-US"/>
        </w:rPr>
        <w:t> </w:t>
      </w:r>
      <w:r w:rsidRPr="00312F3E">
        <w:rPr>
          <w:sz w:val="24"/>
          <w:szCs w:val="24"/>
          <w:lang w:val="en-US"/>
        </w:rPr>
        <w:t>mL/min/1.73 m</w:t>
      </w:r>
      <w:r w:rsidRPr="00312F3E">
        <w:rPr>
          <w:sz w:val="24"/>
          <w:szCs w:val="24"/>
          <w:vertAlign w:val="superscript"/>
          <w:lang w:val="en-US"/>
        </w:rPr>
        <w:t>2</w:t>
      </w:r>
      <w:r w:rsidRPr="00312F3E">
        <w:rPr>
          <w:sz w:val="24"/>
          <w:szCs w:val="24"/>
          <w:lang w:val="en-US"/>
        </w:rPr>
        <w:t>, 7.4% of patients had eGFR &lt; 60 mL/min/1.73 m</w:t>
      </w:r>
      <w:r w:rsidRPr="00312F3E">
        <w:rPr>
          <w:sz w:val="24"/>
          <w:szCs w:val="24"/>
          <w:vertAlign w:val="superscript"/>
          <w:lang w:val="en-US"/>
        </w:rPr>
        <w:t>2</w:t>
      </w:r>
      <w:r w:rsidRPr="00312F3E">
        <w:rPr>
          <w:sz w:val="24"/>
          <w:szCs w:val="24"/>
          <w:lang w:val="en-US"/>
        </w:rPr>
        <w:t>, and 30.3% of patients had micro- or macroalbuminuria (UACR ≥ 30 to ≤ 300 mg/g or &gt; 300 mg/g, respectively).</w:t>
      </w:r>
    </w:p>
    <w:p w14:paraId="576E1AC4" w14:textId="77777777" w:rsidR="0029430D" w:rsidRPr="00312F3E" w:rsidRDefault="0029430D" w:rsidP="00312F3E">
      <w:pPr>
        <w:ind w:left="851"/>
        <w:rPr>
          <w:sz w:val="24"/>
          <w:szCs w:val="24"/>
          <w:lang w:val="en-US"/>
        </w:rPr>
      </w:pPr>
    </w:p>
    <w:p w14:paraId="3605BD7A" w14:textId="77777777" w:rsidR="0029430D" w:rsidRPr="00312F3E" w:rsidRDefault="0029430D" w:rsidP="00312F3E">
      <w:pPr>
        <w:ind w:left="851"/>
        <w:rPr>
          <w:sz w:val="24"/>
          <w:szCs w:val="24"/>
          <w:lang w:val="en-US"/>
        </w:rPr>
      </w:pPr>
      <w:r w:rsidRPr="00312F3E">
        <w:rPr>
          <w:sz w:val="24"/>
          <w:szCs w:val="24"/>
          <w:lang w:val="en-US"/>
        </w:rPr>
        <w:t>Most patients (98%) used one or more diabetic medicinal products at baseline, including metformin (82%), insulin (41%) and sulfonylurea (43%).</w:t>
      </w:r>
    </w:p>
    <w:p w14:paraId="1542B6DB" w14:textId="77777777" w:rsidR="0029430D" w:rsidRPr="00312F3E" w:rsidRDefault="0029430D" w:rsidP="00312F3E">
      <w:pPr>
        <w:ind w:left="851"/>
        <w:rPr>
          <w:sz w:val="24"/>
          <w:szCs w:val="24"/>
          <w:lang w:val="en-US"/>
        </w:rPr>
      </w:pPr>
    </w:p>
    <w:p w14:paraId="3B6DB89D" w14:textId="77777777" w:rsidR="0029430D" w:rsidRPr="00312F3E" w:rsidRDefault="0029430D" w:rsidP="00312F3E">
      <w:pPr>
        <w:ind w:left="851"/>
        <w:rPr>
          <w:sz w:val="24"/>
          <w:szCs w:val="24"/>
          <w:lang w:val="en-US"/>
        </w:rPr>
      </w:pPr>
      <w:r w:rsidRPr="00312F3E">
        <w:rPr>
          <w:sz w:val="24"/>
          <w:szCs w:val="24"/>
          <w:lang w:val="en-US"/>
        </w:rPr>
        <w:t xml:space="preserve">The primary endpoints were time to first event of the composite of cardiovascular death, myocardial infarction or </w:t>
      </w:r>
      <w:proofErr w:type="spellStart"/>
      <w:r w:rsidRPr="00312F3E">
        <w:rPr>
          <w:sz w:val="24"/>
          <w:szCs w:val="24"/>
          <w:lang w:val="en-US"/>
        </w:rPr>
        <w:t>ischaemic</w:t>
      </w:r>
      <w:proofErr w:type="spellEnd"/>
      <w:r w:rsidRPr="00312F3E">
        <w:rPr>
          <w:sz w:val="24"/>
          <w:szCs w:val="24"/>
          <w:lang w:val="en-US"/>
        </w:rPr>
        <w:t xml:space="preserve"> stroke (MACE) and time to first event of the composite of </w:t>
      </w:r>
      <w:proofErr w:type="spellStart"/>
      <w:r w:rsidRPr="00312F3E">
        <w:rPr>
          <w:sz w:val="24"/>
          <w:szCs w:val="24"/>
          <w:lang w:val="en-US"/>
        </w:rPr>
        <w:t>hospitalisation</w:t>
      </w:r>
      <w:proofErr w:type="spellEnd"/>
      <w:r w:rsidRPr="00312F3E">
        <w:rPr>
          <w:sz w:val="24"/>
          <w:szCs w:val="24"/>
          <w:lang w:val="en-US"/>
        </w:rPr>
        <w:t xml:space="preserve"> for heart failure or cardiovascular death. The secondary endpoints were a renal composite endpoint and all-cause mortality.</w:t>
      </w:r>
    </w:p>
    <w:p w14:paraId="7B503CB1" w14:textId="77777777" w:rsidR="0029430D" w:rsidRPr="00312F3E" w:rsidRDefault="0029430D" w:rsidP="00312F3E">
      <w:pPr>
        <w:ind w:left="851"/>
        <w:rPr>
          <w:sz w:val="24"/>
          <w:szCs w:val="24"/>
          <w:lang w:val="en-US"/>
        </w:rPr>
      </w:pPr>
    </w:p>
    <w:p w14:paraId="50355473" w14:textId="77777777" w:rsidR="0029430D" w:rsidRPr="00312F3E" w:rsidRDefault="0029430D" w:rsidP="00312F3E">
      <w:pPr>
        <w:ind w:left="851"/>
        <w:rPr>
          <w:i/>
          <w:iCs/>
          <w:sz w:val="24"/>
          <w:szCs w:val="24"/>
          <w:u w:val="single"/>
          <w:lang w:val="en-US"/>
        </w:rPr>
      </w:pPr>
      <w:r w:rsidRPr="00312F3E">
        <w:rPr>
          <w:i/>
          <w:iCs/>
          <w:sz w:val="24"/>
          <w:szCs w:val="24"/>
          <w:u w:val="single"/>
          <w:lang w:val="en-US"/>
        </w:rPr>
        <w:t>Major adverse cardiovascular events</w:t>
      </w:r>
    </w:p>
    <w:p w14:paraId="28F5AD40" w14:textId="77777777" w:rsidR="0029430D" w:rsidRPr="00312F3E" w:rsidRDefault="0029430D" w:rsidP="00312F3E">
      <w:pPr>
        <w:ind w:left="851"/>
        <w:rPr>
          <w:sz w:val="24"/>
          <w:szCs w:val="24"/>
          <w:lang w:val="en-US"/>
        </w:rPr>
      </w:pPr>
      <w:r w:rsidRPr="00312F3E">
        <w:rPr>
          <w:sz w:val="24"/>
          <w:szCs w:val="24"/>
          <w:lang w:val="en-US"/>
        </w:rPr>
        <w:t xml:space="preserve">Dapagliflozin 10 mg demonstrated non-inferiority versus placebo for the composite of cardiovascular death, myocardial infarction or </w:t>
      </w:r>
      <w:proofErr w:type="spellStart"/>
      <w:r w:rsidRPr="00312F3E">
        <w:rPr>
          <w:sz w:val="24"/>
          <w:szCs w:val="24"/>
          <w:lang w:val="en-US"/>
        </w:rPr>
        <w:t>ischaemic</w:t>
      </w:r>
      <w:proofErr w:type="spellEnd"/>
      <w:r w:rsidRPr="00312F3E">
        <w:rPr>
          <w:sz w:val="24"/>
          <w:szCs w:val="24"/>
          <w:lang w:val="en-US"/>
        </w:rPr>
        <w:t xml:space="preserve"> stroke (one-sided p &lt; 0.001).</w:t>
      </w:r>
    </w:p>
    <w:p w14:paraId="7404322F" w14:textId="77777777" w:rsidR="0029430D" w:rsidRPr="00312F3E" w:rsidRDefault="0029430D" w:rsidP="00312F3E">
      <w:pPr>
        <w:ind w:left="851"/>
        <w:rPr>
          <w:sz w:val="24"/>
          <w:szCs w:val="24"/>
          <w:lang w:val="en-US"/>
        </w:rPr>
      </w:pPr>
    </w:p>
    <w:p w14:paraId="60062F48" w14:textId="77777777" w:rsidR="0029430D" w:rsidRPr="00312F3E" w:rsidRDefault="0029430D" w:rsidP="00312F3E">
      <w:pPr>
        <w:ind w:left="851"/>
        <w:rPr>
          <w:i/>
          <w:iCs/>
          <w:sz w:val="24"/>
          <w:szCs w:val="24"/>
          <w:lang w:val="en-US"/>
        </w:rPr>
      </w:pPr>
      <w:r w:rsidRPr="00312F3E">
        <w:rPr>
          <w:i/>
          <w:iCs/>
          <w:sz w:val="24"/>
          <w:szCs w:val="24"/>
          <w:lang w:val="en-US"/>
        </w:rPr>
        <w:t>Heart failure or cardiovascular death</w:t>
      </w:r>
    </w:p>
    <w:p w14:paraId="6850C0E2" w14:textId="77777777" w:rsidR="0029430D" w:rsidRPr="00312F3E" w:rsidRDefault="0029430D" w:rsidP="00312F3E">
      <w:pPr>
        <w:ind w:left="851"/>
        <w:rPr>
          <w:sz w:val="24"/>
          <w:szCs w:val="24"/>
          <w:lang w:val="en-US"/>
        </w:rPr>
      </w:pPr>
      <w:r w:rsidRPr="00312F3E">
        <w:rPr>
          <w:sz w:val="24"/>
          <w:szCs w:val="24"/>
          <w:lang w:val="en-US"/>
        </w:rPr>
        <w:t xml:space="preserve">Dapagliflozin 10 mg demonstrated superiority versus placebo in preventing the composite of </w:t>
      </w:r>
      <w:proofErr w:type="spellStart"/>
      <w:r w:rsidRPr="00312F3E">
        <w:rPr>
          <w:sz w:val="24"/>
          <w:szCs w:val="24"/>
          <w:lang w:val="en-US"/>
        </w:rPr>
        <w:t>hospitalisation</w:t>
      </w:r>
      <w:proofErr w:type="spellEnd"/>
      <w:r w:rsidRPr="00312F3E">
        <w:rPr>
          <w:sz w:val="24"/>
          <w:szCs w:val="24"/>
          <w:lang w:val="en-US"/>
        </w:rPr>
        <w:t xml:space="preserve"> for heart failure or cardiovascular death (Figure 1). The difference in treatment effect was driven by </w:t>
      </w:r>
      <w:proofErr w:type="spellStart"/>
      <w:r w:rsidRPr="00312F3E">
        <w:rPr>
          <w:sz w:val="24"/>
          <w:szCs w:val="24"/>
          <w:lang w:val="en-US"/>
        </w:rPr>
        <w:t>hospitalisation</w:t>
      </w:r>
      <w:proofErr w:type="spellEnd"/>
      <w:r w:rsidRPr="00312F3E">
        <w:rPr>
          <w:sz w:val="24"/>
          <w:szCs w:val="24"/>
          <w:lang w:val="en-US"/>
        </w:rPr>
        <w:t xml:space="preserve"> for heart failure, with no difference in cardiovascular death (Figure 2).</w:t>
      </w:r>
    </w:p>
    <w:p w14:paraId="7D04953C" w14:textId="77777777" w:rsidR="0029430D" w:rsidRPr="00312F3E" w:rsidRDefault="0029430D" w:rsidP="00312F3E">
      <w:pPr>
        <w:ind w:left="851"/>
        <w:rPr>
          <w:sz w:val="24"/>
          <w:szCs w:val="24"/>
          <w:lang w:val="en-US"/>
        </w:rPr>
      </w:pPr>
    </w:p>
    <w:p w14:paraId="33DE17A8" w14:textId="77777777" w:rsidR="0029430D" w:rsidRPr="00312F3E" w:rsidRDefault="0029430D" w:rsidP="00312F3E">
      <w:pPr>
        <w:ind w:left="851"/>
        <w:rPr>
          <w:sz w:val="24"/>
          <w:szCs w:val="24"/>
          <w:lang w:val="en-US"/>
        </w:rPr>
      </w:pPr>
      <w:r w:rsidRPr="00312F3E">
        <w:rPr>
          <w:sz w:val="24"/>
          <w:szCs w:val="24"/>
          <w:lang w:val="en-US"/>
        </w:rPr>
        <w:t>The treatment benefit of dapagliflozin over placebo was observed both in patients with and without established cardiovascular disease, with and without heart failure at baseline, and was consistent across key subgroups, including age, gender, renal function (eGFR) and region.</w:t>
      </w:r>
    </w:p>
    <w:p w14:paraId="6A3E616B" w14:textId="77777777" w:rsidR="0029430D" w:rsidRPr="00312F3E" w:rsidRDefault="0029430D" w:rsidP="0029430D">
      <w:pPr>
        <w:rPr>
          <w:sz w:val="24"/>
          <w:szCs w:val="24"/>
          <w:lang w:val="en-US"/>
        </w:rPr>
      </w:pPr>
    </w:p>
    <w:p w14:paraId="762C3A75" w14:textId="315433A7"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6A7320">
        <w:rPr>
          <w:b/>
          <w:bCs/>
          <w:i w:val="0"/>
          <w:iCs w:val="0"/>
          <w:noProof/>
          <w:color w:val="auto"/>
          <w:sz w:val="24"/>
          <w:szCs w:val="24"/>
        </w:rPr>
        <w:t>1</w:t>
      </w:r>
      <w:r w:rsidRPr="00312F3E">
        <w:rPr>
          <w:b/>
          <w:bCs/>
          <w:i w:val="0"/>
          <w:iCs w:val="0"/>
          <w:color w:val="auto"/>
          <w:sz w:val="24"/>
          <w:szCs w:val="24"/>
        </w:rPr>
        <w:fldChar w:fldCharType="end"/>
      </w:r>
      <w:r w:rsidRPr="00312F3E">
        <w:rPr>
          <w:b/>
          <w:bCs/>
          <w:i w:val="0"/>
          <w:iCs w:val="0"/>
          <w:color w:val="auto"/>
          <w:sz w:val="24"/>
          <w:szCs w:val="24"/>
        </w:rPr>
        <w:t>: Time to first occurrence of hospitalisation for heart failure or cardiovascular death</w:t>
      </w:r>
    </w:p>
    <w:p w14:paraId="19CB8C9F" w14:textId="13A26B07" w:rsidR="0029430D" w:rsidRPr="00312F3E" w:rsidRDefault="0029430D" w:rsidP="0029430D">
      <w:pPr>
        <w:rPr>
          <w:sz w:val="24"/>
          <w:szCs w:val="24"/>
        </w:rPr>
      </w:pPr>
      <w:r w:rsidRPr="00312F3E">
        <w:rPr>
          <w:noProof/>
          <w:sz w:val="24"/>
          <w:szCs w:val="24"/>
        </w:rPr>
        <w:drawing>
          <wp:inline distT="0" distB="0" distL="0" distR="0" wp14:anchorId="57A76BEC" wp14:editId="7E68C033">
            <wp:extent cx="5760720" cy="3992880"/>
            <wp:effectExtent l="0" t="0" r="0" b="7620"/>
            <wp:docPr id="9" name="Billede 9" descr="A graph of a number of potato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number of potato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92880"/>
                    </a:xfrm>
                    <a:prstGeom prst="rect">
                      <a:avLst/>
                    </a:prstGeom>
                    <a:noFill/>
                    <a:ln>
                      <a:noFill/>
                    </a:ln>
                  </pic:spPr>
                </pic:pic>
              </a:graphicData>
            </a:graphic>
          </wp:inline>
        </w:drawing>
      </w:r>
    </w:p>
    <w:p w14:paraId="30DE7BD1" w14:textId="77777777" w:rsidR="0029430D" w:rsidRPr="00312F3E" w:rsidRDefault="0029430D" w:rsidP="0029430D">
      <w:pPr>
        <w:rPr>
          <w:sz w:val="24"/>
          <w:szCs w:val="24"/>
        </w:rPr>
      </w:pPr>
    </w:p>
    <w:p w14:paraId="6240C269" w14:textId="77777777" w:rsidR="0029430D" w:rsidRPr="00312F3E" w:rsidRDefault="0029430D" w:rsidP="00312F3E">
      <w:pPr>
        <w:ind w:left="851"/>
        <w:rPr>
          <w:sz w:val="24"/>
          <w:szCs w:val="24"/>
          <w:lang w:val="en-US"/>
        </w:rPr>
      </w:pPr>
      <w:r w:rsidRPr="00312F3E">
        <w:rPr>
          <w:sz w:val="24"/>
          <w:szCs w:val="24"/>
          <w:lang w:val="en-US"/>
        </w:rPr>
        <w:t>Results on primary and secondary endpoints are displayed in Figure 2. Superiority of dapagliflozin over placebo was not demonstrated for MACE (p=0.172). The renal composite endpoint and all-cause mortality were therefore not tested as part of the confirmatory testing procedure.</w:t>
      </w:r>
    </w:p>
    <w:p w14:paraId="691A964C" w14:textId="77777777" w:rsidR="0029430D" w:rsidRPr="00312F3E" w:rsidRDefault="0029430D" w:rsidP="0029430D">
      <w:pPr>
        <w:tabs>
          <w:tab w:val="left" w:pos="1304"/>
        </w:tabs>
        <w:rPr>
          <w:sz w:val="24"/>
          <w:szCs w:val="24"/>
          <w:lang w:val="en-US"/>
        </w:rPr>
      </w:pPr>
    </w:p>
    <w:p w14:paraId="3C04CF88" w14:textId="391B52C3" w:rsidR="0029430D" w:rsidRPr="00312F3E" w:rsidRDefault="0029430D" w:rsidP="0029430D">
      <w:pPr>
        <w:pStyle w:val="Billedtekst"/>
        <w:keepNext/>
        <w:rPr>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6A7320">
        <w:rPr>
          <w:b/>
          <w:bCs/>
          <w:i w:val="0"/>
          <w:iCs w:val="0"/>
          <w:noProof/>
          <w:color w:val="auto"/>
          <w:sz w:val="24"/>
          <w:szCs w:val="24"/>
        </w:rPr>
        <w:t>2</w:t>
      </w:r>
      <w:r w:rsidRPr="00312F3E">
        <w:rPr>
          <w:b/>
          <w:bCs/>
          <w:i w:val="0"/>
          <w:iCs w:val="0"/>
          <w:color w:val="auto"/>
          <w:sz w:val="24"/>
          <w:szCs w:val="24"/>
        </w:rPr>
        <w:fldChar w:fldCharType="end"/>
      </w:r>
      <w:r w:rsidRPr="00312F3E">
        <w:rPr>
          <w:b/>
          <w:bCs/>
          <w:i w:val="0"/>
          <w:iCs w:val="0"/>
          <w:color w:val="auto"/>
          <w:sz w:val="24"/>
          <w:szCs w:val="24"/>
          <w:lang w:eastAsia="en-GB"/>
        </w:rPr>
        <w:t xml:space="preserve"> </w:t>
      </w:r>
      <w:r w:rsidRPr="00312F3E">
        <w:rPr>
          <w:b/>
          <w:bCs/>
          <w:i w:val="0"/>
          <w:iCs w:val="0"/>
          <w:color w:val="auto"/>
          <w:sz w:val="24"/>
          <w:szCs w:val="24"/>
        </w:rPr>
        <w:t>Treatment effects for the primary composite endpoints and their components, and the secondary endpoints and components</w:t>
      </w:r>
    </w:p>
    <w:p w14:paraId="1F9A59CB" w14:textId="39FB3B63" w:rsidR="0029430D" w:rsidRPr="00312F3E" w:rsidRDefault="0029430D" w:rsidP="0029430D">
      <w:pPr>
        <w:tabs>
          <w:tab w:val="left" w:pos="1304"/>
        </w:tabs>
        <w:ind w:left="-851"/>
        <w:rPr>
          <w:sz w:val="24"/>
          <w:szCs w:val="24"/>
        </w:rPr>
      </w:pPr>
      <w:r w:rsidRPr="00312F3E">
        <w:rPr>
          <w:noProof/>
          <w:sz w:val="24"/>
          <w:szCs w:val="24"/>
        </w:rPr>
        <w:drawing>
          <wp:inline distT="0" distB="0" distL="0" distR="0" wp14:anchorId="4CE40E55" wp14:editId="110CFAB9">
            <wp:extent cx="6835140" cy="3840480"/>
            <wp:effectExtent l="0" t="0" r="3810" b="7620"/>
            <wp:docPr id="8" name="Billede 8" descr="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aph with numbers and line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5140" cy="3840480"/>
                    </a:xfrm>
                    <a:prstGeom prst="rect">
                      <a:avLst/>
                    </a:prstGeom>
                    <a:noFill/>
                    <a:ln>
                      <a:noFill/>
                    </a:ln>
                  </pic:spPr>
                </pic:pic>
              </a:graphicData>
            </a:graphic>
          </wp:inline>
        </w:drawing>
      </w:r>
    </w:p>
    <w:p w14:paraId="7F737BDC" w14:textId="77777777" w:rsidR="0029430D" w:rsidRPr="00312F3E" w:rsidRDefault="0029430D" w:rsidP="00B14B46">
      <w:pPr>
        <w:ind w:left="851"/>
        <w:rPr>
          <w:sz w:val="24"/>
          <w:szCs w:val="24"/>
          <w:lang w:val="en-US"/>
        </w:rPr>
      </w:pPr>
      <w:r w:rsidRPr="00312F3E">
        <w:rPr>
          <w:sz w:val="24"/>
          <w:szCs w:val="24"/>
          <w:lang w:val="en-US"/>
        </w:rPr>
        <w:t>Renal composite endpoint defined as: sustained confirmed ≥ 40% decrease in eGFR to eGFR &lt;60 mL/min/1.73 m</w:t>
      </w:r>
      <w:r w:rsidRPr="00312F3E">
        <w:rPr>
          <w:sz w:val="24"/>
          <w:szCs w:val="24"/>
          <w:vertAlign w:val="superscript"/>
          <w:lang w:val="en-US"/>
        </w:rPr>
        <w:t>2</w:t>
      </w:r>
      <w:r w:rsidRPr="00312F3E">
        <w:rPr>
          <w:sz w:val="24"/>
          <w:szCs w:val="24"/>
          <w:lang w:val="en-US"/>
        </w:rPr>
        <w:t xml:space="preserve"> and/or end-stage kidney disease (dialysis ≥ 90 days or kidney transplantation, sustained confirmed eGFR &lt; 15 mL/min/1.73 m</w:t>
      </w:r>
      <w:r w:rsidRPr="00312F3E">
        <w:rPr>
          <w:sz w:val="24"/>
          <w:szCs w:val="24"/>
          <w:vertAlign w:val="superscript"/>
          <w:lang w:val="en-US"/>
        </w:rPr>
        <w:t>2</w:t>
      </w:r>
      <w:r w:rsidRPr="00312F3E">
        <w:rPr>
          <w:sz w:val="24"/>
          <w:szCs w:val="24"/>
          <w:lang w:val="en-US"/>
        </w:rPr>
        <w:t xml:space="preserve">) and/or renal or cardiovascular death. p-values are two-sided. p-values for the secondary endpoints and for single components are nominal. Time to first event was </w:t>
      </w:r>
      <w:proofErr w:type="spellStart"/>
      <w:r w:rsidRPr="00312F3E">
        <w:rPr>
          <w:sz w:val="24"/>
          <w:szCs w:val="24"/>
          <w:lang w:val="en-US"/>
        </w:rPr>
        <w:t>analysed</w:t>
      </w:r>
      <w:proofErr w:type="spellEnd"/>
      <w:r w:rsidRPr="00312F3E">
        <w:rPr>
          <w:sz w:val="24"/>
          <w:szCs w:val="24"/>
          <w:lang w:val="en-US"/>
        </w:rPr>
        <w:t xml:space="preserve"> in a Cox proportional hazards model. The number of first events for the single components are the actual number of first events for each component and does not add up to the number of events in the composite endpoint.</w:t>
      </w:r>
    </w:p>
    <w:p w14:paraId="0C63B331" w14:textId="77777777" w:rsidR="0029430D" w:rsidRPr="00312F3E" w:rsidRDefault="0029430D" w:rsidP="00B14B46">
      <w:pPr>
        <w:ind w:left="851"/>
        <w:rPr>
          <w:sz w:val="24"/>
          <w:szCs w:val="24"/>
          <w:lang w:val="en-US"/>
        </w:rPr>
      </w:pPr>
      <w:r w:rsidRPr="00312F3E">
        <w:rPr>
          <w:sz w:val="24"/>
          <w:szCs w:val="24"/>
          <w:lang w:val="en-US"/>
        </w:rPr>
        <w:t>CI=confidence interval.</w:t>
      </w:r>
    </w:p>
    <w:p w14:paraId="67DE1379" w14:textId="77777777" w:rsidR="0029430D" w:rsidRPr="00312F3E" w:rsidRDefault="0029430D" w:rsidP="00B14B46">
      <w:pPr>
        <w:ind w:left="851"/>
        <w:rPr>
          <w:sz w:val="24"/>
          <w:szCs w:val="24"/>
          <w:lang w:val="en-US"/>
        </w:rPr>
      </w:pPr>
    </w:p>
    <w:p w14:paraId="4D9DFD65" w14:textId="77777777" w:rsidR="0029430D" w:rsidRPr="00312F3E" w:rsidRDefault="0029430D" w:rsidP="00312F3E">
      <w:pPr>
        <w:ind w:left="851"/>
        <w:rPr>
          <w:i/>
          <w:iCs/>
          <w:sz w:val="24"/>
          <w:szCs w:val="24"/>
          <w:lang w:val="en-US"/>
        </w:rPr>
      </w:pPr>
      <w:r w:rsidRPr="00312F3E">
        <w:rPr>
          <w:i/>
          <w:iCs/>
          <w:sz w:val="24"/>
          <w:szCs w:val="24"/>
          <w:lang w:val="en-US"/>
        </w:rPr>
        <w:t>Nephropathy</w:t>
      </w:r>
    </w:p>
    <w:p w14:paraId="410EEFDF" w14:textId="77777777" w:rsidR="0029430D" w:rsidRPr="00312F3E" w:rsidRDefault="0029430D" w:rsidP="00312F3E">
      <w:pPr>
        <w:ind w:left="851"/>
        <w:rPr>
          <w:sz w:val="24"/>
          <w:szCs w:val="24"/>
          <w:lang w:val="en-US"/>
        </w:rPr>
      </w:pPr>
      <w:r w:rsidRPr="00312F3E">
        <w:rPr>
          <w:sz w:val="24"/>
          <w:szCs w:val="24"/>
          <w:lang w:val="en-US"/>
        </w:rPr>
        <w:t>Dapagliflozin reduced the incidence of events of the composite of confirmed sustained eGFR decrease, end-stage kidney disease, renal or cardiovascular death. The difference between groups was driven by reductions in events of the renal components; sustained eGFR decrease, end-stage kidney disease and renal death (Figure 2).</w:t>
      </w:r>
    </w:p>
    <w:p w14:paraId="7515123A" w14:textId="77777777" w:rsidR="0029430D" w:rsidRPr="00312F3E" w:rsidRDefault="0029430D" w:rsidP="00312F3E">
      <w:pPr>
        <w:ind w:left="851"/>
        <w:rPr>
          <w:sz w:val="24"/>
          <w:szCs w:val="24"/>
          <w:lang w:val="en-US"/>
        </w:rPr>
      </w:pPr>
    </w:p>
    <w:p w14:paraId="44694191" w14:textId="77777777" w:rsidR="0029430D" w:rsidRPr="00312F3E" w:rsidRDefault="0029430D" w:rsidP="00312F3E">
      <w:pPr>
        <w:ind w:left="851"/>
        <w:rPr>
          <w:sz w:val="24"/>
          <w:szCs w:val="24"/>
          <w:lang w:val="en-US"/>
        </w:rPr>
      </w:pPr>
      <w:r w:rsidRPr="00312F3E">
        <w:rPr>
          <w:sz w:val="24"/>
          <w:szCs w:val="24"/>
          <w:lang w:val="en-US"/>
        </w:rPr>
        <w:t>The hazard ratio (HR) for time to nephropathy (sustained eGFR decrease, end-stage kidney disease and renal death) was 0.53 (95% CI 0.43, 0.66) for dapagliflozin versus placebo.</w:t>
      </w:r>
    </w:p>
    <w:p w14:paraId="15053351" w14:textId="77777777" w:rsidR="0029430D" w:rsidRPr="00312F3E" w:rsidRDefault="0029430D" w:rsidP="00312F3E">
      <w:pPr>
        <w:ind w:left="851"/>
        <w:rPr>
          <w:sz w:val="24"/>
          <w:szCs w:val="24"/>
          <w:lang w:val="en-US"/>
        </w:rPr>
      </w:pPr>
    </w:p>
    <w:p w14:paraId="088CCEE5" w14:textId="24245ECD" w:rsidR="0029430D" w:rsidRPr="00312F3E" w:rsidRDefault="0029430D" w:rsidP="00312F3E">
      <w:pPr>
        <w:ind w:left="851"/>
        <w:rPr>
          <w:sz w:val="24"/>
          <w:szCs w:val="24"/>
          <w:lang w:val="en-US"/>
        </w:rPr>
      </w:pPr>
      <w:r w:rsidRPr="00312F3E">
        <w:rPr>
          <w:sz w:val="24"/>
          <w:szCs w:val="24"/>
          <w:lang w:val="en-US"/>
        </w:rPr>
        <w:t>In addition, dapagliflozin reduced the new onset of sustained albuminuria (HR 0.79 [95% CI 0.72, 0.87]) and led to greater regression of macroalbuminuria (HR 1.82 [95% CI 1.51, 2.20])</w:t>
      </w:r>
      <w:r w:rsidR="00583F33">
        <w:rPr>
          <w:sz w:val="24"/>
          <w:szCs w:val="24"/>
          <w:lang w:val="en-US"/>
        </w:rPr>
        <w:t xml:space="preserve"> </w:t>
      </w:r>
      <w:r w:rsidRPr="00312F3E">
        <w:rPr>
          <w:sz w:val="24"/>
          <w:szCs w:val="24"/>
          <w:lang w:val="en-US"/>
        </w:rPr>
        <w:t>compared with placebo.</w:t>
      </w:r>
    </w:p>
    <w:p w14:paraId="1CE9D80C" w14:textId="77777777" w:rsidR="0029430D" w:rsidRPr="00312F3E" w:rsidRDefault="0029430D" w:rsidP="00312F3E">
      <w:pPr>
        <w:ind w:left="851"/>
        <w:rPr>
          <w:sz w:val="24"/>
          <w:szCs w:val="24"/>
          <w:lang w:val="en-US"/>
        </w:rPr>
      </w:pPr>
    </w:p>
    <w:p w14:paraId="52120852" w14:textId="77777777" w:rsidR="0029430D" w:rsidRPr="00312F3E" w:rsidRDefault="0029430D" w:rsidP="00312F3E">
      <w:pPr>
        <w:ind w:left="851"/>
        <w:rPr>
          <w:sz w:val="24"/>
          <w:szCs w:val="24"/>
          <w:u w:val="single"/>
          <w:lang w:val="en-US"/>
        </w:rPr>
      </w:pPr>
      <w:r w:rsidRPr="00312F3E">
        <w:rPr>
          <w:sz w:val="24"/>
          <w:szCs w:val="24"/>
          <w:u w:val="single"/>
          <w:lang w:val="en-US"/>
        </w:rPr>
        <w:t>Heart failure</w:t>
      </w:r>
    </w:p>
    <w:p w14:paraId="18D601F7" w14:textId="77777777" w:rsidR="0029430D" w:rsidRPr="00312F3E" w:rsidRDefault="0029430D" w:rsidP="00312F3E">
      <w:pPr>
        <w:ind w:left="851"/>
        <w:rPr>
          <w:sz w:val="24"/>
          <w:szCs w:val="24"/>
          <w:u w:val="single"/>
          <w:lang w:val="en-US"/>
        </w:rPr>
      </w:pPr>
    </w:p>
    <w:p w14:paraId="651621D7" w14:textId="77777777" w:rsidR="0029430D" w:rsidRPr="00312F3E" w:rsidRDefault="0029430D" w:rsidP="00312F3E">
      <w:pPr>
        <w:ind w:left="851"/>
        <w:rPr>
          <w:i/>
          <w:iCs/>
          <w:sz w:val="24"/>
          <w:szCs w:val="24"/>
          <w:u w:val="single"/>
          <w:lang w:val="en-US"/>
        </w:rPr>
      </w:pPr>
      <w:r w:rsidRPr="00312F3E">
        <w:rPr>
          <w:i/>
          <w:iCs/>
          <w:sz w:val="24"/>
          <w:szCs w:val="24"/>
          <w:u w:val="single"/>
          <w:lang w:val="en-US"/>
        </w:rPr>
        <w:t>DAPA-HF study: Heart failure with reduced ejection fraction (LVEF ≤ 40%)</w:t>
      </w:r>
    </w:p>
    <w:p w14:paraId="1D1D2F64" w14:textId="77777777" w:rsidR="0029430D" w:rsidRPr="00312F3E" w:rsidRDefault="0029430D" w:rsidP="00312F3E">
      <w:pPr>
        <w:ind w:left="851"/>
        <w:rPr>
          <w:sz w:val="24"/>
          <w:szCs w:val="24"/>
          <w:lang w:val="en-US"/>
        </w:rPr>
      </w:pPr>
      <w:r w:rsidRPr="00312F3E">
        <w:rPr>
          <w:sz w:val="24"/>
          <w:szCs w:val="24"/>
          <w:lang w:val="en-US"/>
        </w:rPr>
        <w:t xml:space="preserve">Dapagliflozin And Prevention of Adverse outcomes in Heart Failure (DAPA-HF)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double-blind, placebo-controlled study in patients with heart failure (New York Heart Association [NYHA] functional class II-IV) with reduced ejection fraction (left ventricular ejection fraction [LVEF] ≤ 40%) to determine the effect of dapagliflozin compared with placebo, when added to background standard of care therapy, on the incidence of cardiovascular death and worsening heart failure.</w:t>
      </w:r>
    </w:p>
    <w:p w14:paraId="03AFD398" w14:textId="77777777" w:rsidR="0029430D" w:rsidRPr="00312F3E" w:rsidRDefault="0029430D" w:rsidP="00312F3E">
      <w:pPr>
        <w:ind w:left="851"/>
        <w:rPr>
          <w:sz w:val="24"/>
          <w:szCs w:val="24"/>
          <w:lang w:val="en-US"/>
        </w:rPr>
      </w:pPr>
    </w:p>
    <w:p w14:paraId="0B550D8B" w14:textId="77777777" w:rsidR="0029430D" w:rsidRPr="00312F3E" w:rsidRDefault="0029430D" w:rsidP="00312F3E">
      <w:pPr>
        <w:ind w:left="851"/>
        <w:rPr>
          <w:sz w:val="24"/>
          <w:szCs w:val="24"/>
          <w:lang w:val="en-US"/>
        </w:rPr>
      </w:pPr>
      <w:r w:rsidRPr="00312F3E">
        <w:rPr>
          <w:sz w:val="24"/>
          <w:szCs w:val="24"/>
          <w:lang w:val="en-US"/>
        </w:rPr>
        <w:t xml:space="preserve">Of 4,744 patients, 2,373 were </w:t>
      </w:r>
      <w:proofErr w:type="spellStart"/>
      <w:r w:rsidRPr="00312F3E">
        <w:rPr>
          <w:sz w:val="24"/>
          <w:szCs w:val="24"/>
          <w:lang w:val="en-US"/>
        </w:rPr>
        <w:t>randomised</w:t>
      </w:r>
      <w:proofErr w:type="spellEnd"/>
      <w:r w:rsidRPr="00312F3E">
        <w:rPr>
          <w:sz w:val="24"/>
          <w:szCs w:val="24"/>
          <w:lang w:val="en-US"/>
        </w:rPr>
        <w:t xml:space="preserve"> to dapagliflozin 10 mg and 2,371 to placebo and followed for a median of 18 months. The mean age of the study population was 66 years, 77% were male.</w:t>
      </w:r>
    </w:p>
    <w:p w14:paraId="58F53E20" w14:textId="77777777" w:rsidR="0029430D" w:rsidRPr="00312F3E" w:rsidRDefault="0029430D" w:rsidP="00312F3E">
      <w:pPr>
        <w:ind w:left="851"/>
        <w:rPr>
          <w:sz w:val="24"/>
          <w:szCs w:val="24"/>
          <w:lang w:val="en-US"/>
        </w:rPr>
      </w:pPr>
    </w:p>
    <w:p w14:paraId="535D270B" w14:textId="77777777" w:rsidR="0029430D" w:rsidRPr="00312F3E" w:rsidRDefault="0029430D" w:rsidP="00312F3E">
      <w:pPr>
        <w:ind w:left="851"/>
        <w:rPr>
          <w:sz w:val="24"/>
          <w:szCs w:val="24"/>
          <w:lang w:val="en-US"/>
        </w:rPr>
      </w:pPr>
      <w:r w:rsidRPr="00312F3E">
        <w:rPr>
          <w:sz w:val="24"/>
          <w:szCs w:val="24"/>
          <w:lang w:val="en-US"/>
        </w:rPr>
        <w:t xml:space="preserve">At baseline, 67.5% of the patients were classified as NYHA class II, 31.6% class III and 0.9% class IV, median LVEF was 32%, 56% of the heart failures were </w:t>
      </w:r>
      <w:proofErr w:type="spellStart"/>
      <w:r w:rsidRPr="00312F3E">
        <w:rPr>
          <w:sz w:val="24"/>
          <w:szCs w:val="24"/>
          <w:lang w:val="en-US"/>
        </w:rPr>
        <w:t>ischaemic</w:t>
      </w:r>
      <w:proofErr w:type="spellEnd"/>
      <w:r w:rsidRPr="00312F3E">
        <w:rPr>
          <w:sz w:val="24"/>
          <w:szCs w:val="24"/>
          <w:lang w:val="en-US"/>
        </w:rPr>
        <w:t>, 36% were non-</w:t>
      </w:r>
      <w:proofErr w:type="spellStart"/>
      <w:r w:rsidRPr="00312F3E">
        <w:rPr>
          <w:sz w:val="24"/>
          <w:szCs w:val="24"/>
          <w:lang w:val="en-US"/>
        </w:rPr>
        <w:t>ischaemic</w:t>
      </w:r>
      <w:proofErr w:type="spellEnd"/>
      <w:r w:rsidRPr="00312F3E">
        <w:rPr>
          <w:sz w:val="24"/>
          <w:szCs w:val="24"/>
          <w:lang w:val="en-US"/>
        </w:rPr>
        <w:t xml:space="preserve"> and 8% were of unknown </w:t>
      </w:r>
      <w:proofErr w:type="spellStart"/>
      <w:r w:rsidRPr="00312F3E">
        <w:rPr>
          <w:sz w:val="24"/>
          <w:szCs w:val="24"/>
          <w:lang w:val="en-US"/>
        </w:rPr>
        <w:t>aetiology</w:t>
      </w:r>
      <w:proofErr w:type="spellEnd"/>
      <w:r w:rsidRPr="00312F3E">
        <w:rPr>
          <w:sz w:val="24"/>
          <w:szCs w:val="24"/>
          <w:lang w:val="en-US"/>
        </w:rPr>
        <w:t xml:space="preserve">. In each treatment group, 42% of the patients had a history of type 2 diabetes mellitus, and an additional 3% of the patients in each group were classified as having type 2 diabetes mellitus based on a HbA1c ≥ 6.5% at both enrolment and </w:t>
      </w:r>
      <w:proofErr w:type="spellStart"/>
      <w:r w:rsidRPr="00312F3E">
        <w:rPr>
          <w:sz w:val="24"/>
          <w:szCs w:val="24"/>
          <w:lang w:val="en-US"/>
        </w:rPr>
        <w:t>randomisation</w:t>
      </w:r>
      <w:proofErr w:type="spellEnd"/>
      <w:r w:rsidRPr="00312F3E">
        <w:rPr>
          <w:sz w:val="24"/>
          <w:szCs w:val="24"/>
          <w:lang w:val="en-US"/>
        </w:rPr>
        <w:t>. Patients were on standard of care therapy; 94% of patients were treated with ACE-I, ARB or angiotensin receptor-</w:t>
      </w:r>
      <w:proofErr w:type="spellStart"/>
      <w:r w:rsidRPr="00312F3E">
        <w:rPr>
          <w:sz w:val="24"/>
          <w:szCs w:val="24"/>
          <w:lang w:val="en-US"/>
        </w:rPr>
        <w:t>neprilysin</w:t>
      </w:r>
      <w:proofErr w:type="spellEnd"/>
      <w:r w:rsidRPr="00312F3E">
        <w:rPr>
          <w:sz w:val="24"/>
          <w:szCs w:val="24"/>
          <w:lang w:val="en-US"/>
        </w:rPr>
        <w:t xml:space="preserve"> inhibitor (ARNI, 11%), 96% with beta-blocker, 71% with mineralocorticoid receptor antagonist (MRA), 93% with diuretic and 26% had an implantable device (with defibrillator function).</w:t>
      </w:r>
    </w:p>
    <w:p w14:paraId="37AFAD89" w14:textId="77777777" w:rsidR="0029430D" w:rsidRPr="00312F3E" w:rsidRDefault="0029430D" w:rsidP="00312F3E">
      <w:pPr>
        <w:ind w:left="851"/>
        <w:rPr>
          <w:sz w:val="24"/>
          <w:szCs w:val="24"/>
          <w:lang w:val="en-US"/>
        </w:rPr>
      </w:pPr>
    </w:p>
    <w:p w14:paraId="69A120C2" w14:textId="77777777" w:rsidR="0029430D" w:rsidRPr="00312F3E" w:rsidRDefault="0029430D" w:rsidP="00312F3E">
      <w:pPr>
        <w:ind w:left="851"/>
        <w:rPr>
          <w:sz w:val="24"/>
          <w:szCs w:val="24"/>
          <w:lang w:val="en-US"/>
        </w:rPr>
      </w:pPr>
      <w:r w:rsidRPr="00312F3E">
        <w:rPr>
          <w:sz w:val="24"/>
          <w:szCs w:val="24"/>
          <w:lang w:val="en-US"/>
        </w:rPr>
        <w:t>Patients with eGFR ≥ 30 mL/min/1.73 m</w:t>
      </w:r>
      <w:r w:rsidRPr="00312F3E">
        <w:rPr>
          <w:sz w:val="24"/>
          <w:szCs w:val="24"/>
          <w:vertAlign w:val="superscript"/>
          <w:lang w:val="en-US"/>
        </w:rPr>
        <w:t>2</w:t>
      </w:r>
      <w:r w:rsidRPr="00312F3E">
        <w:rPr>
          <w:sz w:val="24"/>
          <w:szCs w:val="24"/>
          <w:lang w:val="en-US"/>
        </w:rPr>
        <w:t xml:space="preserve"> at enrolment were included in the study. The mean eGFR was 66 mL/min/1.73 m</w:t>
      </w:r>
      <w:r w:rsidRPr="00312F3E">
        <w:rPr>
          <w:sz w:val="24"/>
          <w:szCs w:val="24"/>
          <w:vertAlign w:val="superscript"/>
          <w:lang w:val="en-US"/>
        </w:rPr>
        <w:t>2</w:t>
      </w:r>
      <w:r w:rsidRPr="00312F3E">
        <w:rPr>
          <w:sz w:val="24"/>
          <w:szCs w:val="24"/>
          <w:lang w:val="en-US"/>
        </w:rPr>
        <w:t>, 41% of patients had eGFR &lt; 60mL/min/1.73 m</w:t>
      </w:r>
      <w:r w:rsidRPr="00312F3E">
        <w:rPr>
          <w:sz w:val="24"/>
          <w:szCs w:val="24"/>
          <w:vertAlign w:val="superscript"/>
          <w:lang w:val="en-US"/>
        </w:rPr>
        <w:t>2</w:t>
      </w:r>
      <w:r w:rsidRPr="00312F3E">
        <w:rPr>
          <w:sz w:val="24"/>
          <w:szCs w:val="24"/>
          <w:lang w:val="en-US"/>
        </w:rPr>
        <w:t xml:space="preserve"> and 15% had eGFR &lt; 45 mL/min/1.73 m</w:t>
      </w:r>
      <w:r w:rsidRPr="00312F3E">
        <w:rPr>
          <w:sz w:val="24"/>
          <w:szCs w:val="24"/>
          <w:vertAlign w:val="superscript"/>
          <w:lang w:val="en-US"/>
        </w:rPr>
        <w:t>2</w:t>
      </w:r>
      <w:r w:rsidRPr="00312F3E">
        <w:rPr>
          <w:sz w:val="24"/>
          <w:szCs w:val="24"/>
          <w:lang w:val="en-US"/>
        </w:rPr>
        <w:t>.</w:t>
      </w:r>
    </w:p>
    <w:p w14:paraId="657290F6" w14:textId="77777777" w:rsidR="0029430D" w:rsidRPr="00312F3E" w:rsidRDefault="0029430D" w:rsidP="00312F3E">
      <w:pPr>
        <w:ind w:left="851"/>
        <w:rPr>
          <w:sz w:val="24"/>
          <w:szCs w:val="24"/>
          <w:lang w:val="en-US"/>
        </w:rPr>
      </w:pPr>
    </w:p>
    <w:p w14:paraId="77300914" w14:textId="77777777" w:rsidR="0029430D" w:rsidRPr="00312F3E" w:rsidRDefault="0029430D" w:rsidP="00312F3E">
      <w:pPr>
        <w:ind w:left="851"/>
        <w:rPr>
          <w:i/>
          <w:iCs/>
          <w:sz w:val="24"/>
          <w:szCs w:val="24"/>
          <w:lang w:val="en-US"/>
        </w:rPr>
      </w:pPr>
      <w:r w:rsidRPr="00312F3E">
        <w:rPr>
          <w:i/>
          <w:iCs/>
          <w:sz w:val="24"/>
          <w:szCs w:val="24"/>
          <w:lang w:val="en-US"/>
        </w:rPr>
        <w:t>Cardiovascular death and worsening heart failure</w:t>
      </w:r>
    </w:p>
    <w:p w14:paraId="08D92AB2" w14:textId="77777777" w:rsidR="0029430D" w:rsidRPr="00312F3E" w:rsidRDefault="0029430D" w:rsidP="00312F3E">
      <w:pPr>
        <w:ind w:left="851"/>
        <w:rPr>
          <w:sz w:val="24"/>
          <w:szCs w:val="24"/>
          <w:lang w:val="en-US"/>
        </w:rPr>
      </w:pPr>
      <w:r w:rsidRPr="00312F3E">
        <w:rPr>
          <w:sz w:val="24"/>
          <w:szCs w:val="24"/>
          <w:lang w:val="en-US"/>
        </w:rPr>
        <w:t xml:space="preserve">Dapagliflozin was superior to placebo in preventing the primary composite endpoint of cardiovascular death,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 (HR 0.74 [95% CI 0.65, 0.85], p &lt; 0.0001). The effect was observed early and was sustained throughout the duration of the study (Figure 3).</w:t>
      </w:r>
    </w:p>
    <w:p w14:paraId="0E47ADD5" w14:textId="77777777" w:rsidR="0029430D" w:rsidRPr="00312F3E" w:rsidRDefault="0029430D" w:rsidP="00B14B46">
      <w:pPr>
        <w:ind w:left="851"/>
        <w:rPr>
          <w:sz w:val="24"/>
          <w:szCs w:val="24"/>
          <w:lang w:val="en-US"/>
        </w:rPr>
      </w:pPr>
    </w:p>
    <w:p w14:paraId="6EE47C93" w14:textId="7BCD3074"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6A7320">
        <w:rPr>
          <w:b/>
          <w:bCs/>
          <w:i w:val="0"/>
          <w:iCs w:val="0"/>
          <w:noProof/>
          <w:color w:val="auto"/>
          <w:sz w:val="24"/>
          <w:szCs w:val="24"/>
        </w:rPr>
        <w:t>3</w:t>
      </w:r>
      <w:r w:rsidRPr="00312F3E">
        <w:rPr>
          <w:b/>
          <w:bCs/>
          <w:i w:val="0"/>
          <w:iCs w:val="0"/>
          <w:color w:val="auto"/>
          <w:sz w:val="24"/>
          <w:szCs w:val="24"/>
        </w:rPr>
        <w:fldChar w:fldCharType="end"/>
      </w:r>
      <w:r w:rsidRPr="00312F3E">
        <w:rPr>
          <w:b/>
          <w:bCs/>
          <w:i w:val="0"/>
          <w:iCs w:val="0"/>
          <w:color w:val="auto"/>
          <w:sz w:val="24"/>
          <w:szCs w:val="24"/>
        </w:rPr>
        <w:t>: Time to first occurrence of the composite of cardiovascular death, hospitalisation for heart failure or urgent heart failure visit</w:t>
      </w:r>
    </w:p>
    <w:p w14:paraId="4E8BF615" w14:textId="4D9CEBD1" w:rsidR="0029430D" w:rsidRPr="00312F3E" w:rsidRDefault="0029430D" w:rsidP="0029430D">
      <w:pPr>
        <w:rPr>
          <w:sz w:val="24"/>
          <w:szCs w:val="24"/>
        </w:rPr>
      </w:pPr>
      <w:r w:rsidRPr="00312F3E">
        <w:rPr>
          <w:noProof/>
          <w:sz w:val="24"/>
          <w:szCs w:val="24"/>
        </w:rPr>
        <w:drawing>
          <wp:inline distT="0" distB="0" distL="0" distR="0" wp14:anchorId="6406B3AF" wp14:editId="6E4E5196">
            <wp:extent cx="5753100" cy="4396740"/>
            <wp:effectExtent l="0" t="0" r="0" b="3810"/>
            <wp:docPr id="7" name="Billede 7"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number of patient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396740"/>
                    </a:xfrm>
                    <a:prstGeom prst="rect">
                      <a:avLst/>
                    </a:prstGeom>
                    <a:noFill/>
                    <a:ln>
                      <a:noFill/>
                    </a:ln>
                  </pic:spPr>
                </pic:pic>
              </a:graphicData>
            </a:graphic>
          </wp:inline>
        </w:drawing>
      </w:r>
    </w:p>
    <w:p w14:paraId="3B6F119A" w14:textId="77777777" w:rsidR="00B14B46" w:rsidRDefault="00B14B46" w:rsidP="00B14B46">
      <w:pPr>
        <w:ind w:left="851"/>
        <w:rPr>
          <w:sz w:val="24"/>
          <w:szCs w:val="24"/>
          <w:lang w:val="en-US"/>
        </w:rPr>
      </w:pPr>
    </w:p>
    <w:p w14:paraId="6A6C6602" w14:textId="0937C436" w:rsidR="0029430D" w:rsidRPr="00312F3E" w:rsidRDefault="0029430D" w:rsidP="00B14B46">
      <w:pPr>
        <w:ind w:left="851"/>
        <w:rPr>
          <w:sz w:val="24"/>
          <w:szCs w:val="24"/>
          <w:lang w:val="en-US"/>
        </w:rPr>
      </w:pPr>
      <w:r w:rsidRPr="00312F3E">
        <w:rPr>
          <w:sz w:val="24"/>
          <w:szCs w:val="24"/>
          <w:lang w:val="en-US"/>
        </w:rPr>
        <w:t>An urgent heart failure visit was defined as an urgent, unplanned, assessment by a physician, e.g. in an Emergency Department, and requiring treatment for worsening heart failure (other than just an increase in oral diuretics).</w:t>
      </w:r>
    </w:p>
    <w:p w14:paraId="5B924785" w14:textId="77777777" w:rsidR="0029430D" w:rsidRPr="00312F3E" w:rsidRDefault="0029430D" w:rsidP="00B14B46">
      <w:pPr>
        <w:ind w:left="851"/>
        <w:rPr>
          <w:sz w:val="24"/>
          <w:szCs w:val="24"/>
          <w:lang w:val="en-US"/>
        </w:rPr>
      </w:pPr>
      <w:r w:rsidRPr="00312F3E">
        <w:rPr>
          <w:sz w:val="24"/>
          <w:szCs w:val="24"/>
          <w:lang w:val="en-US"/>
        </w:rPr>
        <w:t>Patients at risk is the number of patients at risk at the beginning of the period.</w:t>
      </w:r>
    </w:p>
    <w:p w14:paraId="15CEAFA2" w14:textId="77777777" w:rsidR="0029430D" w:rsidRPr="00312F3E" w:rsidRDefault="0029430D" w:rsidP="00B14B46">
      <w:pPr>
        <w:ind w:left="851"/>
        <w:rPr>
          <w:sz w:val="24"/>
          <w:szCs w:val="24"/>
          <w:lang w:val="en-US"/>
        </w:rPr>
      </w:pPr>
    </w:p>
    <w:p w14:paraId="3534860F" w14:textId="77777777" w:rsidR="0029430D" w:rsidRPr="00312F3E" w:rsidRDefault="0029430D" w:rsidP="00312F3E">
      <w:pPr>
        <w:ind w:left="851"/>
        <w:rPr>
          <w:sz w:val="24"/>
          <w:szCs w:val="24"/>
          <w:lang w:val="en-US"/>
        </w:rPr>
      </w:pPr>
      <w:r w:rsidRPr="00312F3E">
        <w:rPr>
          <w:sz w:val="24"/>
          <w:szCs w:val="24"/>
          <w:lang w:val="en-US"/>
        </w:rPr>
        <w:t>All three components of the primary composite endpoint individually contributed to the treatment effect (Figure 4). There were few urgent heart failure visits.</w:t>
      </w:r>
    </w:p>
    <w:p w14:paraId="3B07CDBC" w14:textId="77777777" w:rsidR="0029430D" w:rsidRPr="00312F3E" w:rsidRDefault="0029430D" w:rsidP="00312F3E">
      <w:pPr>
        <w:ind w:left="851"/>
        <w:rPr>
          <w:sz w:val="24"/>
          <w:szCs w:val="24"/>
          <w:lang w:val="en-US"/>
        </w:rPr>
      </w:pPr>
    </w:p>
    <w:p w14:paraId="356C686F" w14:textId="6D9D43B7"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6A7320">
        <w:rPr>
          <w:b/>
          <w:bCs/>
          <w:i w:val="0"/>
          <w:iCs w:val="0"/>
          <w:noProof/>
          <w:color w:val="auto"/>
          <w:sz w:val="24"/>
          <w:szCs w:val="24"/>
        </w:rPr>
        <w:t>4</w:t>
      </w:r>
      <w:r w:rsidRPr="00312F3E">
        <w:rPr>
          <w:b/>
          <w:bCs/>
          <w:i w:val="0"/>
          <w:iCs w:val="0"/>
          <w:color w:val="auto"/>
          <w:sz w:val="24"/>
          <w:szCs w:val="24"/>
        </w:rPr>
        <w:fldChar w:fldCharType="end"/>
      </w:r>
      <w:r w:rsidRPr="00312F3E">
        <w:rPr>
          <w:b/>
          <w:bCs/>
          <w:i w:val="0"/>
          <w:iCs w:val="0"/>
          <w:color w:val="auto"/>
          <w:sz w:val="24"/>
          <w:szCs w:val="24"/>
        </w:rPr>
        <w:t>: Treatment effects for the primary composite endpoint, its components and all-cause mortality</w:t>
      </w:r>
    </w:p>
    <w:p w14:paraId="1AEF3A93" w14:textId="2CEA3FB3" w:rsidR="0029430D" w:rsidRPr="00312F3E" w:rsidRDefault="0029430D" w:rsidP="0029430D">
      <w:pPr>
        <w:rPr>
          <w:sz w:val="24"/>
          <w:szCs w:val="24"/>
        </w:rPr>
      </w:pPr>
      <w:r w:rsidRPr="00312F3E">
        <w:rPr>
          <w:noProof/>
          <w:sz w:val="24"/>
          <w:szCs w:val="24"/>
        </w:rPr>
        <w:drawing>
          <wp:inline distT="0" distB="0" distL="0" distR="0" wp14:anchorId="7028347C" wp14:editId="618E589C">
            <wp:extent cx="5760720" cy="4465320"/>
            <wp:effectExtent l="0" t="0" r="0" b="0"/>
            <wp:docPr id="6" name="Billede 6" descr="A paper with number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aper with numbers and 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465320"/>
                    </a:xfrm>
                    <a:prstGeom prst="rect">
                      <a:avLst/>
                    </a:prstGeom>
                    <a:noFill/>
                    <a:ln>
                      <a:noFill/>
                    </a:ln>
                  </pic:spPr>
                </pic:pic>
              </a:graphicData>
            </a:graphic>
          </wp:inline>
        </w:drawing>
      </w:r>
    </w:p>
    <w:p w14:paraId="2327B9B7" w14:textId="77777777" w:rsidR="00B14B46" w:rsidRDefault="00B14B46" w:rsidP="0029430D">
      <w:pPr>
        <w:rPr>
          <w:sz w:val="24"/>
          <w:szCs w:val="24"/>
          <w:lang w:val="en-US"/>
        </w:rPr>
      </w:pPr>
    </w:p>
    <w:p w14:paraId="66A6E17B" w14:textId="2F030D73" w:rsidR="0029430D" w:rsidRPr="00312F3E" w:rsidRDefault="0029430D" w:rsidP="00B14B46">
      <w:pPr>
        <w:ind w:left="851"/>
        <w:rPr>
          <w:sz w:val="24"/>
          <w:szCs w:val="24"/>
          <w:lang w:val="en-US"/>
        </w:rPr>
      </w:pPr>
      <w:r w:rsidRPr="00312F3E">
        <w:rPr>
          <w:sz w:val="24"/>
          <w:szCs w:val="24"/>
          <w:lang w:val="en-US"/>
        </w:rPr>
        <w:t>An urgent heart failure visit was defined as an urgent, unplanned, assessment by a physician, e.g. in an Emergency Department, and requiring treatment for worsening heart failure (other than just an increase in oral diuretics).</w:t>
      </w:r>
    </w:p>
    <w:p w14:paraId="2B2521D9" w14:textId="77777777" w:rsidR="0029430D" w:rsidRPr="00312F3E" w:rsidRDefault="0029430D" w:rsidP="00B14B46">
      <w:pPr>
        <w:ind w:left="851"/>
        <w:rPr>
          <w:sz w:val="24"/>
          <w:szCs w:val="24"/>
          <w:lang w:val="en-US"/>
        </w:rPr>
      </w:pPr>
      <w:r w:rsidRPr="00312F3E">
        <w:rPr>
          <w:sz w:val="24"/>
          <w:szCs w:val="24"/>
          <w:lang w:val="en-US"/>
        </w:rPr>
        <w:t>The number of first events for the single components are the actual number of first events for each component and does not add up to the number of events in the composite endpoint.</w:t>
      </w:r>
    </w:p>
    <w:p w14:paraId="4A904677" w14:textId="77777777" w:rsidR="0029430D" w:rsidRPr="00312F3E" w:rsidRDefault="0029430D" w:rsidP="00B14B46">
      <w:pPr>
        <w:ind w:left="851"/>
        <w:rPr>
          <w:sz w:val="24"/>
          <w:szCs w:val="24"/>
          <w:lang w:val="en-US"/>
        </w:rPr>
      </w:pPr>
      <w:r w:rsidRPr="00312F3E">
        <w:rPr>
          <w:sz w:val="24"/>
          <w:szCs w:val="24"/>
          <w:lang w:val="en-US"/>
        </w:rPr>
        <w:t>Event rates are presented as the number of subjects with event per 100 patient years of follow-up.</w:t>
      </w:r>
    </w:p>
    <w:p w14:paraId="1BEC2BC2" w14:textId="77777777" w:rsidR="0029430D" w:rsidRPr="00312F3E" w:rsidRDefault="0029430D" w:rsidP="00B14B46">
      <w:pPr>
        <w:ind w:left="851"/>
        <w:rPr>
          <w:sz w:val="24"/>
          <w:szCs w:val="24"/>
          <w:lang w:val="en-US"/>
        </w:rPr>
      </w:pPr>
      <w:r w:rsidRPr="00312F3E">
        <w:rPr>
          <w:sz w:val="24"/>
          <w:szCs w:val="24"/>
          <w:lang w:val="en-US"/>
        </w:rPr>
        <w:t>p-values for single components and all-cause mortality are nominal.</w:t>
      </w:r>
    </w:p>
    <w:p w14:paraId="4E5773DD" w14:textId="77777777" w:rsidR="0029430D" w:rsidRPr="00312F3E" w:rsidRDefault="0029430D" w:rsidP="00B14B46">
      <w:pPr>
        <w:ind w:left="851"/>
        <w:rPr>
          <w:sz w:val="24"/>
          <w:szCs w:val="24"/>
          <w:lang w:val="en-US"/>
        </w:rPr>
      </w:pPr>
    </w:p>
    <w:p w14:paraId="0C04BC95" w14:textId="77777777" w:rsidR="0029430D" w:rsidRPr="00312F3E" w:rsidRDefault="0029430D" w:rsidP="00312F3E">
      <w:pPr>
        <w:ind w:left="851"/>
        <w:rPr>
          <w:sz w:val="24"/>
          <w:szCs w:val="24"/>
          <w:lang w:val="en-US"/>
        </w:rPr>
      </w:pPr>
      <w:r w:rsidRPr="00312F3E">
        <w:rPr>
          <w:sz w:val="24"/>
          <w:szCs w:val="24"/>
          <w:lang w:val="en-US"/>
        </w:rPr>
        <w:t xml:space="preserve">Dapagliflozin also reduced the total number of events of </w:t>
      </w:r>
      <w:proofErr w:type="spellStart"/>
      <w:r w:rsidRPr="00312F3E">
        <w:rPr>
          <w:sz w:val="24"/>
          <w:szCs w:val="24"/>
          <w:lang w:val="en-US"/>
        </w:rPr>
        <w:t>hospitalisations</w:t>
      </w:r>
      <w:proofErr w:type="spellEnd"/>
      <w:r w:rsidRPr="00312F3E">
        <w:rPr>
          <w:sz w:val="24"/>
          <w:szCs w:val="24"/>
          <w:lang w:val="en-US"/>
        </w:rPr>
        <w:t xml:space="preserve"> for heart failure (first and recurrent) and cardiovascular death; there were 567 events in the dapagliflozin group versus 742 events in the placebo group (Rate Ratio 0.75 [95% CI 0.65, 0.88]; p=0.0002).</w:t>
      </w:r>
    </w:p>
    <w:p w14:paraId="2CC344B2" w14:textId="77777777" w:rsidR="0029430D" w:rsidRPr="00312F3E" w:rsidRDefault="0029430D" w:rsidP="00312F3E">
      <w:pPr>
        <w:ind w:left="851"/>
        <w:rPr>
          <w:sz w:val="24"/>
          <w:szCs w:val="24"/>
          <w:lang w:val="en-US"/>
        </w:rPr>
      </w:pPr>
    </w:p>
    <w:p w14:paraId="5A2F2CB7" w14:textId="77777777" w:rsidR="0029430D" w:rsidRPr="00312F3E" w:rsidRDefault="0029430D" w:rsidP="00312F3E">
      <w:pPr>
        <w:ind w:left="851"/>
        <w:rPr>
          <w:sz w:val="24"/>
          <w:szCs w:val="24"/>
          <w:lang w:val="en-US"/>
        </w:rPr>
      </w:pPr>
      <w:r w:rsidRPr="00312F3E">
        <w:rPr>
          <w:sz w:val="24"/>
          <w:szCs w:val="24"/>
          <w:lang w:val="en-US"/>
        </w:rPr>
        <w:t>The treatment benefit of dapagliflozin was observed in heart failure patients both with type 2 diabetes mellitus and without diabetes. Dapagliflozin reduced the primary composite endpoint of incidence of cardiovascular death and worsening heart failure with a HR of 0.75 (95% CI 0.63, 0.90) in patients with diabetes and 0.73 (95% CI 0.60, 0.88) in patients without diabetes.</w:t>
      </w:r>
    </w:p>
    <w:p w14:paraId="5ED35054" w14:textId="77777777" w:rsidR="0029430D" w:rsidRPr="00312F3E" w:rsidRDefault="0029430D" w:rsidP="00312F3E">
      <w:pPr>
        <w:ind w:left="851"/>
        <w:rPr>
          <w:sz w:val="24"/>
          <w:szCs w:val="24"/>
          <w:lang w:val="en-US"/>
        </w:rPr>
      </w:pPr>
    </w:p>
    <w:p w14:paraId="6BBD9D46" w14:textId="77777777" w:rsidR="0029430D" w:rsidRPr="00312F3E" w:rsidRDefault="0029430D" w:rsidP="00312F3E">
      <w:pPr>
        <w:ind w:left="851"/>
        <w:rPr>
          <w:sz w:val="24"/>
          <w:szCs w:val="24"/>
          <w:lang w:val="en-US"/>
        </w:rPr>
      </w:pPr>
      <w:r w:rsidRPr="00312F3E">
        <w:rPr>
          <w:sz w:val="24"/>
          <w:szCs w:val="24"/>
          <w:lang w:val="en-US"/>
        </w:rPr>
        <w:t>The treatment benefit of dapagliflozin over placebo on the primary endpoint was also consistent across other key subgroups, including concomitant heart failure therapy, renal function (eGFR), age, gender, and region.</w:t>
      </w:r>
    </w:p>
    <w:p w14:paraId="644782CF" w14:textId="77777777" w:rsidR="0029430D" w:rsidRPr="00312F3E" w:rsidRDefault="0029430D" w:rsidP="00312F3E">
      <w:pPr>
        <w:ind w:left="851"/>
        <w:rPr>
          <w:sz w:val="24"/>
          <w:szCs w:val="24"/>
          <w:lang w:val="en-US"/>
        </w:rPr>
      </w:pPr>
    </w:p>
    <w:p w14:paraId="26722D1F" w14:textId="77777777" w:rsidR="0029430D" w:rsidRPr="00312F3E" w:rsidRDefault="0029430D" w:rsidP="00312F3E">
      <w:pPr>
        <w:ind w:left="851"/>
        <w:rPr>
          <w:i/>
          <w:iCs/>
          <w:sz w:val="24"/>
          <w:szCs w:val="24"/>
          <w:lang w:val="en-US"/>
        </w:rPr>
      </w:pPr>
      <w:r w:rsidRPr="00312F3E">
        <w:rPr>
          <w:i/>
          <w:iCs/>
          <w:sz w:val="24"/>
          <w:szCs w:val="24"/>
          <w:lang w:val="en-US"/>
        </w:rPr>
        <w:t>Patient reported outcome – heart failure symptoms</w:t>
      </w:r>
    </w:p>
    <w:p w14:paraId="0539C3A6" w14:textId="77777777" w:rsidR="0029430D" w:rsidRPr="00312F3E" w:rsidRDefault="0029430D" w:rsidP="00312F3E">
      <w:pPr>
        <w:ind w:left="851"/>
        <w:rPr>
          <w:sz w:val="24"/>
          <w:szCs w:val="24"/>
          <w:lang w:val="en-US"/>
        </w:rPr>
      </w:pPr>
      <w:r w:rsidRPr="00312F3E">
        <w:rPr>
          <w:sz w:val="24"/>
          <w:szCs w:val="24"/>
          <w:lang w:val="en-US"/>
        </w:rPr>
        <w:t xml:space="preserve">The treatment effect of dapagliflozin on heart failure symptoms was assessed by the Total Symptom Score of the Kansas City Cardiomyopathy Questionnaire (KCCQ-TSS), which quantifies heart failure symptom frequency and severity, including fatigue, peripheral oedema, </w:t>
      </w:r>
      <w:proofErr w:type="spellStart"/>
      <w:r w:rsidRPr="00312F3E">
        <w:rPr>
          <w:sz w:val="24"/>
          <w:szCs w:val="24"/>
          <w:lang w:val="en-US"/>
        </w:rPr>
        <w:t>dyspnoea</w:t>
      </w:r>
      <w:proofErr w:type="spellEnd"/>
      <w:r w:rsidRPr="00312F3E">
        <w:rPr>
          <w:sz w:val="24"/>
          <w:szCs w:val="24"/>
          <w:lang w:val="en-US"/>
        </w:rPr>
        <w:t xml:space="preserve"> and </w:t>
      </w:r>
      <w:proofErr w:type="spellStart"/>
      <w:r w:rsidRPr="00312F3E">
        <w:rPr>
          <w:sz w:val="24"/>
          <w:szCs w:val="24"/>
          <w:lang w:val="en-US"/>
        </w:rPr>
        <w:t>orthopnoea</w:t>
      </w:r>
      <w:proofErr w:type="spellEnd"/>
      <w:r w:rsidRPr="00312F3E">
        <w:rPr>
          <w:sz w:val="24"/>
          <w:szCs w:val="24"/>
          <w:lang w:val="en-US"/>
        </w:rPr>
        <w:t>. The score ranges from 0 to 100, with higher scores representing better health status.</w:t>
      </w:r>
    </w:p>
    <w:p w14:paraId="1413726D" w14:textId="77777777" w:rsidR="0029430D" w:rsidRPr="00312F3E" w:rsidRDefault="0029430D" w:rsidP="00312F3E">
      <w:pPr>
        <w:ind w:left="851"/>
        <w:rPr>
          <w:sz w:val="24"/>
          <w:szCs w:val="24"/>
          <w:lang w:val="en-US"/>
        </w:rPr>
      </w:pPr>
    </w:p>
    <w:p w14:paraId="49197F23" w14:textId="77777777" w:rsidR="0029430D" w:rsidRPr="00312F3E" w:rsidRDefault="0029430D" w:rsidP="00312F3E">
      <w:pPr>
        <w:ind w:left="851"/>
        <w:rPr>
          <w:sz w:val="24"/>
          <w:szCs w:val="24"/>
          <w:lang w:val="en-US"/>
        </w:rPr>
      </w:pPr>
      <w:r w:rsidRPr="00312F3E">
        <w:rPr>
          <w:sz w:val="24"/>
          <w:szCs w:val="24"/>
          <w:lang w:val="en-US"/>
        </w:rPr>
        <w:t>Treatment with dapagliflozin resulted in a statistically significant and clinically meaningful benefit over placebo in heart failure symptoms, as measured by change from baseline at month 8 in the KCCQ-TSS, (Win Ratio 1.18 [95% CI 1.11, 1.26]; p &lt; 0.0001). Both symptom frequency and symptom burden contributed to the results. Benefit was seen both in improving heart failure symptoms and in preventing deterioration of heart failure symptoms.</w:t>
      </w:r>
    </w:p>
    <w:p w14:paraId="722F3CC0" w14:textId="77777777" w:rsidR="0029430D" w:rsidRPr="00312F3E" w:rsidRDefault="0029430D" w:rsidP="00312F3E">
      <w:pPr>
        <w:ind w:left="851"/>
        <w:rPr>
          <w:sz w:val="24"/>
          <w:szCs w:val="24"/>
          <w:lang w:val="en-US"/>
        </w:rPr>
      </w:pPr>
    </w:p>
    <w:p w14:paraId="193A8631" w14:textId="77777777" w:rsidR="0029430D" w:rsidRPr="00312F3E" w:rsidRDefault="0029430D" w:rsidP="00312F3E">
      <w:pPr>
        <w:ind w:left="851"/>
        <w:rPr>
          <w:sz w:val="24"/>
          <w:szCs w:val="24"/>
          <w:lang w:val="en-US"/>
        </w:rPr>
      </w:pPr>
      <w:r w:rsidRPr="00312F3E">
        <w:rPr>
          <w:sz w:val="24"/>
          <w:szCs w:val="24"/>
          <w:lang w:val="en-US"/>
        </w:rPr>
        <w:t>In responder analyses, the proportion of patients with a clinically meaningful improvement on the KCCQ-TSS from baseline at 8 months, defined as 5 points or more, was higher for the dapagliflozin treatment group compared with placebo. The proportion of patients with a clinically meaningful deterioration, defined as 5 points or more, was lower for the dapagliflozin treatment group compared to placebo. The benefits observed with dapagliflozin remained when applying more conservative cutoffs for larger clinically meaningful change (Table 10).</w:t>
      </w:r>
    </w:p>
    <w:p w14:paraId="753AC3C3" w14:textId="77777777" w:rsidR="0029430D" w:rsidRPr="00312F3E" w:rsidRDefault="0029430D" w:rsidP="00312F3E">
      <w:pPr>
        <w:ind w:left="851"/>
        <w:rPr>
          <w:sz w:val="24"/>
          <w:szCs w:val="24"/>
          <w:lang w:val="en-US"/>
        </w:rPr>
      </w:pPr>
    </w:p>
    <w:p w14:paraId="6A75185B" w14:textId="77777777" w:rsidR="0029430D" w:rsidRPr="00312F3E" w:rsidRDefault="0029430D" w:rsidP="0029430D">
      <w:pPr>
        <w:keepNext/>
        <w:rPr>
          <w:sz w:val="24"/>
          <w:szCs w:val="24"/>
          <w:lang w:val="en-US"/>
        </w:rPr>
      </w:pPr>
      <w:r w:rsidRPr="00312F3E">
        <w:rPr>
          <w:b/>
          <w:bCs/>
          <w:sz w:val="24"/>
          <w:szCs w:val="24"/>
          <w:lang w:val="en-US"/>
        </w:rPr>
        <w:t>Table 10. Number and percent of patients with clinically meaningful improvement and deterioration on the KCCQ-TSS at 8 months</w:t>
      </w:r>
    </w:p>
    <w:tbl>
      <w:tblPr>
        <w:tblW w:w="5000" w:type="pct"/>
        <w:jc w:val="center"/>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992"/>
        <w:gridCol w:w="1598"/>
        <w:gridCol w:w="1559"/>
        <w:gridCol w:w="1338"/>
        <w:gridCol w:w="1151"/>
      </w:tblGrid>
      <w:tr w:rsidR="0029430D" w:rsidRPr="00B14B46" w14:paraId="138E266B" w14:textId="77777777" w:rsidTr="00312F3E">
        <w:trPr>
          <w:jc w:val="center"/>
        </w:trPr>
        <w:tc>
          <w:tcPr>
            <w:tcW w:w="2071" w:type="pct"/>
            <w:tcBorders>
              <w:top w:val="single" w:sz="18" w:space="0" w:color="auto"/>
              <w:left w:val="nil"/>
              <w:right w:val="nil"/>
            </w:tcBorders>
            <w:hideMark/>
          </w:tcPr>
          <w:p w14:paraId="29345977" w14:textId="77777777" w:rsidR="0029430D" w:rsidRPr="006A7320" w:rsidRDefault="0029430D">
            <w:pPr>
              <w:tabs>
                <w:tab w:val="left" w:pos="1304"/>
              </w:tabs>
              <w:rPr>
                <w:i/>
                <w:iCs/>
                <w:sz w:val="22"/>
                <w:szCs w:val="22"/>
                <w:lang w:val="en-US"/>
              </w:rPr>
            </w:pPr>
            <w:r w:rsidRPr="006A7320">
              <w:rPr>
                <w:i/>
                <w:iCs/>
                <w:sz w:val="22"/>
                <w:szCs w:val="22"/>
                <w:lang w:val="en-US"/>
              </w:rPr>
              <w:t>Change from baseline at 8 months:</w:t>
            </w:r>
          </w:p>
        </w:tc>
        <w:tc>
          <w:tcPr>
            <w:tcW w:w="829" w:type="pct"/>
            <w:tcBorders>
              <w:top w:val="single" w:sz="18" w:space="0" w:color="auto"/>
              <w:left w:val="nil"/>
              <w:right w:val="nil"/>
            </w:tcBorders>
            <w:hideMark/>
          </w:tcPr>
          <w:p w14:paraId="5858EE1D" w14:textId="77777777" w:rsidR="0029430D" w:rsidRPr="00B14B46" w:rsidRDefault="0029430D">
            <w:pPr>
              <w:tabs>
                <w:tab w:val="left" w:pos="1304"/>
              </w:tabs>
              <w:autoSpaceDE w:val="0"/>
              <w:autoSpaceDN w:val="0"/>
              <w:adjustRightInd w:val="0"/>
              <w:jc w:val="center"/>
              <w:rPr>
                <w:sz w:val="22"/>
                <w:szCs w:val="22"/>
              </w:rPr>
            </w:pPr>
            <w:proofErr w:type="spellStart"/>
            <w:r w:rsidRPr="00B14B46">
              <w:rPr>
                <w:sz w:val="22"/>
                <w:szCs w:val="22"/>
              </w:rPr>
              <w:t>Dapagliflozin</w:t>
            </w:r>
            <w:proofErr w:type="spellEnd"/>
          </w:p>
          <w:p w14:paraId="66B3BE1A" w14:textId="77777777" w:rsidR="0029430D" w:rsidRPr="00B14B46" w:rsidRDefault="0029430D">
            <w:pPr>
              <w:tabs>
                <w:tab w:val="left" w:pos="1304"/>
              </w:tabs>
              <w:autoSpaceDE w:val="0"/>
              <w:autoSpaceDN w:val="0"/>
              <w:adjustRightInd w:val="0"/>
              <w:jc w:val="center"/>
              <w:rPr>
                <w:sz w:val="22"/>
                <w:szCs w:val="22"/>
              </w:rPr>
            </w:pPr>
            <w:r w:rsidRPr="00B14B46">
              <w:rPr>
                <w:sz w:val="22"/>
                <w:szCs w:val="22"/>
              </w:rPr>
              <w:t>10 mg</w:t>
            </w:r>
          </w:p>
          <w:p w14:paraId="1890D70C" w14:textId="77777777" w:rsidR="0029430D" w:rsidRPr="00B14B46" w:rsidRDefault="0029430D">
            <w:pPr>
              <w:tabs>
                <w:tab w:val="left" w:pos="1304"/>
              </w:tabs>
              <w:autoSpaceDE w:val="0"/>
              <w:autoSpaceDN w:val="0"/>
              <w:adjustRightInd w:val="0"/>
              <w:jc w:val="center"/>
              <w:rPr>
                <w:b/>
                <w:bCs/>
                <w:sz w:val="22"/>
                <w:szCs w:val="22"/>
              </w:rPr>
            </w:pPr>
            <w:proofErr w:type="spellStart"/>
            <w:r w:rsidRPr="00B14B46">
              <w:rPr>
                <w:sz w:val="22"/>
                <w:szCs w:val="22"/>
              </w:rPr>
              <w:t>n</w:t>
            </w:r>
            <w:r w:rsidRPr="00B14B46">
              <w:rPr>
                <w:sz w:val="22"/>
                <w:szCs w:val="22"/>
                <w:vertAlign w:val="superscript"/>
              </w:rPr>
              <w:t>a</w:t>
            </w:r>
            <w:proofErr w:type="spellEnd"/>
            <w:r w:rsidRPr="00B14B46">
              <w:rPr>
                <w:sz w:val="22"/>
                <w:szCs w:val="22"/>
              </w:rPr>
              <w:t>=2086</w:t>
            </w:r>
          </w:p>
        </w:tc>
        <w:tc>
          <w:tcPr>
            <w:tcW w:w="809" w:type="pct"/>
            <w:tcBorders>
              <w:top w:val="single" w:sz="18" w:space="0" w:color="auto"/>
              <w:left w:val="nil"/>
              <w:right w:val="nil"/>
            </w:tcBorders>
            <w:hideMark/>
          </w:tcPr>
          <w:p w14:paraId="0796948B" w14:textId="77777777" w:rsidR="0029430D" w:rsidRPr="00B14B46" w:rsidRDefault="0029430D">
            <w:pPr>
              <w:jc w:val="center"/>
              <w:rPr>
                <w:sz w:val="22"/>
                <w:szCs w:val="22"/>
                <w:lang w:eastAsia="en-US"/>
              </w:rPr>
            </w:pPr>
            <w:r w:rsidRPr="00B14B46">
              <w:rPr>
                <w:sz w:val="22"/>
                <w:szCs w:val="22"/>
              </w:rPr>
              <w:t>Placebo</w:t>
            </w:r>
          </w:p>
          <w:p w14:paraId="36CD6047" w14:textId="77777777" w:rsidR="0029430D" w:rsidRPr="00B14B46" w:rsidRDefault="0029430D">
            <w:pPr>
              <w:jc w:val="center"/>
              <w:rPr>
                <w:b/>
                <w:bCs/>
                <w:sz w:val="22"/>
                <w:szCs w:val="22"/>
              </w:rPr>
            </w:pPr>
            <w:proofErr w:type="spellStart"/>
            <w:r w:rsidRPr="00B14B46">
              <w:rPr>
                <w:sz w:val="22"/>
                <w:szCs w:val="22"/>
              </w:rPr>
              <w:t>n</w:t>
            </w:r>
            <w:r w:rsidRPr="00B14B46">
              <w:rPr>
                <w:sz w:val="22"/>
                <w:szCs w:val="22"/>
                <w:vertAlign w:val="superscript"/>
              </w:rPr>
              <w:t>a</w:t>
            </w:r>
            <w:proofErr w:type="spellEnd"/>
            <w:r w:rsidRPr="00B14B46">
              <w:rPr>
                <w:sz w:val="22"/>
                <w:szCs w:val="22"/>
              </w:rPr>
              <w:t>=2062</w:t>
            </w:r>
          </w:p>
        </w:tc>
        <w:tc>
          <w:tcPr>
            <w:tcW w:w="694" w:type="pct"/>
            <w:tcBorders>
              <w:top w:val="single" w:sz="18" w:space="0" w:color="auto"/>
              <w:left w:val="nil"/>
              <w:right w:val="nil"/>
            </w:tcBorders>
          </w:tcPr>
          <w:p w14:paraId="7FF35E14" w14:textId="77777777" w:rsidR="0029430D" w:rsidRPr="00B14B46" w:rsidRDefault="0029430D">
            <w:pPr>
              <w:jc w:val="center"/>
              <w:rPr>
                <w:b/>
                <w:bCs/>
                <w:sz w:val="22"/>
                <w:szCs w:val="22"/>
              </w:rPr>
            </w:pPr>
          </w:p>
        </w:tc>
        <w:tc>
          <w:tcPr>
            <w:tcW w:w="597" w:type="pct"/>
            <w:tcBorders>
              <w:top w:val="single" w:sz="18" w:space="0" w:color="auto"/>
              <w:left w:val="nil"/>
              <w:right w:val="nil"/>
            </w:tcBorders>
          </w:tcPr>
          <w:p w14:paraId="366D20C0" w14:textId="77777777" w:rsidR="0029430D" w:rsidRPr="00B14B46" w:rsidRDefault="0029430D">
            <w:pPr>
              <w:jc w:val="center"/>
              <w:rPr>
                <w:b/>
                <w:bCs/>
                <w:sz w:val="22"/>
                <w:szCs w:val="22"/>
                <w:lang w:eastAsia="en-US"/>
              </w:rPr>
            </w:pPr>
          </w:p>
        </w:tc>
      </w:tr>
      <w:tr w:rsidR="0029430D" w:rsidRPr="00B14B46" w14:paraId="02E599D7" w14:textId="77777777" w:rsidTr="00312F3E">
        <w:trPr>
          <w:jc w:val="center"/>
        </w:trPr>
        <w:tc>
          <w:tcPr>
            <w:tcW w:w="2071" w:type="pct"/>
            <w:tcBorders>
              <w:left w:val="nil"/>
              <w:right w:val="nil"/>
            </w:tcBorders>
            <w:hideMark/>
          </w:tcPr>
          <w:p w14:paraId="4F6480FB" w14:textId="77777777" w:rsidR="0029430D" w:rsidRPr="00B14B46" w:rsidRDefault="0029430D">
            <w:pPr>
              <w:tabs>
                <w:tab w:val="left" w:pos="1304"/>
              </w:tabs>
              <w:rPr>
                <w:i/>
                <w:iCs/>
                <w:sz w:val="22"/>
                <w:szCs w:val="22"/>
              </w:rPr>
            </w:pPr>
            <w:r w:rsidRPr="00B14B46">
              <w:rPr>
                <w:i/>
                <w:iCs/>
                <w:sz w:val="22"/>
                <w:szCs w:val="22"/>
              </w:rPr>
              <w:t>Improvement</w:t>
            </w:r>
          </w:p>
        </w:tc>
        <w:tc>
          <w:tcPr>
            <w:tcW w:w="829" w:type="pct"/>
            <w:tcBorders>
              <w:left w:val="nil"/>
              <w:right w:val="nil"/>
            </w:tcBorders>
            <w:hideMark/>
          </w:tcPr>
          <w:p w14:paraId="5DB4FA2B" w14:textId="77777777" w:rsidR="0029430D" w:rsidRPr="00B14B46" w:rsidRDefault="0029430D">
            <w:pPr>
              <w:tabs>
                <w:tab w:val="left" w:pos="1304"/>
              </w:tabs>
              <w:autoSpaceDE w:val="0"/>
              <w:autoSpaceDN w:val="0"/>
              <w:adjustRightInd w:val="0"/>
              <w:jc w:val="center"/>
              <w:rPr>
                <w:b/>
                <w:bCs/>
                <w:sz w:val="22"/>
                <w:szCs w:val="22"/>
              </w:rPr>
            </w:pPr>
            <w:r w:rsidRPr="00B14B46">
              <w:rPr>
                <w:b/>
                <w:bCs/>
                <w:sz w:val="22"/>
                <w:szCs w:val="22"/>
              </w:rPr>
              <w:t>n (%)</w:t>
            </w:r>
          </w:p>
          <w:p w14:paraId="02EE2D6D" w14:textId="77777777" w:rsidR="0029430D" w:rsidRPr="00B14B46" w:rsidRDefault="0029430D">
            <w:pPr>
              <w:tabs>
                <w:tab w:val="left" w:pos="1304"/>
              </w:tabs>
              <w:autoSpaceDE w:val="0"/>
              <w:autoSpaceDN w:val="0"/>
              <w:adjustRightInd w:val="0"/>
              <w:jc w:val="center"/>
              <w:rPr>
                <w:sz w:val="22"/>
                <w:szCs w:val="22"/>
                <w:lang w:eastAsia="en-US"/>
              </w:rPr>
            </w:pPr>
            <w:proofErr w:type="spellStart"/>
            <w:r w:rsidRPr="00B14B46">
              <w:rPr>
                <w:b/>
                <w:bCs/>
                <w:sz w:val="22"/>
                <w:szCs w:val="22"/>
              </w:rPr>
              <w:t>improved</w:t>
            </w:r>
            <w:r w:rsidRPr="00B14B46">
              <w:rPr>
                <w:b/>
                <w:bCs/>
                <w:sz w:val="22"/>
                <w:szCs w:val="22"/>
                <w:vertAlign w:val="superscript"/>
              </w:rPr>
              <w:t>b</w:t>
            </w:r>
            <w:proofErr w:type="spellEnd"/>
          </w:p>
        </w:tc>
        <w:tc>
          <w:tcPr>
            <w:tcW w:w="809" w:type="pct"/>
            <w:tcBorders>
              <w:left w:val="nil"/>
              <w:right w:val="nil"/>
            </w:tcBorders>
            <w:hideMark/>
          </w:tcPr>
          <w:p w14:paraId="06514DFF" w14:textId="77777777" w:rsidR="0029430D" w:rsidRPr="00B14B46" w:rsidRDefault="0029430D">
            <w:pPr>
              <w:jc w:val="center"/>
              <w:rPr>
                <w:b/>
                <w:bCs/>
                <w:sz w:val="22"/>
                <w:szCs w:val="22"/>
              </w:rPr>
            </w:pPr>
            <w:r w:rsidRPr="00B14B46">
              <w:rPr>
                <w:b/>
                <w:bCs/>
                <w:sz w:val="22"/>
                <w:szCs w:val="22"/>
              </w:rPr>
              <w:t>n (%)</w:t>
            </w:r>
          </w:p>
          <w:p w14:paraId="7829E73C" w14:textId="77777777" w:rsidR="0029430D" w:rsidRPr="00B14B46" w:rsidRDefault="0029430D">
            <w:pPr>
              <w:jc w:val="center"/>
              <w:rPr>
                <w:sz w:val="22"/>
                <w:szCs w:val="22"/>
              </w:rPr>
            </w:pPr>
            <w:proofErr w:type="spellStart"/>
            <w:r w:rsidRPr="00B14B46">
              <w:rPr>
                <w:b/>
                <w:bCs/>
                <w:sz w:val="22"/>
                <w:szCs w:val="22"/>
              </w:rPr>
              <w:t>improved</w:t>
            </w:r>
            <w:r w:rsidRPr="00B14B46">
              <w:rPr>
                <w:b/>
                <w:bCs/>
                <w:sz w:val="22"/>
                <w:szCs w:val="22"/>
                <w:vertAlign w:val="superscript"/>
              </w:rPr>
              <w:t>b</w:t>
            </w:r>
            <w:proofErr w:type="spellEnd"/>
          </w:p>
        </w:tc>
        <w:tc>
          <w:tcPr>
            <w:tcW w:w="694" w:type="pct"/>
            <w:tcBorders>
              <w:left w:val="nil"/>
              <w:right w:val="nil"/>
            </w:tcBorders>
            <w:hideMark/>
          </w:tcPr>
          <w:p w14:paraId="7A98D116" w14:textId="77777777" w:rsidR="0029430D" w:rsidRPr="00B14B46" w:rsidRDefault="0029430D">
            <w:pPr>
              <w:jc w:val="center"/>
              <w:rPr>
                <w:b/>
                <w:bCs/>
                <w:sz w:val="22"/>
                <w:szCs w:val="22"/>
                <w:vertAlign w:val="superscript"/>
              </w:rPr>
            </w:pPr>
            <w:r w:rsidRPr="00B14B46">
              <w:rPr>
                <w:b/>
                <w:bCs/>
                <w:sz w:val="22"/>
                <w:szCs w:val="22"/>
              </w:rPr>
              <w:t xml:space="preserve">Odds </w:t>
            </w:r>
            <w:proofErr w:type="spellStart"/>
            <w:r w:rsidRPr="00B14B46">
              <w:rPr>
                <w:b/>
                <w:bCs/>
                <w:sz w:val="22"/>
                <w:szCs w:val="22"/>
              </w:rPr>
              <w:t>ratio</w:t>
            </w:r>
            <w:r w:rsidRPr="00B14B46">
              <w:rPr>
                <w:b/>
                <w:bCs/>
                <w:sz w:val="22"/>
                <w:szCs w:val="22"/>
                <w:vertAlign w:val="superscript"/>
              </w:rPr>
              <w:t>c</w:t>
            </w:r>
            <w:proofErr w:type="spellEnd"/>
          </w:p>
          <w:p w14:paraId="539A2410" w14:textId="77777777" w:rsidR="0029430D" w:rsidRPr="00B14B46" w:rsidRDefault="0029430D">
            <w:pPr>
              <w:tabs>
                <w:tab w:val="left" w:pos="1304"/>
              </w:tabs>
              <w:jc w:val="center"/>
              <w:rPr>
                <w:sz w:val="22"/>
                <w:szCs w:val="22"/>
                <w:lang w:eastAsia="en-US"/>
              </w:rPr>
            </w:pPr>
            <w:r w:rsidRPr="00B14B46">
              <w:rPr>
                <w:b/>
                <w:bCs/>
                <w:sz w:val="22"/>
                <w:szCs w:val="22"/>
              </w:rPr>
              <w:t>(95% CI)</w:t>
            </w:r>
          </w:p>
        </w:tc>
        <w:tc>
          <w:tcPr>
            <w:tcW w:w="597" w:type="pct"/>
            <w:tcBorders>
              <w:left w:val="nil"/>
              <w:right w:val="nil"/>
            </w:tcBorders>
            <w:hideMark/>
          </w:tcPr>
          <w:p w14:paraId="5B666961" w14:textId="77777777" w:rsidR="0029430D" w:rsidRPr="00B14B46" w:rsidRDefault="0029430D">
            <w:pPr>
              <w:jc w:val="center"/>
              <w:rPr>
                <w:b/>
                <w:bCs/>
                <w:sz w:val="22"/>
                <w:szCs w:val="22"/>
              </w:rPr>
            </w:pPr>
            <w:r w:rsidRPr="00B14B46">
              <w:rPr>
                <w:b/>
                <w:bCs/>
                <w:sz w:val="22"/>
                <w:szCs w:val="22"/>
              </w:rPr>
              <w:t>p-</w:t>
            </w:r>
            <w:proofErr w:type="spellStart"/>
            <w:r w:rsidRPr="00B14B46">
              <w:rPr>
                <w:b/>
                <w:bCs/>
                <w:sz w:val="22"/>
                <w:szCs w:val="22"/>
              </w:rPr>
              <w:t>value</w:t>
            </w:r>
            <w:r w:rsidRPr="00B14B46">
              <w:rPr>
                <w:b/>
                <w:bCs/>
                <w:sz w:val="22"/>
                <w:szCs w:val="22"/>
                <w:vertAlign w:val="superscript"/>
              </w:rPr>
              <w:t>f</w:t>
            </w:r>
            <w:proofErr w:type="spellEnd"/>
          </w:p>
        </w:tc>
      </w:tr>
      <w:tr w:rsidR="0029430D" w:rsidRPr="00B14B46" w14:paraId="5EE8432C" w14:textId="77777777" w:rsidTr="00312F3E">
        <w:trPr>
          <w:jc w:val="center"/>
        </w:trPr>
        <w:tc>
          <w:tcPr>
            <w:tcW w:w="2071" w:type="pct"/>
            <w:tcBorders>
              <w:top w:val="single" w:sz="4" w:space="0" w:color="7F7F7F" w:themeColor="text1" w:themeTint="80"/>
              <w:left w:val="nil"/>
              <w:bottom w:val="single" w:sz="4" w:space="0" w:color="7F7F7F" w:themeColor="text1" w:themeTint="80"/>
              <w:right w:val="nil"/>
            </w:tcBorders>
          </w:tcPr>
          <w:p w14:paraId="3D4B7A4A" w14:textId="77777777" w:rsidR="0029430D" w:rsidRPr="00B14B46" w:rsidRDefault="0029430D">
            <w:pPr>
              <w:rPr>
                <w:sz w:val="22"/>
                <w:szCs w:val="22"/>
              </w:rPr>
            </w:pPr>
            <w:r w:rsidRPr="00B14B46">
              <w:rPr>
                <w:b/>
                <w:bCs/>
                <w:sz w:val="22"/>
                <w:szCs w:val="22"/>
              </w:rPr>
              <w:t>≥ 5 points</w:t>
            </w:r>
          </w:p>
          <w:p w14:paraId="139F30AB" w14:textId="77777777" w:rsidR="0029430D" w:rsidRPr="00B14B46" w:rsidRDefault="0029430D">
            <w:pPr>
              <w:rPr>
                <w:b/>
                <w:bCs/>
                <w:sz w:val="22"/>
                <w:szCs w:val="22"/>
              </w:rPr>
            </w:pPr>
          </w:p>
          <w:p w14:paraId="5D1ADB0C" w14:textId="77777777" w:rsidR="0029430D" w:rsidRPr="00B14B46" w:rsidRDefault="0029430D">
            <w:pPr>
              <w:tabs>
                <w:tab w:val="left" w:pos="1304"/>
              </w:tabs>
              <w:rPr>
                <w:sz w:val="22"/>
                <w:szCs w:val="22"/>
              </w:rPr>
            </w:pPr>
            <w:r w:rsidRPr="00B14B46">
              <w:rPr>
                <w:b/>
                <w:bCs/>
                <w:sz w:val="22"/>
                <w:szCs w:val="22"/>
              </w:rPr>
              <w:t>≥ 10 points</w:t>
            </w:r>
          </w:p>
          <w:p w14:paraId="6A524DC6" w14:textId="77777777" w:rsidR="0029430D" w:rsidRPr="00B14B46" w:rsidRDefault="0029430D">
            <w:pPr>
              <w:tabs>
                <w:tab w:val="left" w:pos="1304"/>
              </w:tabs>
              <w:rPr>
                <w:b/>
                <w:bCs/>
                <w:sz w:val="22"/>
                <w:szCs w:val="22"/>
              </w:rPr>
            </w:pPr>
          </w:p>
          <w:p w14:paraId="727E8CC7" w14:textId="77777777" w:rsidR="0029430D" w:rsidRPr="00B14B46" w:rsidRDefault="0029430D">
            <w:pPr>
              <w:tabs>
                <w:tab w:val="left" w:pos="1304"/>
              </w:tabs>
              <w:rPr>
                <w:sz w:val="22"/>
                <w:szCs w:val="22"/>
              </w:rPr>
            </w:pPr>
            <w:r w:rsidRPr="00B14B46">
              <w:rPr>
                <w:b/>
                <w:bCs/>
                <w:sz w:val="22"/>
                <w:szCs w:val="22"/>
              </w:rPr>
              <w:t>≥ 15 points</w:t>
            </w:r>
          </w:p>
        </w:tc>
        <w:tc>
          <w:tcPr>
            <w:tcW w:w="829" w:type="pct"/>
            <w:tcBorders>
              <w:top w:val="single" w:sz="4" w:space="0" w:color="7F7F7F" w:themeColor="text1" w:themeTint="80"/>
              <w:left w:val="nil"/>
              <w:bottom w:val="single" w:sz="4" w:space="0" w:color="7F7F7F" w:themeColor="text1" w:themeTint="80"/>
              <w:right w:val="nil"/>
            </w:tcBorders>
          </w:tcPr>
          <w:p w14:paraId="7BEBA50D" w14:textId="77777777" w:rsidR="0029430D" w:rsidRPr="00B14B46" w:rsidRDefault="0029430D">
            <w:pPr>
              <w:jc w:val="center"/>
              <w:rPr>
                <w:sz w:val="22"/>
                <w:szCs w:val="22"/>
              </w:rPr>
            </w:pPr>
            <w:r w:rsidRPr="00B14B46">
              <w:rPr>
                <w:sz w:val="22"/>
                <w:szCs w:val="22"/>
              </w:rPr>
              <w:t>933 (44.7)</w:t>
            </w:r>
          </w:p>
          <w:p w14:paraId="1A27E02E" w14:textId="77777777" w:rsidR="0029430D" w:rsidRPr="00B14B46" w:rsidRDefault="0029430D">
            <w:pPr>
              <w:jc w:val="center"/>
              <w:rPr>
                <w:sz w:val="22"/>
                <w:szCs w:val="22"/>
              </w:rPr>
            </w:pPr>
          </w:p>
          <w:p w14:paraId="06D01351" w14:textId="77777777" w:rsidR="0029430D" w:rsidRPr="00B14B46" w:rsidRDefault="0029430D">
            <w:pPr>
              <w:jc w:val="center"/>
              <w:rPr>
                <w:sz w:val="22"/>
                <w:szCs w:val="22"/>
              </w:rPr>
            </w:pPr>
            <w:r w:rsidRPr="00B14B46">
              <w:rPr>
                <w:sz w:val="22"/>
                <w:szCs w:val="22"/>
              </w:rPr>
              <w:t>689 (33.0)</w:t>
            </w:r>
          </w:p>
          <w:p w14:paraId="7781AC4A" w14:textId="77777777" w:rsidR="0029430D" w:rsidRPr="00B14B46" w:rsidRDefault="0029430D">
            <w:pPr>
              <w:jc w:val="center"/>
              <w:rPr>
                <w:sz w:val="22"/>
                <w:szCs w:val="22"/>
              </w:rPr>
            </w:pPr>
          </w:p>
          <w:p w14:paraId="44BB96FB" w14:textId="77777777" w:rsidR="0029430D" w:rsidRPr="00B14B46" w:rsidRDefault="0029430D">
            <w:pPr>
              <w:jc w:val="center"/>
              <w:rPr>
                <w:sz w:val="22"/>
                <w:szCs w:val="22"/>
              </w:rPr>
            </w:pPr>
            <w:r w:rsidRPr="00B14B46">
              <w:rPr>
                <w:sz w:val="22"/>
                <w:szCs w:val="22"/>
              </w:rPr>
              <w:t>474 (22.7)</w:t>
            </w:r>
          </w:p>
        </w:tc>
        <w:tc>
          <w:tcPr>
            <w:tcW w:w="809" w:type="pct"/>
            <w:tcBorders>
              <w:top w:val="single" w:sz="4" w:space="0" w:color="7F7F7F" w:themeColor="text1" w:themeTint="80"/>
              <w:left w:val="nil"/>
              <w:bottom w:val="single" w:sz="4" w:space="0" w:color="7F7F7F" w:themeColor="text1" w:themeTint="80"/>
              <w:right w:val="nil"/>
            </w:tcBorders>
          </w:tcPr>
          <w:p w14:paraId="6B9BFE03" w14:textId="77777777" w:rsidR="0029430D" w:rsidRPr="00B14B46" w:rsidRDefault="0029430D">
            <w:pPr>
              <w:jc w:val="center"/>
              <w:rPr>
                <w:sz w:val="22"/>
                <w:szCs w:val="22"/>
              </w:rPr>
            </w:pPr>
            <w:r w:rsidRPr="00B14B46">
              <w:rPr>
                <w:sz w:val="22"/>
                <w:szCs w:val="22"/>
              </w:rPr>
              <w:t>794 (38.5)</w:t>
            </w:r>
          </w:p>
          <w:p w14:paraId="5A6CA955" w14:textId="77777777" w:rsidR="0029430D" w:rsidRPr="00B14B46" w:rsidRDefault="0029430D">
            <w:pPr>
              <w:jc w:val="center"/>
              <w:rPr>
                <w:sz w:val="22"/>
                <w:szCs w:val="22"/>
              </w:rPr>
            </w:pPr>
          </w:p>
          <w:p w14:paraId="15A8FF9E" w14:textId="77777777" w:rsidR="0029430D" w:rsidRPr="00B14B46" w:rsidRDefault="0029430D">
            <w:pPr>
              <w:jc w:val="center"/>
              <w:rPr>
                <w:sz w:val="22"/>
                <w:szCs w:val="22"/>
              </w:rPr>
            </w:pPr>
            <w:r w:rsidRPr="00B14B46">
              <w:rPr>
                <w:sz w:val="22"/>
                <w:szCs w:val="22"/>
              </w:rPr>
              <w:t>579 (28.1)</w:t>
            </w:r>
          </w:p>
          <w:p w14:paraId="0F630CCB" w14:textId="77777777" w:rsidR="0029430D" w:rsidRPr="00B14B46" w:rsidRDefault="0029430D">
            <w:pPr>
              <w:jc w:val="center"/>
              <w:rPr>
                <w:sz w:val="22"/>
                <w:szCs w:val="22"/>
              </w:rPr>
            </w:pPr>
          </w:p>
          <w:p w14:paraId="65EE8AA8" w14:textId="77777777" w:rsidR="0029430D" w:rsidRPr="00B14B46" w:rsidRDefault="0029430D">
            <w:pPr>
              <w:jc w:val="center"/>
              <w:rPr>
                <w:sz w:val="22"/>
                <w:szCs w:val="22"/>
              </w:rPr>
            </w:pPr>
            <w:r w:rsidRPr="00B14B46">
              <w:rPr>
                <w:sz w:val="22"/>
                <w:szCs w:val="22"/>
              </w:rPr>
              <w:t>406 (19.7)</w:t>
            </w:r>
          </w:p>
        </w:tc>
        <w:tc>
          <w:tcPr>
            <w:tcW w:w="694" w:type="pct"/>
            <w:tcBorders>
              <w:top w:val="single" w:sz="4" w:space="0" w:color="7F7F7F" w:themeColor="text1" w:themeTint="80"/>
              <w:left w:val="nil"/>
              <w:bottom w:val="single" w:sz="4" w:space="0" w:color="7F7F7F" w:themeColor="text1" w:themeTint="80"/>
              <w:right w:val="nil"/>
            </w:tcBorders>
            <w:hideMark/>
          </w:tcPr>
          <w:p w14:paraId="0B4A30BE" w14:textId="77777777" w:rsidR="0029430D" w:rsidRPr="00B14B46" w:rsidRDefault="0029430D">
            <w:pPr>
              <w:jc w:val="center"/>
              <w:rPr>
                <w:sz w:val="22"/>
                <w:szCs w:val="22"/>
              </w:rPr>
            </w:pPr>
            <w:r w:rsidRPr="00B14B46">
              <w:rPr>
                <w:sz w:val="22"/>
                <w:szCs w:val="22"/>
              </w:rPr>
              <w:t>1.14</w:t>
            </w:r>
          </w:p>
          <w:p w14:paraId="383C971B" w14:textId="77777777" w:rsidR="0029430D" w:rsidRPr="00B14B46" w:rsidRDefault="0029430D">
            <w:pPr>
              <w:jc w:val="center"/>
              <w:rPr>
                <w:sz w:val="22"/>
                <w:szCs w:val="22"/>
              </w:rPr>
            </w:pPr>
            <w:r w:rsidRPr="00B14B46">
              <w:rPr>
                <w:sz w:val="22"/>
                <w:szCs w:val="22"/>
              </w:rPr>
              <w:t>(1.06, 1.22)</w:t>
            </w:r>
          </w:p>
          <w:p w14:paraId="077DB57D" w14:textId="77777777" w:rsidR="0029430D" w:rsidRPr="00B14B46" w:rsidRDefault="0029430D">
            <w:pPr>
              <w:jc w:val="center"/>
              <w:rPr>
                <w:sz w:val="22"/>
                <w:szCs w:val="22"/>
              </w:rPr>
            </w:pPr>
            <w:r w:rsidRPr="00B14B46">
              <w:rPr>
                <w:sz w:val="22"/>
                <w:szCs w:val="22"/>
              </w:rPr>
              <w:t>1.13</w:t>
            </w:r>
          </w:p>
          <w:p w14:paraId="7CA8253E" w14:textId="77777777" w:rsidR="0029430D" w:rsidRPr="00B14B46" w:rsidRDefault="0029430D">
            <w:pPr>
              <w:jc w:val="center"/>
              <w:rPr>
                <w:sz w:val="22"/>
                <w:szCs w:val="22"/>
              </w:rPr>
            </w:pPr>
            <w:r w:rsidRPr="00B14B46">
              <w:rPr>
                <w:sz w:val="22"/>
                <w:szCs w:val="22"/>
              </w:rPr>
              <w:t>(1.05, 1.22)</w:t>
            </w:r>
          </w:p>
          <w:p w14:paraId="59A9BB80" w14:textId="77777777" w:rsidR="0029430D" w:rsidRPr="00B14B46" w:rsidRDefault="0029430D">
            <w:pPr>
              <w:jc w:val="center"/>
              <w:rPr>
                <w:sz w:val="22"/>
                <w:szCs w:val="22"/>
              </w:rPr>
            </w:pPr>
            <w:r w:rsidRPr="00B14B46">
              <w:rPr>
                <w:sz w:val="22"/>
                <w:szCs w:val="22"/>
              </w:rPr>
              <w:t>1.10</w:t>
            </w:r>
          </w:p>
          <w:p w14:paraId="5F8B00A1" w14:textId="77777777" w:rsidR="0029430D" w:rsidRPr="00B14B46" w:rsidRDefault="0029430D">
            <w:pPr>
              <w:jc w:val="center"/>
              <w:rPr>
                <w:sz w:val="22"/>
                <w:szCs w:val="22"/>
              </w:rPr>
            </w:pPr>
            <w:r w:rsidRPr="00B14B46">
              <w:rPr>
                <w:sz w:val="22"/>
                <w:szCs w:val="22"/>
              </w:rPr>
              <w:t>(1.01, 1.19)</w:t>
            </w:r>
          </w:p>
        </w:tc>
        <w:tc>
          <w:tcPr>
            <w:tcW w:w="597" w:type="pct"/>
            <w:tcBorders>
              <w:top w:val="single" w:sz="4" w:space="0" w:color="7F7F7F" w:themeColor="text1" w:themeTint="80"/>
              <w:left w:val="nil"/>
              <w:bottom w:val="single" w:sz="4" w:space="0" w:color="7F7F7F" w:themeColor="text1" w:themeTint="80"/>
              <w:right w:val="nil"/>
            </w:tcBorders>
          </w:tcPr>
          <w:p w14:paraId="72A4063D" w14:textId="77777777" w:rsidR="0029430D" w:rsidRPr="00B14B46" w:rsidRDefault="0029430D">
            <w:pPr>
              <w:jc w:val="center"/>
              <w:rPr>
                <w:sz w:val="22"/>
                <w:szCs w:val="22"/>
              </w:rPr>
            </w:pPr>
            <w:r w:rsidRPr="00B14B46">
              <w:rPr>
                <w:sz w:val="22"/>
                <w:szCs w:val="22"/>
              </w:rPr>
              <w:t>0.0002</w:t>
            </w:r>
          </w:p>
          <w:p w14:paraId="199045A1" w14:textId="77777777" w:rsidR="0029430D" w:rsidRPr="00B14B46" w:rsidRDefault="0029430D">
            <w:pPr>
              <w:jc w:val="center"/>
              <w:rPr>
                <w:sz w:val="22"/>
                <w:szCs w:val="22"/>
              </w:rPr>
            </w:pPr>
          </w:p>
          <w:p w14:paraId="4ECBE184" w14:textId="77777777" w:rsidR="0029430D" w:rsidRPr="00B14B46" w:rsidRDefault="0029430D">
            <w:pPr>
              <w:jc w:val="center"/>
              <w:rPr>
                <w:sz w:val="22"/>
                <w:szCs w:val="22"/>
              </w:rPr>
            </w:pPr>
            <w:r w:rsidRPr="00B14B46">
              <w:rPr>
                <w:sz w:val="22"/>
                <w:szCs w:val="22"/>
              </w:rPr>
              <w:t>0.0018</w:t>
            </w:r>
          </w:p>
          <w:p w14:paraId="7E976F59" w14:textId="77777777" w:rsidR="0029430D" w:rsidRPr="00B14B46" w:rsidRDefault="0029430D">
            <w:pPr>
              <w:jc w:val="center"/>
              <w:rPr>
                <w:sz w:val="22"/>
                <w:szCs w:val="22"/>
              </w:rPr>
            </w:pPr>
          </w:p>
          <w:p w14:paraId="1297A6D7" w14:textId="77777777" w:rsidR="0029430D" w:rsidRPr="00B14B46" w:rsidRDefault="0029430D">
            <w:pPr>
              <w:jc w:val="center"/>
              <w:rPr>
                <w:sz w:val="22"/>
                <w:szCs w:val="22"/>
              </w:rPr>
            </w:pPr>
            <w:r w:rsidRPr="00B14B46">
              <w:rPr>
                <w:sz w:val="22"/>
                <w:szCs w:val="22"/>
              </w:rPr>
              <w:t>0.0300</w:t>
            </w:r>
          </w:p>
        </w:tc>
      </w:tr>
      <w:tr w:rsidR="0029430D" w:rsidRPr="00B14B46" w14:paraId="1A06912D" w14:textId="77777777" w:rsidTr="00312F3E">
        <w:trPr>
          <w:jc w:val="center"/>
        </w:trPr>
        <w:tc>
          <w:tcPr>
            <w:tcW w:w="2071" w:type="pct"/>
            <w:tcBorders>
              <w:left w:val="nil"/>
              <w:right w:val="nil"/>
            </w:tcBorders>
            <w:hideMark/>
          </w:tcPr>
          <w:p w14:paraId="0F65CA40" w14:textId="77777777" w:rsidR="0029430D" w:rsidRPr="00B14B46" w:rsidRDefault="0029430D">
            <w:pPr>
              <w:rPr>
                <w:b/>
                <w:bCs/>
                <w:sz w:val="22"/>
                <w:szCs w:val="22"/>
              </w:rPr>
            </w:pPr>
            <w:r w:rsidRPr="00B14B46">
              <w:rPr>
                <w:i/>
                <w:iCs/>
                <w:sz w:val="22"/>
                <w:szCs w:val="22"/>
              </w:rPr>
              <w:t>Deterioration</w:t>
            </w:r>
          </w:p>
        </w:tc>
        <w:tc>
          <w:tcPr>
            <w:tcW w:w="829" w:type="pct"/>
            <w:tcBorders>
              <w:left w:val="nil"/>
              <w:right w:val="nil"/>
            </w:tcBorders>
            <w:hideMark/>
          </w:tcPr>
          <w:p w14:paraId="4F0CB5DE" w14:textId="77777777" w:rsidR="0029430D" w:rsidRPr="00B14B46" w:rsidRDefault="0029430D">
            <w:pPr>
              <w:jc w:val="center"/>
              <w:rPr>
                <w:b/>
                <w:bCs/>
                <w:sz w:val="22"/>
                <w:szCs w:val="22"/>
              </w:rPr>
            </w:pPr>
            <w:r w:rsidRPr="00B14B46">
              <w:rPr>
                <w:b/>
                <w:bCs/>
                <w:sz w:val="22"/>
                <w:szCs w:val="22"/>
              </w:rPr>
              <w:t>n (%)</w:t>
            </w:r>
          </w:p>
          <w:p w14:paraId="35A9DD77" w14:textId="77777777" w:rsidR="0029430D" w:rsidRPr="00B14B46" w:rsidRDefault="0029430D">
            <w:pPr>
              <w:jc w:val="center"/>
              <w:rPr>
                <w:sz w:val="22"/>
                <w:szCs w:val="22"/>
              </w:rPr>
            </w:pPr>
            <w:proofErr w:type="spellStart"/>
            <w:r w:rsidRPr="00B14B46">
              <w:rPr>
                <w:b/>
                <w:bCs/>
                <w:sz w:val="22"/>
                <w:szCs w:val="22"/>
              </w:rPr>
              <w:t>deteriorated</w:t>
            </w:r>
            <w:r w:rsidRPr="00B14B46">
              <w:rPr>
                <w:b/>
                <w:bCs/>
                <w:sz w:val="22"/>
                <w:szCs w:val="22"/>
                <w:vertAlign w:val="superscript"/>
              </w:rPr>
              <w:t>d</w:t>
            </w:r>
            <w:proofErr w:type="spellEnd"/>
          </w:p>
        </w:tc>
        <w:tc>
          <w:tcPr>
            <w:tcW w:w="809" w:type="pct"/>
            <w:tcBorders>
              <w:left w:val="nil"/>
              <w:right w:val="nil"/>
            </w:tcBorders>
            <w:hideMark/>
          </w:tcPr>
          <w:p w14:paraId="50A1F393" w14:textId="77777777" w:rsidR="0029430D" w:rsidRPr="00B14B46" w:rsidRDefault="0029430D">
            <w:pPr>
              <w:jc w:val="center"/>
              <w:rPr>
                <w:b/>
                <w:bCs/>
                <w:sz w:val="22"/>
                <w:szCs w:val="22"/>
              </w:rPr>
            </w:pPr>
            <w:r w:rsidRPr="00B14B46">
              <w:rPr>
                <w:b/>
                <w:bCs/>
                <w:sz w:val="22"/>
                <w:szCs w:val="22"/>
              </w:rPr>
              <w:t>n (%)</w:t>
            </w:r>
          </w:p>
          <w:p w14:paraId="700A23F8" w14:textId="77777777" w:rsidR="0029430D" w:rsidRPr="00B14B46" w:rsidRDefault="0029430D">
            <w:pPr>
              <w:jc w:val="center"/>
              <w:rPr>
                <w:sz w:val="22"/>
                <w:szCs w:val="22"/>
              </w:rPr>
            </w:pPr>
            <w:proofErr w:type="spellStart"/>
            <w:r w:rsidRPr="00B14B46">
              <w:rPr>
                <w:b/>
                <w:bCs/>
                <w:sz w:val="22"/>
                <w:szCs w:val="22"/>
              </w:rPr>
              <w:t>deteriorated</w:t>
            </w:r>
            <w:r w:rsidRPr="00B14B46">
              <w:rPr>
                <w:b/>
                <w:bCs/>
                <w:sz w:val="22"/>
                <w:szCs w:val="22"/>
                <w:vertAlign w:val="superscript"/>
              </w:rPr>
              <w:t>d</w:t>
            </w:r>
            <w:proofErr w:type="spellEnd"/>
          </w:p>
        </w:tc>
        <w:tc>
          <w:tcPr>
            <w:tcW w:w="694" w:type="pct"/>
            <w:tcBorders>
              <w:left w:val="nil"/>
              <w:right w:val="nil"/>
            </w:tcBorders>
            <w:hideMark/>
          </w:tcPr>
          <w:p w14:paraId="5012CB91" w14:textId="77777777" w:rsidR="0029430D" w:rsidRPr="00B14B46" w:rsidRDefault="0029430D">
            <w:pPr>
              <w:jc w:val="center"/>
              <w:rPr>
                <w:b/>
                <w:bCs/>
                <w:sz w:val="22"/>
                <w:szCs w:val="22"/>
              </w:rPr>
            </w:pPr>
            <w:r w:rsidRPr="00B14B46">
              <w:rPr>
                <w:b/>
                <w:bCs/>
                <w:sz w:val="22"/>
                <w:szCs w:val="22"/>
              </w:rPr>
              <w:t xml:space="preserve">Odds </w:t>
            </w:r>
            <w:proofErr w:type="spellStart"/>
            <w:r w:rsidRPr="00B14B46">
              <w:rPr>
                <w:b/>
                <w:bCs/>
                <w:sz w:val="22"/>
                <w:szCs w:val="22"/>
              </w:rPr>
              <w:t>ratio</w:t>
            </w:r>
            <w:r w:rsidRPr="00B14B46">
              <w:rPr>
                <w:b/>
                <w:bCs/>
                <w:sz w:val="22"/>
                <w:szCs w:val="22"/>
                <w:vertAlign w:val="superscript"/>
              </w:rPr>
              <w:t>e</w:t>
            </w:r>
            <w:proofErr w:type="spellEnd"/>
          </w:p>
          <w:p w14:paraId="7C1857DB" w14:textId="77777777" w:rsidR="0029430D" w:rsidRPr="00B14B46" w:rsidRDefault="0029430D">
            <w:pPr>
              <w:jc w:val="center"/>
              <w:rPr>
                <w:sz w:val="22"/>
                <w:szCs w:val="22"/>
              </w:rPr>
            </w:pPr>
            <w:r w:rsidRPr="00B14B46">
              <w:rPr>
                <w:b/>
                <w:bCs/>
                <w:sz w:val="22"/>
                <w:szCs w:val="22"/>
              </w:rPr>
              <w:t>(95% CI)</w:t>
            </w:r>
          </w:p>
        </w:tc>
        <w:tc>
          <w:tcPr>
            <w:tcW w:w="597" w:type="pct"/>
            <w:tcBorders>
              <w:left w:val="nil"/>
              <w:right w:val="nil"/>
            </w:tcBorders>
            <w:hideMark/>
          </w:tcPr>
          <w:p w14:paraId="4CEF7920" w14:textId="77777777" w:rsidR="0029430D" w:rsidRPr="00B14B46" w:rsidRDefault="0029430D">
            <w:pPr>
              <w:jc w:val="center"/>
              <w:rPr>
                <w:sz w:val="22"/>
                <w:szCs w:val="22"/>
              </w:rPr>
            </w:pPr>
            <w:r w:rsidRPr="00B14B46">
              <w:rPr>
                <w:b/>
                <w:bCs/>
                <w:sz w:val="22"/>
                <w:szCs w:val="22"/>
              </w:rPr>
              <w:t>p-</w:t>
            </w:r>
            <w:proofErr w:type="spellStart"/>
            <w:r w:rsidRPr="00B14B46">
              <w:rPr>
                <w:b/>
                <w:bCs/>
                <w:sz w:val="22"/>
                <w:szCs w:val="22"/>
              </w:rPr>
              <w:t>value</w:t>
            </w:r>
            <w:r w:rsidRPr="00B14B46">
              <w:rPr>
                <w:b/>
                <w:bCs/>
                <w:sz w:val="22"/>
                <w:szCs w:val="22"/>
                <w:vertAlign w:val="superscript"/>
              </w:rPr>
              <w:t>f</w:t>
            </w:r>
            <w:proofErr w:type="spellEnd"/>
          </w:p>
        </w:tc>
      </w:tr>
      <w:tr w:rsidR="0029430D" w:rsidRPr="00B14B46" w14:paraId="5BEA3434" w14:textId="77777777" w:rsidTr="00312F3E">
        <w:trPr>
          <w:jc w:val="center"/>
        </w:trPr>
        <w:tc>
          <w:tcPr>
            <w:tcW w:w="2071" w:type="pct"/>
            <w:tcBorders>
              <w:top w:val="single" w:sz="4" w:space="0" w:color="7F7F7F" w:themeColor="text1" w:themeTint="80"/>
              <w:left w:val="nil"/>
              <w:bottom w:val="single" w:sz="18" w:space="0" w:color="auto"/>
              <w:right w:val="nil"/>
            </w:tcBorders>
          </w:tcPr>
          <w:p w14:paraId="08FC28F1" w14:textId="77777777" w:rsidR="0029430D" w:rsidRPr="00B14B46" w:rsidRDefault="0029430D">
            <w:pPr>
              <w:tabs>
                <w:tab w:val="left" w:pos="1304"/>
              </w:tabs>
              <w:ind w:left="37"/>
              <w:rPr>
                <w:sz w:val="22"/>
                <w:szCs w:val="22"/>
              </w:rPr>
            </w:pPr>
            <w:r w:rsidRPr="00B14B46">
              <w:rPr>
                <w:b/>
                <w:bCs/>
                <w:sz w:val="22"/>
                <w:szCs w:val="22"/>
              </w:rPr>
              <w:t>≥ 5 points</w:t>
            </w:r>
          </w:p>
          <w:p w14:paraId="4CBB64DD" w14:textId="77777777" w:rsidR="0029430D" w:rsidRPr="00B14B46" w:rsidRDefault="0029430D">
            <w:pPr>
              <w:tabs>
                <w:tab w:val="left" w:pos="1304"/>
              </w:tabs>
              <w:ind w:left="37"/>
              <w:rPr>
                <w:sz w:val="22"/>
                <w:szCs w:val="22"/>
              </w:rPr>
            </w:pPr>
          </w:p>
          <w:p w14:paraId="4C195EC8" w14:textId="77777777" w:rsidR="0029430D" w:rsidRPr="00B14B46" w:rsidRDefault="0029430D">
            <w:pPr>
              <w:tabs>
                <w:tab w:val="left" w:pos="1304"/>
              </w:tabs>
              <w:ind w:left="37"/>
              <w:rPr>
                <w:b/>
                <w:bCs/>
                <w:sz w:val="22"/>
                <w:szCs w:val="22"/>
              </w:rPr>
            </w:pPr>
            <w:r w:rsidRPr="00B14B46">
              <w:rPr>
                <w:b/>
                <w:bCs/>
                <w:sz w:val="22"/>
                <w:szCs w:val="22"/>
              </w:rPr>
              <w:t>≥ 10 points</w:t>
            </w:r>
          </w:p>
        </w:tc>
        <w:tc>
          <w:tcPr>
            <w:tcW w:w="829" w:type="pct"/>
            <w:tcBorders>
              <w:top w:val="single" w:sz="4" w:space="0" w:color="7F7F7F" w:themeColor="text1" w:themeTint="80"/>
              <w:left w:val="nil"/>
              <w:bottom w:val="single" w:sz="18" w:space="0" w:color="auto"/>
              <w:right w:val="nil"/>
            </w:tcBorders>
          </w:tcPr>
          <w:p w14:paraId="0455F919" w14:textId="77777777" w:rsidR="0029430D" w:rsidRPr="00B14B46" w:rsidRDefault="0029430D">
            <w:pPr>
              <w:jc w:val="center"/>
              <w:rPr>
                <w:sz w:val="22"/>
                <w:szCs w:val="22"/>
              </w:rPr>
            </w:pPr>
            <w:r w:rsidRPr="00B14B46">
              <w:rPr>
                <w:sz w:val="22"/>
                <w:szCs w:val="22"/>
              </w:rPr>
              <w:t>537 (25.7)</w:t>
            </w:r>
          </w:p>
          <w:p w14:paraId="7141F0C5" w14:textId="77777777" w:rsidR="0029430D" w:rsidRPr="00B14B46" w:rsidRDefault="0029430D">
            <w:pPr>
              <w:jc w:val="center"/>
              <w:rPr>
                <w:sz w:val="22"/>
                <w:szCs w:val="22"/>
              </w:rPr>
            </w:pPr>
          </w:p>
          <w:p w14:paraId="09BEBAB8" w14:textId="77777777" w:rsidR="0029430D" w:rsidRPr="00B14B46" w:rsidRDefault="0029430D">
            <w:pPr>
              <w:jc w:val="center"/>
              <w:rPr>
                <w:sz w:val="22"/>
                <w:szCs w:val="22"/>
              </w:rPr>
            </w:pPr>
            <w:r w:rsidRPr="00B14B46">
              <w:rPr>
                <w:sz w:val="22"/>
                <w:szCs w:val="22"/>
              </w:rPr>
              <w:t>395 (18.9)</w:t>
            </w:r>
          </w:p>
        </w:tc>
        <w:tc>
          <w:tcPr>
            <w:tcW w:w="809" w:type="pct"/>
            <w:tcBorders>
              <w:top w:val="single" w:sz="4" w:space="0" w:color="7F7F7F" w:themeColor="text1" w:themeTint="80"/>
              <w:left w:val="nil"/>
              <w:bottom w:val="single" w:sz="18" w:space="0" w:color="auto"/>
              <w:right w:val="nil"/>
            </w:tcBorders>
          </w:tcPr>
          <w:p w14:paraId="750DCFC6" w14:textId="77777777" w:rsidR="0029430D" w:rsidRPr="00B14B46" w:rsidRDefault="0029430D">
            <w:pPr>
              <w:jc w:val="center"/>
              <w:rPr>
                <w:sz w:val="22"/>
                <w:szCs w:val="22"/>
              </w:rPr>
            </w:pPr>
            <w:r w:rsidRPr="00B14B46">
              <w:rPr>
                <w:sz w:val="22"/>
                <w:szCs w:val="22"/>
              </w:rPr>
              <w:t>693 (33.6)</w:t>
            </w:r>
          </w:p>
          <w:p w14:paraId="2DE8E235" w14:textId="77777777" w:rsidR="0029430D" w:rsidRPr="00B14B46" w:rsidRDefault="0029430D">
            <w:pPr>
              <w:jc w:val="center"/>
              <w:rPr>
                <w:sz w:val="22"/>
                <w:szCs w:val="22"/>
              </w:rPr>
            </w:pPr>
          </w:p>
          <w:p w14:paraId="5A3AC7B8" w14:textId="77777777" w:rsidR="0029430D" w:rsidRPr="00B14B46" w:rsidRDefault="0029430D">
            <w:pPr>
              <w:jc w:val="center"/>
              <w:rPr>
                <w:sz w:val="22"/>
                <w:szCs w:val="22"/>
              </w:rPr>
            </w:pPr>
            <w:r w:rsidRPr="00B14B46">
              <w:rPr>
                <w:sz w:val="22"/>
                <w:szCs w:val="22"/>
              </w:rPr>
              <w:t>506 (24.5)</w:t>
            </w:r>
          </w:p>
        </w:tc>
        <w:tc>
          <w:tcPr>
            <w:tcW w:w="694" w:type="pct"/>
            <w:tcBorders>
              <w:top w:val="single" w:sz="4" w:space="0" w:color="7F7F7F" w:themeColor="text1" w:themeTint="80"/>
              <w:left w:val="nil"/>
              <w:bottom w:val="single" w:sz="18" w:space="0" w:color="auto"/>
              <w:right w:val="nil"/>
            </w:tcBorders>
            <w:hideMark/>
          </w:tcPr>
          <w:p w14:paraId="1C0CCE17" w14:textId="77777777" w:rsidR="0029430D" w:rsidRPr="00B14B46" w:rsidRDefault="0029430D">
            <w:pPr>
              <w:jc w:val="center"/>
              <w:rPr>
                <w:sz w:val="22"/>
                <w:szCs w:val="22"/>
              </w:rPr>
            </w:pPr>
            <w:r w:rsidRPr="00B14B46">
              <w:rPr>
                <w:sz w:val="22"/>
                <w:szCs w:val="22"/>
              </w:rPr>
              <w:t>0.84</w:t>
            </w:r>
          </w:p>
          <w:p w14:paraId="324AFF94" w14:textId="77777777" w:rsidR="0029430D" w:rsidRPr="00B14B46" w:rsidRDefault="0029430D">
            <w:pPr>
              <w:jc w:val="center"/>
              <w:rPr>
                <w:sz w:val="22"/>
                <w:szCs w:val="22"/>
              </w:rPr>
            </w:pPr>
            <w:r w:rsidRPr="00B14B46">
              <w:rPr>
                <w:sz w:val="22"/>
                <w:szCs w:val="22"/>
              </w:rPr>
              <w:t>(0.78, 0.89)</w:t>
            </w:r>
          </w:p>
          <w:p w14:paraId="023BA597" w14:textId="77777777" w:rsidR="0029430D" w:rsidRPr="00B14B46" w:rsidRDefault="0029430D">
            <w:pPr>
              <w:jc w:val="center"/>
              <w:rPr>
                <w:sz w:val="22"/>
                <w:szCs w:val="22"/>
              </w:rPr>
            </w:pPr>
            <w:r w:rsidRPr="00B14B46">
              <w:rPr>
                <w:sz w:val="22"/>
                <w:szCs w:val="22"/>
              </w:rPr>
              <w:t>0.85</w:t>
            </w:r>
          </w:p>
          <w:p w14:paraId="454C36A5" w14:textId="77777777" w:rsidR="0029430D" w:rsidRPr="00B14B46" w:rsidRDefault="0029430D">
            <w:pPr>
              <w:jc w:val="center"/>
              <w:rPr>
                <w:sz w:val="22"/>
                <w:szCs w:val="22"/>
              </w:rPr>
            </w:pPr>
            <w:r w:rsidRPr="00B14B46">
              <w:rPr>
                <w:sz w:val="22"/>
                <w:szCs w:val="22"/>
              </w:rPr>
              <w:t>(0.79, 0.92)</w:t>
            </w:r>
          </w:p>
        </w:tc>
        <w:tc>
          <w:tcPr>
            <w:tcW w:w="597" w:type="pct"/>
            <w:tcBorders>
              <w:top w:val="single" w:sz="4" w:space="0" w:color="7F7F7F" w:themeColor="text1" w:themeTint="80"/>
              <w:left w:val="nil"/>
              <w:bottom w:val="single" w:sz="18" w:space="0" w:color="auto"/>
              <w:right w:val="nil"/>
            </w:tcBorders>
          </w:tcPr>
          <w:p w14:paraId="17D938E7" w14:textId="77777777" w:rsidR="0029430D" w:rsidRPr="00B14B46" w:rsidRDefault="0029430D">
            <w:pPr>
              <w:jc w:val="center"/>
              <w:rPr>
                <w:sz w:val="22"/>
                <w:szCs w:val="22"/>
              </w:rPr>
            </w:pPr>
            <w:r w:rsidRPr="00B14B46">
              <w:rPr>
                <w:sz w:val="22"/>
                <w:szCs w:val="22"/>
              </w:rPr>
              <w:t>&lt;0.0001</w:t>
            </w:r>
          </w:p>
          <w:p w14:paraId="0368C20D" w14:textId="77777777" w:rsidR="0029430D" w:rsidRPr="00B14B46" w:rsidRDefault="0029430D">
            <w:pPr>
              <w:jc w:val="center"/>
              <w:rPr>
                <w:sz w:val="22"/>
                <w:szCs w:val="22"/>
              </w:rPr>
            </w:pPr>
          </w:p>
          <w:p w14:paraId="64E90ED0" w14:textId="77777777" w:rsidR="0029430D" w:rsidRPr="00B14B46" w:rsidRDefault="0029430D">
            <w:pPr>
              <w:jc w:val="center"/>
              <w:rPr>
                <w:sz w:val="22"/>
                <w:szCs w:val="22"/>
              </w:rPr>
            </w:pPr>
            <w:r w:rsidRPr="00B14B46">
              <w:rPr>
                <w:sz w:val="22"/>
                <w:szCs w:val="22"/>
              </w:rPr>
              <w:t>&lt;0.0001</w:t>
            </w:r>
          </w:p>
        </w:tc>
      </w:tr>
    </w:tbl>
    <w:p w14:paraId="42E18548" w14:textId="4CDC764C" w:rsidR="0029430D" w:rsidRPr="00B14B46" w:rsidRDefault="0029430D" w:rsidP="00B14B46">
      <w:pPr>
        <w:ind w:left="284" w:hanging="284"/>
        <w:rPr>
          <w:sz w:val="20"/>
          <w:lang w:val="en-GB" w:eastAsia="en-US"/>
        </w:rPr>
      </w:pPr>
      <w:r w:rsidRPr="00B14B46">
        <w:rPr>
          <w:sz w:val="20"/>
          <w:vertAlign w:val="superscript"/>
          <w:lang w:val="en-US"/>
        </w:rPr>
        <w:t>a</w:t>
      </w:r>
      <w:r w:rsidRPr="00B14B46">
        <w:rPr>
          <w:sz w:val="20"/>
          <w:lang w:val="en-US"/>
        </w:rPr>
        <w:t xml:space="preserve"> </w:t>
      </w:r>
      <w:r w:rsidR="00B14B46">
        <w:rPr>
          <w:sz w:val="20"/>
          <w:lang w:val="en-US"/>
        </w:rPr>
        <w:tab/>
      </w:r>
      <w:r w:rsidRPr="00B14B46">
        <w:rPr>
          <w:sz w:val="20"/>
          <w:lang w:val="en-US"/>
        </w:rPr>
        <w:t>Number of patients with an observed KCCQ-TSS or who died prior to 8 months.</w:t>
      </w:r>
    </w:p>
    <w:p w14:paraId="60C3058E" w14:textId="40B31CB9" w:rsidR="0029430D" w:rsidRPr="00B14B46" w:rsidRDefault="0029430D" w:rsidP="00B14B46">
      <w:pPr>
        <w:ind w:left="284" w:hanging="284"/>
        <w:rPr>
          <w:sz w:val="20"/>
          <w:lang w:val="en-US"/>
        </w:rPr>
      </w:pPr>
      <w:r w:rsidRPr="00B14B46">
        <w:rPr>
          <w:sz w:val="20"/>
          <w:vertAlign w:val="superscript"/>
          <w:lang w:val="en-US"/>
        </w:rPr>
        <w:t>b</w:t>
      </w:r>
      <w:r w:rsidRPr="00B14B46">
        <w:rPr>
          <w:sz w:val="20"/>
          <w:lang w:val="en-US"/>
        </w:rPr>
        <w:t xml:space="preserve"> </w:t>
      </w:r>
      <w:r w:rsidR="00B14B46">
        <w:rPr>
          <w:sz w:val="20"/>
          <w:lang w:val="en-US"/>
        </w:rPr>
        <w:tab/>
      </w:r>
      <w:r w:rsidRPr="00B14B46">
        <w:rPr>
          <w:sz w:val="20"/>
          <w:lang w:val="en-US"/>
        </w:rPr>
        <w:t>Number of patients who had an observed improvement of at least 5, 10 or 15 points from baseline. Patients who died prior to the given timepoint are counted as not improved.</w:t>
      </w:r>
    </w:p>
    <w:p w14:paraId="34B8EFBB" w14:textId="3261BA40" w:rsidR="0029430D" w:rsidRPr="00B14B46" w:rsidRDefault="0029430D" w:rsidP="00B14B46">
      <w:pPr>
        <w:ind w:left="284" w:hanging="284"/>
        <w:rPr>
          <w:sz w:val="20"/>
          <w:lang w:val="en-US"/>
        </w:rPr>
      </w:pPr>
      <w:r w:rsidRPr="00B14B46">
        <w:rPr>
          <w:sz w:val="20"/>
          <w:vertAlign w:val="superscript"/>
          <w:lang w:val="en-US"/>
        </w:rPr>
        <w:t>c</w:t>
      </w:r>
      <w:r w:rsidRPr="00B14B46">
        <w:rPr>
          <w:sz w:val="20"/>
          <w:lang w:val="en-US"/>
        </w:rPr>
        <w:t xml:space="preserve"> </w:t>
      </w:r>
      <w:r w:rsidR="00B14B46">
        <w:rPr>
          <w:sz w:val="20"/>
          <w:lang w:val="en-US"/>
        </w:rPr>
        <w:tab/>
      </w:r>
      <w:proofErr w:type="gramStart"/>
      <w:r w:rsidRPr="00B14B46">
        <w:rPr>
          <w:sz w:val="20"/>
          <w:lang w:val="en-US"/>
        </w:rPr>
        <w:t>For</w:t>
      </w:r>
      <w:proofErr w:type="gramEnd"/>
      <w:r w:rsidRPr="00B14B46">
        <w:rPr>
          <w:sz w:val="20"/>
          <w:lang w:val="en-US"/>
        </w:rPr>
        <w:t xml:space="preserve"> improvement, an odds ratio &gt; 1 </w:t>
      </w:r>
      <w:proofErr w:type="spellStart"/>
      <w:r w:rsidRPr="00B14B46">
        <w:rPr>
          <w:sz w:val="20"/>
          <w:lang w:val="en-US"/>
        </w:rPr>
        <w:t>favours</w:t>
      </w:r>
      <w:proofErr w:type="spellEnd"/>
      <w:r w:rsidRPr="00B14B46">
        <w:rPr>
          <w:sz w:val="20"/>
          <w:lang w:val="en-US"/>
        </w:rPr>
        <w:t xml:space="preserve"> dapagliflozin 10 mg. </w:t>
      </w:r>
    </w:p>
    <w:p w14:paraId="35D195ED" w14:textId="6A33094E" w:rsidR="0029430D" w:rsidRPr="00B14B46" w:rsidRDefault="0029430D" w:rsidP="00B14B46">
      <w:pPr>
        <w:ind w:left="284" w:hanging="284"/>
        <w:rPr>
          <w:sz w:val="20"/>
          <w:lang w:val="en-US"/>
        </w:rPr>
      </w:pPr>
      <w:r w:rsidRPr="00B14B46">
        <w:rPr>
          <w:sz w:val="20"/>
          <w:vertAlign w:val="superscript"/>
          <w:lang w:val="en-US"/>
        </w:rPr>
        <w:t>d</w:t>
      </w:r>
      <w:r w:rsidRPr="00B14B46">
        <w:rPr>
          <w:sz w:val="20"/>
          <w:lang w:val="en-US"/>
        </w:rPr>
        <w:t xml:space="preserve"> </w:t>
      </w:r>
      <w:r w:rsidR="00B14B46">
        <w:rPr>
          <w:sz w:val="20"/>
          <w:lang w:val="en-US"/>
        </w:rPr>
        <w:tab/>
      </w:r>
      <w:r w:rsidRPr="00B14B46">
        <w:rPr>
          <w:sz w:val="20"/>
          <w:lang w:val="en-US"/>
        </w:rPr>
        <w:t>Number of patients who had an observed deterioration of at least 5 or 10 points from baseline. Patients who died prior to the given timepoint are counted as deteriorated.</w:t>
      </w:r>
    </w:p>
    <w:p w14:paraId="44717964" w14:textId="42F8F04B" w:rsidR="0029430D" w:rsidRPr="00B14B46" w:rsidRDefault="0029430D" w:rsidP="00B14B46">
      <w:pPr>
        <w:ind w:left="284" w:hanging="284"/>
        <w:rPr>
          <w:sz w:val="20"/>
          <w:lang w:val="en-US"/>
        </w:rPr>
      </w:pPr>
      <w:r w:rsidRPr="00B14B46">
        <w:rPr>
          <w:sz w:val="20"/>
          <w:vertAlign w:val="superscript"/>
          <w:lang w:val="en-US"/>
        </w:rPr>
        <w:t>e</w:t>
      </w:r>
      <w:r w:rsidRPr="00B14B46">
        <w:rPr>
          <w:sz w:val="20"/>
          <w:lang w:val="en-US"/>
        </w:rPr>
        <w:t xml:space="preserve"> </w:t>
      </w:r>
      <w:r w:rsidR="00B14B46">
        <w:rPr>
          <w:sz w:val="20"/>
          <w:lang w:val="en-US"/>
        </w:rPr>
        <w:tab/>
      </w:r>
      <w:proofErr w:type="gramStart"/>
      <w:r w:rsidRPr="00B14B46">
        <w:rPr>
          <w:sz w:val="20"/>
          <w:lang w:val="en-US"/>
        </w:rPr>
        <w:t>For</w:t>
      </w:r>
      <w:proofErr w:type="gramEnd"/>
      <w:r w:rsidRPr="00B14B46">
        <w:rPr>
          <w:sz w:val="20"/>
          <w:lang w:val="en-US"/>
        </w:rPr>
        <w:t xml:space="preserve"> deterioration, an odds ratio &lt; 1 </w:t>
      </w:r>
      <w:proofErr w:type="spellStart"/>
      <w:r w:rsidRPr="00B14B46">
        <w:rPr>
          <w:sz w:val="20"/>
          <w:lang w:val="en-US"/>
        </w:rPr>
        <w:t>favours</w:t>
      </w:r>
      <w:proofErr w:type="spellEnd"/>
      <w:r w:rsidRPr="00B14B46">
        <w:rPr>
          <w:sz w:val="20"/>
          <w:lang w:val="en-US"/>
        </w:rPr>
        <w:t xml:space="preserve"> dapagliflozin 10 mg.</w:t>
      </w:r>
    </w:p>
    <w:p w14:paraId="504AD86E" w14:textId="632749DB" w:rsidR="0029430D" w:rsidRPr="00B14B46" w:rsidRDefault="0029430D" w:rsidP="00B14B46">
      <w:pPr>
        <w:ind w:left="284" w:hanging="284"/>
        <w:rPr>
          <w:sz w:val="20"/>
          <w:lang w:val="en-US"/>
        </w:rPr>
      </w:pPr>
      <w:r w:rsidRPr="00B14B46">
        <w:rPr>
          <w:sz w:val="20"/>
          <w:vertAlign w:val="superscript"/>
          <w:lang w:val="en-US"/>
        </w:rPr>
        <w:t>f</w:t>
      </w:r>
      <w:r w:rsidRPr="00B14B46">
        <w:rPr>
          <w:sz w:val="20"/>
          <w:lang w:val="en-US"/>
        </w:rPr>
        <w:t xml:space="preserve"> </w:t>
      </w:r>
      <w:r w:rsidR="00B14B46">
        <w:rPr>
          <w:sz w:val="20"/>
          <w:lang w:val="en-US"/>
        </w:rPr>
        <w:tab/>
      </w:r>
      <w:r w:rsidRPr="00B14B46">
        <w:rPr>
          <w:sz w:val="20"/>
          <w:lang w:val="en-US"/>
        </w:rPr>
        <w:t>p-values are nominal.</w:t>
      </w:r>
    </w:p>
    <w:p w14:paraId="625DCB67" w14:textId="77777777" w:rsidR="0029430D" w:rsidRPr="00312F3E" w:rsidRDefault="0029430D" w:rsidP="00B14B46">
      <w:pPr>
        <w:ind w:left="851"/>
        <w:rPr>
          <w:sz w:val="24"/>
          <w:szCs w:val="24"/>
          <w:lang w:val="en-US"/>
        </w:rPr>
      </w:pPr>
    </w:p>
    <w:p w14:paraId="43510748" w14:textId="77777777" w:rsidR="0029430D" w:rsidRPr="00312F3E" w:rsidRDefault="0029430D" w:rsidP="00312F3E">
      <w:pPr>
        <w:ind w:left="851"/>
        <w:rPr>
          <w:i/>
          <w:iCs/>
          <w:sz w:val="24"/>
          <w:szCs w:val="24"/>
          <w:lang w:val="en-US"/>
        </w:rPr>
      </w:pPr>
      <w:r w:rsidRPr="00312F3E">
        <w:rPr>
          <w:i/>
          <w:iCs/>
          <w:sz w:val="24"/>
          <w:szCs w:val="24"/>
          <w:lang w:val="en-US"/>
        </w:rPr>
        <w:t>Nephropathy</w:t>
      </w:r>
    </w:p>
    <w:p w14:paraId="16913F55" w14:textId="77777777" w:rsidR="0029430D" w:rsidRPr="00312F3E" w:rsidRDefault="0029430D" w:rsidP="00312F3E">
      <w:pPr>
        <w:ind w:left="851"/>
        <w:rPr>
          <w:sz w:val="24"/>
          <w:szCs w:val="24"/>
          <w:lang w:val="en-US"/>
        </w:rPr>
      </w:pPr>
      <w:r w:rsidRPr="00312F3E">
        <w:rPr>
          <w:sz w:val="24"/>
          <w:szCs w:val="24"/>
          <w:lang w:val="en-US"/>
        </w:rPr>
        <w:t>There were few events of the renal composite endpoint (confirmed sustained ≥ 50% eGFR decrease, ESKD, or renal death); the incidence was 1.2% in the dapagliflozin group and 1.6% in the placebo group.</w:t>
      </w:r>
    </w:p>
    <w:p w14:paraId="30BBE241" w14:textId="77777777" w:rsidR="0029430D" w:rsidRPr="00312F3E" w:rsidRDefault="0029430D" w:rsidP="00312F3E">
      <w:pPr>
        <w:ind w:left="851"/>
        <w:rPr>
          <w:sz w:val="24"/>
          <w:szCs w:val="24"/>
          <w:lang w:val="en-US"/>
        </w:rPr>
      </w:pPr>
    </w:p>
    <w:p w14:paraId="32E3AAC9" w14:textId="77777777" w:rsidR="0029430D" w:rsidRPr="00312F3E" w:rsidRDefault="0029430D" w:rsidP="00312F3E">
      <w:pPr>
        <w:ind w:left="851"/>
        <w:rPr>
          <w:i/>
          <w:iCs/>
          <w:sz w:val="24"/>
          <w:szCs w:val="24"/>
          <w:u w:val="single"/>
          <w:lang w:val="en-US"/>
        </w:rPr>
      </w:pPr>
      <w:r w:rsidRPr="00312F3E">
        <w:rPr>
          <w:i/>
          <w:iCs/>
          <w:sz w:val="24"/>
          <w:szCs w:val="24"/>
          <w:u w:val="single"/>
          <w:lang w:val="en-US"/>
        </w:rPr>
        <w:t>DELIVER study: Heart failure with left ventricular ejection fraction &gt; 40%</w:t>
      </w:r>
    </w:p>
    <w:p w14:paraId="631BAC52" w14:textId="77777777" w:rsidR="0029430D" w:rsidRPr="00312F3E" w:rsidRDefault="0029430D" w:rsidP="00312F3E">
      <w:pPr>
        <w:ind w:left="851"/>
        <w:rPr>
          <w:sz w:val="24"/>
          <w:szCs w:val="24"/>
          <w:lang w:val="en-US"/>
        </w:rPr>
      </w:pPr>
      <w:r w:rsidRPr="00312F3E">
        <w:rPr>
          <w:sz w:val="24"/>
          <w:szCs w:val="24"/>
          <w:lang w:val="en-US"/>
        </w:rPr>
        <w:t xml:space="preserve">Dapagliflozin Evaluation to Improve the LIVEs of Patients with </w:t>
      </w:r>
      <w:proofErr w:type="spellStart"/>
      <w:r w:rsidRPr="00312F3E">
        <w:rPr>
          <w:sz w:val="24"/>
          <w:szCs w:val="24"/>
          <w:lang w:val="en-US"/>
        </w:rPr>
        <w:t>PReserved</w:t>
      </w:r>
      <w:proofErr w:type="spellEnd"/>
      <w:r w:rsidRPr="00312F3E">
        <w:rPr>
          <w:sz w:val="24"/>
          <w:szCs w:val="24"/>
          <w:lang w:val="en-US"/>
        </w:rPr>
        <w:t xml:space="preserve"> Ejection Fraction Heart Failure (DELIVER)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double-blind, placebo-controlled study in patients aged ≥ 40 years with heart failure (NYHA class II-IV) with LVEF &gt; 40% and evidence of structural heart disease, to determine the effect of dapagliflozin compared with placebo on the incidence of cardiovascular death and worsening heart failure.</w:t>
      </w:r>
    </w:p>
    <w:p w14:paraId="37AEB4AF" w14:textId="77777777" w:rsidR="0029430D" w:rsidRPr="00312F3E" w:rsidRDefault="0029430D" w:rsidP="00312F3E">
      <w:pPr>
        <w:ind w:left="851"/>
        <w:rPr>
          <w:sz w:val="24"/>
          <w:szCs w:val="24"/>
          <w:lang w:val="en-US"/>
        </w:rPr>
      </w:pPr>
    </w:p>
    <w:p w14:paraId="445670D2" w14:textId="77777777" w:rsidR="0029430D" w:rsidRPr="00312F3E" w:rsidRDefault="0029430D" w:rsidP="00312F3E">
      <w:pPr>
        <w:ind w:left="851"/>
        <w:rPr>
          <w:sz w:val="24"/>
          <w:szCs w:val="24"/>
          <w:lang w:val="en-US"/>
        </w:rPr>
      </w:pPr>
      <w:r w:rsidRPr="00312F3E">
        <w:rPr>
          <w:sz w:val="24"/>
          <w:szCs w:val="24"/>
          <w:lang w:val="en-US"/>
        </w:rPr>
        <w:t xml:space="preserve">Of 6,263 patients, 3,131 were </w:t>
      </w:r>
      <w:proofErr w:type="spellStart"/>
      <w:r w:rsidRPr="00312F3E">
        <w:rPr>
          <w:sz w:val="24"/>
          <w:szCs w:val="24"/>
          <w:lang w:val="en-US"/>
        </w:rPr>
        <w:t>randomised</w:t>
      </w:r>
      <w:proofErr w:type="spellEnd"/>
      <w:r w:rsidRPr="00312F3E">
        <w:rPr>
          <w:sz w:val="24"/>
          <w:szCs w:val="24"/>
          <w:lang w:val="en-US"/>
        </w:rPr>
        <w:t xml:space="preserve"> to dapagliflozin 10 mg and 3,132 to placebo and followed for a median of 28 months. The study included 654 (10%) subacute heart failure patients (defined as </w:t>
      </w:r>
      <w:proofErr w:type="spellStart"/>
      <w:r w:rsidRPr="00312F3E">
        <w:rPr>
          <w:sz w:val="24"/>
          <w:szCs w:val="24"/>
          <w:lang w:val="en-US"/>
        </w:rPr>
        <w:t>randomised</w:t>
      </w:r>
      <w:proofErr w:type="spellEnd"/>
      <w:r w:rsidRPr="00312F3E">
        <w:rPr>
          <w:sz w:val="24"/>
          <w:szCs w:val="24"/>
          <w:lang w:val="en-US"/>
        </w:rPr>
        <w:t xml:space="preserve"> during </w:t>
      </w:r>
      <w:proofErr w:type="spellStart"/>
      <w:r w:rsidRPr="00312F3E">
        <w:rPr>
          <w:sz w:val="24"/>
          <w:szCs w:val="24"/>
          <w:lang w:val="en-US"/>
        </w:rPr>
        <w:t>hospitalisation</w:t>
      </w:r>
      <w:proofErr w:type="spellEnd"/>
      <w:r w:rsidRPr="00312F3E">
        <w:rPr>
          <w:sz w:val="24"/>
          <w:szCs w:val="24"/>
          <w:lang w:val="en-US"/>
        </w:rPr>
        <w:t xml:space="preserve"> for heart failure or within 30 days of discharge). The mean age of the study population was 72 years and 56% were male.</w:t>
      </w:r>
    </w:p>
    <w:p w14:paraId="4332FA8F" w14:textId="77777777" w:rsidR="0029430D" w:rsidRPr="00312F3E" w:rsidRDefault="0029430D" w:rsidP="00312F3E">
      <w:pPr>
        <w:ind w:left="851"/>
        <w:rPr>
          <w:sz w:val="24"/>
          <w:szCs w:val="24"/>
          <w:lang w:val="en-US"/>
        </w:rPr>
      </w:pPr>
    </w:p>
    <w:p w14:paraId="15C32ABA" w14:textId="77777777" w:rsidR="0029430D" w:rsidRPr="00312F3E" w:rsidRDefault="0029430D" w:rsidP="00312F3E">
      <w:pPr>
        <w:ind w:left="851"/>
        <w:rPr>
          <w:sz w:val="24"/>
          <w:szCs w:val="24"/>
          <w:lang w:val="en-US"/>
        </w:rPr>
      </w:pPr>
      <w:r w:rsidRPr="00312F3E">
        <w:rPr>
          <w:sz w:val="24"/>
          <w:szCs w:val="24"/>
          <w:lang w:val="en-US"/>
        </w:rPr>
        <w:t xml:space="preserve">At baseline, 75% patients were classified as NYHA class II, 24% class III and 0.3% class IV. Median LVEF was 54%, 34% of the patients had LVEF ≤ 49%, 36% had LVEF 50-59% and 30% had LVEF ≥ 60%. In each treatment group, 45% had a history of type 2 diabetes mellitus. Baseline therapy included </w:t>
      </w:r>
      <w:proofErr w:type="spellStart"/>
      <w:r w:rsidRPr="00312F3E">
        <w:rPr>
          <w:sz w:val="24"/>
          <w:szCs w:val="24"/>
          <w:lang w:val="en-US"/>
        </w:rPr>
        <w:t>ACEi</w:t>
      </w:r>
      <w:proofErr w:type="spellEnd"/>
      <w:r w:rsidRPr="00312F3E">
        <w:rPr>
          <w:sz w:val="24"/>
          <w:szCs w:val="24"/>
          <w:lang w:val="en-US"/>
        </w:rPr>
        <w:t>/ARB/ARNI (77%), beta-blockers (83%) diuretics (98%) and MRA (43%).</w:t>
      </w:r>
    </w:p>
    <w:p w14:paraId="7B4ACED3" w14:textId="77777777" w:rsidR="0029430D" w:rsidRPr="00312F3E" w:rsidRDefault="0029430D" w:rsidP="00312F3E">
      <w:pPr>
        <w:ind w:left="851"/>
        <w:rPr>
          <w:sz w:val="24"/>
          <w:szCs w:val="24"/>
          <w:lang w:val="en-US"/>
        </w:rPr>
      </w:pPr>
    </w:p>
    <w:p w14:paraId="7FED69C3" w14:textId="77777777" w:rsidR="0029430D" w:rsidRPr="00312F3E" w:rsidRDefault="0029430D" w:rsidP="00312F3E">
      <w:pPr>
        <w:ind w:left="851"/>
        <w:rPr>
          <w:sz w:val="24"/>
          <w:szCs w:val="24"/>
          <w:lang w:val="en-US"/>
        </w:rPr>
      </w:pPr>
      <w:r w:rsidRPr="00312F3E">
        <w:rPr>
          <w:sz w:val="24"/>
          <w:szCs w:val="24"/>
          <w:lang w:val="en-US"/>
        </w:rPr>
        <w:t>The mean eGFR was 61 mL/min/1.73 m</w:t>
      </w:r>
      <w:r w:rsidRPr="00312F3E">
        <w:rPr>
          <w:sz w:val="24"/>
          <w:szCs w:val="24"/>
          <w:vertAlign w:val="superscript"/>
          <w:lang w:val="en-US"/>
        </w:rPr>
        <w:t>2</w:t>
      </w:r>
      <w:r w:rsidRPr="00312F3E">
        <w:rPr>
          <w:sz w:val="24"/>
          <w:szCs w:val="24"/>
          <w:lang w:val="en-US"/>
        </w:rPr>
        <w:t>, 49% of patients had eGFR &lt; 60mL/min/1.73 m</w:t>
      </w:r>
      <w:r w:rsidRPr="00312F3E">
        <w:rPr>
          <w:sz w:val="24"/>
          <w:szCs w:val="24"/>
          <w:vertAlign w:val="superscript"/>
          <w:lang w:val="en-US"/>
        </w:rPr>
        <w:t>2</w:t>
      </w:r>
      <w:r w:rsidRPr="00312F3E">
        <w:rPr>
          <w:sz w:val="24"/>
          <w:szCs w:val="24"/>
          <w:lang w:val="en-US"/>
        </w:rPr>
        <w:t>, 23% had eGFR &lt; 45 mL/min/1.73 m</w:t>
      </w:r>
      <w:r w:rsidRPr="00312F3E">
        <w:rPr>
          <w:sz w:val="24"/>
          <w:szCs w:val="24"/>
          <w:vertAlign w:val="superscript"/>
          <w:lang w:val="en-US"/>
        </w:rPr>
        <w:t>2</w:t>
      </w:r>
      <w:r w:rsidRPr="00312F3E">
        <w:rPr>
          <w:sz w:val="24"/>
          <w:szCs w:val="24"/>
          <w:lang w:val="en-US"/>
        </w:rPr>
        <w:t>, and 3% had eGFR &lt; 30 mL/min/1.73 m</w:t>
      </w:r>
      <w:r w:rsidRPr="00312F3E">
        <w:rPr>
          <w:sz w:val="24"/>
          <w:szCs w:val="24"/>
          <w:vertAlign w:val="superscript"/>
          <w:lang w:val="en-US"/>
        </w:rPr>
        <w:t>2</w:t>
      </w:r>
      <w:r w:rsidRPr="00312F3E">
        <w:rPr>
          <w:sz w:val="24"/>
          <w:szCs w:val="24"/>
          <w:lang w:val="en-US"/>
        </w:rPr>
        <w:t>.</w:t>
      </w:r>
    </w:p>
    <w:p w14:paraId="51FF5A72" w14:textId="77777777" w:rsidR="0029430D" w:rsidRPr="00312F3E" w:rsidRDefault="0029430D" w:rsidP="00312F3E">
      <w:pPr>
        <w:ind w:left="851"/>
        <w:rPr>
          <w:sz w:val="24"/>
          <w:szCs w:val="24"/>
          <w:lang w:val="en-US"/>
        </w:rPr>
      </w:pPr>
    </w:p>
    <w:p w14:paraId="4C3DA3F3" w14:textId="77777777" w:rsidR="0029430D" w:rsidRPr="00312F3E" w:rsidRDefault="0029430D" w:rsidP="00312F3E">
      <w:pPr>
        <w:ind w:left="851"/>
        <w:rPr>
          <w:sz w:val="24"/>
          <w:szCs w:val="24"/>
          <w:lang w:val="en-US"/>
        </w:rPr>
      </w:pPr>
      <w:r w:rsidRPr="00312F3E">
        <w:rPr>
          <w:sz w:val="24"/>
          <w:szCs w:val="24"/>
          <w:lang w:val="en-US"/>
        </w:rPr>
        <w:t xml:space="preserve">Dapagliflozin was superior to placebo in reducing the incidence of the primary composite endpoint of cardiovascular death,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 (HR 0.82 [95% CI 0.73, 0.92]; p=0.0008) (Figure 5).</w:t>
      </w:r>
    </w:p>
    <w:p w14:paraId="73C787A0" w14:textId="77777777" w:rsidR="0029430D" w:rsidRPr="00312F3E" w:rsidRDefault="0029430D" w:rsidP="0029430D">
      <w:pPr>
        <w:rPr>
          <w:sz w:val="24"/>
          <w:szCs w:val="24"/>
          <w:lang w:val="en-US"/>
        </w:rPr>
      </w:pPr>
    </w:p>
    <w:p w14:paraId="48AB09F9" w14:textId="3B9E66FD"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6A7320">
        <w:rPr>
          <w:b/>
          <w:bCs/>
          <w:i w:val="0"/>
          <w:iCs w:val="0"/>
          <w:noProof/>
          <w:color w:val="auto"/>
          <w:sz w:val="24"/>
          <w:szCs w:val="24"/>
        </w:rPr>
        <w:t>5</w:t>
      </w:r>
      <w:r w:rsidRPr="00312F3E">
        <w:rPr>
          <w:b/>
          <w:bCs/>
          <w:i w:val="0"/>
          <w:iCs w:val="0"/>
          <w:color w:val="auto"/>
          <w:sz w:val="24"/>
          <w:szCs w:val="24"/>
        </w:rPr>
        <w:fldChar w:fldCharType="end"/>
      </w:r>
      <w:r w:rsidRPr="00312F3E">
        <w:rPr>
          <w:b/>
          <w:bCs/>
          <w:i w:val="0"/>
          <w:iCs w:val="0"/>
          <w:color w:val="auto"/>
          <w:sz w:val="24"/>
          <w:szCs w:val="24"/>
        </w:rPr>
        <w:t>:</w:t>
      </w:r>
      <w:r w:rsidRPr="00312F3E">
        <w:rPr>
          <w:b/>
          <w:bCs/>
          <w:i w:val="0"/>
          <w:iCs w:val="0"/>
          <w:color w:val="auto"/>
          <w:sz w:val="24"/>
          <w:szCs w:val="24"/>
          <w:lang w:eastAsia="en-GB"/>
        </w:rPr>
        <w:t xml:space="preserve"> </w:t>
      </w:r>
      <w:r w:rsidRPr="00312F3E">
        <w:rPr>
          <w:b/>
          <w:bCs/>
          <w:i w:val="0"/>
          <w:iCs w:val="0"/>
          <w:color w:val="auto"/>
          <w:sz w:val="24"/>
          <w:szCs w:val="24"/>
        </w:rPr>
        <w:t>Time to first occurrence of the composite of cardiovascular death, hospitalisation for heart failure or urgent heart failure visit</w:t>
      </w:r>
    </w:p>
    <w:p w14:paraId="64AA713E" w14:textId="48CCE7E2" w:rsidR="0029430D" w:rsidRPr="00312F3E" w:rsidRDefault="0029430D" w:rsidP="0029430D">
      <w:pPr>
        <w:rPr>
          <w:sz w:val="24"/>
          <w:szCs w:val="24"/>
        </w:rPr>
      </w:pPr>
      <w:r w:rsidRPr="00312F3E">
        <w:rPr>
          <w:noProof/>
          <w:sz w:val="24"/>
          <w:szCs w:val="24"/>
        </w:rPr>
        <w:drawing>
          <wp:inline distT="0" distB="0" distL="0" distR="0" wp14:anchorId="5172792C" wp14:editId="4DDD95E9">
            <wp:extent cx="5753100" cy="2994660"/>
            <wp:effectExtent l="0" t="0" r="0" b="0"/>
            <wp:docPr id="5" name="Billede 5" descr="A grap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person&#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2994660"/>
                    </a:xfrm>
                    <a:prstGeom prst="rect">
                      <a:avLst/>
                    </a:prstGeom>
                    <a:noFill/>
                    <a:ln>
                      <a:noFill/>
                    </a:ln>
                  </pic:spPr>
                </pic:pic>
              </a:graphicData>
            </a:graphic>
          </wp:inline>
        </w:drawing>
      </w:r>
    </w:p>
    <w:p w14:paraId="079A2585" w14:textId="77777777" w:rsidR="00B14B46" w:rsidRDefault="00B14B46" w:rsidP="00B14B46">
      <w:pPr>
        <w:ind w:left="851"/>
        <w:rPr>
          <w:sz w:val="24"/>
          <w:szCs w:val="24"/>
          <w:lang w:val="en-US"/>
        </w:rPr>
      </w:pPr>
    </w:p>
    <w:p w14:paraId="79C744EA" w14:textId="31182D99" w:rsidR="0029430D" w:rsidRPr="00312F3E" w:rsidRDefault="0029430D" w:rsidP="00B14B46">
      <w:pPr>
        <w:ind w:left="851"/>
        <w:rPr>
          <w:sz w:val="24"/>
          <w:szCs w:val="24"/>
          <w:lang w:val="en-US"/>
        </w:rPr>
      </w:pPr>
      <w:r w:rsidRPr="00312F3E">
        <w:rPr>
          <w:sz w:val="24"/>
          <w:szCs w:val="24"/>
          <w:lang w:val="en-US"/>
        </w:rPr>
        <w:t>An urgent heart failure visit was defined as an urgent, unplanned, assessment by a physician, e.g. in an Emergency Department, and requiring treatment for worsening heart failure (other than just an increase in oral diuretics). Patients at risk is the number of patients at risk at the beginning of the period.</w:t>
      </w:r>
    </w:p>
    <w:p w14:paraId="6CABCCB3" w14:textId="77777777" w:rsidR="0029430D" w:rsidRPr="00312F3E" w:rsidRDefault="0029430D" w:rsidP="00B14B46">
      <w:pPr>
        <w:ind w:left="851"/>
        <w:rPr>
          <w:sz w:val="24"/>
          <w:szCs w:val="24"/>
          <w:lang w:val="en-US"/>
        </w:rPr>
      </w:pPr>
    </w:p>
    <w:p w14:paraId="15D8ED6F" w14:textId="3F9E181D" w:rsidR="0029430D" w:rsidRDefault="0029430D" w:rsidP="00B14B46">
      <w:pPr>
        <w:ind w:left="851"/>
        <w:rPr>
          <w:sz w:val="24"/>
          <w:szCs w:val="24"/>
          <w:lang w:val="en-US"/>
        </w:rPr>
      </w:pPr>
      <w:r w:rsidRPr="00312F3E">
        <w:rPr>
          <w:sz w:val="24"/>
          <w:szCs w:val="24"/>
          <w:lang w:val="en-US"/>
        </w:rPr>
        <w:t>Figure 6 presents the contribution of the three components of the primary composite endpoint to the treatment effect.</w:t>
      </w:r>
    </w:p>
    <w:p w14:paraId="2F0FDE3D" w14:textId="77777777" w:rsidR="00B14B46" w:rsidRPr="00312F3E" w:rsidRDefault="00B14B46" w:rsidP="00B14B46">
      <w:pPr>
        <w:ind w:left="851"/>
        <w:rPr>
          <w:sz w:val="24"/>
          <w:szCs w:val="24"/>
          <w:lang w:val="en-US"/>
        </w:rPr>
      </w:pPr>
    </w:p>
    <w:p w14:paraId="3E197F49" w14:textId="6C1D434C"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6A7320">
        <w:rPr>
          <w:b/>
          <w:bCs/>
          <w:i w:val="0"/>
          <w:iCs w:val="0"/>
          <w:noProof/>
          <w:color w:val="auto"/>
          <w:sz w:val="24"/>
          <w:szCs w:val="24"/>
        </w:rPr>
        <w:t>6</w:t>
      </w:r>
      <w:r w:rsidRPr="00312F3E">
        <w:rPr>
          <w:b/>
          <w:bCs/>
          <w:i w:val="0"/>
          <w:iCs w:val="0"/>
          <w:color w:val="auto"/>
          <w:sz w:val="24"/>
          <w:szCs w:val="24"/>
        </w:rPr>
        <w:fldChar w:fldCharType="end"/>
      </w:r>
      <w:r w:rsidRPr="00312F3E">
        <w:rPr>
          <w:b/>
          <w:bCs/>
          <w:i w:val="0"/>
          <w:iCs w:val="0"/>
          <w:color w:val="auto"/>
          <w:sz w:val="24"/>
          <w:szCs w:val="24"/>
        </w:rPr>
        <w:t>: Treatment effects for the primary composite endpoint and its components</w:t>
      </w:r>
    </w:p>
    <w:p w14:paraId="7334E3B1" w14:textId="2B5E9F3F" w:rsidR="0029430D" w:rsidRPr="00312F3E" w:rsidRDefault="0029430D" w:rsidP="0029430D">
      <w:pPr>
        <w:tabs>
          <w:tab w:val="left" w:pos="1304"/>
        </w:tabs>
        <w:ind w:left="-426"/>
        <w:rPr>
          <w:sz w:val="24"/>
          <w:szCs w:val="24"/>
        </w:rPr>
      </w:pPr>
      <w:r w:rsidRPr="00312F3E">
        <w:rPr>
          <w:noProof/>
          <w:sz w:val="24"/>
          <w:szCs w:val="24"/>
        </w:rPr>
        <w:drawing>
          <wp:inline distT="0" distB="0" distL="0" distR="0" wp14:anchorId="2F9F7E34" wp14:editId="7932C28D">
            <wp:extent cx="6134100" cy="3413760"/>
            <wp:effectExtent l="0" t="0" r="0" b="0"/>
            <wp:docPr id="4" name="Billede 4" descr="A graph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with numbers and tex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4100" cy="3413760"/>
                    </a:xfrm>
                    <a:prstGeom prst="rect">
                      <a:avLst/>
                    </a:prstGeom>
                    <a:noFill/>
                    <a:ln>
                      <a:noFill/>
                    </a:ln>
                  </pic:spPr>
                </pic:pic>
              </a:graphicData>
            </a:graphic>
          </wp:inline>
        </w:drawing>
      </w:r>
    </w:p>
    <w:p w14:paraId="7E6D6FF5" w14:textId="77777777" w:rsidR="00B14B46" w:rsidRDefault="00B14B46" w:rsidP="0029430D">
      <w:pPr>
        <w:rPr>
          <w:sz w:val="24"/>
          <w:szCs w:val="24"/>
          <w:lang w:val="en-US"/>
        </w:rPr>
      </w:pPr>
    </w:p>
    <w:p w14:paraId="4F0FE4C7" w14:textId="0ECD8B80" w:rsidR="0029430D" w:rsidRPr="00312F3E" w:rsidRDefault="0029430D" w:rsidP="00B14B46">
      <w:pPr>
        <w:ind w:left="851"/>
        <w:rPr>
          <w:sz w:val="24"/>
          <w:szCs w:val="24"/>
          <w:lang w:val="en-US"/>
        </w:rPr>
      </w:pPr>
      <w:r w:rsidRPr="00312F3E">
        <w:rPr>
          <w:sz w:val="24"/>
          <w:szCs w:val="24"/>
          <w:lang w:val="en-US"/>
        </w:rPr>
        <w:t xml:space="preserve">An urgent heart failure visit was defined as an urgent, unplanned, assessment by a physician, e.g. in an Emergency Department, and requiring treatment for worsening heart failure (other than just an increase in oral diuretics). The number of first events for the single components are the actual number of first events for each component and does not add up to the number of events in the composite endpoint. </w:t>
      </w:r>
    </w:p>
    <w:p w14:paraId="2FC87A4A" w14:textId="77777777" w:rsidR="0029430D" w:rsidRPr="00312F3E" w:rsidRDefault="0029430D" w:rsidP="00B14B46">
      <w:pPr>
        <w:ind w:left="851"/>
        <w:rPr>
          <w:sz w:val="24"/>
          <w:szCs w:val="24"/>
          <w:lang w:val="en-US"/>
        </w:rPr>
      </w:pPr>
      <w:r w:rsidRPr="00312F3E">
        <w:rPr>
          <w:sz w:val="24"/>
          <w:szCs w:val="24"/>
          <w:lang w:val="en-US"/>
        </w:rPr>
        <w:t>Event rates are presented as the number of subjects with event per 100 patient years of follow-up. Cardiovascular death, here presented as a component of the primary endpoint, was also tested under formal Type 1 error control as a secondary endpoint.</w:t>
      </w:r>
    </w:p>
    <w:p w14:paraId="3908341D" w14:textId="77777777" w:rsidR="0029430D" w:rsidRPr="00312F3E" w:rsidRDefault="0029430D" w:rsidP="00B14B46">
      <w:pPr>
        <w:ind w:left="851"/>
        <w:rPr>
          <w:sz w:val="24"/>
          <w:szCs w:val="24"/>
          <w:lang w:val="en-US"/>
        </w:rPr>
      </w:pPr>
    </w:p>
    <w:p w14:paraId="0AC3FE1A" w14:textId="77777777" w:rsidR="0029430D" w:rsidRPr="00312F3E" w:rsidRDefault="0029430D" w:rsidP="00312F3E">
      <w:pPr>
        <w:ind w:left="851"/>
        <w:rPr>
          <w:sz w:val="24"/>
          <w:szCs w:val="24"/>
          <w:lang w:val="en-US"/>
        </w:rPr>
      </w:pPr>
      <w:r w:rsidRPr="00312F3E">
        <w:rPr>
          <w:sz w:val="24"/>
          <w:szCs w:val="24"/>
          <w:lang w:val="en-US"/>
        </w:rPr>
        <w:t xml:space="preserve">Dapagliflozin was superior to placebo in reducing the total number of heart failure events (defined as first and recurrent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visits) and cardiovascular death; there were 815 events in the dapagliflozin group versus 1057 events in the placebo group (Rate Ratio 0.77 [95% CI 0.67, 0.89]; p=0.0003).</w:t>
      </w:r>
    </w:p>
    <w:p w14:paraId="1BF7DC73" w14:textId="77777777" w:rsidR="0029430D" w:rsidRPr="00312F3E" w:rsidRDefault="0029430D" w:rsidP="00312F3E">
      <w:pPr>
        <w:ind w:left="851"/>
        <w:rPr>
          <w:sz w:val="24"/>
          <w:szCs w:val="24"/>
          <w:lang w:val="en-US"/>
        </w:rPr>
      </w:pPr>
    </w:p>
    <w:p w14:paraId="0ED0F9AD" w14:textId="77777777" w:rsidR="0029430D" w:rsidRPr="00312F3E" w:rsidRDefault="0029430D" w:rsidP="00312F3E">
      <w:pPr>
        <w:ind w:left="851"/>
        <w:rPr>
          <w:sz w:val="24"/>
          <w:szCs w:val="24"/>
          <w:lang w:val="en-US"/>
        </w:rPr>
      </w:pPr>
      <w:r w:rsidRPr="00312F3E">
        <w:rPr>
          <w:sz w:val="24"/>
          <w:szCs w:val="24"/>
          <w:lang w:val="en-US"/>
        </w:rPr>
        <w:t xml:space="preserve">The treatment benefit of dapagliflozin over placebo on the primary endpoint was observed across subgroups of patients with LVEF ≤ 49%, 50–59%, and ≥ 60%. Effects were also consistent across other key subgroups </w:t>
      </w:r>
      <w:proofErr w:type="spellStart"/>
      <w:r w:rsidRPr="00312F3E">
        <w:rPr>
          <w:sz w:val="24"/>
          <w:szCs w:val="24"/>
          <w:lang w:val="en-US"/>
        </w:rPr>
        <w:t>categorised</w:t>
      </w:r>
      <w:proofErr w:type="spellEnd"/>
      <w:r w:rsidRPr="00312F3E">
        <w:rPr>
          <w:sz w:val="24"/>
          <w:szCs w:val="24"/>
          <w:lang w:val="en-US"/>
        </w:rPr>
        <w:t xml:space="preserve"> by e.g. age, gender, NYHA class, NT-</w:t>
      </w:r>
      <w:proofErr w:type="spellStart"/>
      <w:r w:rsidRPr="00312F3E">
        <w:rPr>
          <w:sz w:val="24"/>
          <w:szCs w:val="24"/>
          <w:lang w:val="en-US"/>
        </w:rPr>
        <w:t>proBNP</w:t>
      </w:r>
      <w:proofErr w:type="spellEnd"/>
      <w:r w:rsidRPr="00312F3E">
        <w:rPr>
          <w:sz w:val="24"/>
          <w:szCs w:val="24"/>
          <w:lang w:val="en-US"/>
        </w:rPr>
        <w:t xml:space="preserve"> level, subacute status, and type 2 diabetes mellitus status.</w:t>
      </w:r>
    </w:p>
    <w:p w14:paraId="020729C8" w14:textId="77777777" w:rsidR="0029430D" w:rsidRPr="00312F3E" w:rsidRDefault="0029430D" w:rsidP="00312F3E">
      <w:pPr>
        <w:ind w:left="851"/>
        <w:rPr>
          <w:sz w:val="24"/>
          <w:szCs w:val="24"/>
          <w:lang w:val="en-US"/>
        </w:rPr>
      </w:pPr>
    </w:p>
    <w:p w14:paraId="67DA9F84" w14:textId="77777777" w:rsidR="0029430D" w:rsidRPr="00312F3E" w:rsidRDefault="0029430D" w:rsidP="00312F3E">
      <w:pPr>
        <w:ind w:left="851"/>
        <w:rPr>
          <w:i/>
          <w:iCs/>
          <w:sz w:val="24"/>
          <w:szCs w:val="24"/>
          <w:lang w:val="en-US"/>
        </w:rPr>
      </w:pPr>
      <w:r w:rsidRPr="00312F3E">
        <w:rPr>
          <w:i/>
          <w:iCs/>
          <w:sz w:val="24"/>
          <w:szCs w:val="24"/>
          <w:lang w:val="en-US"/>
        </w:rPr>
        <w:t>Patient reported outcome – heart failure symptoms</w:t>
      </w:r>
    </w:p>
    <w:p w14:paraId="49267E32" w14:textId="77777777" w:rsidR="0029430D" w:rsidRPr="00312F3E" w:rsidRDefault="0029430D" w:rsidP="00312F3E">
      <w:pPr>
        <w:ind w:left="851"/>
        <w:rPr>
          <w:sz w:val="24"/>
          <w:szCs w:val="24"/>
          <w:lang w:val="en-US"/>
        </w:rPr>
      </w:pPr>
      <w:r w:rsidRPr="00312F3E">
        <w:rPr>
          <w:sz w:val="24"/>
          <w:szCs w:val="24"/>
          <w:lang w:val="en-US"/>
        </w:rPr>
        <w:t>Treatment with dapagliflozin resulted in a statistically significant benefit over placebo in heart failure symptoms, as measured by change from baseline at month 8 in the KCCQ-TSS, (Win Ratio 1.11 [95% CI 1.03, 1.21]; p=0.0086). Both symptom frequency and symptom burden contributed to the results.</w:t>
      </w:r>
    </w:p>
    <w:p w14:paraId="64C41C94" w14:textId="77777777" w:rsidR="0029430D" w:rsidRPr="00312F3E" w:rsidRDefault="0029430D" w:rsidP="00312F3E">
      <w:pPr>
        <w:ind w:left="851"/>
        <w:rPr>
          <w:sz w:val="24"/>
          <w:szCs w:val="24"/>
          <w:lang w:val="en-US"/>
        </w:rPr>
      </w:pPr>
    </w:p>
    <w:p w14:paraId="5289407E" w14:textId="77777777" w:rsidR="0029430D" w:rsidRPr="00312F3E" w:rsidRDefault="0029430D" w:rsidP="00312F3E">
      <w:pPr>
        <w:ind w:left="851"/>
        <w:rPr>
          <w:sz w:val="24"/>
          <w:szCs w:val="24"/>
          <w:lang w:val="en-US"/>
        </w:rPr>
      </w:pPr>
      <w:r w:rsidRPr="00312F3E">
        <w:rPr>
          <w:sz w:val="24"/>
          <w:szCs w:val="24"/>
          <w:lang w:val="en-US"/>
        </w:rPr>
        <w:t>In responder analyses, the proportion of patients who experienced a moderate (≥ 5 points) or large (≥ 14 points) deterioration on the KCCQ-TSS from baseline at 8 months was lower in the dapagliflozin treatment group; 24.1% of patients on dapagliflozin versus 29.1% on placebo experienced a moderate deterioration (Odds Ratio 0.78 [95% CI 0.64, 0.95]) and 13.5% of patients on dapagliflozin versus 18.4% on placebo experienced a large deterioration (Odds Ratio 0.70 [95% CI 0.55, 0.88]). The proportion of patients with a small to moderate improvement (≥ 13 points) or a large improvement (≥ 17 points) did not differ between treatment groups.</w:t>
      </w:r>
    </w:p>
    <w:p w14:paraId="767BFCBC" w14:textId="77777777" w:rsidR="0029430D" w:rsidRPr="00312F3E" w:rsidRDefault="0029430D" w:rsidP="00312F3E">
      <w:pPr>
        <w:ind w:left="851"/>
        <w:rPr>
          <w:sz w:val="24"/>
          <w:szCs w:val="24"/>
          <w:lang w:val="en-US"/>
        </w:rPr>
      </w:pPr>
    </w:p>
    <w:p w14:paraId="0D9BA5C5" w14:textId="77777777" w:rsidR="0029430D" w:rsidRPr="00312F3E" w:rsidRDefault="0029430D" w:rsidP="00312F3E">
      <w:pPr>
        <w:ind w:left="851"/>
        <w:rPr>
          <w:i/>
          <w:iCs/>
          <w:sz w:val="24"/>
          <w:szCs w:val="24"/>
          <w:lang w:val="en-US"/>
        </w:rPr>
      </w:pPr>
      <w:r w:rsidRPr="00312F3E">
        <w:rPr>
          <w:i/>
          <w:iCs/>
          <w:sz w:val="24"/>
          <w:szCs w:val="24"/>
          <w:lang w:val="en-US"/>
        </w:rPr>
        <w:t>Heart failure across DAPA-HF and DELIVER studies</w:t>
      </w:r>
    </w:p>
    <w:p w14:paraId="27333894" w14:textId="77777777" w:rsidR="0029430D" w:rsidRPr="00312F3E" w:rsidRDefault="0029430D" w:rsidP="00312F3E">
      <w:pPr>
        <w:ind w:left="851"/>
        <w:rPr>
          <w:sz w:val="24"/>
          <w:szCs w:val="24"/>
          <w:lang w:val="en-US"/>
        </w:rPr>
      </w:pPr>
      <w:r w:rsidRPr="00312F3E">
        <w:rPr>
          <w:sz w:val="24"/>
          <w:szCs w:val="24"/>
          <w:lang w:val="en-US"/>
        </w:rPr>
        <w:t xml:space="preserve">In a pooled analysis of DAPA-HF and DELIVER, the HR for dapagliflozin versus placebo on the composite endpoint of cardiovascular death,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 was 0.78 (95% CI 0.72, 0.85), p &lt; 0.0001. The treatment effect was consistent across the LVEF range, without attenuation of effect by LVEF.</w:t>
      </w:r>
    </w:p>
    <w:p w14:paraId="730E6093" w14:textId="77777777" w:rsidR="0029430D" w:rsidRPr="00312F3E" w:rsidRDefault="0029430D" w:rsidP="00312F3E">
      <w:pPr>
        <w:ind w:left="851"/>
        <w:rPr>
          <w:sz w:val="24"/>
          <w:szCs w:val="24"/>
          <w:lang w:val="en-US"/>
        </w:rPr>
      </w:pPr>
    </w:p>
    <w:p w14:paraId="099BED4E" w14:textId="77777777" w:rsidR="0029430D" w:rsidRPr="00312F3E" w:rsidRDefault="0029430D" w:rsidP="00312F3E">
      <w:pPr>
        <w:ind w:left="851"/>
        <w:rPr>
          <w:sz w:val="24"/>
          <w:szCs w:val="24"/>
          <w:lang w:val="en-US"/>
        </w:rPr>
      </w:pPr>
      <w:r w:rsidRPr="00312F3E">
        <w:rPr>
          <w:sz w:val="24"/>
          <w:szCs w:val="24"/>
          <w:lang w:val="en-US"/>
        </w:rPr>
        <w:t>In a pre-specified subject level pooled analysis of the DAPA-HF and DELIVER studies, dapagliflozin compared with placebo reduced the risk of cardiovascular death (HR 0.85 [95% CI 0.75, 0.96], p=0.0115). Both studies contributed to the effect.</w:t>
      </w:r>
    </w:p>
    <w:p w14:paraId="3DEB6D3A" w14:textId="77777777" w:rsidR="0029430D" w:rsidRPr="00312F3E" w:rsidRDefault="0029430D" w:rsidP="00312F3E">
      <w:pPr>
        <w:ind w:left="851"/>
        <w:rPr>
          <w:sz w:val="24"/>
          <w:szCs w:val="24"/>
          <w:lang w:val="en-US"/>
        </w:rPr>
      </w:pPr>
    </w:p>
    <w:p w14:paraId="0BCA2423" w14:textId="77777777" w:rsidR="0029430D" w:rsidRPr="00312F3E" w:rsidRDefault="0029430D" w:rsidP="00312F3E">
      <w:pPr>
        <w:ind w:left="851"/>
        <w:rPr>
          <w:sz w:val="24"/>
          <w:szCs w:val="24"/>
          <w:u w:val="single"/>
          <w:lang w:val="en-US"/>
        </w:rPr>
      </w:pPr>
      <w:r w:rsidRPr="00312F3E">
        <w:rPr>
          <w:sz w:val="24"/>
          <w:szCs w:val="24"/>
          <w:u w:val="single"/>
          <w:lang w:val="en-US"/>
        </w:rPr>
        <w:t>Chronic kidney disease</w:t>
      </w:r>
    </w:p>
    <w:p w14:paraId="64D912ED" w14:textId="77777777" w:rsidR="0029430D" w:rsidRPr="00312F3E" w:rsidRDefault="0029430D" w:rsidP="00312F3E">
      <w:pPr>
        <w:ind w:left="851"/>
        <w:rPr>
          <w:sz w:val="24"/>
          <w:szCs w:val="24"/>
          <w:u w:val="single"/>
          <w:lang w:val="en-US"/>
        </w:rPr>
      </w:pPr>
    </w:p>
    <w:p w14:paraId="76B8017C" w14:textId="4A7BEA0A" w:rsidR="0029430D" w:rsidRPr="00312F3E" w:rsidRDefault="0029430D" w:rsidP="00312F3E">
      <w:pPr>
        <w:ind w:left="851"/>
        <w:rPr>
          <w:sz w:val="24"/>
          <w:szCs w:val="24"/>
          <w:lang w:val="en-US"/>
        </w:rPr>
      </w:pPr>
      <w:r w:rsidRPr="00312F3E">
        <w:rPr>
          <w:sz w:val="24"/>
          <w:szCs w:val="24"/>
          <w:lang w:val="en-US"/>
        </w:rPr>
        <w:t xml:space="preserve">The Study to Evaluate the Effect of Dapagliflozin on Renal Outcomes and Cardiovascular Mortality in Patients with Chronic Kidney Disease (DAPA-CKD)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double-blind, placebo-controlled study in patients with chronic kidney disease (CKD) with eGFR ≥ 25 to ≤ 75 mL/min/1.73 m</w:t>
      </w:r>
      <w:r w:rsidRPr="00312F3E">
        <w:rPr>
          <w:sz w:val="24"/>
          <w:szCs w:val="24"/>
          <w:vertAlign w:val="superscript"/>
          <w:lang w:val="en-US"/>
        </w:rPr>
        <w:t>2</w:t>
      </w:r>
      <w:r w:rsidRPr="00312F3E">
        <w:rPr>
          <w:sz w:val="24"/>
          <w:szCs w:val="24"/>
          <w:lang w:val="en-US"/>
        </w:rPr>
        <w:t xml:space="preserve"> and albuminuria (UACR ≥</w:t>
      </w:r>
      <w:r w:rsidR="00583F33">
        <w:rPr>
          <w:sz w:val="24"/>
          <w:szCs w:val="24"/>
          <w:lang w:val="en-US"/>
        </w:rPr>
        <w:t> </w:t>
      </w:r>
      <w:r w:rsidRPr="00312F3E">
        <w:rPr>
          <w:sz w:val="24"/>
          <w:szCs w:val="24"/>
          <w:lang w:val="en-US"/>
        </w:rPr>
        <w:t>200 and ≤ 5000 mg/g) to determine the effect of dapagliflozin compared with placebo, when added to background standard of care therapy, on the incidence of the composite endpoint of ≥ 50% sustained decline in eGFR, end-stage kidney disease (ESKD) (defined as sustained eGFR &lt; 15 mL/min/1.73 m</w:t>
      </w:r>
      <w:r w:rsidRPr="00312F3E">
        <w:rPr>
          <w:sz w:val="24"/>
          <w:szCs w:val="24"/>
          <w:vertAlign w:val="superscript"/>
          <w:lang w:val="en-US"/>
        </w:rPr>
        <w:t>2</w:t>
      </w:r>
      <w:r w:rsidRPr="00312F3E">
        <w:rPr>
          <w:sz w:val="24"/>
          <w:szCs w:val="24"/>
          <w:lang w:val="en-US"/>
        </w:rPr>
        <w:t>, chronic dialysis treatment or receiving a renal transplant), cardiovascular or renal death.</w:t>
      </w:r>
    </w:p>
    <w:p w14:paraId="0C1DE7C3" w14:textId="77777777" w:rsidR="0029430D" w:rsidRPr="00312F3E" w:rsidRDefault="0029430D" w:rsidP="00312F3E">
      <w:pPr>
        <w:ind w:left="851"/>
        <w:rPr>
          <w:sz w:val="24"/>
          <w:szCs w:val="24"/>
          <w:lang w:val="en-US"/>
        </w:rPr>
      </w:pPr>
    </w:p>
    <w:p w14:paraId="7250E51A" w14:textId="77777777" w:rsidR="0029430D" w:rsidRPr="00312F3E" w:rsidRDefault="0029430D" w:rsidP="00312F3E">
      <w:pPr>
        <w:ind w:left="851"/>
        <w:rPr>
          <w:sz w:val="24"/>
          <w:szCs w:val="24"/>
          <w:lang w:val="en-US"/>
        </w:rPr>
      </w:pPr>
      <w:r w:rsidRPr="00312F3E">
        <w:rPr>
          <w:sz w:val="24"/>
          <w:szCs w:val="24"/>
          <w:lang w:val="en-US"/>
        </w:rPr>
        <w:t xml:space="preserve">Of 4,304 patients, 2,152 were </w:t>
      </w:r>
      <w:proofErr w:type="spellStart"/>
      <w:r w:rsidRPr="00312F3E">
        <w:rPr>
          <w:sz w:val="24"/>
          <w:szCs w:val="24"/>
          <w:lang w:val="en-US"/>
        </w:rPr>
        <w:t>randomised</w:t>
      </w:r>
      <w:proofErr w:type="spellEnd"/>
      <w:r w:rsidRPr="00312F3E">
        <w:rPr>
          <w:sz w:val="24"/>
          <w:szCs w:val="24"/>
          <w:lang w:val="en-US"/>
        </w:rPr>
        <w:t xml:space="preserve"> to dapagliflozin 10 mg and 2,152 to placebo and followed for a median of 28.5 months. Treatment was continued if eGFR fell to levels below 25 mL/min/1.73 m</w:t>
      </w:r>
      <w:r w:rsidRPr="00312F3E">
        <w:rPr>
          <w:sz w:val="24"/>
          <w:szCs w:val="24"/>
          <w:vertAlign w:val="superscript"/>
          <w:lang w:val="en-US"/>
        </w:rPr>
        <w:t>2</w:t>
      </w:r>
      <w:r w:rsidRPr="00312F3E">
        <w:rPr>
          <w:sz w:val="24"/>
          <w:szCs w:val="24"/>
          <w:lang w:val="en-US"/>
        </w:rPr>
        <w:t xml:space="preserve"> during the study and could be continued in cases when dialysis was needed.</w:t>
      </w:r>
    </w:p>
    <w:p w14:paraId="2471F84E" w14:textId="77777777" w:rsidR="0029430D" w:rsidRPr="00312F3E" w:rsidRDefault="0029430D" w:rsidP="00312F3E">
      <w:pPr>
        <w:ind w:left="851"/>
        <w:rPr>
          <w:sz w:val="24"/>
          <w:szCs w:val="24"/>
          <w:lang w:val="en-US"/>
        </w:rPr>
      </w:pPr>
    </w:p>
    <w:p w14:paraId="434F8481" w14:textId="77777777" w:rsidR="0029430D" w:rsidRPr="00312F3E" w:rsidRDefault="0029430D" w:rsidP="00312F3E">
      <w:pPr>
        <w:ind w:left="851"/>
        <w:rPr>
          <w:sz w:val="24"/>
          <w:szCs w:val="24"/>
          <w:lang w:val="en-US"/>
        </w:rPr>
      </w:pPr>
      <w:r w:rsidRPr="00312F3E">
        <w:rPr>
          <w:sz w:val="24"/>
          <w:szCs w:val="24"/>
          <w:lang w:val="en-US"/>
        </w:rPr>
        <w:t>The mean age of the study population was 61.8 years, 66.9% were male. At baseline, mean eGFR was 43.1 mL/min/1.73 m</w:t>
      </w:r>
      <w:r w:rsidRPr="00312F3E">
        <w:rPr>
          <w:sz w:val="24"/>
          <w:szCs w:val="24"/>
          <w:vertAlign w:val="superscript"/>
          <w:lang w:val="en-US"/>
        </w:rPr>
        <w:t>2</w:t>
      </w:r>
      <w:r w:rsidRPr="00312F3E">
        <w:rPr>
          <w:sz w:val="24"/>
          <w:szCs w:val="24"/>
          <w:lang w:val="en-US"/>
        </w:rPr>
        <w:t xml:space="preserve"> and median UACR was 949.3 mg/g, 44.1% of patients had eGFR 30 to &lt; 45 mL/min/1.73 m</w:t>
      </w:r>
      <w:r w:rsidRPr="00312F3E">
        <w:rPr>
          <w:sz w:val="24"/>
          <w:szCs w:val="24"/>
          <w:vertAlign w:val="superscript"/>
          <w:lang w:val="en-US"/>
        </w:rPr>
        <w:t>2</w:t>
      </w:r>
      <w:r w:rsidRPr="00312F3E">
        <w:rPr>
          <w:sz w:val="24"/>
          <w:szCs w:val="24"/>
          <w:lang w:val="en-US"/>
        </w:rPr>
        <w:t xml:space="preserve"> and 14.5% had eGFR &lt; 30 mL/min/1.73 m</w:t>
      </w:r>
      <w:r w:rsidRPr="00312F3E">
        <w:rPr>
          <w:sz w:val="24"/>
          <w:szCs w:val="24"/>
          <w:vertAlign w:val="superscript"/>
          <w:lang w:val="en-US"/>
        </w:rPr>
        <w:t>2</w:t>
      </w:r>
      <w:r w:rsidRPr="00312F3E">
        <w:rPr>
          <w:sz w:val="24"/>
          <w:szCs w:val="24"/>
          <w:lang w:val="en-US"/>
        </w:rPr>
        <w:t>. 67.5% of the patients had type 2 diabetes mellitus. Patients were on standard of care (SOC) therapy; 97.0% of patients were treated with an angiotensin-converting enzyme inhibitor (</w:t>
      </w:r>
      <w:proofErr w:type="spellStart"/>
      <w:r w:rsidRPr="00312F3E">
        <w:rPr>
          <w:sz w:val="24"/>
          <w:szCs w:val="24"/>
          <w:lang w:val="en-US"/>
        </w:rPr>
        <w:t>ACEi</w:t>
      </w:r>
      <w:proofErr w:type="spellEnd"/>
      <w:r w:rsidRPr="00312F3E">
        <w:rPr>
          <w:sz w:val="24"/>
          <w:szCs w:val="24"/>
          <w:lang w:val="en-US"/>
        </w:rPr>
        <w:t>) or angiotensin receptor blocker (ARB).</w:t>
      </w:r>
    </w:p>
    <w:p w14:paraId="5C9B1D3B" w14:textId="77777777" w:rsidR="0029430D" w:rsidRPr="00312F3E" w:rsidRDefault="0029430D" w:rsidP="00312F3E">
      <w:pPr>
        <w:ind w:left="851"/>
        <w:rPr>
          <w:sz w:val="24"/>
          <w:szCs w:val="24"/>
          <w:lang w:val="en-US"/>
        </w:rPr>
      </w:pPr>
    </w:p>
    <w:p w14:paraId="45BD4E81" w14:textId="77777777" w:rsidR="0029430D" w:rsidRPr="00312F3E" w:rsidRDefault="0029430D" w:rsidP="00312F3E">
      <w:pPr>
        <w:ind w:left="851"/>
        <w:rPr>
          <w:sz w:val="24"/>
          <w:szCs w:val="24"/>
          <w:lang w:val="en-US"/>
        </w:rPr>
      </w:pPr>
      <w:r w:rsidRPr="00312F3E">
        <w:rPr>
          <w:sz w:val="24"/>
          <w:szCs w:val="24"/>
          <w:lang w:val="en-US"/>
        </w:rPr>
        <w:t>The study was stopped early for efficacy prior to the planned analysis based on a recommendation by the independent Data Monitoring Committee. Dapagliflozin was superior to placebo in preventing the primary composite endpoint of ≥ 50% sustained decline in eGFR, reaching end-stage kidney disease, cardiovascular or renal death. Based on the Kaplan-Meier plot for the time to first occurrence of the primary composite endpoint, the treatment effect was evident beginning at 4 months and was maintained through the end of study (Figure 7).</w:t>
      </w:r>
    </w:p>
    <w:p w14:paraId="0A797E30" w14:textId="77777777" w:rsidR="0029430D" w:rsidRPr="00312F3E" w:rsidRDefault="0029430D" w:rsidP="00312F3E">
      <w:pPr>
        <w:ind w:left="851"/>
        <w:rPr>
          <w:sz w:val="24"/>
          <w:szCs w:val="24"/>
          <w:lang w:val="en-US"/>
        </w:rPr>
      </w:pPr>
    </w:p>
    <w:p w14:paraId="71EAAA50" w14:textId="2F3587B1"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6A7320">
        <w:rPr>
          <w:b/>
          <w:bCs/>
          <w:i w:val="0"/>
          <w:iCs w:val="0"/>
          <w:noProof/>
          <w:color w:val="auto"/>
          <w:sz w:val="24"/>
          <w:szCs w:val="24"/>
        </w:rPr>
        <w:t>7</w:t>
      </w:r>
      <w:r w:rsidRPr="00312F3E">
        <w:rPr>
          <w:b/>
          <w:bCs/>
          <w:i w:val="0"/>
          <w:iCs w:val="0"/>
          <w:color w:val="auto"/>
          <w:sz w:val="24"/>
          <w:szCs w:val="24"/>
        </w:rPr>
        <w:fldChar w:fldCharType="end"/>
      </w:r>
      <w:r w:rsidRPr="00312F3E">
        <w:rPr>
          <w:b/>
          <w:bCs/>
          <w:i w:val="0"/>
          <w:iCs w:val="0"/>
          <w:color w:val="auto"/>
          <w:sz w:val="24"/>
          <w:szCs w:val="24"/>
        </w:rPr>
        <w:t>:</w:t>
      </w:r>
      <w:r w:rsidRPr="00312F3E">
        <w:rPr>
          <w:b/>
          <w:bCs/>
          <w:i w:val="0"/>
          <w:iCs w:val="0"/>
          <w:color w:val="auto"/>
          <w:sz w:val="24"/>
          <w:szCs w:val="24"/>
          <w:lang w:eastAsia="en-GB"/>
        </w:rPr>
        <w:t xml:space="preserve"> </w:t>
      </w:r>
      <w:r w:rsidRPr="00312F3E">
        <w:rPr>
          <w:b/>
          <w:bCs/>
          <w:i w:val="0"/>
          <w:iCs w:val="0"/>
          <w:color w:val="auto"/>
          <w:sz w:val="24"/>
          <w:szCs w:val="24"/>
        </w:rPr>
        <w:t>Time to first occurrence of the primary composite endpoint, ≥ 50% sustained decline in eGFR, end-stage kidney disease, cardiovascular or renal death</w:t>
      </w:r>
    </w:p>
    <w:p w14:paraId="5294A5B7" w14:textId="2244FF58" w:rsidR="0029430D" w:rsidRPr="00312F3E" w:rsidRDefault="0029430D" w:rsidP="0029430D">
      <w:pPr>
        <w:ind w:left="-142"/>
        <w:rPr>
          <w:sz w:val="24"/>
          <w:szCs w:val="24"/>
        </w:rPr>
      </w:pPr>
      <w:r w:rsidRPr="00312F3E">
        <w:rPr>
          <w:noProof/>
          <w:sz w:val="24"/>
          <w:szCs w:val="24"/>
        </w:rPr>
        <w:drawing>
          <wp:inline distT="0" distB="0" distL="0" distR="0" wp14:anchorId="14B955FA" wp14:editId="0BC1BB8E">
            <wp:extent cx="5760720" cy="3550920"/>
            <wp:effectExtent l="0" t="0" r="0" b="0"/>
            <wp:docPr id="3" name="Billede 3" descr="A graph of a grow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ph of a growth&#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550920"/>
                    </a:xfrm>
                    <a:prstGeom prst="rect">
                      <a:avLst/>
                    </a:prstGeom>
                    <a:noFill/>
                    <a:ln>
                      <a:noFill/>
                    </a:ln>
                  </pic:spPr>
                </pic:pic>
              </a:graphicData>
            </a:graphic>
          </wp:inline>
        </w:drawing>
      </w:r>
    </w:p>
    <w:p w14:paraId="542F73BA" w14:textId="77777777" w:rsidR="00B14B46" w:rsidRDefault="00B14B46" w:rsidP="0029430D">
      <w:pPr>
        <w:rPr>
          <w:sz w:val="24"/>
          <w:szCs w:val="24"/>
          <w:lang w:val="en-US"/>
        </w:rPr>
      </w:pPr>
    </w:p>
    <w:p w14:paraId="2BA631A0" w14:textId="4492F0DF" w:rsidR="0029430D" w:rsidRPr="00312F3E" w:rsidRDefault="0029430D" w:rsidP="00B14B46">
      <w:pPr>
        <w:ind w:left="851"/>
        <w:rPr>
          <w:sz w:val="24"/>
          <w:szCs w:val="24"/>
          <w:lang w:val="en-US"/>
        </w:rPr>
      </w:pPr>
      <w:r w:rsidRPr="00312F3E">
        <w:rPr>
          <w:sz w:val="24"/>
          <w:szCs w:val="24"/>
          <w:lang w:val="en-US"/>
        </w:rPr>
        <w:t>Patients at risk is the number of patients at risk at the beginning of the period.</w:t>
      </w:r>
    </w:p>
    <w:p w14:paraId="21CAA04B" w14:textId="77777777" w:rsidR="0029430D" w:rsidRPr="00312F3E" w:rsidRDefault="0029430D" w:rsidP="00B14B46">
      <w:pPr>
        <w:ind w:left="851"/>
        <w:rPr>
          <w:sz w:val="24"/>
          <w:szCs w:val="24"/>
          <w:lang w:val="en-US"/>
        </w:rPr>
      </w:pPr>
    </w:p>
    <w:p w14:paraId="75741690" w14:textId="1F66CDCF" w:rsidR="0029430D" w:rsidRPr="00312F3E" w:rsidRDefault="0029430D" w:rsidP="00312F3E">
      <w:pPr>
        <w:ind w:left="851"/>
        <w:rPr>
          <w:sz w:val="24"/>
          <w:szCs w:val="24"/>
          <w:lang w:val="en-US"/>
        </w:rPr>
      </w:pPr>
      <w:r w:rsidRPr="00312F3E">
        <w:rPr>
          <w:sz w:val="24"/>
          <w:szCs w:val="24"/>
          <w:lang w:val="en-US"/>
        </w:rPr>
        <w:t>All four components of the primary composite endpoint individually contributed to the treatment effect. Dapagliflozin also reduced the incidence of the composite endpoint of ≥</w:t>
      </w:r>
      <w:r w:rsidR="00583F33">
        <w:rPr>
          <w:sz w:val="24"/>
          <w:szCs w:val="24"/>
          <w:lang w:val="en-US"/>
        </w:rPr>
        <w:t> </w:t>
      </w:r>
      <w:r w:rsidRPr="00312F3E">
        <w:rPr>
          <w:sz w:val="24"/>
          <w:szCs w:val="24"/>
          <w:lang w:val="en-US"/>
        </w:rPr>
        <w:t xml:space="preserve">50% sustained decline in eGFR, end-stage kidney disease or renal death and the composite endpoint of cardiovascular death and </w:t>
      </w:r>
      <w:proofErr w:type="spellStart"/>
      <w:r w:rsidRPr="00312F3E">
        <w:rPr>
          <w:sz w:val="24"/>
          <w:szCs w:val="24"/>
          <w:lang w:val="en-US"/>
        </w:rPr>
        <w:t>hospitalisation</w:t>
      </w:r>
      <w:proofErr w:type="spellEnd"/>
      <w:r w:rsidRPr="00312F3E">
        <w:rPr>
          <w:sz w:val="24"/>
          <w:szCs w:val="24"/>
          <w:lang w:val="en-US"/>
        </w:rPr>
        <w:t xml:space="preserve"> for heart failure. Treatment with dapagliflozin improved overall survival in chronic kidney disease patients with a significant reduction in all-cause mortality (Figure 8).</w:t>
      </w:r>
    </w:p>
    <w:p w14:paraId="019290CC" w14:textId="77777777" w:rsidR="0029430D" w:rsidRPr="00312F3E" w:rsidRDefault="0029430D" w:rsidP="00312F3E">
      <w:pPr>
        <w:ind w:left="851"/>
        <w:rPr>
          <w:sz w:val="24"/>
          <w:szCs w:val="24"/>
          <w:lang w:val="en-US"/>
        </w:rPr>
      </w:pPr>
    </w:p>
    <w:p w14:paraId="6EC98699" w14:textId="19FFDD63"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6A7320">
        <w:rPr>
          <w:b/>
          <w:bCs/>
          <w:i w:val="0"/>
          <w:iCs w:val="0"/>
          <w:noProof/>
          <w:color w:val="auto"/>
          <w:sz w:val="24"/>
          <w:szCs w:val="24"/>
        </w:rPr>
        <w:t>8</w:t>
      </w:r>
      <w:r w:rsidRPr="00312F3E">
        <w:rPr>
          <w:b/>
          <w:bCs/>
          <w:i w:val="0"/>
          <w:iCs w:val="0"/>
          <w:color w:val="auto"/>
          <w:sz w:val="24"/>
          <w:szCs w:val="24"/>
        </w:rPr>
        <w:fldChar w:fldCharType="end"/>
      </w:r>
      <w:r w:rsidRPr="00312F3E">
        <w:rPr>
          <w:b/>
          <w:bCs/>
          <w:i w:val="0"/>
          <w:iCs w:val="0"/>
          <w:color w:val="auto"/>
          <w:sz w:val="24"/>
          <w:szCs w:val="24"/>
        </w:rPr>
        <w:t xml:space="preserve">: </w:t>
      </w:r>
      <w:r w:rsidRPr="00312F3E">
        <w:rPr>
          <w:b/>
          <w:bCs/>
          <w:i w:val="0"/>
          <w:iCs w:val="0"/>
          <w:color w:val="auto"/>
          <w:sz w:val="24"/>
          <w:szCs w:val="24"/>
          <w:lang w:eastAsia="en-GB"/>
        </w:rPr>
        <w:t>Treatment effects for the primary and secondary composite endpoints, their individual components, and all-cause mortality</w:t>
      </w:r>
    </w:p>
    <w:p w14:paraId="443D8708" w14:textId="175E599A" w:rsidR="0029430D" w:rsidRPr="00312F3E" w:rsidRDefault="0029430D" w:rsidP="0029430D">
      <w:pPr>
        <w:rPr>
          <w:sz w:val="24"/>
          <w:szCs w:val="24"/>
        </w:rPr>
      </w:pPr>
      <w:r w:rsidRPr="00312F3E">
        <w:rPr>
          <w:noProof/>
          <w:sz w:val="24"/>
          <w:szCs w:val="24"/>
        </w:rPr>
        <w:drawing>
          <wp:inline distT="0" distB="0" distL="0" distR="0" wp14:anchorId="25241D6E" wp14:editId="14122692">
            <wp:extent cx="5570220" cy="7063740"/>
            <wp:effectExtent l="0" t="0" r="0" b="3810"/>
            <wp:docPr id="2" name="Billede 2" descr="A paper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aper with numbers and text&#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0220" cy="7063740"/>
                    </a:xfrm>
                    <a:prstGeom prst="rect">
                      <a:avLst/>
                    </a:prstGeom>
                    <a:noFill/>
                    <a:ln>
                      <a:noFill/>
                    </a:ln>
                  </pic:spPr>
                </pic:pic>
              </a:graphicData>
            </a:graphic>
          </wp:inline>
        </w:drawing>
      </w:r>
    </w:p>
    <w:p w14:paraId="07720F0F" w14:textId="77777777" w:rsidR="0029430D" w:rsidRPr="00312F3E" w:rsidRDefault="0029430D" w:rsidP="00B14B46">
      <w:pPr>
        <w:ind w:left="851"/>
        <w:rPr>
          <w:sz w:val="24"/>
          <w:szCs w:val="24"/>
          <w:lang w:val="en-US"/>
        </w:rPr>
      </w:pPr>
      <w:r w:rsidRPr="00312F3E">
        <w:rPr>
          <w:sz w:val="24"/>
          <w:szCs w:val="24"/>
          <w:lang w:val="en-US"/>
        </w:rPr>
        <w:t>The number of first events for the single components are the actual number of first events for each component and does not add up to the number of events in the composite endpoint.</w:t>
      </w:r>
    </w:p>
    <w:p w14:paraId="3DB85B10" w14:textId="77777777" w:rsidR="0029430D" w:rsidRPr="00312F3E" w:rsidRDefault="0029430D" w:rsidP="00B14B46">
      <w:pPr>
        <w:ind w:left="851"/>
        <w:rPr>
          <w:sz w:val="24"/>
          <w:szCs w:val="24"/>
          <w:lang w:val="en-US"/>
        </w:rPr>
      </w:pPr>
      <w:r w:rsidRPr="00312F3E">
        <w:rPr>
          <w:sz w:val="24"/>
          <w:szCs w:val="24"/>
          <w:lang w:val="en-US"/>
        </w:rPr>
        <w:t>Event rates are presented as the number of subjects with event per 100 patient years of follow-up.</w:t>
      </w:r>
    </w:p>
    <w:p w14:paraId="648A3985" w14:textId="77777777" w:rsidR="0029430D" w:rsidRPr="00312F3E" w:rsidRDefault="0029430D" w:rsidP="00B14B46">
      <w:pPr>
        <w:ind w:left="851"/>
        <w:rPr>
          <w:sz w:val="24"/>
          <w:szCs w:val="24"/>
          <w:lang w:val="en-US"/>
        </w:rPr>
      </w:pPr>
      <w:r w:rsidRPr="00312F3E">
        <w:rPr>
          <w:sz w:val="24"/>
          <w:szCs w:val="24"/>
          <w:lang w:val="en-US"/>
        </w:rPr>
        <w:t>Hazard ratio estimates are not presented for subgroups with less than 15 events in total, both arms combined.</w:t>
      </w:r>
    </w:p>
    <w:p w14:paraId="25CD92D0" w14:textId="77777777" w:rsidR="0029430D" w:rsidRPr="00312F3E" w:rsidRDefault="0029430D" w:rsidP="00B14B46">
      <w:pPr>
        <w:ind w:left="851"/>
        <w:rPr>
          <w:sz w:val="24"/>
          <w:szCs w:val="24"/>
          <w:lang w:val="en-US"/>
        </w:rPr>
      </w:pPr>
    </w:p>
    <w:p w14:paraId="5A85F3D4" w14:textId="77777777" w:rsidR="0029430D" w:rsidRPr="00312F3E" w:rsidRDefault="0029430D" w:rsidP="00312F3E">
      <w:pPr>
        <w:ind w:left="851"/>
        <w:rPr>
          <w:sz w:val="24"/>
          <w:szCs w:val="24"/>
          <w:lang w:val="en-US"/>
        </w:rPr>
      </w:pPr>
      <w:r w:rsidRPr="00312F3E">
        <w:rPr>
          <w:sz w:val="24"/>
          <w:szCs w:val="24"/>
          <w:lang w:val="en-US"/>
        </w:rPr>
        <w:t>The treatment benefit of dapagliflozin was consistent in chronic kidney disease patients with type 2 diabetes mellitus and without diabetes. Dapagliflozin reduced the primary composite endpoint of ≥ 50% sustained decline in eGFR, reaching end-stage kidney disease, cardiovascular or renal death with a HR of 0.64 (95% CI 0.52, 0.79) in patients with type 2 diabetes mellitus and 0.50 (95% CI 0.35, 0.72) in patients without diabetes.</w:t>
      </w:r>
    </w:p>
    <w:p w14:paraId="5FE7E3AE" w14:textId="77777777" w:rsidR="0029430D" w:rsidRPr="00312F3E" w:rsidRDefault="0029430D" w:rsidP="00312F3E">
      <w:pPr>
        <w:ind w:left="851"/>
        <w:rPr>
          <w:sz w:val="24"/>
          <w:szCs w:val="24"/>
          <w:lang w:val="en-US"/>
        </w:rPr>
      </w:pPr>
    </w:p>
    <w:p w14:paraId="5E1677FB" w14:textId="77777777" w:rsidR="0029430D" w:rsidRPr="00312F3E" w:rsidRDefault="0029430D" w:rsidP="00312F3E">
      <w:pPr>
        <w:ind w:left="851"/>
        <w:rPr>
          <w:sz w:val="24"/>
          <w:szCs w:val="24"/>
          <w:lang w:val="en-US"/>
        </w:rPr>
      </w:pPr>
      <w:r w:rsidRPr="00312F3E">
        <w:rPr>
          <w:sz w:val="24"/>
          <w:szCs w:val="24"/>
          <w:lang w:val="en-US"/>
        </w:rPr>
        <w:t>The treatment benefit of dapagliflozin over placebo on the primary endpoint was also consistent across other key subgroups, including eGFR, age, gender, and region.</w:t>
      </w:r>
    </w:p>
    <w:p w14:paraId="1F05B5FF" w14:textId="77777777" w:rsidR="0029430D" w:rsidRPr="00312F3E" w:rsidRDefault="0029430D" w:rsidP="00312F3E">
      <w:pPr>
        <w:ind w:left="851"/>
        <w:rPr>
          <w:sz w:val="24"/>
          <w:szCs w:val="24"/>
          <w:u w:val="single"/>
          <w:lang w:val="en-US"/>
        </w:rPr>
      </w:pPr>
    </w:p>
    <w:p w14:paraId="3923BAFF" w14:textId="77777777" w:rsidR="0029430D" w:rsidRPr="00312F3E" w:rsidRDefault="0029430D" w:rsidP="00312F3E">
      <w:pPr>
        <w:ind w:left="851"/>
        <w:rPr>
          <w:sz w:val="24"/>
          <w:szCs w:val="24"/>
          <w:u w:val="single"/>
          <w:lang w:val="en-US"/>
        </w:rPr>
      </w:pPr>
      <w:r w:rsidRPr="00312F3E">
        <w:rPr>
          <w:sz w:val="24"/>
          <w:szCs w:val="24"/>
          <w:u w:val="single"/>
          <w:lang w:val="en-US"/>
        </w:rPr>
        <w:t>Paediatric population</w:t>
      </w:r>
    </w:p>
    <w:p w14:paraId="2AC9ADCB" w14:textId="77777777" w:rsidR="0029430D" w:rsidRPr="00312F3E" w:rsidRDefault="0029430D" w:rsidP="00312F3E">
      <w:pPr>
        <w:ind w:left="851"/>
        <w:rPr>
          <w:sz w:val="24"/>
          <w:szCs w:val="24"/>
          <w:u w:val="single"/>
          <w:lang w:val="en-US"/>
        </w:rPr>
      </w:pPr>
    </w:p>
    <w:p w14:paraId="161D0078" w14:textId="77777777" w:rsidR="0029430D" w:rsidRPr="00312F3E" w:rsidRDefault="0029430D" w:rsidP="00312F3E">
      <w:pPr>
        <w:ind w:left="851"/>
        <w:rPr>
          <w:i/>
          <w:iCs/>
          <w:sz w:val="24"/>
          <w:szCs w:val="24"/>
          <w:u w:val="single"/>
          <w:lang w:val="en-US"/>
        </w:rPr>
      </w:pPr>
      <w:r w:rsidRPr="00312F3E">
        <w:rPr>
          <w:i/>
          <w:iCs/>
          <w:sz w:val="24"/>
          <w:szCs w:val="24"/>
          <w:u w:val="single"/>
          <w:lang w:val="en-US"/>
        </w:rPr>
        <w:t>Type 2 diabetes mellitus</w:t>
      </w:r>
    </w:p>
    <w:p w14:paraId="71A7A626" w14:textId="77777777" w:rsidR="0029430D" w:rsidRPr="00312F3E" w:rsidRDefault="0029430D" w:rsidP="00312F3E">
      <w:pPr>
        <w:ind w:left="851"/>
        <w:rPr>
          <w:sz w:val="24"/>
          <w:szCs w:val="24"/>
          <w:lang w:val="en-US"/>
        </w:rPr>
      </w:pPr>
      <w:r w:rsidRPr="00312F3E">
        <w:rPr>
          <w:sz w:val="24"/>
          <w:szCs w:val="24"/>
          <w:lang w:val="en-US"/>
        </w:rPr>
        <w:t xml:space="preserve">In a clinical study in children and adolescents aged 10-24 years with type 2 diabetes mellitus, 39 patients were </w:t>
      </w:r>
      <w:proofErr w:type="spellStart"/>
      <w:r w:rsidRPr="00312F3E">
        <w:rPr>
          <w:sz w:val="24"/>
          <w:szCs w:val="24"/>
          <w:lang w:val="en-US"/>
        </w:rPr>
        <w:t>randomised</w:t>
      </w:r>
      <w:proofErr w:type="spellEnd"/>
      <w:r w:rsidRPr="00312F3E">
        <w:rPr>
          <w:sz w:val="24"/>
          <w:szCs w:val="24"/>
          <w:lang w:val="en-US"/>
        </w:rPr>
        <w:t xml:space="preserve"> to dapagliflozin 10 mg and 33 to placebo, as add-on to metformin, insulin or a combination of metformin and insulin. At </w:t>
      </w:r>
      <w:proofErr w:type="spellStart"/>
      <w:r w:rsidRPr="00312F3E">
        <w:rPr>
          <w:sz w:val="24"/>
          <w:szCs w:val="24"/>
          <w:lang w:val="en-US"/>
        </w:rPr>
        <w:t>randomisation</w:t>
      </w:r>
      <w:proofErr w:type="spellEnd"/>
      <w:r w:rsidRPr="00312F3E">
        <w:rPr>
          <w:sz w:val="24"/>
          <w:szCs w:val="24"/>
          <w:lang w:val="en-US"/>
        </w:rPr>
        <w:t xml:space="preserve">, 74% of the patients were &lt; 18 years of age. The adjusted mean </w:t>
      </w:r>
      <w:proofErr w:type="gramStart"/>
      <w:r w:rsidRPr="00312F3E">
        <w:rPr>
          <w:sz w:val="24"/>
          <w:szCs w:val="24"/>
          <w:lang w:val="en-US"/>
        </w:rPr>
        <w:t>change</w:t>
      </w:r>
      <w:proofErr w:type="gramEnd"/>
      <w:r w:rsidRPr="00312F3E">
        <w:rPr>
          <w:sz w:val="24"/>
          <w:szCs w:val="24"/>
          <w:lang w:val="en-US"/>
        </w:rPr>
        <w:t xml:space="preserve"> in HbA1c for dapagliflozin relative to placebo from baseline to week 24 was -0.75% (95% CI -1.65, 0.15). In the age group &lt; 18 years the adjusted mean change in HbA1c for dapagliflozin relative to placebo was -0.59% (95% CI -1.66, 0.48). In the age group ≥ 18 years, the mean change from baseline in HbA1c was -1.52% in the dapagliflozin treated group (n=9) and 0.17% in the placebo treated group (n=6). Efficacy and safety were similar to that observed in the adult population treated with dapagliflozin. Safety and tolerability were further confirmed in a 28-week safety extension of the study.</w:t>
      </w:r>
    </w:p>
    <w:p w14:paraId="479E069A" w14:textId="77777777" w:rsidR="0029430D" w:rsidRPr="00312F3E" w:rsidRDefault="0029430D" w:rsidP="00312F3E">
      <w:pPr>
        <w:ind w:left="851"/>
        <w:rPr>
          <w:sz w:val="24"/>
          <w:szCs w:val="24"/>
          <w:lang w:val="en-US"/>
        </w:rPr>
      </w:pPr>
    </w:p>
    <w:p w14:paraId="14701318" w14:textId="77777777" w:rsidR="0029430D" w:rsidRPr="00312F3E" w:rsidRDefault="0029430D" w:rsidP="00312F3E">
      <w:pPr>
        <w:ind w:left="851"/>
        <w:rPr>
          <w:i/>
          <w:iCs/>
          <w:sz w:val="24"/>
          <w:szCs w:val="24"/>
          <w:u w:val="single"/>
          <w:lang w:val="en-US"/>
        </w:rPr>
      </w:pPr>
      <w:r w:rsidRPr="00312F3E">
        <w:rPr>
          <w:i/>
          <w:iCs/>
          <w:sz w:val="24"/>
          <w:szCs w:val="24"/>
          <w:u w:val="single"/>
          <w:lang w:val="en-US"/>
        </w:rPr>
        <w:t>Heart failure and chronic kidney disease</w:t>
      </w:r>
    </w:p>
    <w:p w14:paraId="2A994EB2" w14:textId="77777777" w:rsidR="0029430D" w:rsidRPr="00312F3E" w:rsidRDefault="0029430D" w:rsidP="00312F3E">
      <w:pPr>
        <w:ind w:left="851"/>
        <w:rPr>
          <w:sz w:val="24"/>
          <w:szCs w:val="24"/>
          <w:lang w:val="en-US"/>
        </w:rPr>
      </w:pPr>
      <w:r w:rsidRPr="00312F3E">
        <w:rPr>
          <w:sz w:val="24"/>
          <w:szCs w:val="24"/>
          <w:lang w:val="en-US"/>
        </w:rPr>
        <w:t>The European Medicines Agency has waived the obligation to submit the results of studies with dapagliflozin in all subsets of the paediatric population in the prevention of cardiovascular events in patients with chronic heart failure and in the treatment of chronic kidney disease (see section 4.2 for information on paediatric use).</w:t>
      </w:r>
    </w:p>
    <w:p w14:paraId="74C61E8A" w14:textId="77777777" w:rsidR="007C5D2A" w:rsidRPr="00312F3E" w:rsidRDefault="007C5D2A" w:rsidP="003E0341">
      <w:pPr>
        <w:tabs>
          <w:tab w:val="left" w:pos="851"/>
        </w:tabs>
        <w:ind w:left="851"/>
        <w:rPr>
          <w:sz w:val="24"/>
          <w:szCs w:val="24"/>
          <w:lang w:val="en-GB"/>
        </w:rPr>
      </w:pPr>
    </w:p>
    <w:p w14:paraId="6F8E789C" w14:textId="00D5DF9D" w:rsidR="007C5D2A" w:rsidRPr="00312F3E" w:rsidRDefault="007C5D2A" w:rsidP="007C5D2A">
      <w:pPr>
        <w:tabs>
          <w:tab w:val="left" w:pos="851"/>
        </w:tabs>
        <w:ind w:left="851" w:hanging="851"/>
        <w:rPr>
          <w:b/>
          <w:sz w:val="24"/>
          <w:szCs w:val="24"/>
          <w:lang w:val="en-GB"/>
        </w:rPr>
      </w:pPr>
      <w:r w:rsidRPr="00312F3E">
        <w:rPr>
          <w:b/>
          <w:sz w:val="24"/>
          <w:szCs w:val="24"/>
          <w:lang w:val="en-GB"/>
        </w:rPr>
        <w:t>5.2</w:t>
      </w:r>
      <w:r w:rsidRPr="00312F3E">
        <w:rPr>
          <w:b/>
          <w:sz w:val="24"/>
          <w:szCs w:val="24"/>
          <w:lang w:val="en-GB"/>
        </w:rPr>
        <w:tab/>
        <w:t>Pharmacokinetic properties</w:t>
      </w:r>
    </w:p>
    <w:p w14:paraId="3AA0821B" w14:textId="77777777" w:rsidR="00B14B46" w:rsidRDefault="00B14B46" w:rsidP="00312F3E">
      <w:pPr>
        <w:ind w:left="851"/>
        <w:rPr>
          <w:noProof/>
          <w:sz w:val="24"/>
          <w:szCs w:val="24"/>
          <w:lang w:val="en-US"/>
        </w:rPr>
      </w:pPr>
    </w:p>
    <w:p w14:paraId="1287254B" w14:textId="3299355A" w:rsidR="0029430D" w:rsidRPr="00B14B46" w:rsidRDefault="0029430D" w:rsidP="00312F3E">
      <w:pPr>
        <w:ind w:left="851"/>
        <w:rPr>
          <w:noProof/>
          <w:sz w:val="24"/>
          <w:szCs w:val="24"/>
          <w:u w:val="single"/>
          <w:lang w:val="en-US"/>
        </w:rPr>
      </w:pPr>
      <w:r w:rsidRPr="00B14B46">
        <w:rPr>
          <w:noProof/>
          <w:sz w:val="24"/>
          <w:szCs w:val="24"/>
          <w:u w:val="single"/>
          <w:lang w:val="en-US"/>
        </w:rPr>
        <w:t>Absorption</w:t>
      </w:r>
    </w:p>
    <w:p w14:paraId="65AE7906" w14:textId="77777777" w:rsidR="0029430D" w:rsidRPr="00312F3E" w:rsidRDefault="0029430D" w:rsidP="00312F3E">
      <w:pPr>
        <w:ind w:left="851"/>
        <w:rPr>
          <w:noProof/>
          <w:sz w:val="24"/>
          <w:szCs w:val="24"/>
          <w:lang w:val="en-US"/>
        </w:rPr>
      </w:pPr>
    </w:p>
    <w:p w14:paraId="7165BFA8" w14:textId="7B64FD9B" w:rsidR="0029430D" w:rsidRPr="00312F3E" w:rsidRDefault="0029430D" w:rsidP="00312F3E">
      <w:pPr>
        <w:ind w:left="851"/>
        <w:rPr>
          <w:noProof/>
          <w:sz w:val="24"/>
          <w:szCs w:val="24"/>
          <w:lang w:val="en-US"/>
        </w:rPr>
      </w:pPr>
      <w:r w:rsidRPr="00312F3E">
        <w:rPr>
          <w:noProof/>
          <w:sz w:val="24"/>
          <w:szCs w:val="24"/>
          <w:lang w:val="en-US"/>
        </w:rPr>
        <w:t>Dapagliflozin was rapidly and well absorbed after oral administration. Maximum dapagliflozin plasma concentrations (C</w:t>
      </w:r>
      <w:r w:rsidRPr="00583F33">
        <w:rPr>
          <w:noProof/>
          <w:sz w:val="24"/>
          <w:szCs w:val="24"/>
          <w:vertAlign w:val="subscript"/>
          <w:lang w:val="en-US"/>
        </w:rPr>
        <w:t>max</w:t>
      </w:r>
      <w:r w:rsidRPr="00312F3E">
        <w:rPr>
          <w:noProof/>
          <w:sz w:val="24"/>
          <w:szCs w:val="24"/>
          <w:lang w:val="en-US"/>
        </w:rPr>
        <w:t>) were usually attained within 2 hours after administration in the fasted state. Geometric mean steady-state dapagliflozin C</w:t>
      </w:r>
      <w:r w:rsidRPr="006A7320">
        <w:rPr>
          <w:noProof/>
          <w:sz w:val="24"/>
          <w:szCs w:val="24"/>
          <w:vertAlign w:val="subscript"/>
          <w:lang w:val="en-US"/>
        </w:rPr>
        <w:t>max</w:t>
      </w:r>
      <w:r w:rsidRPr="00312F3E">
        <w:rPr>
          <w:noProof/>
          <w:sz w:val="24"/>
          <w:szCs w:val="24"/>
          <w:lang w:val="en-US"/>
        </w:rPr>
        <w:t xml:space="preserve"> and AUC</w:t>
      </w:r>
      <w:r w:rsidRPr="00312F3E">
        <w:rPr>
          <w:noProof/>
          <w:sz w:val="24"/>
          <w:szCs w:val="24"/>
        </w:rPr>
        <w:t>τ</w:t>
      </w:r>
      <w:r w:rsidRPr="00312F3E">
        <w:rPr>
          <w:noProof/>
          <w:sz w:val="24"/>
          <w:szCs w:val="24"/>
          <w:lang w:val="en-US"/>
        </w:rPr>
        <w:t xml:space="preserve"> values following once daily 10 mg doses of dapagliflozin were 158 ng/mL and 628</w:t>
      </w:r>
      <w:r w:rsidR="00583F33">
        <w:rPr>
          <w:noProof/>
          <w:sz w:val="24"/>
          <w:szCs w:val="24"/>
          <w:lang w:val="en-US"/>
        </w:rPr>
        <w:t> </w:t>
      </w:r>
      <w:r w:rsidRPr="00312F3E">
        <w:rPr>
          <w:noProof/>
          <w:sz w:val="24"/>
          <w:szCs w:val="24"/>
          <w:lang w:val="en-US"/>
        </w:rPr>
        <w:t>ng h/mL, respectively. The absolute oral bioavailability of dapagliflozin following the administration of a 10 mg dose is 78%. Administration with a high-fat meal decreased dapagliflozin C</w:t>
      </w:r>
      <w:r w:rsidRPr="00583F33">
        <w:rPr>
          <w:noProof/>
          <w:sz w:val="24"/>
          <w:szCs w:val="24"/>
          <w:vertAlign w:val="subscript"/>
          <w:lang w:val="en-US"/>
        </w:rPr>
        <w:t>max</w:t>
      </w:r>
      <w:r w:rsidRPr="00312F3E">
        <w:rPr>
          <w:noProof/>
          <w:sz w:val="24"/>
          <w:szCs w:val="24"/>
          <w:lang w:val="en-US"/>
        </w:rPr>
        <w:t xml:space="preserve"> by up to 50% and prolonged Tmax by approximately 1 hour, but did not alter AUC as compared with the fasted state. These changes are not considered to be clinically meaningful. Hence, </w:t>
      </w:r>
      <w:r w:rsidR="00312F3E">
        <w:rPr>
          <w:noProof/>
          <w:sz w:val="24"/>
          <w:szCs w:val="24"/>
          <w:lang w:val="en-US"/>
        </w:rPr>
        <w:t>Dofliga</w:t>
      </w:r>
      <w:r w:rsidRPr="00312F3E">
        <w:rPr>
          <w:noProof/>
          <w:sz w:val="24"/>
          <w:szCs w:val="24"/>
          <w:lang w:val="en-US"/>
        </w:rPr>
        <w:t xml:space="preserve"> can be administered with or without food.</w:t>
      </w:r>
    </w:p>
    <w:p w14:paraId="6776801F" w14:textId="77777777" w:rsidR="0029430D" w:rsidRPr="00312F3E" w:rsidRDefault="0029430D" w:rsidP="00312F3E">
      <w:pPr>
        <w:ind w:left="851"/>
        <w:rPr>
          <w:noProof/>
          <w:sz w:val="24"/>
          <w:szCs w:val="24"/>
          <w:lang w:val="en-US"/>
        </w:rPr>
      </w:pPr>
    </w:p>
    <w:p w14:paraId="481E1B46" w14:textId="77777777" w:rsidR="0029430D" w:rsidRPr="00B14B46" w:rsidRDefault="0029430D" w:rsidP="00312F3E">
      <w:pPr>
        <w:ind w:left="851"/>
        <w:rPr>
          <w:noProof/>
          <w:sz w:val="24"/>
          <w:szCs w:val="24"/>
          <w:u w:val="single"/>
          <w:lang w:val="en-US"/>
        </w:rPr>
      </w:pPr>
      <w:r w:rsidRPr="00B14B46">
        <w:rPr>
          <w:noProof/>
          <w:sz w:val="24"/>
          <w:szCs w:val="24"/>
          <w:u w:val="single"/>
          <w:lang w:val="en-US"/>
        </w:rPr>
        <w:t>Distribution</w:t>
      </w:r>
    </w:p>
    <w:p w14:paraId="4609297E" w14:textId="77777777" w:rsidR="0029430D" w:rsidRPr="00312F3E" w:rsidRDefault="0029430D" w:rsidP="00312F3E">
      <w:pPr>
        <w:ind w:left="851"/>
        <w:rPr>
          <w:noProof/>
          <w:sz w:val="24"/>
          <w:szCs w:val="24"/>
          <w:lang w:val="en-US"/>
        </w:rPr>
      </w:pPr>
    </w:p>
    <w:p w14:paraId="6889912D" w14:textId="77777777" w:rsidR="0029430D" w:rsidRPr="00312F3E" w:rsidRDefault="0029430D" w:rsidP="00312F3E">
      <w:pPr>
        <w:ind w:left="851"/>
        <w:rPr>
          <w:noProof/>
          <w:sz w:val="24"/>
          <w:szCs w:val="24"/>
          <w:lang w:val="en-US"/>
        </w:rPr>
      </w:pPr>
      <w:r w:rsidRPr="00312F3E">
        <w:rPr>
          <w:noProof/>
          <w:sz w:val="24"/>
          <w:szCs w:val="24"/>
          <w:lang w:val="en-US"/>
        </w:rPr>
        <w:t>Dapagliflozin is approximately 91% protein bound. Protein binding was not altered in various disease states (e.g. renal or hepatic impairment). The mean steady-state volume of distribution of dapagliflozin was 118 liters.</w:t>
      </w:r>
    </w:p>
    <w:p w14:paraId="0093535A" w14:textId="77777777" w:rsidR="0029430D" w:rsidRPr="00312F3E" w:rsidRDefault="0029430D" w:rsidP="00312F3E">
      <w:pPr>
        <w:ind w:left="851"/>
        <w:rPr>
          <w:noProof/>
          <w:sz w:val="24"/>
          <w:szCs w:val="24"/>
          <w:lang w:val="en-US"/>
        </w:rPr>
      </w:pPr>
    </w:p>
    <w:p w14:paraId="2EF15BAB" w14:textId="77777777" w:rsidR="0029430D" w:rsidRPr="00B14B46" w:rsidRDefault="0029430D" w:rsidP="00312F3E">
      <w:pPr>
        <w:ind w:left="851"/>
        <w:rPr>
          <w:noProof/>
          <w:sz w:val="24"/>
          <w:szCs w:val="24"/>
          <w:u w:val="single"/>
          <w:lang w:val="en-US"/>
        </w:rPr>
      </w:pPr>
      <w:r w:rsidRPr="00B14B46">
        <w:rPr>
          <w:noProof/>
          <w:sz w:val="24"/>
          <w:szCs w:val="24"/>
          <w:u w:val="single"/>
          <w:lang w:val="en-US"/>
        </w:rPr>
        <w:t>Biotransformation</w:t>
      </w:r>
    </w:p>
    <w:p w14:paraId="7C567CE5" w14:textId="77777777" w:rsidR="0029430D" w:rsidRPr="00312F3E" w:rsidRDefault="0029430D" w:rsidP="00312F3E">
      <w:pPr>
        <w:ind w:left="851"/>
        <w:rPr>
          <w:noProof/>
          <w:sz w:val="24"/>
          <w:szCs w:val="24"/>
          <w:lang w:val="en-US"/>
        </w:rPr>
      </w:pPr>
    </w:p>
    <w:p w14:paraId="1D02575D" w14:textId="77777777" w:rsidR="0029430D" w:rsidRPr="00312F3E" w:rsidRDefault="0029430D" w:rsidP="00312F3E">
      <w:pPr>
        <w:ind w:left="851"/>
        <w:rPr>
          <w:noProof/>
          <w:sz w:val="24"/>
          <w:szCs w:val="24"/>
          <w:lang w:val="en-US"/>
        </w:rPr>
      </w:pPr>
      <w:r w:rsidRPr="00312F3E">
        <w:rPr>
          <w:noProof/>
          <w:sz w:val="24"/>
          <w:szCs w:val="24"/>
          <w:lang w:val="en-US"/>
        </w:rPr>
        <w:t>Dapagliflozin is extensively metabolised, primarily to yield dapagliflozin 3-O-glucuronide, which is an inactive metabolite. Dapagliflozin 3-O-glucuronide or other metabolites do not contribute to the glucose-lowering effects. The formation of dapagliflozin 3-O-glucuronide is mediated by UGT1A9, an enzyme present in the liver and kidney, and CYP-mediated metabolism was a minor clearance pathway in humans.</w:t>
      </w:r>
    </w:p>
    <w:p w14:paraId="7DDE57E2" w14:textId="77777777" w:rsidR="0029430D" w:rsidRPr="00312F3E" w:rsidRDefault="0029430D" w:rsidP="00312F3E">
      <w:pPr>
        <w:ind w:left="851"/>
        <w:rPr>
          <w:noProof/>
          <w:sz w:val="24"/>
          <w:szCs w:val="24"/>
          <w:lang w:val="en-US"/>
        </w:rPr>
      </w:pPr>
    </w:p>
    <w:p w14:paraId="55DE75C8" w14:textId="77777777" w:rsidR="0029430D" w:rsidRPr="00B14B46" w:rsidRDefault="0029430D" w:rsidP="00312F3E">
      <w:pPr>
        <w:ind w:left="851"/>
        <w:rPr>
          <w:noProof/>
          <w:sz w:val="24"/>
          <w:szCs w:val="24"/>
          <w:u w:val="single"/>
          <w:lang w:val="en-US"/>
        </w:rPr>
      </w:pPr>
      <w:r w:rsidRPr="00B14B46">
        <w:rPr>
          <w:noProof/>
          <w:sz w:val="24"/>
          <w:szCs w:val="24"/>
          <w:u w:val="single"/>
          <w:lang w:val="en-US"/>
        </w:rPr>
        <w:t>Elimination</w:t>
      </w:r>
    </w:p>
    <w:p w14:paraId="52595D16" w14:textId="77777777" w:rsidR="0029430D" w:rsidRPr="00312F3E" w:rsidRDefault="0029430D" w:rsidP="00312F3E">
      <w:pPr>
        <w:ind w:left="851"/>
        <w:rPr>
          <w:noProof/>
          <w:sz w:val="24"/>
          <w:szCs w:val="24"/>
          <w:lang w:val="en-US"/>
        </w:rPr>
      </w:pPr>
    </w:p>
    <w:p w14:paraId="4954F041" w14:textId="77777777" w:rsidR="0029430D" w:rsidRPr="00312F3E" w:rsidRDefault="0029430D" w:rsidP="00312F3E">
      <w:pPr>
        <w:ind w:left="851"/>
        <w:rPr>
          <w:noProof/>
          <w:sz w:val="24"/>
          <w:szCs w:val="24"/>
          <w:lang w:val="en-US"/>
        </w:rPr>
      </w:pPr>
      <w:r w:rsidRPr="00312F3E">
        <w:rPr>
          <w:noProof/>
          <w:sz w:val="24"/>
          <w:szCs w:val="24"/>
          <w:lang w:val="en-US"/>
        </w:rPr>
        <w:t>The mean plasma terminal half-life (t1/2) for dapagliflozin was 12.9 hours following a single oral dose of dapagliflozin 10 mg to healthy subjects. The mean total systemic clearance of dapagliflozin administered intravenously was 207 mL/min. Dapagliflozin and related metabolites are primarily eliminated via urinary excretion with less than 2% as unchanged dapagliflozin. After administration of a 50 mg [14C]-dapagliflozin dose, 96% was recovered, 75% in urine and 21% in faeces. In faeces, approximately 15% of the dose was excreted as parent drug.</w:t>
      </w:r>
    </w:p>
    <w:p w14:paraId="5A91D098" w14:textId="77777777" w:rsidR="0029430D" w:rsidRPr="00312F3E" w:rsidRDefault="0029430D" w:rsidP="00312F3E">
      <w:pPr>
        <w:ind w:left="851"/>
        <w:rPr>
          <w:noProof/>
          <w:sz w:val="24"/>
          <w:szCs w:val="24"/>
          <w:lang w:val="en-US"/>
        </w:rPr>
      </w:pPr>
    </w:p>
    <w:p w14:paraId="26FC2F09" w14:textId="77777777" w:rsidR="0029430D" w:rsidRPr="00B14B46" w:rsidRDefault="0029430D" w:rsidP="00312F3E">
      <w:pPr>
        <w:ind w:left="851"/>
        <w:rPr>
          <w:noProof/>
          <w:sz w:val="24"/>
          <w:szCs w:val="24"/>
          <w:u w:val="single"/>
          <w:lang w:val="en-US"/>
        </w:rPr>
      </w:pPr>
      <w:r w:rsidRPr="00B14B46">
        <w:rPr>
          <w:noProof/>
          <w:sz w:val="24"/>
          <w:szCs w:val="24"/>
          <w:u w:val="single"/>
          <w:lang w:val="en-US"/>
        </w:rPr>
        <w:t>Linearity</w:t>
      </w:r>
    </w:p>
    <w:p w14:paraId="33A5419D" w14:textId="77777777" w:rsidR="0029430D" w:rsidRPr="00312F3E" w:rsidRDefault="0029430D" w:rsidP="00312F3E">
      <w:pPr>
        <w:ind w:left="851"/>
        <w:rPr>
          <w:noProof/>
          <w:sz w:val="24"/>
          <w:szCs w:val="24"/>
          <w:lang w:val="en-US"/>
        </w:rPr>
      </w:pPr>
    </w:p>
    <w:p w14:paraId="65D2F99A" w14:textId="77777777" w:rsidR="0029430D" w:rsidRPr="00312F3E" w:rsidRDefault="0029430D" w:rsidP="00312F3E">
      <w:pPr>
        <w:ind w:left="851"/>
        <w:rPr>
          <w:noProof/>
          <w:sz w:val="24"/>
          <w:szCs w:val="24"/>
          <w:lang w:val="en-US"/>
        </w:rPr>
      </w:pPr>
      <w:r w:rsidRPr="00312F3E">
        <w:rPr>
          <w:noProof/>
          <w:sz w:val="24"/>
          <w:szCs w:val="24"/>
          <w:lang w:val="en-US"/>
        </w:rPr>
        <w:t>Dapagliflozin exposure increased proportional to the increment in dapagliflozin dose over the range of 0.1 to 500 mg and its pharmacokinetics did not change with time upon repeated daily dosing for up to 24 weeks.</w:t>
      </w:r>
    </w:p>
    <w:p w14:paraId="69BE736B" w14:textId="77777777" w:rsidR="0029430D" w:rsidRPr="00312F3E" w:rsidRDefault="0029430D" w:rsidP="00312F3E">
      <w:pPr>
        <w:ind w:left="851"/>
        <w:rPr>
          <w:noProof/>
          <w:sz w:val="24"/>
          <w:szCs w:val="24"/>
          <w:lang w:val="en-US"/>
        </w:rPr>
      </w:pPr>
    </w:p>
    <w:p w14:paraId="4A5EADFB" w14:textId="77777777" w:rsidR="0029430D" w:rsidRPr="00B14B46" w:rsidRDefault="0029430D" w:rsidP="00312F3E">
      <w:pPr>
        <w:ind w:left="851"/>
        <w:rPr>
          <w:noProof/>
          <w:sz w:val="24"/>
          <w:szCs w:val="24"/>
          <w:u w:val="single"/>
          <w:lang w:val="en-US"/>
        </w:rPr>
      </w:pPr>
      <w:r w:rsidRPr="00B14B46">
        <w:rPr>
          <w:noProof/>
          <w:sz w:val="24"/>
          <w:szCs w:val="24"/>
          <w:u w:val="single"/>
          <w:lang w:val="en-US"/>
        </w:rPr>
        <w:t>Special populations</w:t>
      </w:r>
    </w:p>
    <w:p w14:paraId="2D45556B" w14:textId="77777777" w:rsidR="0029430D" w:rsidRPr="00312F3E" w:rsidRDefault="0029430D" w:rsidP="00312F3E">
      <w:pPr>
        <w:ind w:left="851"/>
        <w:rPr>
          <w:noProof/>
          <w:sz w:val="24"/>
          <w:szCs w:val="24"/>
          <w:lang w:val="en-US"/>
        </w:rPr>
      </w:pPr>
    </w:p>
    <w:p w14:paraId="57EABE8A"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Renal impairment</w:t>
      </w:r>
    </w:p>
    <w:p w14:paraId="639C97B6" w14:textId="77777777" w:rsidR="0029430D" w:rsidRPr="00312F3E" w:rsidRDefault="0029430D" w:rsidP="00312F3E">
      <w:pPr>
        <w:ind w:left="851"/>
        <w:rPr>
          <w:noProof/>
          <w:sz w:val="24"/>
          <w:szCs w:val="24"/>
          <w:lang w:val="en-US"/>
        </w:rPr>
      </w:pPr>
      <w:r w:rsidRPr="00312F3E">
        <w:rPr>
          <w:noProof/>
          <w:sz w:val="24"/>
          <w:szCs w:val="24"/>
          <w:lang w:val="en-US"/>
        </w:rPr>
        <w:t>At steady-state (20 mg once-daily dapagliflozin for 7 days), subjects with type 2 diabetes mellitus and mild, moderate or severe renal impairment (as determined by iohexol plasma clearance) had mean systemic exposures of dapagliflozin of 32%, 60% and 87% higher, respectively, than those of subjects with type 2 diabetes mellitus and normal renal function. The steady-state 24-hour urinary glucose excretion was highly dependent on renal function and 85, 52, 18 and 11 g of glucose/day was excreted by subjects with type 2 diabetes mellitus and normal renal function or mild, moderate or severe renal impairment, respectively. The impact of haemodialysis on dapagliflozin exposure is not known. The effect of reduced renal function on systemic exposure was evaluated in a population pharmacokinetic model. Consistent with previous results, model predicted AUC was higher in patients with chronic kidney disease compared with patients with normal renal function, and was not meaningfully different in chronic kidney disease patients with type 2 diabetes mellitus and without diabetes.</w:t>
      </w:r>
    </w:p>
    <w:p w14:paraId="09750A52" w14:textId="77777777" w:rsidR="0029430D" w:rsidRPr="00312F3E" w:rsidRDefault="0029430D" w:rsidP="00312F3E">
      <w:pPr>
        <w:ind w:left="851"/>
        <w:rPr>
          <w:noProof/>
          <w:sz w:val="24"/>
          <w:szCs w:val="24"/>
          <w:lang w:val="en-US"/>
        </w:rPr>
      </w:pPr>
    </w:p>
    <w:p w14:paraId="6A19A029"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Hepatic impairment</w:t>
      </w:r>
    </w:p>
    <w:p w14:paraId="742243D2" w14:textId="77777777" w:rsidR="0029430D" w:rsidRPr="00312F3E" w:rsidRDefault="0029430D" w:rsidP="00312F3E">
      <w:pPr>
        <w:ind w:left="851"/>
        <w:rPr>
          <w:noProof/>
          <w:sz w:val="24"/>
          <w:szCs w:val="24"/>
          <w:lang w:val="en-US"/>
        </w:rPr>
      </w:pPr>
      <w:r w:rsidRPr="00312F3E">
        <w:rPr>
          <w:noProof/>
          <w:sz w:val="24"/>
          <w:szCs w:val="24"/>
          <w:lang w:val="en-US"/>
        </w:rPr>
        <w:t>In subjects with mild or moderate hepatic impairment (Child-Pugh classes A and B), mean C</w:t>
      </w:r>
      <w:r w:rsidRPr="00583F33">
        <w:rPr>
          <w:noProof/>
          <w:sz w:val="24"/>
          <w:szCs w:val="24"/>
          <w:vertAlign w:val="subscript"/>
          <w:lang w:val="en-US"/>
        </w:rPr>
        <w:t>max</w:t>
      </w:r>
      <w:r w:rsidRPr="00312F3E">
        <w:rPr>
          <w:noProof/>
          <w:sz w:val="24"/>
          <w:szCs w:val="24"/>
          <w:lang w:val="en-US"/>
        </w:rPr>
        <w:t xml:space="preserve"> and AUC of dapagliflozin were up to 12% and 36% higher, respectively, compared to healthy matched control subjects. These differences were not considered to be clinically meaningful. In subjects with severe hepatic impairment (Child-Pugh class C) mean C</w:t>
      </w:r>
      <w:r w:rsidRPr="00583F33">
        <w:rPr>
          <w:noProof/>
          <w:sz w:val="24"/>
          <w:szCs w:val="24"/>
          <w:vertAlign w:val="subscript"/>
          <w:lang w:val="en-US"/>
        </w:rPr>
        <w:t>max</w:t>
      </w:r>
      <w:r w:rsidRPr="00312F3E">
        <w:rPr>
          <w:noProof/>
          <w:sz w:val="24"/>
          <w:szCs w:val="24"/>
          <w:lang w:val="en-US"/>
        </w:rPr>
        <w:t xml:space="preserve"> and AUC of dapagliflozin were 40% and 67% higher than matched healthy controls, respectively.</w:t>
      </w:r>
    </w:p>
    <w:p w14:paraId="6190C3F3" w14:textId="77777777" w:rsidR="0029430D" w:rsidRPr="00312F3E" w:rsidRDefault="0029430D" w:rsidP="00312F3E">
      <w:pPr>
        <w:ind w:left="851"/>
        <w:rPr>
          <w:noProof/>
          <w:sz w:val="24"/>
          <w:szCs w:val="24"/>
          <w:lang w:val="en-US"/>
        </w:rPr>
      </w:pPr>
    </w:p>
    <w:p w14:paraId="09BA3A71"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Elderly (≥ 65 years)</w:t>
      </w:r>
    </w:p>
    <w:p w14:paraId="4860A983" w14:textId="77777777" w:rsidR="0029430D" w:rsidRPr="00312F3E" w:rsidRDefault="0029430D" w:rsidP="00312F3E">
      <w:pPr>
        <w:ind w:left="851"/>
        <w:rPr>
          <w:noProof/>
          <w:sz w:val="24"/>
          <w:szCs w:val="24"/>
          <w:lang w:val="en-US"/>
        </w:rPr>
      </w:pPr>
      <w:r w:rsidRPr="00312F3E">
        <w:rPr>
          <w:noProof/>
          <w:sz w:val="24"/>
          <w:szCs w:val="24"/>
          <w:lang w:val="en-US"/>
        </w:rPr>
        <w:t>There is no clinically meaningful increase in exposure based on age alone in subjects up to 70 years old. However, an increased exposure due to age-related decrease in renal function can be expected. There are insufficient data to draw conclusions regarding exposure in patients &gt; 70 years old.</w:t>
      </w:r>
    </w:p>
    <w:p w14:paraId="3F53E3BA" w14:textId="77777777" w:rsidR="0029430D" w:rsidRPr="00312F3E" w:rsidRDefault="0029430D" w:rsidP="00312F3E">
      <w:pPr>
        <w:ind w:left="851"/>
        <w:rPr>
          <w:i/>
          <w:noProof/>
          <w:sz w:val="24"/>
          <w:szCs w:val="24"/>
          <w:lang w:val="en-US"/>
        </w:rPr>
      </w:pPr>
    </w:p>
    <w:p w14:paraId="105427F2"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Paediatric population</w:t>
      </w:r>
    </w:p>
    <w:p w14:paraId="078D2C6F" w14:textId="77777777" w:rsidR="0029430D" w:rsidRPr="00312F3E" w:rsidRDefault="0029430D" w:rsidP="00312F3E">
      <w:pPr>
        <w:ind w:left="851"/>
        <w:rPr>
          <w:noProof/>
          <w:sz w:val="24"/>
          <w:szCs w:val="24"/>
          <w:lang w:val="en-US"/>
        </w:rPr>
      </w:pPr>
      <w:r w:rsidRPr="00312F3E">
        <w:rPr>
          <w:noProof/>
          <w:sz w:val="24"/>
          <w:szCs w:val="24"/>
          <w:lang w:val="en-US"/>
        </w:rPr>
        <w:t>Pharmacokinetics and pharmacodynamics (glucosuria) in children with type 2 diabetes mellitus aged 10-17 years were similar to those observed in adults with type 2 diabetes mellitus.</w:t>
      </w:r>
    </w:p>
    <w:p w14:paraId="4DEE56AB" w14:textId="77777777" w:rsidR="0029430D" w:rsidRPr="00312F3E" w:rsidRDefault="0029430D" w:rsidP="00312F3E">
      <w:pPr>
        <w:ind w:left="851"/>
        <w:rPr>
          <w:i/>
          <w:noProof/>
          <w:sz w:val="24"/>
          <w:szCs w:val="24"/>
          <w:lang w:val="en-US"/>
        </w:rPr>
      </w:pPr>
    </w:p>
    <w:p w14:paraId="4B7FCEBD"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Gender</w:t>
      </w:r>
    </w:p>
    <w:p w14:paraId="012B02BA" w14:textId="77777777" w:rsidR="0029430D" w:rsidRPr="00312F3E" w:rsidRDefault="0029430D" w:rsidP="00312F3E">
      <w:pPr>
        <w:ind w:left="851"/>
        <w:rPr>
          <w:noProof/>
          <w:sz w:val="24"/>
          <w:szCs w:val="24"/>
          <w:lang w:val="en-US"/>
        </w:rPr>
      </w:pPr>
      <w:r w:rsidRPr="00312F3E">
        <w:rPr>
          <w:noProof/>
          <w:sz w:val="24"/>
          <w:szCs w:val="24"/>
          <w:lang w:val="en-US"/>
        </w:rPr>
        <w:t>The mean dapagliflozin AUCss in females was estimated to be about 22% higher than in males.</w:t>
      </w:r>
    </w:p>
    <w:p w14:paraId="6A1459C8" w14:textId="77777777" w:rsidR="0029430D" w:rsidRPr="00312F3E" w:rsidRDefault="0029430D" w:rsidP="00312F3E">
      <w:pPr>
        <w:ind w:left="851"/>
        <w:rPr>
          <w:i/>
          <w:noProof/>
          <w:sz w:val="24"/>
          <w:szCs w:val="24"/>
          <w:lang w:val="en-US"/>
        </w:rPr>
      </w:pPr>
    </w:p>
    <w:p w14:paraId="29C5410C"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Race</w:t>
      </w:r>
    </w:p>
    <w:p w14:paraId="0F5D442D" w14:textId="77777777" w:rsidR="0029430D" w:rsidRPr="00312F3E" w:rsidRDefault="0029430D" w:rsidP="00312F3E">
      <w:pPr>
        <w:ind w:left="851"/>
        <w:rPr>
          <w:noProof/>
          <w:sz w:val="24"/>
          <w:szCs w:val="24"/>
          <w:lang w:val="en-US"/>
        </w:rPr>
      </w:pPr>
      <w:r w:rsidRPr="00312F3E">
        <w:rPr>
          <w:noProof/>
          <w:sz w:val="24"/>
          <w:szCs w:val="24"/>
          <w:lang w:val="en-US"/>
        </w:rPr>
        <w:t>There were no clinically relevant differences in systemic exposures between White, Black or Asian races.</w:t>
      </w:r>
    </w:p>
    <w:p w14:paraId="080D2B86" w14:textId="77777777" w:rsidR="0029430D" w:rsidRPr="00312F3E" w:rsidRDefault="0029430D" w:rsidP="00312F3E">
      <w:pPr>
        <w:ind w:left="851"/>
        <w:rPr>
          <w:noProof/>
          <w:sz w:val="24"/>
          <w:szCs w:val="24"/>
          <w:lang w:val="en-US"/>
        </w:rPr>
      </w:pPr>
    </w:p>
    <w:p w14:paraId="7C4B577E"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Body weight</w:t>
      </w:r>
    </w:p>
    <w:p w14:paraId="7168763B" w14:textId="77777777" w:rsidR="0029430D" w:rsidRPr="00312F3E" w:rsidRDefault="0029430D" w:rsidP="00312F3E">
      <w:pPr>
        <w:ind w:left="851"/>
        <w:rPr>
          <w:noProof/>
          <w:sz w:val="24"/>
          <w:szCs w:val="24"/>
          <w:lang w:val="en-US"/>
        </w:rPr>
      </w:pPr>
      <w:r w:rsidRPr="00312F3E">
        <w:rPr>
          <w:noProof/>
          <w:sz w:val="24"/>
          <w:szCs w:val="24"/>
          <w:lang w:val="en-US"/>
        </w:rPr>
        <w:t>Dapagliflozin exposure was found to decrease with increased weight. Consequently, low-weight patients may have somewhat increased exposure and patients with high weight somewhat decreased exposure. However, the differences in exposure were not considered clinically meaningful.</w:t>
      </w:r>
    </w:p>
    <w:p w14:paraId="28B256CD" w14:textId="77777777" w:rsidR="007C5D2A" w:rsidRPr="00312F3E" w:rsidRDefault="007C5D2A" w:rsidP="003E0341">
      <w:pPr>
        <w:tabs>
          <w:tab w:val="left" w:pos="851"/>
        </w:tabs>
        <w:ind w:left="851"/>
        <w:rPr>
          <w:sz w:val="24"/>
          <w:szCs w:val="24"/>
          <w:lang w:val="en-GB"/>
        </w:rPr>
      </w:pPr>
    </w:p>
    <w:p w14:paraId="5CB8B004" w14:textId="77777777" w:rsidR="007C5D2A" w:rsidRPr="00312F3E" w:rsidRDefault="00180A12" w:rsidP="007C5D2A">
      <w:pPr>
        <w:tabs>
          <w:tab w:val="left" w:pos="851"/>
        </w:tabs>
        <w:ind w:left="851" w:hanging="851"/>
        <w:rPr>
          <w:b/>
          <w:sz w:val="24"/>
          <w:szCs w:val="24"/>
          <w:lang w:val="en-GB"/>
        </w:rPr>
      </w:pPr>
      <w:r w:rsidRPr="00312F3E">
        <w:rPr>
          <w:b/>
          <w:sz w:val="24"/>
          <w:szCs w:val="24"/>
          <w:lang w:val="en-GB"/>
        </w:rPr>
        <w:t>5.3</w:t>
      </w:r>
      <w:r w:rsidRPr="00312F3E">
        <w:rPr>
          <w:b/>
          <w:sz w:val="24"/>
          <w:szCs w:val="24"/>
          <w:lang w:val="en-GB"/>
        </w:rPr>
        <w:tab/>
        <w:t>Preclinical safety data</w:t>
      </w:r>
    </w:p>
    <w:p w14:paraId="35A9C3C9" w14:textId="77777777" w:rsidR="0029430D" w:rsidRPr="00B14B46" w:rsidRDefault="0029430D" w:rsidP="00312F3E">
      <w:pPr>
        <w:ind w:left="851"/>
        <w:rPr>
          <w:sz w:val="24"/>
          <w:szCs w:val="24"/>
          <w:lang w:val="en-US"/>
        </w:rPr>
      </w:pPr>
      <w:r w:rsidRPr="00312F3E">
        <w:rPr>
          <w:sz w:val="24"/>
          <w:szCs w:val="24"/>
          <w:lang w:val="en-US"/>
        </w:rPr>
        <w:t>Non-clinical data reveal no special hazard for humans based on conventional studies of safety pharmacology, repeated dose toxicity, genotoxicity, carcinogenic potential and fertility. Dapagliflozin did not induce tumours in either mice or rats at any of the doses evaluated in two-year carcinogenicity studies.</w:t>
      </w:r>
    </w:p>
    <w:p w14:paraId="4CC8D33B" w14:textId="77777777" w:rsidR="0029430D" w:rsidRPr="00B14B46" w:rsidRDefault="0029430D" w:rsidP="00312F3E">
      <w:pPr>
        <w:ind w:left="851"/>
        <w:rPr>
          <w:sz w:val="24"/>
          <w:szCs w:val="24"/>
          <w:lang w:val="en-US"/>
        </w:rPr>
      </w:pPr>
    </w:p>
    <w:p w14:paraId="4F5C56C6" w14:textId="77777777" w:rsidR="0029430D" w:rsidRPr="00312F3E" w:rsidRDefault="0029430D" w:rsidP="00312F3E">
      <w:pPr>
        <w:ind w:left="851"/>
        <w:rPr>
          <w:bCs/>
          <w:sz w:val="24"/>
          <w:szCs w:val="24"/>
          <w:u w:val="single"/>
          <w:lang w:val="en-US"/>
        </w:rPr>
      </w:pPr>
      <w:r w:rsidRPr="00312F3E">
        <w:rPr>
          <w:bCs/>
          <w:sz w:val="24"/>
          <w:szCs w:val="24"/>
          <w:u w:val="single"/>
          <w:lang w:val="en-US"/>
        </w:rPr>
        <w:t>Reproductive and developmental toxicity</w:t>
      </w:r>
    </w:p>
    <w:p w14:paraId="2479C9B1" w14:textId="77777777" w:rsidR="0029430D" w:rsidRPr="00312F3E" w:rsidRDefault="0029430D" w:rsidP="00312F3E">
      <w:pPr>
        <w:ind w:left="851"/>
        <w:rPr>
          <w:bCs/>
          <w:sz w:val="24"/>
          <w:szCs w:val="24"/>
          <w:lang w:val="en-US"/>
        </w:rPr>
      </w:pPr>
    </w:p>
    <w:p w14:paraId="6F3B4405" w14:textId="77777777" w:rsidR="0029430D" w:rsidRPr="00312F3E" w:rsidRDefault="0029430D" w:rsidP="00312F3E">
      <w:pPr>
        <w:ind w:left="851"/>
        <w:rPr>
          <w:bCs/>
          <w:sz w:val="24"/>
          <w:szCs w:val="24"/>
          <w:lang w:val="en-US"/>
        </w:rPr>
      </w:pPr>
      <w:r w:rsidRPr="00312F3E">
        <w:rPr>
          <w:bCs/>
          <w:sz w:val="24"/>
          <w:szCs w:val="24"/>
          <w:lang w:val="en-US"/>
        </w:rPr>
        <w:t>Direct administration of dapagliflozin to weanling juvenile rats and indirect exposure during late pregnancy (time periods corresponding to the second and third trimesters of pregnancy with respect to human renal maturation) and lactation are each associated with increased incidence and/or severity of renal pelvic and tubular dilatations in progeny.</w:t>
      </w:r>
    </w:p>
    <w:p w14:paraId="4FAD60E9" w14:textId="77777777" w:rsidR="0029430D" w:rsidRPr="00312F3E" w:rsidRDefault="0029430D" w:rsidP="00312F3E">
      <w:pPr>
        <w:ind w:left="851"/>
        <w:rPr>
          <w:bCs/>
          <w:sz w:val="24"/>
          <w:szCs w:val="24"/>
          <w:lang w:val="en-US"/>
        </w:rPr>
      </w:pPr>
    </w:p>
    <w:p w14:paraId="496BB677" w14:textId="77777777" w:rsidR="0029430D" w:rsidRPr="00312F3E" w:rsidRDefault="0029430D" w:rsidP="00312F3E">
      <w:pPr>
        <w:ind w:left="851"/>
        <w:rPr>
          <w:bCs/>
          <w:sz w:val="24"/>
          <w:szCs w:val="24"/>
          <w:lang w:val="en-US"/>
        </w:rPr>
      </w:pPr>
      <w:r w:rsidRPr="00312F3E">
        <w:rPr>
          <w:bCs/>
          <w:sz w:val="24"/>
          <w:szCs w:val="24"/>
          <w:lang w:val="en-US"/>
        </w:rPr>
        <w:t>In a juvenile toxicity study, when dapagliflozin was dosed directly to young rats from postnatal day 21 until postnatal day 90, renal pelvic and tubular dilatations were reported at all dose levels; pup exposures at the lowest dose tested were ≥ 15 times the maximum recommended human dose. These findings were associated with dose-related increases in kidney weight and macroscopic kidney enlargement observed at all doses. The renal pelvic and tubular dilatations observed in juvenile animals did not fully reverse within the approximate 1-month recovery period.</w:t>
      </w:r>
    </w:p>
    <w:p w14:paraId="4443DBAE" w14:textId="77777777" w:rsidR="0029430D" w:rsidRPr="00312F3E" w:rsidRDefault="0029430D" w:rsidP="00312F3E">
      <w:pPr>
        <w:ind w:left="851"/>
        <w:rPr>
          <w:bCs/>
          <w:sz w:val="24"/>
          <w:szCs w:val="24"/>
          <w:lang w:val="en-US"/>
        </w:rPr>
      </w:pPr>
    </w:p>
    <w:p w14:paraId="7A4F83FD" w14:textId="77777777" w:rsidR="0029430D" w:rsidRPr="00312F3E" w:rsidRDefault="0029430D" w:rsidP="00312F3E">
      <w:pPr>
        <w:ind w:left="851"/>
        <w:rPr>
          <w:bCs/>
          <w:sz w:val="24"/>
          <w:szCs w:val="24"/>
          <w:lang w:val="en-US"/>
        </w:rPr>
      </w:pPr>
      <w:r w:rsidRPr="00312F3E">
        <w:rPr>
          <w:bCs/>
          <w:sz w:val="24"/>
          <w:szCs w:val="24"/>
          <w:lang w:val="en-US"/>
        </w:rPr>
        <w:t xml:space="preserve">In a separate study of pre- and postnatal development, maternal rats were dosed from gestation day 6 through postnatal day 21, and pups were indirectly exposed </w:t>
      </w:r>
      <w:r w:rsidRPr="00312F3E">
        <w:rPr>
          <w:bCs/>
          <w:i/>
          <w:iCs/>
          <w:sz w:val="24"/>
          <w:szCs w:val="24"/>
          <w:lang w:val="en-US"/>
        </w:rPr>
        <w:t xml:space="preserve">in utero </w:t>
      </w:r>
      <w:r w:rsidRPr="00312F3E">
        <w:rPr>
          <w:bCs/>
          <w:sz w:val="24"/>
          <w:szCs w:val="24"/>
          <w:lang w:val="en-US"/>
        </w:rPr>
        <w:t>and throughout lactation. (A satellite study was conducted to assess dapagliflozin exposures in milk and pups.) Increased incidence or severity of renal pelvic dilatation was observed in adult offspring of treated dams, although only at the highest dose tested (associated maternal and pup dapagliflozin exposures were 1,415 times and 137 times, respectively, the human values at the maximum recommended human dose). Additional developmental toxicity was limited to dose-related reductions in pup body weights and observed only at doses ≥ 15 mg/kg/day (associated with pup exposures that are ≥ 29 times the human values at the maximum recommended human dose). Maternal toxicity was evident only at the highest dose tested and limited to transient reductions in body weight and food consumption at dose. The no observed adverse effect level (NOAEL) for developmental toxicity, the lowest dose tested, is associated with a maternal systemic exposure multiple that is approximately 19 times the human value at the maximum recommended human dose.</w:t>
      </w:r>
    </w:p>
    <w:p w14:paraId="578782AF" w14:textId="77777777" w:rsidR="0029430D" w:rsidRPr="00312F3E" w:rsidRDefault="0029430D" w:rsidP="00312F3E">
      <w:pPr>
        <w:ind w:left="851"/>
        <w:rPr>
          <w:bCs/>
          <w:sz w:val="24"/>
          <w:szCs w:val="24"/>
          <w:lang w:val="en-US"/>
        </w:rPr>
      </w:pPr>
    </w:p>
    <w:p w14:paraId="04AD647F" w14:textId="77777777" w:rsidR="0029430D" w:rsidRPr="00312F3E" w:rsidRDefault="0029430D" w:rsidP="00312F3E">
      <w:pPr>
        <w:ind w:left="851"/>
        <w:rPr>
          <w:bCs/>
          <w:sz w:val="24"/>
          <w:szCs w:val="24"/>
          <w:lang w:val="en-US"/>
        </w:rPr>
      </w:pPr>
      <w:r w:rsidRPr="00312F3E">
        <w:rPr>
          <w:bCs/>
          <w:sz w:val="24"/>
          <w:szCs w:val="24"/>
          <w:lang w:val="en-US"/>
        </w:rPr>
        <w:t>In additional studies of embryo-</w:t>
      </w:r>
      <w:proofErr w:type="spellStart"/>
      <w:r w:rsidRPr="00312F3E">
        <w:rPr>
          <w:bCs/>
          <w:sz w:val="24"/>
          <w:szCs w:val="24"/>
          <w:lang w:val="en-US"/>
        </w:rPr>
        <w:t>foetal</w:t>
      </w:r>
      <w:proofErr w:type="spellEnd"/>
      <w:r w:rsidRPr="00312F3E">
        <w:rPr>
          <w:bCs/>
          <w:sz w:val="24"/>
          <w:szCs w:val="24"/>
          <w:lang w:val="en-US"/>
        </w:rPr>
        <w:t xml:space="preserve"> development in rats and rabbits, dapagliflozin was administered for intervals coinciding with the major periods of organogenesis in each species. Neither maternal nor developmental toxicities were observed in rabbits at any dose tested; the highest dose tested is associated with a systemic exposure multiple of approximately 1,191 times the maximum recommended human dose. In rats, dapagliflozin was neither </w:t>
      </w:r>
      <w:proofErr w:type="spellStart"/>
      <w:r w:rsidRPr="00312F3E">
        <w:rPr>
          <w:bCs/>
          <w:sz w:val="24"/>
          <w:szCs w:val="24"/>
          <w:lang w:val="en-US"/>
        </w:rPr>
        <w:t>embryolethal</w:t>
      </w:r>
      <w:proofErr w:type="spellEnd"/>
      <w:r w:rsidRPr="00312F3E">
        <w:rPr>
          <w:bCs/>
          <w:sz w:val="24"/>
          <w:szCs w:val="24"/>
          <w:lang w:val="en-US"/>
        </w:rPr>
        <w:t xml:space="preserve"> nor teratogenic at exposures up to 1,441 times the maximum recommended human dose.</w:t>
      </w:r>
    </w:p>
    <w:p w14:paraId="67DEE4CF" w14:textId="77777777" w:rsidR="007C5D2A" w:rsidRPr="00312F3E" w:rsidRDefault="007C5D2A" w:rsidP="003E0341">
      <w:pPr>
        <w:tabs>
          <w:tab w:val="left" w:pos="851"/>
        </w:tabs>
        <w:ind w:left="851"/>
        <w:rPr>
          <w:sz w:val="24"/>
          <w:szCs w:val="24"/>
          <w:lang w:val="en-GB"/>
        </w:rPr>
      </w:pPr>
    </w:p>
    <w:p w14:paraId="6CFCC5C5" w14:textId="77777777" w:rsidR="007C5D2A" w:rsidRPr="00312F3E" w:rsidRDefault="007C5D2A" w:rsidP="003E0341">
      <w:pPr>
        <w:tabs>
          <w:tab w:val="left" w:pos="851"/>
        </w:tabs>
        <w:ind w:left="851"/>
        <w:rPr>
          <w:sz w:val="24"/>
          <w:szCs w:val="24"/>
          <w:lang w:val="en-GB"/>
        </w:rPr>
      </w:pPr>
    </w:p>
    <w:p w14:paraId="383BF7F9" w14:textId="77777777" w:rsidR="007C5D2A" w:rsidRPr="00312F3E" w:rsidRDefault="009925C9" w:rsidP="007C5D2A">
      <w:pPr>
        <w:ind w:left="851" w:hanging="851"/>
        <w:rPr>
          <w:b/>
          <w:sz w:val="24"/>
          <w:szCs w:val="24"/>
          <w:lang w:val="en-GB"/>
        </w:rPr>
      </w:pPr>
      <w:r w:rsidRPr="00312F3E">
        <w:rPr>
          <w:b/>
          <w:sz w:val="24"/>
          <w:szCs w:val="24"/>
          <w:lang w:val="en-GB"/>
        </w:rPr>
        <w:t>6.</w:t>
      </w:r>
      <w:r w:rsidR="007C5D2A" w:rsidRPr="00312F3E">
        <w:rPr>
          <w:b/>
          <w:sz w:val="24"/>
          <w:szCs w:val="24"/>
          <w:lang w:val="en-GB"/>
        </w:rPr>
        <w:tab/>
        <w:t>PHARMACEUTICAL PARTICULARS</w:t>
      </w:r>
    </w:p>
    <w:p w14:paraId="6FA4EA63" w14:textId="77777777" w:rsidR="007C5D2A" w:rsidRPr="00312F3E" w:rsidRDefault="007C5D2A" w:rsidP="003E0341">
      <w:pPr>
        <w:tabs>
          <w:tab w:val="left" w:pos="851"/>
        </w:tabs>
        <w:ind w:left="851"/>
        <w:rPr>
          <w:sz w:val="24"/>
          <w:szCs w:val="24"/>
          <w:lang w:val="en-GB"/>
        </w:rPr>
      </w:pPr>
    </w:p>
    <w:p w14:paraId="24C0DD7D" w14:textId="77777777" w:rsidR="007C5D2A" w:rsidRPr="00312F3E" w:rsidRDefault="007C5D2A" w:rsidP="007C5D2A">
      <w:pPr>
        <w:ind w:left="851" w:hanging="851"/>
        <w:rPr>
          <w:b/>
          <w:sz w:val="24"/>
          <w:szCs w:val="24"/>
          <w:lang w:val="en-GB"/>
        </w:rPr>
      </w:pPr>
      <w:r w:rsidRPr="00312F3E">
        <w:rPr>
          <w:b/>
          <w:sz w:val="24"/>
          <w:szCs w:val="24"/>
          <w:lang w:val="en-GB"/>
        </w:rPr>
        <w:t>6.1</w:t>
      </w:r>
      <w:r w:rsidRPr="00312F3E">
        <w:rPr>
          <w:b/>
          <w:sz w:val="24"/>
          <w:szCs w:val="24"/>
          <w:lang w:val="en-GB"/>
        </w:rPr>
        <w:tab/>
        <w:t>List of excipients</w:t>
      </w:r>
    </w:p>
    <w:p w14:paraId="222C4C3C" w14:textId="77777777" w:rsidR="005C4057" w:rsidRDefault="005C4057" w:rsidP="00312F3E">
      <w:pPr>
        <w:ind w:left="851"/>
        <w:rPr>
          <w:noProof/>
          <w:sz w:val="24"/>
          <w:szCs w:val="24"/>
          <w:u w:val="single"/>
          <w:lang w:val="en-US"/>
        </w:rPr>
      </w:pPr>
    </w:p>
    <w:p w14:paraId="3323C0D5" w14:textId="7935DB55" w:rsidR="0029430D" w:rsidRPr="00312F3E" w:rsidRDefault="0029430D" w:rsidP="00312F3E">
      <w:pPr>
        <w:ind w:left="851"/>
        <w:rPr>
          <w:noProof/>
          <w:sz w:val="24"/>
          <w:szCs w:val="24"/>
          <w:u w:val="single"/>
          <w:lang w:val="en-US"/>
        </w:rPr>
      </w:pPr>
      <w:r w:rsidRPr="00312F3E">
        <w:rPr>
          <w:noProof/>
          <w:sz w:val="24"/>
          <w:szCs w:val="24"/>
          <w:u w:val="single"/>
          <w:lang w:val="en-US"/>
        </w:rPr>
        <w:t>Tablet core</w:t>
      </w:r>
    </w:p>
    <w:p w14:paraId="6B6B66E2" w14:textId="77777777" w:rsidR="0029430D" w:rsidRPr="00312F3E" w:rsidRDefault="0029430D" w:rsidP="00312F3E">
      <w:pPr>
        <w:ind w:left="851"/>
        <w:rPr>
          <w:noProof/>
          <w:sz w:val="24"/>
          <w:szCs w:val="24"/>
          <w:lang w:val="en-US"/>
        </w:rPr>
      </w:pPr>
      <w:r w:rsidRPr="00312F3E">
        <w:rPr>
          <w:noProof/>
          <w:sz w:val="24"/>
          <w:szCs w:val="24"/>
          <w:lang w:val="en-US"/>
        </w:rPr>
        <w:t>Lactose monohydrate</w:t>
      </w:r>
    </w:p>
    <w:p w14:paraId="1256E7D0" w14:textId="77777777" w:rsidR="0029430D" w:rsidRPr="00312F3E" w:rsidRDefault="0029430D" w:rsidP="00312F3E">
      <w:pPr>
        <w:ind w:left="851"/>
        <w:rPr>
          <w:noProof/>
          <w:sz w:val="24"/>
          <w:szCs w:val="24"/>
          <w:lang w:val="en-US"/>
        </w:rPr>
      </w:pPr>
      <w:r w:rsidRPr="00312F3E">
        <w:rPr>
          <w:noProof/>
          <w:sz w:val="24"/>
          <w:szCs w:val="24"/>
          <w:lang w:val="en-US"/>
        </w:rPr>
        <w:t>Starch, pregelatinised</w:t>
      </w:r>
    </w:p>
    <w:p w14:paraId="2B07C5D8" w14:textId="77777777" w:rsidR="0029430D" w:rsidRPr="00312F3E" w:rsidRDefault="0029430D" w:rsidP="00312F3E">
      <w:pPr>
        <w:ind w:left="851"/>
        <w:rPr>
          <w:noProof/>
          <w:sz w:val="24"/>
          <w:szCs w:val="24"/>
          <w:lang w:val="en-GB"/>
        </w:rPr>
      </w:pPr>
      <w:r w:rsidRPr="00312F3E">
        <w:rPr>
          <w:noProof/>
          <w:sz w:val="24"/>
          <w:szCs w:val="24"/>
          <w:lang w:val="en-US"/>
        </w:rPr>
        <w:t>Cellulose, microcrystalline 102</w:t>
      </w:r>
    </w:p>
    <w:p w14:paraId="643DBA8C" w14:textId="77777777" w:rsidR="0029430D" w:rsidRPr="00312F3E" w:rsidRDefault="0029430D" w:rsidP="00312F3E">
      <w:pPr>
        <w:ind w:left="851"/>
        <w:rPr>
          <w:noProof/>
          <w:sz w:val="24"/>
          <w:szCs w:val="24"/>
          <w:lang w:val="en-US"/>
        </w:rPr>
      </w:pPr>
      <w:r w:rsidRPr="00312F3E">
        <w:rPr>
          <w:noProof/>
          <w:sz w:val="24"/>
          <w:szCs w:val="24"/>
          <w:lang w:val="en-US"/>
        </w:rPr>
        <w:t xml:space="preserve">Croscarmellose sodium </w:t>
      </w:r>
    </w:p>
    <w:p w14:paraId="2F2A66D9" w14:textId="77777777" w:rsidR="0029430D" w:rsidRPr="00312F3E" w:rsidRDefault="0029430D" w:rsidP="00312F3E">
      <w:pPr>
        <w:ind w:left="851"/>
        <w:rPr>
          <w:noProof/>
          <w:sz w:val="24"/>
          <w:szCs w:val="24"/>
          <w:lang w:val="en-US"/>
        </w:rPr>
      </w:pPr>
      <w:r w:rsidRPr="00312F3E">
        <w:rPr>
          <w:noProof/>
          <w:sz w:val="24"/>
          <w:szCs w:val="24"/>
          <w:lang w:val="en-US"/>
        </w:rPr>
        <w:t xml:space="preserve">Silica, colloidal anhydrous </w:t>
      </w:r>
    </w:p>
    <w:p w14:paraId="08B87272" w14:textId="77777777" w:rsidR="0029430D" w:rsidRPr="00312F3E" w:rsidRDefault="0029430D" w:rsidP="00312F3E">
      <w:pPr>
        <w:ind w:left="851"/>
        <w:rPr>
          <w:noProof/>
          <w:sz w:val="24"/>
          <w:szCs w:val="24"/>
          <w:lang w:val="en-US"/>
        </w:rPr>
      </w:pPr>
      <w:r w:rsidRPr="00312F3E">
        <w:rPr>
          <w:noProof/>
          <w:sz w:val="24"/>
          <w:szCs w:val="24"/>
          <w:lang w:val="en-US"/>
        </w:rPr>
        <w:t xml:space="preserve">Magnesium stearate </w:t>
      </w:r>
    </w:p>
    <w:p w14:paraId="270B2A33" w14:textId="77777777" w:rsidR="0029430D" w:rsidRPr="00312F3E" w:rsidRDefault="0029430D" w:rsidP="00312F3E">
      <w:pPr>
        <w:ind w:left="851"/>
        <w:rPr>
          <w:noProof/>
          <w:sz w:val="24"/>
          <w:szCs w:val="24"/>
          <w:lang w:val="en-US"/>
        </w:rPr>
      </w:pPr>
    </w:p>
    <w:p w14:paraId="725EB580" w14:textId="77777777" w:rsidR="0029430D" w:rsidRPr="00312F3E" w:rsidRDefault="0029430D" w:rsidP="00312F3E">
      <w:pPr>
        <w:ind w:left="851"/>
        <w:rPr>
          <w:noProof/>
          <w:sz w:val="24"/>
          <w:szCs w:val="24"/>
          <w:u w:val="single"/>
          <w:lang w:val="en-US"/>
        </w:rPr>
      </w:pPr>
      <w:r w:rsidRPr="00312F3E">
        <w:rPr>
          <w:noProof/>
          <w:sz w:val="24"/>
          <w:szCs w:val="24"/>
          <w:u w:val="single"/>
          <w:lang w:val="en-US"/>
        </w:rPr>
        <w:t>Film-coating</w:t>
      </w:r>
    </w:p>
    <w:p w14:paraId="7C7F029B" w14:textId="77777777" w:rsidR="0029430D" w:rsidRPr="00312F3E" w:rsidRDefault="0029430D" w:rsidP="00312F3E">
      <w:pPr>
        <w:ind w:left="851"/>
        <w:rPr>
          <w:noProof/>
          <w:sz w:val="24"/>
          <w:szCs w:val="24"/>
          <w:lang w:val="en-US"/>
        </w:rPr>
      </w:pPr>
      <w:r w:rsidRPr="00312F3E">
        <w:rPr>
          <w:noProof/>
          <w:sz w:val="24"/>
          <w:szCs w:val="24"/>
          <w:lang w:val="en-US"/>
        </w:rPr>
        <w:t>Polyvinyl alcohol (E1203)</w:t>
      </w:r>
    </w:p>
    <w:p w14:paraId="2F93DFE8" w14:textId="77777777" w:rsidR="0029430D" w:rsidRPr="00312F3E" w:rsidRDefault="0029430D" w:rsidP="00312F3E">
      <w:pPr>
        <w:ind w:left="851"/>
        <w:rPr>
          <w:noProof/>
          <w:sz w:val="24"/>
          <w:szCs w:val="24"/>
          <w:lang w:val="es-ES"/>
        </w:rPr>
      </w:pPr>
      <w:r w:rsidRPr="00312F3E">
        <w:rPr>
          <w:noProof/>
          <w:sz w:val="24"/>
          <w:szCs w:val="24"/>
          <w:lang w:val="es-ES"/>
        </w:rPr>
        <w:t>Calcium carbonate (E170)</w:t>
      </w:r>
    </w:p>
    <w:p w14:paraId="57019AD3" w14:textId="77777777" w:rsidR="0029430D" w:rsidRPr="00312F3E" w:rsidRDefault="0029430D" w:rsidP="00312F3E">
      <w:pPr>
        <w:ind w:left="851"/>
        <w:rPr>
          <w:noProof/>
          <w:sz w:val="24"/>
          <w:szCs w:val="24"/>
          <w:lang w:val="es-ES"/>
        </w:rPr>
      </w:pPr>
      <w:r w:rsidRPr="00312F3E">
        <w:rPr>
          <w:noProof/>
          <w:sz w:val="24"/>
          <w:szCs w:val="24"/>
          <w:lang w:val="es-ES"/>
        </w:rPr>
        <w:t>Macrogol 3350 (E1521)</w:t>
      </w:r>
    </w:p>
    <w:p w14:paraId="739D7ECB" w14:textId="77777777" w:rsidR="0029430D" w:rsidRPr="00312F3E" w:rsidRDefault="0029430D" w:rsidP="00312F3E">
      <w:pPr>
        <w:ind w:left="851"/>
        <w:rPr>
          <w:noProof/>
          <w:sz w:val="24"/>
          <w:szCs w:val="24"/>
          <w:lang w:val="es-ES"/>
        </w:rPr>
      </w:pPr>
      <w:r w:rsidRPr="00312F3E">
        <w:rPr>
          <w:noProof/>
          <w:sz w:val="24"/>
          <w:szCs w:val="24"/>
          <w:lang w:val="es-ES"/>
        </w:rPr>
        <w:t>Talc (E553b)</w:t>
      </w:r>
    </w:p>
    <w:p w14:paraId="7C163265" w14:textId="77777777" w:rsidR="0029430D" w:rsidRPr="00312F3E" w:rsidRDefault="0029430D" w:rsidP="00312F3E">
      <w:pPr>
        <w:ind w:left="851"/>
        <w:rPr>
          <w:noProof/>
          <w:sz w:val="24"/>
          <w:szCs w:val="24"/>
          <w:lang w:val="es-ES"/>
        </w:rPr>
      </w:pPr>
      <w:r w:rsidRPr="00312F3E">
        <w:rPr>
          <w:noProof/>
          <w:sz w:val="24"/>
          <w:szCs w:val="24"/>
          <w:lang w:val="es-ES"/>
        </w:rPr>
        <w:t>Iron oxide yellow (E172)</w:t>
      </w:r>
    </w:p>
    <w:p w14:paraId="7A98483F" w14:textId="77777777" w:rsidR="0029430D" w:rsidRPr="00312F3E" w:rsidRDefault="0029430D" w:rsidP="00312F3E">
      <w:pPr>
        <w:ind w:left="851"/>
        <w:rPr>
          <w:noProof/>
          <w:sz w:val="24"/>
          <w:szCs w:val="24"/>
          <w:lang w:val="es-ES"/>
        </w:rPr>
      </w:pPr>
      <w:r w:rsidRPr="00312F3E">
        <w:rPr>
          <w:noProof/>
          <w:sz w:val="24"/>
          <w:szCs w:val="24"/>
          <w:lang w:val="es-ES"/>
        </w:rPr>
        <w:t>Iron oxide black (E172)</w:t>
      </w:r>
    </w:p>
    <w:p w14:paraId="3F1886F5" w14:textId="77777777" w:rsidR="0029430D" w:rsidRPr="00312F3E" w:rsidRDefault="0029430D" w:rsidP="00312F3E">
      <w:pPr>
        <w:ind w:left="851"/>
        <w:rPr>
          <w:noProof/>
          <w:sz w:val="24"/>
          <w:szCs w:val="24"/>
          <w:lang w:val="es-ES"/>
        </w:rPr>
      </w:pPr>
      <w:r w:rsidRPr="00312F3E">
        <w:rPr>
          <w:noProof/>
          <w:sz w:val="24"/>
          <w:szCs w:val="24"/>
          <w:lang w:val="es-ES"/>
        </w:rPr>
        <w:t>Iron oxide red (E172)</w:t>
      </w:r>
    </w:p>
    <w:p w14:paraId="4578239D" w14:textId="77777777" w:rsidR="007C5D2A" w:rsidRPr="00312F3E" w:rsidRDefault="007C5D2A" w:rsidP="003D727E">
      <w:pPr>
        <w:tabs>
          <w:tab w:val="left" w:pos="851"/>
        </w:tabs>
        <w:ind w:left="851"/>
        <w:rPr>
          <w:sz w:val="24"/>
          <w:szCs w:val="24"/>
          <w:lang w:val="en-GB"/>
        </w:rPr>
      </w:pPr>
    </w:p>
    <w:p w14:paraId="2CFB1E9F" w14:textId="77777777" w:rsidR="007C5D2A" w:rsidRPr="00312F3E" w:rsidRDefault="007C5D2A" w:rsidP="007C5D2A">
      <w:pPr>
        <w:ind w:left="851" w:hanging="851"/>
        <w:rPr>
          <w:b/>
          <w:sz w:val="24"/>
          <w:szCs w:val="24"/>
          <w:lang w:val="en-GB"/>
        </w:rPr>
      </w:pPr>
      <w:r w:rsidRPr="00312F3E">
        <w:rPr>
          <w:b/>
          <w:sz w:val="24"/>
          <w:szCs w:val="24"/>
          <w:lang w:val="en-GB"/>
        </w:rPr>
        <w:t>6.2</w:t>
      </w:r>
      <w:r w:rsidRPr="00312F3E">
        <w:rPr>
          <w:b/>
          <w:sz w:val="24"/>
          <w:szCs w:val="24"/>
          <w:lang w:val="en-GB"/>
        </w:rPr>
        <w:tab/>
        <w:t>Incompatibilities</w:t>
      </w:r>
    </w:p>
    <w:p w14:paraId="62426E42" w14:textId="77777777" w:rsidR="0029430D" w:rsidRPr="00312F3E" w:rsidRDefault="0029430D" w:rsidP="00312F3E">
      <w:pPr>
        <w:ind w:left="851"/>
        <w:rPr>
          <w:sz w:val="24"/>
          <w:szCs w:val="24"/>
          <w:lang w:val="en-US"/>
        </w:rPr>
      </w:pPr>
      <w:r w:rsidRPr="00312F3E">
        <w:rPr>
          <w:sz w:val="24"/>
          <w:szCs w:val="24"/>
          <w:lang w:val="en-US"/>
        </w:rPr>
        <w:t>Not applicable.</w:t>
      </w:r>
    </w:p>
    <w:p w14:paraId="7C7BE5E8" w14:textId="77777777" w:rsidR="007C5D2A" w:rsidRPr="00312F3E" w:rsidRDefault="007C5D2A" w:rsidP="003E0341">
      <w:pPr>
        <w:tabs>
          <w:tab w:val="left" w:pos="851"/>
        </w:tabs>
        <w:ind w:left="851"/>
        <w:rPr>
          <w:sz w:val="24"/>
          <w:szCs w:val="24"/>
          <w:lang w:val="en-GB"/>
        </w:rPr>
      </w:pPr>
    </w:p>
    <w:p w14:paraId="382FE53A" w14:textId="77777777" w:rsidR="007C5D2A" w:rsidRPr="00312F3E" w:rsidRDefault="007C5D2A" w:rsidP="007C5D2A">
      <w:pPr>
        <w:ind w:left="851" w:hanging="851"/>
        <w:rPr>
          <w:b/>
          <w:sz w:val="24"/>
          <w:szCs w:val="24"/>
          <w:lang w:val="en-GB"/>
        </w:rPr>
      </w:pPr>
      <w:r w:rsidRPr="00312F3E">
        <w:rPr>
          <w:b/>
          <w:sz w:val="24"/>
          <w:szCs w:val="24"/>
          <w:lang w:val="en-GB"/>
        </w:rPr>
        <w:t>6.3</w:t>
      </w:r>
      <w:r w:rsidRPr="00312F3E">
        <w:rPr>
          <w:b/>
          <w:sz w:val="24"/>
          <w:szCs w:val="24"/>
          <w:lang w:val="en-GB"/>
        </w:rPr>
        <w:tab/>
        <w:t>Shelf</w:t>
      </w:r>
      <w:r w:rsidR="00B45DC5" w:rsidRPr="00312F3E">
        <w:rPr>
          <w:b/>
          <w:sz w:val="24"/>
          <w:szCs w:val="24"/>
          <w:lang w:val="en-GB"/>
        </w:rPr>
        <w:t xml:space="preserve"> </w:t>
      </w:r>
      <w:r w:rsidRPr="00312F3E">
        <w:rPr>
          <w:b/>
          <w:sz w:val="24"/>
          <w:szCs w:val="24"/>
          <w:lang w:val="en-GB"/>
        </w:rPr>
        <w:t>life</w:t>
      </w:r>
    </w:p>
    <w:p w14:paraId="224C7ACF" w14:textId="77777777" w:rsidR="0029430D" w:rsidRPr="00312F3E" w:rsidRDefault="0029430D" w:rsidP="00312F3E">
      <w:pPr>
        <w:ind w:left="851"/>
        <w:rPr>
          <w:i/>
          <w:iCs/>
          <w:sz w:val="24"/>
          <w:szCs w:val="24"/>
          <w:lang w:val="en-US"/>
        </w:rPr>
      </w:pPr>
      <w:r w:rsidRPr="00312F3E">
        <w:rPr>
          <w:sz w:val="24"/>
          <w:szCs w:val="24"/>
          <w:lang w:val="en-US"/>
        </w:rPr>
        <w:t>30 months</w:t>
      </w:r>
    </w:p>
    <w:p w14:paraId="7592D4B3" w14:textId="77777777" w:rsidR="007C5D2A" w:rsidRPr="00312F3E" w:rsidRDefault="007C5D2A" w:rsidP="003E0341">
      <w:pPr>
        <w:tabs>
          <w:tab w:val="left" w:pos="851"/>
        </w:tabs>
        <w:ind w:left="851"/>
        <w:rPr>
          <w:sz w:val="24"/>
          <w:szCs w:val="24"/>
          <w:lang w:val="en-GB"/>
        </w:rPr>
      </w:pPr>
    </w:p>
    <w:p w14:paraId="1CF6BECE" w14:textId="77777777" w:rsidR="007C5D2A" w:rsidRPr="00312F3E" w:rsidRDefault="007C5D2A" w:rsidP="007C5D2A">
      <w:pPr>
        <w:ind w:left="851" w:hanging="851"/>
        <w:rPr>
          <w:b/>
          <w:sz w:val="24"/>
          <w:szCs w:val="24"/>
          <w:lang w:val="en-GB"/>
        </w:rPr>
      </w:pPr>
      <w:r w:rsidRPr="00312F3E">
        <w:rPr>
          <w:b/>
          <w:sz w:val="24"/>
          <w:szCs w:val="24"/>
          <w:lang w:val="en-GB"/>
        </w:rPr>
        <w:t>6.4</w:t>
      </w:r>
      <w:r w:rsidRPr="00312F3E">
        <w:rPr>
          <w:b/>
          <w:sz w:val="24"/>
          <w:szCs w:val="24"/>
          <w:lang w:val="en-GB"/>
        </w:rPr>
        <w:tab/>
        <w:t>Special precautions for storage</w:t>
      </w:r>
    </w:p>
    <w:p w14:paraId="1F259912" w14:textId="77777777" w:rsidR="0029430D" w:rsidRPr="00312F3E" w:rsidRDefault="0029430D" w:rsidP="00312F3E">
      <w:pPr>
        <w:ind w:left="851"/>
        <w:rPr>
          <w:noProof/>
          <w:sz w:val="24"/>
          <w:szCs w:val="24"/>
          <w:lang w:val="en-US"/>
        </w:rPr>
      </w:pPr>
      <w:r w:rsidRPr="00312F3E">
        <w:rPr>
          <w:noProof/>
          <w:sz w:val="24"/>
          <w:szCs w:val="24"/>
          <w:lang w:val="en-US"/>
        </w:rPr>
        <w:t>This medicinal product does not require any special storage conditions.</w:t>
      </w:r>
    </w:p>
    <w:p w14:paraId="1EE720B7" w14:textId="77777777" w:rsidR="007C5D2A" w:rsidRPr="00312F3E" w:rsidRDefault="007C5D2A" w:rsidP="003E0341">
      <w:pPr>
        <w:tabs>
          <w:tab w:val="left" w:pos="851"/>
        </w:tabs>
        <w:ind w:left="851"/>
        <w:rPr>
          <w:sz w:val="24"/>
          <w:szCs w:val="24"/>
          <w:lang w:val="en-GB"/>
        </w:rPr>
      </w:pPr>
    </w:p>
    <w:p w14:paraId="23DECF8B" w14:textId="77777777" w:rsidR="007C5D2A" w:rsidRPr="00312F3E" w:rsidRDefault="007C5D2A" w:rsidP="007C5D2A">
      <w:pPr>
        <w:ind w:left="851" w:hanging="851"/>
        <w:rPr>
          <w:b/>
          <w:sz w:val="24"/>
          <w:szCs w:val="24"/>
          <w:lang w:val="en-GB"/>
        </w:rPr>
      </w:pPr>
      <w:r w:rsidRPr="00312F3E">
        <w:rPr>
          <w:b/>
          <w:sz w:val="24"/>
          <w:szCs w:val="24"/>
          <w:lang w:val="en-GB"/>
        </w:rPr>
        <w:t>6.5</w:t>
      </w:r>
      <w:r w:rsidRPr="00312F3E">
        <w:rPr>
          <w:b/>
          <w:sz w:val="24"/>
          <w:szCs w:val="24"/>
          <w:lang w:val="en-GB"/>
        </w:rPr>
        <w:tab/>
        <w:t>Nature and contents of container</w:t>
      </w:r>
    </w:p>
    <w:p w14:paraId="3B1652C3" w14:textId="77777777" w:rsidR="0029430D" w:rsidRPr="00312F3E" w:rsidRDefault="0029430D" w:rsidP="00312F3E">
      <w:pPr>
        <w:ind w:left="851"/>
        <w:rPr>
          <w:sz w:val="24"/>
          <w:szCs w:val="24"/>
          <w:lang w:val="en-US"/>
        </w:rPr>
      </w:pPr>
      <w:r w:rsidRPr="00312F3E">
        <w:rPr>
          <w:sz w:val="24"/>
          <w:szCs w:val="24"/>
          <w:lang w:val="en-US"/>
        </w:rPr>
        <w:t>OPA/Aluminum/PVC//Aluminum blister</w:t>
      </w:r>
    </w:p>
    <w:p w14:paraId="6271D7BB" w14:textId="77777777" w:rsidR="0029430D" w:rsidRPr="00312F3E" w:rsidRDefault="0029430D" w:rsidP="00312F3E">
      <w:pPr>
        <w:ind w:left="851"/>
        <w:rPr>
          <w:sz w:val="24"/>
          <w:szCs w:val="24"/>
          <w:lang w:val="en-US"/>
        </w:rPr>
      </w:pPr>
    </w:p>
    <w:p w14:paraId="446E196B" w14:textId="1761E3D5" w:rsidR="0029430D" w:rsidRPr="005C4057" w:rsidRDefault="00312F3E" w:rsidP="00312F3E">
      <w:pPr>
        <w:ind w:left="851"/>
        <w:rPr>
          <w:sz w:val="24"/>
          <w:szCs w:val="24"/>
          <w:u w:val="single"/>
          <w:lang w:val="en-GB"/>
        </w:rPr>
      </w:pPr>
      <w:proofErr w:type="spellStart"/>
      <w:r w:rsidRPr="005C4057">
        <w:rPr>
          <w:sz w:val="24"/>
          <w:szCs w:val="24"/>
          <w:u w:val="single"/>
          <w:lang w:val="en-US"/>
        </w:rPr>
        <w:t>Dofliga</w:t>
      </w:r>
      <w:proofErr w:type="spellEnd"/>
      <w:r w:rsidR="0029430D" w:rsidRPr="005C4057">
        <w:rPr>
          <w:sz w:val="24"/>
          <w:szCs w:val="24"/>
          <w:u w:val="single"/>
          <w:lang w:val="en-US"/>
        </w:rPr>
        <w:t xml:space="preserve"> 5 mg film-coated tablets</w:t>
      </w:r>
    </w:p>
    <w:p w14:paraId="4ED1FAB5" w14:textId="77777777" w:rsidR="0029430D" w:rsidRPr="00312F3E" w:rsidRDefault="0029430D" w:rsidP="00312F3E">
      <w:pPr>
        <w:ind w:left="851"/>
        <w:rPr>
          <w:sz w:val="24"/>
          <w:szCs w:val="24"/>
          <w:lang w:val="en-US"/>
        </w:rPr>
      </w:pPr>
    </w:p>
    <w:p w14:paraId="688BCD9D" w14:textId="77777777" w:rsidR="0029430D" w:rsidRPr="00312F3E" w:rsidRDefault="0029430D" w:rsidP="00312F3E">
      <w:pPr>
        <w:ind w:left="851"/>
        <w:rPr>
          <w:sz w:val="24"/>
          <w:szCs w:val="24"/>
          <w:lang w:val="en-US"/>
        </w:rPr>
      </w:pPr>
      <w:r w:rsidRPr="00312F3E">
        <w:rPr>
          <w:sz w:val="24"/>
          <w:szCs w:val="24"/>
          <w:lang w:val="en-US"/>
        </w:rPr>
        <w:t>Pack sizes of 14, 28 and 98 film-coated tablets in non-perforated plain or calendar blisters packed in a carton.</w:t>
      </w:r>
    </w:p>
    <w:p w14:paraId="565BF466" w14:textId="7306E932" w:rsidR="0029430D" w:rsidRPr="00312F3E" w:rsidRDefault="0029430D" w:rsidP="00312F3E">
      <w:pPr>
        <w:ind w:left="851"/>
        <w:rPr>
          <w:sz w:val="24"/>
          <w:szCs w:val="24"/>
          <w:lang w:val="en-US"/>
        </w:rPr>
      </w:pPr>
      <w:r w:rsidRPr="00312F3E">
        <w:rPr>
          <w:sz w:val="24"/>
          <w:szCs w:val="24"/>
          <w:lang w:val="en-US"/>
        </w:rPr>
        <w:t>Pack sizes of 30</w:t>
      </w:r>
      <w:r w:rsidR="002334D5">
        <w:rPr>
          <w:sz w:val="24"/>
          <w:szCs w:val="24"/>
          <w:lang w:val="en-US"/>
        </w:rPr>
        <w:t>×</w:t>
      </w:r>
      <w:r w:rsidRPr="00312F3E">
        <w:rPr>
          <w:sz w:val="24"/>
          <w:szCs w:val="24"/>
          <w:lang w:val="en-US"/>
        </w:rPr>
        <w:t>1 and 90</w:t>
      </w:r>
      <w:r w:rsidR="002334D5">
        <w:rPr>
          <w:sz w:val="24"/>
          <w:szCs w:val="24"/>
          <w:lang w:val="en-US"/>
        </w:rPr>
        <w:t>×</w:t>
      </w:r>
      <w:r w:rsidRPr="00312F3E">
        <w:rPr>
          <w:sz w:val="24"/>
          <w:szCs w:val="24"/>
          <w:lang w:val="en-US"/>
        </w:rPr>
        <w:t>1 film-coated tablets in perforated unit dose blisters packed in a carton.</w:t>
      </w:r>
    </w:p>
    <w:p w14:paraId="20BBCA45" w14:textId="77777777" w:rsidR="0029430D" w:rsidRPr="00312F3E" w:rsidRDefault="0029430D" w:rsidP="00312F3E">
      <w:pPr>
        <w:ind w:left="851"/>
        <w:rPr>
          <w:sz w:val="24"/>
          <w:szCs w:val="24"/>
          <w:lang w:val="en-US"/>
        </w:rPr>
      </w:pPr>
    </w:p>
    <w:p w14:paraId="5F4B6B0B" w14:textId="1A686048" w:rsidR="0029430D" w:rsidRPr="002334D5" w:rsidRDefault="00312F3E" w:rsidP="00312F3E">
      <w:pPr>
        <w:ind w:left="851"/>
        <w:rPr>
          <w:sz w:val="24"/>
          <w:szCs w:val="24"/>
          <w:u w:val="single"/>
          <w:lang w:val="en-US"/>
        </w:rPr>
      </w:pPr>
      <w:proofErr w:type="spellStart"/>
      <w:r w:rsidRPr="002334D5">
        <w:rPr>
          <w:sz w:val="24"/>
          <w:szCs w:val="24"/>
          <w:u w:val="single"/>
          <w:lang w:val="en-US"/>
        </w:rPr>
        <w:t>Dofliga</w:t>
      </w:r>
      <w:proofErr w:type="spellEnd"/>
      <w:r w:rsidR="0029430D" w:rsidRPr="002334D5">
        <w:rPr>
          <w:sz w:val="24"/>
          <w:szCs w:val="24"/>
          <w:u w:val="single"/>
          <w:lang w:val="en-US"/>
        </w:rPr>
        <w:t xml:space="preserve"> 10 mg film-coated tablets</w:t>
      </w:r>
    </w:p>
    <w:p w14:paraId="6B5664C1" w14:textId="77777777" w:rsidR="0029430D" w:rsidRPr="00312F3E" w:rsidRDefault="0029430D" w:rsidP="00312F3E">
      <w:pPr>
        <w:ind w:left="851"/>
        <w:rPr>
          <w:sz w:val="24"/>
          <w:szCs w:val="24"/>
          <w:lang w:val="en-US"/>
        </w:rPr>
      </w:pPr>
    </w:p>
    <w:p w14:paraId="6C641F32" w14:textId="77777777" w:rsidR="0029430D" w:rsidRPr="00312F3E" w:rsidRDefault="0029430D" w:rsidP="00312F3E">
      <w:pPr>
        <w:ind w:left="851"/>
        <w:rPr>
          <w:sz w:val="24"/>
          <w:szCs w:val="24"/>
          <w:lang w:val="en-US"/>
        </w:rPr>
      </w:pPr>
      <w:r w:rsidRPr="00312F3E">
        <w:rPr>
          <w:sz w:val="24"/>
          <w:szCs w:val="24"/>
          <w:lang w:val="en-US"/>
        </w:rPr>
        <w:t xml:space="preserve">Pack sizes of 14, 28 and 98 film-coated tablets in non-perforated plain or calendar blisters packed in a carton. </w:t>
      </w:r>
    </w:p>
    <w:p w14:paraId="580DAE55" w14:textId="191F33FC" w:rsidR="0029430D" w:rsidRPr="00312F3E" w:rsidRDefault="0029430D" w:rsidP="00312F3E">
      <w:pPr>
        <w:ind w:left="851"/>
        <w:rPr>
          <w:sz w:val="24"/>
          <w:szCs w:val="24"/>
          <w:lang w:val="en-US"/>
        </w:rPr>
      </w:pPr>
      <w:r w:rsidRPr="00312F3E">
        <w:rPr>
          <w:sz w:val="24"/>
          <w:szCs w:val="24"/>
          <w:lang w:val="en-US"/>
        </w:rPr>
        <w:t>Pack sizes of 10</w:t>
      </w:r>
      <w:r w:rsidR="002334D5">
        <w:rPr>
          <w:sz w:val="24"/>
          <w:szCs w:val="24"/>
          <w:lang w:val="en-US"/>
        </w:rPr>
        <w:t>×</w:t>
      </w:r>
      <w:r w:rsidRPr="00312F3E">
        <w:rPr>
          <w:sz w:val="24"/>
          <w:szCs w:val="24"/>
          <w:lang w:val="en-US"/>
        </w:rPr>
        <w:t>1, 30</w:t>
      </w:r>
      <w:r w:rsidR="002334D5">
        <w:rPr>
          <w:sz w:val="24"/>
          <w:szCs w:val="24"/>
          <w:lang w:val="en-US"/>
        </w:rPr>
        <w:t>×</w:t>
      </w:r>
      <w:r w:rsidRPr="00312F3E">
        <w:rPr>
          <w:sz w:val="24"/>
          <w:szCs w:val="24"/>
          <w:lang w:val="en-US"/>
        </w:rPr>
        <w:t>1 and 90</w:t>
      </w:r>
      <w:r w:rsidR="002334D5">
        <w:rPr>
          <w:sz w:val="24"/>
          <w:szCs w:val="24"/>
          <w:lang w:val="en-US"/>
        </w:rPr>
        <w:t>×</w:t>
      </w:r>
      <w:r w:rsidRPr="00312F3E">
        <w:rPr>
          <w:sz w:val="24"/>
          <w:szCs w:val="24"/>
          <w:lang w:val="en-US"/>
        </w:rPr>
        <w:t xml:space="preserve">1 film-coated tablets in perforated unit dose blisters packed in a carton. </w:t>
      </w:r>
    </w:p>
    <w:p w14:paraId="1FE5E5BF" w14:textId="77777777" w:rsidR="0029430D" w:rsidRPr="00312F3E" w:rsidRDefault="0029430D" w:rsidP="00312F3E">
      <w:pPr>
        <w:ind w:left="851"/>
        <w:rPr>
          <w:sz w:val="24"/>
          <w:szCs w:val="24"/>
          <w:lang w:val="en-US"/>
        </w:rPr>
      </w:pPr>
    </w:p>
    <w:p w14:paraId="51AB9552" w14:textId="77777777" w:rsidR="0029430D" w:rsidRPr="00312F3E" w:rsidRDefault="0029430D" w:rsidP="00312F3E">
      <w:pPr>
        <w:ind w:left="851"/>
        <w:rPr>
          <w:sz w:val="24"/>
          <w:szCs w:val="24"/>
          <w:lang w:val="en-US"/>
        </w:rPr>
      </w:pPr>
      <w:r w:rsidRPr="00312F3E">
        <w:rPr>
          <w:sz w:val="24"/>
          <w:szCs w:val="24"/>
          <w:lang w:val="en-US"/>
        </w:rPr>
        <w:t>Not all pack sizes may be marketed.</w:t>
      </w:r>
    </w:p>
    <w:p w14:paraId="0D722E80" w14:textId="77777777" w:rsidR="007C5D2A" w:rsidRPr="00312F3E" w:rsidRDefault="007C5D2A" w:rsidP="003E0341">
      <w:pPr>
        <w:tabs>
          <w:tab w:val="left" w:pos="851"/>
        </w:tabs>
        <w:ind w:left="851"/>
        <w:rPr>
          <w:sz w:val="24"/>
          <w:szCs w:val="24"/>
          <w:lang w:val="en-GB"/>
        </w:rPr>
      </w:pPr>
    </w:p>
    <w:p w14:paraId="706E8D8F" w14:textId="77777777" w:rsidR="007C5D2A" w:rsidRPr="00312F3E" w:rsidRDefault="007C5D2A" w:rsidP="007C5D2A">
      <w:pPr>
        <w:ind w:left="851" w:hanging="851"/>
        <w:rPr>
          <w:b/>
          <w:sz w:val="24"/>
          <w:szCs w:val="24"/>
          <w:lang w:val="en-GB"/>
        </w:rPr>
      </w:pPr>
      <w:r w:rsidRPr="00312F3E">
        <w:rPr>
          <w:b/>
          <w:sz w:val="24"/>
          <w:szCs w:val="24"/>
          <w:lang w:val="en-GB"/>
        </w:rPr>
        <w:t>6.6</w:t>
      </w:r>
      <w:r w:rsidRPr="00312F3E">
        <w:rPr>
          <w:b/>
          <w:sz w:val="24"/>
          <w:szCs w:val="24"/>
          <w:lang w:val="en-GB"/>
        </w:rPr>
        <w:tab/>
        <w:t>Special precautions for disposal and other handling</w:t>
      </w:r>
    </w:p>
    <w:p w14:paraId="37D3BB33" w14:textId="77777777" w:rsidR="0029430D" w:rsidRPr="00312F3E" w:rsidRDefault="0029430D" w:rsidP="00312F3E">
      <w:pPr>
        <w:ind w:left="851"/>
        <w:rPr>
          <w:sz w:val="24"/>
          <w:szCs w:val="24"/>
          <w:lang w:val="en-US"/>
        </w:rPr>
      </w:pPr>
      <w:r w:rsidRPr="00312F3E">
        <w:rPr>
          <w:sz w:val="24"/>
          <w:szCs w:val="24"/>
          <w:lang w:val="en-US"/>
        </w:rPr>
        <w:t>Any unused medicinal product or waste material should be disposed of in accordance with local requirements.</w:t>
      </w:r>
    </w:p>
    <w:p w14:paraId="2827F370" w14:textId="77777777" w:rsidR="007C5D2A" w:rsidRPr="00312F3E" w:rsidRDefault="007C5D2A" w:rsidP="00AB4376">
      <w:pPr>
        <w:tabs>
          <w:tab w:val="left" w:pos="851"/>
        </w:tabs>
        <w:ind w:left="851"/>
        <w:rPr>
          <w:sz w:val="24"/>
          <w:szCs w:val="24"/>
          <w:lang w:val="en-GB"/>
        </w:rPr>
      </w:pPr>
    </w:p>
    <w:p w14:paraId="1FB2D72C" w14:textId="77777777" w:rsidR="007C5D2A" w:rsidRPr="00312F3E" w:rsidRDefault="007C5D2A" w:rsidP="007C5D2A">
      <w:pPr>
        <w:tabs>
          <w:tab w:val="left" w:pos="851"/>
        </w:tabs>
        <w:ind w:left="851" w:hanging="851"/>
        <w:jc w:val="both"/>
        <w:rPr>
          <w:b/>
          <w:sz w:val="24"/>
          <w:szCs w:val="24"/>
          <w:lang w:val="en-GB"/>
        </w:rPr>
      </w:pPr>
      <w:r w:rsidRPr="00312F3E">
        <w:rPr>
          <w:b/>
          <w:sz w:val="24"/>
          <w:szCs w:val="24"/>
          <w:lang w:val="en-GB"/>
        </w:rPr>
        <w:t>7.</w:t>
      </w:r>
      <w:r w:rsidRPr="00312F3E">
        <w:rPr>
          <w:b/>
          <w:sz w:val="24"/>
          <w:szCs w:val="24"/>
          <w:lang w:val="en-GB"/>
        </w:rPr>
        <w:tab/>
        <w:t>MARKETING AUTHORISATION HOLDER</w:t>
      </w:r>
    </w:p>
    <w:p w14:paraId="2AF57167" w14:textId="062B68C1" w:rsidR="007C5D2A" w:rsidRPr="00312F3E" w:rsidRDefault="0029430D" w:rsidP="00A85D26">
      <w:pPr>
        <w:tabs>
          <w:tab w:val="left" w:pos="851"/>
        </w:tabs>
        <w:ind w:left="851"/>
        <w:jc w:val="both"/>
        <w:rPr>
          <w:sz w:val="24"/>
          <w:szCs w:val="24"/>
          <w:lang w:val="en-GB"/>
        </w:rPr>
      </w:pPr>
      <w:proofErr w:type="spellStart"/>
      <w:r w:rsidRPr="00312F3E">
        <w:rPr>
          <w:sz w:val="24"/>
          <w:szCs w:val="24"/>
          <w:lang w:val="en-GB"/>
        </w:rPr>
        <w:t>Elpen</w:t>
      </w:r>
      <w:proofErr w:type="spellEnd"/>
      <w:r w:rsidRPr="00312F3E">
        <w:rPr>
          <w:sz w:val="24"/>
          <w:szCs w:val="24"/>
          <w:lang w:val="en-GB"/>
        </w:rPr>
        <w:t xml:space="preserve"> Pharmaceutical Co. Inc.</w:t>
      </w:r>
    </w:p>
    <w:p w14:paraId="4A5E63EB" w14:textId="39B00E80" w:rsidR="0029430D" w:rsidRPr="00312F3E" w:rsidRDefault="0029430D" w:rsidP="00A85D26">
      <w:pPr>
        <w:tabs>
          <w:tab w:val="left" w:pos="851"/>
        </w:tabs>
        <w:ind w:left="851"/>
        <w:jc w:val="both"/>
        <w:rPr>
          <w:sz w:val="24"/>
          <w:szCs w:val="24"/>
          <w:lang w:val="en-GB"/>
        </w:rPr>
      </w:pPr>
      <w:proofErr w:type="spellStart"/>
      <w:r w:rsidRPr="00312F3E">
        <w:rPr>
          <w:sz w:val="24"/>
          <w:szCs w:val="24"/>
          <w:lang w:val="en-GB"/>
        </w:rPr>
        <w:t>Marathonos</w:t>
      </w:r>
      <w:proofErr w:type="spellEnd"/>
      <w:r w:rsidRPr="00312F3E">
        <w:rPr>
          <w:sz w:val="24"/>
          <w:szCs w:val="24"/>
          <w:lang w:val="en-GB"/>
        </w:rPr>
        <w:t xml:space="preserve"> Avenue 95</w:t>
      </w:r>
    </w:p>
    <w:p w14:paraId="32290C82" w14:textId="48C8B14F" w:rsidR="0029430D" w:rsidRPr="00312F3E" w:rsidRDefault="0029430D" w:rsidP="00A85D26">
      <w:pPr>
        <w:tabs>
          <w:tab w:val="left" w:pos="851"/>
        </w:tabs>
        <w:ind w:left="851"/>
        <w:jc w:val="both"/>
        <w:rPr>
          <w:sz w:val="24"/>
          <w:szCs w:val="24"/>
          <w:lang w:val="en-GB"/>
        </w:rPr>
      </w:pPr>
      <w:r w:rsidRPr="00312F3E">
        <w:rPr>
          <w:sz w:val="24"/>
          <w:szCs w:val="24"/>
          <w:lang w:val="en-GB"/>
        </w:rPr>
        <w:t xml:space="preserve">190 09 </w:t>
      </w:r>
      <w:proofErr w:type="spellStart"/>
      <w:r w:rsidRPr="00312F3E">
        <w:rPr>
          <w:sz w:val="24"/>
          <w:szCs w:val="24"/>
          <w:lang w:val="en-GB"/>
        </w:rPr>
        <w:t>Pikermi</w:t>
      </w:r>
      <w:proofErr w:type="spellEnd"/>
      <w:r w:rsidRPr="00312F3E">
        <w:rPr>
          <w:sz w:val="24"/>
          <w:szCs w:val="24"/>
          <w:lang w:val="en-GB"/>
        </w:rPr>
        <w:t xml:space="preserve">, </w:t>
      </w:r>
      <w:proofErr w:type="spellStart"/>
      <w:r w:rsidRPr="00312F3E">
        <w:rPr>
          <w:sz w:val="24"/>
          <w:szCs w:val="24"/>
          <w:lang w:val="en-GB"/>
        </w:rPr>
        <w:t>Attiki</w:t>
      </w:r>
      <w:proofErr w:type="spellEnd"/>
    </w:p>
    <w:p w14:paraId="5647113E" w14:textId="69C55358" w:rsidR="0029430D" w:rsidRPr="00312F3E" w:rsidRDefault="0029430D" w:rsidP="00A85D26">
      <w:pPr>
        <w:tabs>
          <w:tab w:val="left" w:pos="851"/>
        </w:tabs>
        <w:ind w:left="851"/>
        <w:jc w:val="both"/>
        <w:rPr>
          <w:sz w:val="24"/>
          <w:szCs w:val="24"/>
          <w:lang w:val="en-GB"/>
        </w:rPr>
      </w:pPr>
      <w:r w:rsidRPr="00312F3E">
        <w:rPr>
          <w:sz w:val="24"/>
          <w:szCs w:val="24"/>
          <w:lang w:val="en-GB"/>
        </w:rPr>
        <w:t>Greece</w:t>
      </w:r>
    </w:p>
    <w:p w14:paraId="506142E8" w14:textId="77777777" w:rsidR="008A24F6" w:rsidRPr="00312F3E" w:rsidRDefault="008A24F6" w:rsidP="003E0341">
      <w:pPr>
        <w:tabs>
          <w:tab w:val="left" w:pos="851"/>
        </w:tabs>
        <w:ind w:left="851"/>
        <w:jc w:val="both"/>
        <w:rPr>
          <w:sz w:val="24"/>
          <w:szCs w:val="24"/>
          <w:lang w:val="en-GB"/>
        </w:rPr>
      </w:pPr>
    </w:p>
    <w:p w14:paraId="3E50A096" w14:textId="77777777" w:rsidR="007C5D2A" w:rsidRPr="00312F3E" w:rsidRDefault="007C5D2A" w:rsidP="007C5D2A">
      <w:pPr>
        <w:ind w:left="851" w:hanging="851"/>
        <w:jc w:val="both"/>
        <w:rPr>
          <w:b/>
          <w:sz w:val="24"/>
          <w:szCs w:val="24"/>
          <w:lang w:val="en-GB"/>
        </w:rPr>
      </w:pPr>
      <w:r w:rsidRPr="00312F3E">
        <w:rPr>
          <w:b/>
          <w:sz w:val="24"/>
          <w:szCs w:val="24"/>
          <w:lang w:val="en-GB"/>
        </w:rPr>
        <w:t>8.</w:t>
      </w:r>
      <w:r w:rsidRPr="00312F3E">
        <w:rPr>
          <w:b/>
          <w:sz w:val="24"/>
          <w:szCs w:val="24"/>
          <w:lang w:val="en-GB"/>
        </w:rPr>
        <w:tab/>
        <w:t>MARKETING AUTHORISATION NUMBER(S)</w:t>
      </w:r>
    </w:p>
    <w:p w14:paraId="362D8052" w14:textId="3409B4EF" w:rsidR="007C5D2A" w:rsidRPr="00312F3E" w:rsidRDefault="0029430D" w:rsidP="002334D5">
      <w:pPr>
        <w:tabs>
          <w:tab w:val="left" w:pos="851"/>
          <w:tab w:val="left" w:pos="1843"/>
        </w:tabs>
        <w:ind w:left="851"/>
        <w:rPr>
          <w:sz w:val="24"/>
          <w:szCs w:val="24"/>
          <w:lang w:val="en-GB"/>
        </w:rPr>
      </w:pPr>
      <w:r w:rsidRPr="00312F3E">
        <w:rPr>
          <w:sz w:val="24"/>
          <w:szCs w:val="24"/>
          <w:lang w:val="en-GB"/>
        </w:rPr>
        <w:t>5 mg:</w:t>
      </w:r>
      <w:r w:rsidR="002334D5">
        <w:rPr>
          <w:sz w:val="24"/>
          <w:szCs w:val="24"/>
          <w:lang w:val="en-GB"/>
        </w:rPr>
        <w:t xml:space="preserve"> </w:t>
      </w:r>
      <w:r w:rsidR="002334D5">
        <w:rPr>
          <w:sz w:val="24"/>
          <w:szCs w:val="24"/>
          <w:lang w:val="en-GB"/>
        </w:rPr>
        <w:tab/>
        <w:t>71854</w:t>
      </w:r>
    </w:p>
    <w:p w14:paraId="70908D49" w14:textId="736F012C" w:rsidR="0029430D" w:rsidRPr="00312F3E" w:rsidRDefault="0029430D" w:rsidP="002334D5">
      <w:pPr>
        <w:tabs>
          <w:tab w:val="left" w:pos="851"/>
          <w:tab w:val="left" w:pos="1843"/>
        </w:tabs>
        <w:ind w:left="851"/>
        <w:rPr>
          <w:sz w:val="24"/>
          <w:szCs w:val="24"/>
          <w:lang w:val="en-GB"/>
        </w:rPr>
      </w:pPr>
      <w:r w:rsidRPr="00312F3E">
        <w:rPr>
          <w:sz w:val="24"/>
          <w:szCs w:val="24"/>
          <w:lang w:val="en-GB"/>
        </w:rPr>
        <w:t>10 mg:</w:t>
      </w:r>
      <w:r w:rsidR="002334D5">
        <w:rPr>
          <w:sz w:val="24"/>
          <w:szCs w:val="24"/>
          <w:lang w:val="en-GB"/>
        </w:rPr>
        <w:t xml:space="preserve"> </w:t>
      </w:r>
      <w:r w:rsidR="002334D5">
        <w:rPr>
          <w:sz w:val="24"/>
          <w:szCs w:val="24"/>
          <w:lang w:val="en-GB"/>
        </w:rPr>
        <w:tab/>
        <w:t>71855</w:t>
      </w:r>
    </w:p>
    <w:p w14:paraId="0AA09DDD" w14:textId="77777777" w:rsidR="007C5D2A" w:rsidRPr="00312F3E" w:rsidRDefault="007C5D2A" w:rsidP="00180A12">
      <w:pPr>
        <w:tabs>
          <w:tab w:val="left" w:pos="851"/>
        </w:tabs>
        <w:ind w:left="851"/>
        <w:jc w:val="both"/>
        <w:rPr>
          <w:sz w:val="24"/>
          <w:szCs w:val="24"/>
          <w:lang w:val="en-GB"/>
        </w:rPr>
      </w:pPr>
    </w:p>
    <w:p w14:paraId="4ED4D31E" w14:textId="77777777" w:rsidR="007C5D2A" w:rsidRPr="00312F3E" w:rsidRDefault="007C5D2A" w:rsidP="007C5D2A">
      <w:pPr>
        <w:tabs>
          <w:tab w:val="left" w:pos="851"/>
        </w:tabs>
        <w:jc w:val="both"/>
        <w:rPr>
          <w:sz w:val="24"/>
          <w:szCs w:val="24"/>
          <w:lang w:val="en-GB"/>
        </w:rPr>
      </w:pPr>
      <w:r w:rsidRPr="00312F3E">
        <w:rPr>
          <w:b/>
          <w:sz w:val="24"/>
          <w:szCs w:val="24"/>
          <w:lang w:val="en-GB"/>
        </w:rPr>
        <w:t>9.</w:t>
      </w:r>
      <w:r w:rsidRPr="00312F3E">
        <w:rPr>
          <w:b/>
          <w:sz w:val="24"/>
          <w:szCs w:val="24"/>
          <w:lang w:val="en-GB"/>
        </w:rPr>
        <w:tab/>
        <w:t>DATE OF FIRST AUTHORISATION</w:t>
      </w:r>
    </w:p>
    <w:p w14:paraId="55B409B4" w14:textId="78F96C67" w:rsidR="007C5D2A" w:rsidRPr="00312F3E" w:rsidRDefault="006A7320" w:rsidP="00A85D26">
      <w:pPr>
        <w:ind w:left="851"/>
        <w:jc w:val="both"/>
        <w:rPr>
          <w:sz w:val="24"/>
          <w:szCs w:val="24"/>
          <w:lang w:val="en-GB"/>
        </w:rPr>
      </w:pPr>
      <w:r>
        <w:rPr>
          <w:sz w:val="24"/>
          <w:szCs w:val="24"/>
          <w:lang w:val="en-GB"/>
        </w:rPr>
        <w:t>3 September 2025</w:t>
      </w:r>
    </w:p>
    <w:p w14:paraId="76E51621" w14:textId="77777777" w:rsidR="007C5D2A" w:rsidRPr="00312F3E" w:rsidRDefault="007C5D2A" w:rsidP="003E0341">
      <w:pPr>
        <w:tabs>
          <w:tab w:val="left" w:pos="851"/>
        </w:tabs>
        <w:ind w:left="851"/>
        <w:jc w:val="both"/>
        <w:rPr>
          <w:sz w:val="24"/>
          <w:szCs w:val="24"/>
          <w:lang w:val="en-GB"/>
        </w:rPr>
      </w:pPr>
    </w:p>
    <w:p w14:paraId="4D8EE4BA" w14:textId="77777777" w:rsidR="007C5D2A" w:rsidRPr="00312F3E" w:rsidRDefault="007C5D2A" w:rsidP="007C5D2A">
      <w:pPr>
        <w:tabs>
          <w:tab w:val="left" w:pos="851"/>
        </w:tabs>
        <w:jc w:val="both"/>
        <w:rPr>
          <w:sz w:val="24"/>
          <w:szCs w:val="24"/>
          <w:lang w:val="en-GB"/>
        </w:rPr>
      </w:pPr>
      <w:r w:rsidRPr="00312F3E">
        <w:rPr>
          <w:b/>
          <w:sz w:val="24"/>
          <w:szCs w:val="24"/>
          <w:lang w:val="en-GB"/>
        </w:rPr>
        <w:t>10.</w:t>
      </w:r>
      <w:r w:rsidRPr="00312F3E">
        <w:rPr>
          <w:b/>
          <w:sz w:val="24"/>
          <w:szCs w:val="24"/>
          <w:lang w:val="en-GB"/>
        </w:rPr>
        <w:tab/>
        <w:t>DATE OF REVISION OF THE TEXT</w:t>
      </w:r>
    </w:p>
    <w:p w14:paraId="7DE98D68" w14:textId="0CD5FB0F" w:rsidR="007C5D2A" w:rsidRPr="00312F3E" w:rsidRDefault="0029430D" w:rsidP="003E0341">
      <w:pPr>
        <w:tabs>
          <w:tab w:val="left" w:pos="851"/>
        </w:tabs>
        <w:ind w:left="851"/>
        <w:jc w:val="both"/>
        <w:rPr>
          <w:sz w:val="24"/>
          <w:szCs w:val="24"/>
          <w:lang w:val="en-GB"/>
        </w:rPr>
      </w:pPr>
      <w:r w:rsidRPr="00312F3E">
        <w:rPr>
          <w:sz w:val="24"/>
          <w:szCs w:val="24"/>
          <w:lang w:val="en-GB"/>
        </w:rPr>
        <w:t>-</w:t>
      </w:r>
    </w:p>
    <w:sectPr w:rsidR="007C5D2A" w:rsidRPr="00312F3E" w:rsidSect="004A3BF4">
      <w:headerReference w:type="even" r:id="rId17"/>
      <w:headerReference w:type="default" r:id="rId18"/>
      <w:footerReference w:type="even" r:id="rId19"/>
      <w:footerReference w:type="default" r:id="rId20"/>
      <w:headerReference w:type="first" r:id="rId21"/>
      <w:footerReference w:type="first" r:id="rId2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A831E" w14:textId="77777777" w:rsidR="0029430D" w:rsidRDefault="0029430D">
      <w:r>
        <w:separator/>
      </w:r>
    </w:p>
  </w:endnote>
  <w:endnote w:type="continuationSeparator" w:id="0">
    <w:p w14:paraId="225B59AE" w14:textId="77777777" w:rsidR="0029430D" w:rsidRDefault="0029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853A" w14:textId="77777777" w:rsidR="0029430D" w:rsidRDefault="0029430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2C48" w14:textId="77777777" w:rsidR="0029430D" w:rsidRDefault="0029430D">
    <w:pPr>
      <w:pStyle w:val="Sidefod"/>
      <w:pBdr>
        <w:bottom w:val="single" w:sz="6" w:space="1" w:color="auto"/>
      </w:pBdr>
    </w:pPr>
  </w:p>
  <w:p w14:paraId="631D8193" w14:textId="77777777" w:rsidR="0029430D" w:rsidRDefault="0029430D">
    <w:pPr>
      <w:pStyle w:val="Sidefod"/>
      <w:tabs>
        <w:tab w:val="clear" w:pos="4819"/>
        <w:tab w:val="left" w:pos="8647"/>
      </w:tabs>
      <w:rPr>
        <w:i/>
        <w:snapToGrid w:val="0"/>
        <w:sz w:val="18"/>
      </w:rPr>
    </w:pPr>
  </w:p>
  <w:p w14:paraId="7E00BFD0" w14:textId="1B04D749" w:rsidR="0029430D" w:rsidRDefault="0029430D"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6A7320">
      <w:rPr>
        <w:i/>
        <w:noProof/>
        <w:snapToGrid w:val="0"/>
        <w:sz w:val="18"/>
      </w:rPr>
      <w:t>Dofliga, filmovertrukne tabletter 5 mg og 10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85D3" w14:textId="77777777" w:rsidR="0029430D" w:rsidRDefault="0029430D">
    <w:pPr>
      <w:pStyle w:val="Sidefod"/>
      <w:pBdr>
        <w:bottom w:val="single" w:sz="6" w:space="1" w:color="auto"/>
      </w:pBdr>
      <w:tabs>
        <w:tab w:val="clear" w:pos="4819"/>
        <w:tab w:val="left" w:pos="8789"/>
      </w:tabs>
      <w:rPr>
        <w:i/>
        <w:snapToGrid w:val="0"/>
        <w:sz w:val="18"/>
      </w:rPr>
    </w:pPr>
  </w:p>
  <w:p w14:paraId="7DDBEA88" w14:textId="77777777" w:rsidR="0029430D" w:rsidRDefault="0029430D">
    <w:pPr>
      <w:pStyle w:val="Sidefod"/>
      <w:tabs>
        <w:tab w:val="clear" w:pos="4819"/>
        <w:tab w:val="left" w:pos="8789"/>
      </w:tabs>
      <w:rPr>
        <w:i/>
        <w:snapToGrid w:val="0"/>
        <w:sz w:val="18"/>
      </w:rPr>
    </w:pPr>
  </w:p>
  <w:p w14:paraId="78C15F69" w14:textId="2829C6CF" w:rsidR="0029430D" w:rsidRDefault="0029430D">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6A7320">
      <w:rPr>
        <w:i/>
        <w:noProof/>
        <w:snapToGrid w:val="0"/>
        <w:sz w:val="18"/>
      </w:rPr>
      <w:t>Dofliga, filmovertrukne tabletter 5 mg og 10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6D288" w14:textId="77777777" w:rsidR="0029430D" w:rsidRDefault="0029430D">
      <w:r>
        <w:separator/>
      </w:r>
    </w:p>
  </w:footnote>
  <w:footnote w:type="continuationSeparator" w:id="0">
    <w:p w14:paraId="6636B7F5" w14:textId="77777777" w:rsidR="0029430D" w:rsidRDefault="0029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DA47" w14:textId="77777777" w:rsidR="0029430D" w:rsidRDefault="0029430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9FF9" w14:textId="77777777" w:rsidR="0029430D" w:rsidRDefault="0029430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6156" w14:textId="77777777" w:rsidR="0029430D" w:rsidRDefault="0029430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2B3A5E"/>
    <w:multiLevelType w:val="multilevel"/>
    <w:tmpl w:val="76263460"/>
    <w:lvl w:ilvl="0">
      <w:start w:val="1"/>
      <w:numFmt w:val="upperRoman"/>
      <w:pStyle w:val="AHeader3"/>
      <w:lvlText w:val="%1"/>
      <w:lvlJc w:val="left"/>
      <w:pPr>
        <w:tabs>
          <w:tab w:val="num" w:pos="720"/>
        </w:tabs>
        <w:ind w:left="284" w:hanging="284"/>
      </w:pPr>
      <w:rPr>
        <w:rFonts w:ascii="Arial" w:hAnsi="Arial" w:cs="Times New Roman" w:hint="default"/>
        <w:b/>
        <w:i w:val="0"/>
        <w:sz w:val="24"/>
      </w:rPr>
    </w:lvl>
    <w:lvl w:ilvl="1">
      <w:start w:val="1"/>
      <w:numFmt w:val="decimal"/>
      <w:pStyle w:val="AHeader2abc"/>
      <w:lvlText w:val="%1.%2"/>
      <w:lvlJc w:val="left"/>
      <w:pPr>
        <w:tabs>
          <w:tab w:val="num" w:pos="709"/>
        </w:tabs>
        <w:ind w:left="709" w:hanging="425"/>
      </w:pPr>
      <w:rPr>
        <w:rFonts w:ascii="Arial" w:hAnsi="Arial" w:cs="Times New Roman" w:hint="default"/>
        <w:b/>
        <w:i w:val="0"/>
        <w:sz w:val="22"/>
      </w:rPr>
    </w:lvl>
    <w:lvl w:ilvl="2">
      <w:start w:val="1"/>
      <w:numFmt w:val="decimal"/>
      <w:pStyle w:val="AHeader3abc"/>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4"/>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D2"/>
    <w:rsid w:val="00056601"/>
    <w:rsid w:val="000B19A7"/>
    <w:rsid w:val="000C3846"/>
    <w:rsid w:val="000C6218"/>
    <w:rsid w:val="000D3C9D"/>
    <w:rsid w:val="000F0D47"/>
    <w:rsid w:val="001242DE"/>
    <w:rsid w:val="00180A12"/>
    <w:rsid w:val="00214331"/>
    <w:rsid w:val="00214CF4"/>
    <w:rsid w:val="002334D5"/>
    <w:rsid w:val="00281F03"/>
    <w:rsid w:val="0029430D"/>
    <w:rsid w:val="0029458A"/>
    <w:rsid w:val="002A1587"/>
    <w:rsid w:val="002A6AC6"/>
    <w:rsid w:val="002B27C5"/>
    <w:rsid w:val="002F6D9C"/>
    <w:rsid w:val="00303008"/>
    <w:rsid w:val="00312F3E"/>
    <w:rsid w:val="003527D2"/>
    <w:rsid w:val="00373B55"/>
    <w:rsid w:val="003D727E"/>
    <w:rsid w:val="003E0341"/>
    <w:rsid w:val="003E3402"/>
    <w:rsid w:val="003F4736"/>
    <w:rsid w:val="00401B49"/>
    <w:rsid w:val="0042292D"/>
    <w:rsid w:val="00437D5B"/>
    <w:rsid w:val="00440254"/>
    <w:rsid w:val="00485A9A"/>
    <w:rsid w:val="004860D3"/>
    <w:rsid w:val="004A3BF4"/>
    <w:rsid w:val="004A5DB3"/>
    <w:rsid w:val="004C0E01"/>
    <w:rsid w:val="005152D9"/>
    <w:rsid w:val="00533AD4"/>
    <w:rsid w:val="00534849"/>
    <w:rsid w:val="00560102"/>
    <w:rsid w:val="00562EA1"/>
    <w:rsid w:val="00583F33"/>
    <w:rsid w:val="005A498B"/>
    <w:rsid w:val="005C4057"/>
    <w:rsid w:val="00617BB8"/>
    <w:rsid w:val="006207FF"/>
    <w:rsid w:val="00680052"/>
    <w:rsid w:val="00683267"/>
    <w:rsid w:val="006844E9"/>
    <w:rsid w:val="006A7320"/>
    <w:rsid w:val="006B3847"/>
    <w:rsid w:val="0075453D"/>
    <w:rsid w:val="007A4CC6"/>
    <w:rsid w:val="007C3623"/>
    <w:rsid w:val="007C5D2A"/>
    <w:rsid w:val="007E4A60"/>
    <w:rsid w:val="007F1E00"/>
    <w:rsid w:val="00827444"/>
    <w:rsid w:val="008400E3"/>
    <w:rsid w:val="00864538"/>
    <w:rsid w:val="00873B4F"/>
    <w:rsid w:val="008A24F6"/>
    <w:rsid w:val="008E51AE"/>
    <w:rsid w:val="008F2F8C"/>
    <w:rsid w:val="009702C4"/>
    <w:rsid w:val="009925C9"/>
    <w:rsid w:val="00A179D0"/>
    <w:rsid w:val="00A358A3"/>
    <w:rsid w:val="00A46747"/>
    <w:rsid w:val="00A80446"/>
    <w:rsid w:val="00A85D26"/>
    <w:rsid w:val="00A9153A"/>
    <w:rsid w:val="00AB4376"/>
    <w:rsid w:val="00AC033C"/>
    <w:rsid w:val="00AD2E36"/>
    <w:rsid w:val="00B14B46"/>
    <w:rsid w:val="00B45DC5"/>
    <w:rsid w:val="00B80469"/>
    <w:rsid w:val="00BB7625"/>
    <w:rsid w:val="00BD3490"/>
    <w:rsid w:val="00C26226"/>
    <w:rsid w:val="00C3571D"/>
    <w:rsid w:val="00C54F0B"/>
    <w:rsid w:val="00C82621"/>
    <w:rsid w:val="00CB1423"/>
    <w:rsid w:val="00D02508"/>
    <w:rsid w:val="00D778CC"/>
    <w:rsid w:val="00D82FE9"/>
    <w:rsid w:val="00D97B77"/>
    <w:rsid w:val="00DB6A85"/>
    <w:rsid w:val="00E06B32"/>
    <w:rsid w:val="00E1290F"/>
    <w:rsid w:val="00E36A80"/>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E027C"/>
  <w15:chartTrackingRefBased/>
  <w15:docId w15:val="{3049153B-ECE6-4F75-B363-CBA86B1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basedOn w:val="Normal"/>
    <w:next w:val="Normal"/>
    <w:link w:val="Overskrift1Tegn"/>
    <w:qFormat/>
    <w:rsid w:val="0029430D"/>
    <w:pPr>
      <w:tabs>
        <w:tab w:val="left" w:pos="567"/>
      </w:tabs>
      <w:spacing w:before="240" w:after="120" w:line="260" w:lineRule="exact"/>
      <w:ind w:left="357" w:hanging="357"/>
      <w:outlineLvl w:val="0"/>
    </w:pPr>
    <w:rPr>
      <w:b/>
      <w:caps/>
      <w:sz w:val="26"/>
      <w:lang w:val="en-US" w:eastAsia="en-US"/>
    </w:rPr>
  </w:style>
  <w:style w:type="paragraph" w:styleId="Overskrift2">
    <w:name w:val="heading 2"/>
    <w:basedOn w:val="Normal"/>
    <w:next w:val="Normal"/>
    <w:link w:val="Overskrift2Tegn"/>
    <w:semiHidden/>
    <w:unhideWhenUsed/>
    <w:qFormat/>
    <w:rsid w:val="0029430D"/>
    <w:pPr>
      <w:keepNext/>
      <w:tabs>
        <w:tab w:val="left" w:pos="567"/>
      </w:tabs>
      <w:spacing w:before="240" w:after="60" w:line="260" w:lineRule="exact"/>
      <w:outlineLvl w:val="1"/>
    </w:pPr>
    <w:rPr>
      <w:rFonts w:ascii="Helvetica" w:hAnsi="Helvetica"/>
      <w:b/>
      <w:i/>
      <w:sz w:val="24"/>
      <w:lang w:val="en-GB" w:eastAsia="en-US"/>
    </w:rPr>
  </w:style>
  <w:style w:type="paragraph" w:styleId="Overskrift3">
    <w:name w:val="heading 3"/>
    <w:basedOn w:val="Normal"/>
    <w:next w:val="Normal"/>
    <w:link w:val="Overskrift3Tegn"/>
    <w:semiHidden/>
    <w:unhideWhenUsed/>
    <w:qFormat/>
    <w:rsid w:val="0029430D"/>
    <w:pPr>
      <w:keepNext/>
      <w:keepLines/>
      <w:tabs>
        <w:tab w:val="left" w:pos="567"/>
      </w:tabs>
      <w:spacing w:before="120" w:after="80" w:line="260" w:lineRule="exact"/>
      <w:outlineLvl w:val="2"/>
    </w:pPr>
    <w:rPr>
      <w:b/>
      <w:kern w:val="28"/>
      <w:sz w:val="24"/>
      <w:lang w:val="en-US" w:eastAsia="en-US"/>
    </w:rPr>
  </w:style>
  <w:style w:type="paragraph" w:styleId="Overskrift4">
    <w:name w:val="heading 4"/>
    <w:basedOn w:val="Normal"/>
    <w:next w:val="Normal"/>
    <w:link w:val="Overskrift4Tegn"/>
    <w:semiHidden/>
    <w:unhideWhenUsed/>
    <w:qFormat/>
    <w:rsid w:val="0029430D"/>
    <w:pPr>
      <w:keepNext/>
      <w:tabs>
        <w:tab w:val="left" w:pos="567"/>
      </w:tabs>
      <w:spacing w:line="260" w:lineRule="exact"/>
      <w:jc w:val="both"/>
      <w:outlineLvl w:val="3"/>
    </w:pPr>
    <w:rPr>
      <w:b/>
      <w:noProof/>
      <w:sz w:val="22"/>
      <w:lang w:val="en-GB" w:eastAsia="en-US"/>
    </w:rPr>
  </w:style>
  <w:style w:type="paragraph" w:styleId="Overskrift5">
    <w:name w:val="heading 5"/>
    <w:basedOn w:val="Normal"/>
    <w:next w:val="Normal"/>
    <w:link w:val="Overskrift5Tegn"/>
    <w:semiHidden/>
    <w:unhideWhenUsed/>
    <w:qFormat/>
    <w:rsid w:val="0029430D"/>
    <w:pPr>
      <w:keepNext/>
      <w:tabs>
        <w:tab w:val="left" w:pos="567"/>
      </w:tabs>
      <w:spacing w:line="260" w:lineRule="exact"/>
      <w:jc w:val="both"/>
      <w:outlineLvl w:val="4"/>
    </w:pPr>
    <w:rPr>
      <w:noProof/>
      <w:sz w:val="22"/>
      <w:lang w:val="en-GB" w:eastAsia="en-US"/>
    </w:rPr>
  </w:style>
  <w:style w:type="paragraph" w:styleId="Overskrift6">
    <w:name w:val="heading 6"/>
    <w:basedOn w:val="Normal"/>
    <w:next w:val="Normal"/>
    <w:link w:val="Overskrift6Tegn"/>
    <w:semiHidden/>
    <w:unhideWhenUsed/>
    <w:qFormat/>
    <w:rsid w:val="0029430D"/>
    <w:pPr>
      <w:keepNext/>
      <w:tabs>
        <w:tab w:val="left" w:pos="-720"/>
        <w:tab w:val="left" w:pos="567"/>
        <w:tab w:val="left" w:pos="4536"/>
      </w:tabs>
      <w:suppressAutoHyphens/>
      <w:spacing w:line="260" w:lineRule="exact"/>
      <w:outlineLvl w:val="5"/>
    </w:pPr>
    <w:rPr>
      <w:i/>
      <w:sz w:val="22"/>
      <w:lang w:val="en-GB" w:eastAsia="en-US"/>
    </w:rPr>
  </w:style>
  <w:style w:type="paragraph" w:styleId="Overskrift7">
    <w:name w:val="heading 7"/>
    <w:basedOn w:val="Normal"/>
    <w:next w:val="Normal"/>
    <w:link w:val="Overskrift7Tegn"/>
    <w:semiHidden/>
    <w:unhideWhenUsed/>
    <w:qFormat/>
    <w:rsid w:val="0029430D"/>
    <w:pPr>
      <w:keepNext/>
      <w:tabs>
        <w:tab w:val="left" w:pos="-720"/>
        <w:tab w:val="left" w:pos="567"/>
        <w:tab w:val="left" w:pos="4536"/>
      </w:tabs>
      <w:suppressAutoHyphens/>
      <w:spacing w:line="260" w:lineRule="exact"/>
      <w:jc w:val="both"/>
      <w:outlineLvl w:val="6"/>
    </w:pPr>
    <w:rPr>
      <w:i/>
      <w:sz w:val="22"/>
      <w:lang w:val="en-GB" w:eastAsia="en-US"/>
    </w:rPr>
  </w:style>
  <w:style w:type="paragraph" w:styleId="Overskrift8">
    <w:name w:val="heading 8"/>
    <w:basedOn w:val="Normal"/>
    <w:next w:val="Normal"/>
    <w:link w:val="Overskrift8Tegn"/>
    <w:semiHidden/>
    <w:unhideWhenUsed/>
    <w:qFormat/>
    <w:rsid w:val="0029430D"/>
    <w:pPr>
      <w:keepNext/>
      <w:tabs>
        <w:tab w:val="left" w:pos="567"/>
      </w:tabs>
      <w:spacing w:line="260" w:lineRule="exact"/>
      <w:ind w:left="567" w:hanging="567"/>
      <w:jc w:val="both"/>
      <w:outlineLvl w:val="7"/>
    </w:pPr>
    <w:rPr>
      <w:b/>
      <w:i/>
      <w:sz w:val="22"/>
      <w:lang w:val="en-GB" w:eastAsia="en-US"/>
    </w:rPr>
  </w:style>
  <w:style w:type="paragraph" w:styleId="Overskrift9">
    <w:name w:val="heading 9"/>
    <w:basedOn w:val="Normal"/>
    <w:next w:val="Normal"/>
    <w:link w:val="Overskrift9Tegn"/>
    <w:semiHidden/>
    <w:unhideWhenUsed/>
    <w:qFormat/>
    <w:rsid w:val="0029430D"/>
    <w:pPr>
      <w:keepNext/>
      <w:tabs>
        <w:tab w:val="left" w:pos="567"/>
      </w:tabs>
      <w:spacing w:line="260" w:lineRule="exact"/>
      <w:jc w:val="both"/>
      <w:outlineLvl w:val="8"/>
    </w:pPr>
    <w:rPr>
      <w:b/>
      <w:i/>
      <w:sz w:val="22"/>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9430D"/>
    <w:rPr>
      <w:b/>
      <w:caps/>
      <w:sz w:val="26"/>
      <w:lang w:val="en-US" w:eastAsia="en-US"/>
    </w:rPr>
  </w:style>
  <w:style w:type="paragraph" w:styleId="Titel">
    <w:name w:val="Title"/>
    <w:basedOn w:val="Normal"/>
    <w:qFormat/>
    <w:rsid w:val="00373B55"/>
    <w:pPr>
      <w:jc w:val="center"/>
    </w:pPr>
    <w:rPr>
      <w:b/>
      <w:sz w:val="24"/>
    </w:rPr>
  </w:style>
  <w:style w:type="paragraph" w:styleId="Sidehoved">
    <w:name w:val="header"/>
    <w:basedOn w:val="Normal"/>
    <w:link w:val="SidehovedTegn"/>
    <w:rsid w:val="00373B55"/>
    <w:pPr>
      <w:tabs>
        <w:tab w:val="center" w:pos="4819"/>
        <w:tab w:val="right" w:pos="9638"/>
      </w:tabs>
    </w:pPr>
    <w:rPr>
      <w:sz w:val="24"/>
    </w:rPr>
  </w:style>
  <w:style w:type="character" w:customStyle="1" w:styleId="SidehovedTegn">
    <w:name w:val="Sidehoved Tegn"/>
    <w:basedOn w:val="Standardskrifttypeiafsnit"/>
    <w:link w:val="Sidehoved"/>
    <w:rsid w:val="0029430D"/>
    <w:rPr>
      <w:sz w:val="24"/>
    </w:rPr>
  </w:style>
  <w:style w:type="paragraph" w:styleId="Sidefod">
    <w:name w:val="footer"/>
    <w:basedOn w:val="Normal"/>
    <w:link w:val="SidefodTegn"/>
    <w:uiPriority w:val="99"/>
    <w:rsid w:val="00373B55"/>
    <w:pPr>
      <w:tabs>
        <w:tab w:val="center" w:pos="4819"/>
        <w:tab w:val="right" w:pos="9638"/>
      </w:tabs>
    </w:pPr>
    <w:rPr>
      <w:sz w:val="24"/>
    </w:rPr>
  </w:style>
  <w:style w:type="character" w:customStyle="1" w:styleId="SidefodTegn">
    <w:name w:val="Sidefod Tegn"/>
    <w:basedOn w:val="Standardskrifttypeiafsnit"/>
    <w:link w:val="Sidefod"/>
    <w:uiPriority w:val="99"/>
    <w:rsid w:val="0029430D"/>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character" w:customStyle="1" w:styleId="KommentartekstTegn">
    <w:name w:val="Kommentartekst Tegn"/>
    <w:basedOn w:val="Standardskrifttypeiafsnit"/>
    <w:link w:val="Kommentartekst"/>
    <w:semiHidden/>
    <w:rsid w:val="00873B4F"/>
  </w:style>
  <w:style w:type="paragraph" w:styleId="Markeringsbobletekst">
    <w:name w:val="Balloon Text"/>
    <w:basedOn w:val="Normal"/>
    <w:link w:val="MarkeringsbobletekstTegn"/>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4A5DB3"/>
    <w:rPr>
      <w:rFonts w:ascii="Tahoma" w:hAnsi="Tahoma" w:cs="Tahoma"/>
      <w:sz w:val="16"/>
      <w:szCs w:val="16"/>
    </w:rPr>
  </w:style>
  <w:style w:type="paragraph" w:styleId="Kommentaremne">
    <w:name w:val="annotation subject"/>
    <w:basedOn w:val="Kommentartekst"/>
    <w:next w:val="Kommentartekst"/>
    <w:link w:val="KommentaremneTegn"/>
    <w:semiHidden/>
    <w:unhideWhenUsed/>
    <w:rsid w:val="00873B4F"/>
    <w:rPr>
      <w:b/>
      <w:bCs/>
    </w:rPr>
  </w:style>
  <w:style w:type="character" w:customStyle="1" w:styleId="KommentaremneTegn">
    <w:name w:val="Kommentaremne Tegn"/>
    <w:basedOn w:val="KommentartekstTegn"/>
    <w:link w:val="Kommentaremne"/>
    <w:semiHidden/>
    <w:rsid w:val="00873B4F"/>
    <w:rPr>
      <w:b/>
      <w:bCs/>
    </w:rPr>
  </w:style>
  <w:style w:type="character" w:styleId="Hyperlink">
    <w:name w:val="Hyperlink"/>
    <w:semiHidden/>
    <w:unhideWhenUsed/>
    <w:rsid w:val="0029430D"/>
    <w:rPr>
      <w:color w:val="0000FF"/>
      <w:u w:val="single"/>
    </w:rPr>
  </w:style>
  <w:style w:type="table" w:styleId="Tabel-Gitter">
    <w:name w:val="Table Grid"/>
    <w:basedOn w:val="Tabel-Normal"/>
    <w:rsid w:val="0029430D"/>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semiHidden/>
    <w:rsid w:val="0029430D"/>
    <w:rPr>
      <w:rFonts w:ascii="Helvetica" w:hAnsi="Helvetica"/>
      <w:b/>
      <w:i/>
      <w:sz w:val="24"/>
      <w:lang w:val="en-GB" w:eastAsia="en-US"/>
    </w:rPr>
  </w:style>
  <w:style w:type="character" w:customStyle="1" w:styleId="Overskrift3Tegn">
    <w:name w:val="Overskrift 3 Tegn"/>
    <w:basedOn w:val="Standardskrifttypeiafsnit"/>
    <w:link w:val="Overskrift3"/>
    <w:semiHidden/>
    <w:rsid w:val="0029430D"/>
    <w:rPr>
      <w:b/>
      <w:kern w:val="28"/>
      <w:sz w:val="24"/>
      <w:lang w:val="en-US" w:eastAsia="en-US"/>
    </w:rPr>
  </w:style>
  <w:style w:type="character" w:customStyle="1" w:styleId="Overskrift4Tegn">
    <w:name w:val="Overskrift 4 Tegn"/>
    <w:basedOn w:val="Standardskrifttypeiafsnit"/>
    <w:link w:val="Overskrift4"/>
    <w:semiHidden/>
    <w:rsid w:val="0029430D"/>
    <w:rPr>
      <w:b/>
      <w:noProof/>
      <w:sz w:val="22"/>
      <w:lang w:val="en-GB" w:eastAsia="en-US"/>
    </w:rPr>
  </w:style>
  <w:style w:type="character" w:customStyle="1" w:styleId="Overskrift5Tegn">
    <w:name w:val="Overskrift 5 Tegn"/>
    <w:basedOn w:val="Standardskrifttypeiafsnit"/>
    <w:link w:val="Overskrift5"/>
    <w:semiHidden/>
    <w:rsid w:val="0029430D"/>
    <w:rPr>
      <w:noProof/>
      <w:sz w:val="22"/>
      <w:lang w:val="en-GB" w:eastAsia="en-US"/>
    </w:rPr>
  </w:style>
  <w:style w:type="character" w:customStyle="1" w:styleId="Overskrift6Tegn">
    <w:name w:val="Overskrift 6 Tegn"/>
    <w:basedOn w:val="Standardskrifttypeiafsnit"/>
    <w:link w:val="Overskrift6"/>
    <w:semiHidden/>
    <w:rsid w:val="0029430D"/>
    <w:rPr>
      <w:i/>
      <w:sz w:val="22"/>
      <w:lang w:val="en-GB" w:eastAsia="en-US"/>
    </w:rPr>
  </w:style>
  <w:style w:type="character" w:customStyle="1" w:styleId="Overskrift7Tegn">
    <w:name w:val="Overskrift 7 Tegn"/>
    <w:basedOn w:val="Standardskrifttypeiafsnit"/>
    <w:link w:val="Overskrift7"/>
    <w:semiHidden/>
    <w:rsid w:val="0029430D"/>
    <w:rPr>
      <w:i/>
      <w:sz w:val="22"/>
      <w:lang w:val="en-GB" w:eastAsia="en-US"/>
    </w:rPr>
  </w:style>
  <w:style w:type="character" w:customStyle="1" w:styleId="Overskrift8Tegn">
    <w:name w:val="Overskrift 8 Tegn"/>
    <w:basedOn w:val="Standardskrifttypeiafsnit"/>
    <w:link w:val="Overskrift8"/>
    <w:semiHidden/>
    <w:rsid w:val="0029430D"/>
    <w:rPr>
      <w:b/>
      <w:i/>
      <w:sz w:val="22"/>
      <w:lang w:val="en-GB" w:eastAsia="en-US"/>
    </w:rPr>
  </w:style>
  <w:style w:type="character" w:customStyle="1" w:styleId="Overskrift9Tegn">
    <w:name w:val="Overskrift 9 Tegn"/>
    <w:basedOn w:val="Standardskrifttypeiafsnit"/>
    <w:link w:val="Overskrift9"/>
    <w:semiHidden/>
    <w:rsid w:val="0029430D"/>
    <w:rPr>
      <w:b/>
      <w:i/>
      <w:sz w:val="22"/>
      <w:lang w:val="en-GB" w:eastAsia="en-US"/>
    </w:rPr>
  </w:style>
  <w:style w:type="paragraph" w:customStyle="1" w:styleId="msonormal0">
    <w:name w:val="msonormal"/>
    <w:basedOn w:val="Normal"/>
    <w:rsid w:val="0029430D"/>
    <w:pPr>
      <w:spacing w:before="100" w:beforeAutospacing="1" w:after="100" w:afterAutospacing="1"/>
    </w:pPr>
    <w:rPr>
      <w:sz w:val="24"/>
      <w:szCs w:val="24"/>
    </w:rPr>
  </w:style>
  <w:style w:type="paragraph" w:styleId="Billedtekst">
    <w:name w:val="caption"/>
    <w:basedOn w:val="Normal"/>
    <w:next w:val="Normal"/>
    <w:semiHidden/>
    <w:unhideWhenUsed/>
    <w:qFormat/>
    <w:rsid w:val="0029430D"/>
    <w:pPr>
      <w:tabs>
        <w:tab w:val="left" w:pos="567"/>
      </w:tabs>
      <w:spacing w:after="200"/>
    </w:pPr>
    <w:rPr>
      <w:i/>
      <w:iCs/>
      <w:color w:val="44546A" w:themeColor="text2"/>
      <w:sz w:val="18"/>
      <w:szCs w:val="18"/>
      <w:lang w:val="en-GB" w:eastAsia="en-US"/>
    </w:rPr>
  </w:style>
  <w:style w:type="paragraph" w:styleId="Brdtekst">
    <w:name w:val="Body Text"/>
    <w:basedOn w:val="Normal"/>
    <w:link w:val="BrdtekstTegn"/>
    <w:semiHidden/>
    <w:unhideWhenUsed/>
    <w:rsid w:val="0029430D"/>
    <w:rPr>
      <w:i/>
      <w:color w:val="008000"/>
      <w:sz w:val="22"/>
      <w:lang w:val="en-GB" w:eastAsia="en-US"/>
    </w:rPr>
  </w:style>
  <w:style w:type="character" w:customStyle="1" w:styleId="BrdtekstTegn">
    <w:name w:val="Brødtekst Tegn"/>
    <w:basedOn w:val="Standardskrifttypeiafsnit"/>
    <w:link w:val="Brdtekst"/>
    <w:semiHidden/>
    <w:rsid w:val="0029430D"/>
    <w:rPr>
      <w:i/>
      <w:color w:val="008000"/>
      <w:sz w:val="22"/>
      <w:lang w:val="en-GB" w:eastAsia="en-US"/>
    </w:rPr>
  </w:style>
  <w:style w:type="character" w:customStyle="1" w:styleId="BrdtekstindrykningTegn">
    <w:name w:val="Brødtekstindrykning Tegn"/>
    <w:basedOn w:val="Standardskrifttypeiafsnit"/>
    <w:link w:val="Brdtekstindrykning"/>
    <w:semiHidden/>
    <w:rsid w:val="0029430D"/>
    <w:rPr>
      <w:sz w:val="22"/>
      <w:szCs w:val="22"/>
      <w:lang w:val="en-GB" w:eastAsia="en-GB"/>
    </w:rPr>
  </w:style>
  <w:style w:type="paragraph" w:styleId="Brdtekstindrykning">
    <w:name w:val="Body Text Indent"/>
    <w:basedOn w:val="Normal"/>
    <w:link w:val="BrdtekstindrykningTegn"/>
    <w:semiHidden/>
    <w:unhideWhenUsed/>
    <w:rsid w:val="0029430D"/>
    <w:pPr>
      <w:autoSpaceDE w:val="0"/>
      <w:autoSpaceDN w:val="0"/>
      <w:adjustRightInd w:val="0"/>
      <w:ind w:left="720"/>
      <w:jc w:val="both"/>
    </w:pPr>
    <w:rPr>
      <w:sz w:val="22"/>
      <w:szCs w:val="22"/>
      <w:lang w:val="en-GB" w:eastAsia="en-GB"/>
    </w:rPr>
  </w:style>
  <w:style w:type="character" w:customStyle="1" w:styleId="Brdtekst2Tegn">
    <w:name w:val="Brødtekst 2 Tegn"/>
    <w:basedOn w:val="Standardskrifttypeiafsnit"/>
    <w:link w:val="Brdtekst2"/>
    <w:semiHidden/>
    <w:rsid w:val="0029430D"/>
    <w:rPr>
      <w:b/>
      <w:bCs/>
      <w:color w:val="0000FF"/>
      <w:sz w:val="22"/>
      <w:szCs w:val="22"/>
      <w:u w:val="single"/>
      <w:lang w:val="en-GB" w:eastAsia="en-US"/>
    </w:rPr>
  </w:style>
  <w:style w:type="paragraph" w:styleId="Brdtekst2">
    <w:name w:val="Body Text 2"/>
    <w:basedOn w:val="Normal"/>
    <w:link w:val="Brdtekst2Tegn"/>
    <w:semiHidden/>
    <w:unhideWhenUsed/>
    <w:rsid w:val="0029430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eastAsia="en-US"/>
    </w:rPr>
  </w:style>
  <w:style w:type="character" w:customStyle="1" w:styleId="Brdtekst3Tegn">
    <w:name w:val="Brødtekst 3 Tegn"/>
    <w:basedOn w:val="Standardskrifttypeiafsnit"/>
    <w:link w:val="Brdtekst3"/>
    <w:semiHidden/>
    <w:rsid w:val="0029430D"/>
    <w:rPr>
      <w:color w:val="0000FF"/>
      <w:sz w:val="22"/>
      <w:szCs w:val="22"/>
      <w:lang w:val="en-GB" w:eastAsia="en-GB"/>
    </w:rPr>
  </w:style>
  <w:style w:type="paragraph" w:styleId="Brdtekst3">
    <w:name w:val="Body Text 3"/>
    <w:basedOn w:val="Normal"/>
    <w:link w:val="Brdtekst3Tegn"/>
    <w:semiHidden/>
    <w:unhideWhenUsed/>
    <w:rsid w:val="0029430D"/>
    <w:pPr>
      <w:autoSpaceDE w:val="0"/>
      <w:autoSpaceDN w:val="0"/>
      <w:adjustRightInd w:val="0"/>
      <w:jc w:val="both"/>
    </w:pPr>
    <w:rPr>
      <w:color w:val="0000FF"/>
      <w:sz w:val="22"/>
      <w:szCs w:val="22"/>
      <w:lang w:val="en-GB" w:eastAsia="en-GB"/>
    </w:rPr>
  </w:style>
  <w:style w:type="character" w:customStyle="1" w:styleId="Brdtekstindrykning2Tegn">
    <w:name w:val="Brødtekstindrykning 2 Tegn"/>
    <w:basedOn w:val="Standardskrifttypeiafsnit"/>
    <w:link w:val="Brdtekstindrykning2"/>
    <w:semiHidden/>
    <w:rsid w:val="0029430D"/>
    <w:rPr>
      <w:b/>
      <w:bCs/>
      <w:color w:val="0000FF"/>
      <w:sz w:val="22"/>
      <w:szCs w:val="22"/>
      <w:lang w:val="en-GB" w:eastAsia="en-US"/>
    </w:rPr>
  </w:style>
  <w:style w:type="paragraph" w:styleId="Brdtekstindrykning2">
    <w:name w:val="Body Text Indent 2"/>
    <w:basedOn w:val="Normal"/>
    <w:link w:val="Brdtekstindrykning2Tegn"/>
    <w:semiHidden/>
    <w:unhideWhenUsed/>
    <w:rsid w:val="0029430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eastAsia="en-US"/>
    </w:rPr>
  </w:style>
  <w:style w:type="character" w:customStyle="1" w:styleId="Brdtekstindrykning3Tegn">
    <w:name w:val="Brødtekstindrykning 3 Tegn"/>
    <w:basedOn w:val="Standardskrifttypeiafsnit"/>
    <w:link w:val="Brdtekstindrykning3"/>
    <w:semiHidden/>
    <w:rsid w:val="0029430D"/>
    <w:rPr>
      <w:sz w:val="22"/>
      <w:szCs w:val="21"/>
      <w:lang w:val="en-GB" w:eastAsia="en-US"/>
    </w:rPr>
  </w:style>
  <w:style w:type="paragraph" w:styleId="Brdtekstindrykning3">
    <w:name w:val="Body Text Indent 3"/>
    <w:basedOn w:val="Normal"/>
    <w:link w:val="Brdtekstindrykning3Tegn"/>
    <w:semiHidden/>
    <w:unhideWhenUsed/>
    <w:rsid w:val="0029430D"/>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DokumentoversigtTegn">
    <w:name w:val="Dokumentoversigt Tegn"/>
    <w:basedOn w:val="Standardskrifttypeiafsnit"/>
    <w:link w:val="Dokumentoversigt"/>
    <w:semiHidden/>
    <w:rsid w:val="0029430D"/>
    <w:rPr>
      <w:rFonts w:ascii="Tahoma" w:hAnsi="Tahoma" w:cs="Tahoma"/>
      <w:sz w:val="22"/>
      <w:shd w:val="clear" w:color="auto" w:fill="000080"/>
      <w:lang w:val="en-GB" w:eastAsia="en-US"/>
    </w:rPr>
  </w:style>
  <w:style w:type="paragraph" w:styleId="Dokumentoversigt">
    <w:name w:val="Document Map"/>
    <w:basedOn w:val="Normal"/>
    <w:link w:val="DokumentoversigtTegn"/>
    <w:semiHidden/>
    <w:unhideWhenUsed/>
    <w:rsid w:val="0029430D"/>
    <w:pPr>
      <w:shd w:val="clear" w:color="auto" w:fill="000080"/>
      <w:tabs>
        <w:tab w:val="left" w:pos="567"/>
      </w:tabs>
      <w:spacing w:line="260" w:lineRule="exact"/>
    </w:pPr>
    <w:rPr>
      <w:rFonts w:ascii="Tahoma" w:hAnsi="Tahoma" w:cs="Tahoma"/>
      <w:sz w:val="22"/>
      <w:lang w:val="en-GB" w:eastAsia="en-US"/>
    </w:rPr>
  </w:style>
  <w:style w:type="paragraph" w:styleId="Listeafsnit">
    <w:name w:val="List Paragraph"/>
    <w:basedOn w:val="Normal"/>
    <w:uiPriority w:val="34"/>
    <w:qFormat/>
    <w:rsid w:val="0029430D"/>
    <w:pPr>
      <w:tabs>
        <w:tab w:val="left" w:pos="567"/>
      </w:tabs>
      <w:spacing w:line="260" w:lineRule="exact"/>
      <w:ind w:left="720"/>
      <w:contextualSpacing/>
    </w:pPr>
    <w:rPr>
      <w:sz w:val="22"/>
      <w:lang w:val="en-GB" w:eastAsia="en-US"/>
    </w:rPr>
  </w:style>
  <w:style w:type="paragraph" w:customStyle="1" w:styleId="EMEAEnBodyText">
    <w:name w:val="EMEA En Body Text"/>
    <w:basedOn w:val="Normal"/>
    <w:rsid w:val="0029430D"/>
    <w:pPr>
      <w:spacing w:before="120" w:after="120"/>
      <w:jc w:val="both"/>
    </w:pPr>
    <w:rPr>
      <w:sz w:val="22"/>
      <w:lang w:val="en-US" w:eastAsia="en-US"/>
    </w:rPr>
  </w:style>
  <w:style w:type="paragraph" w:customStyle="1" w:styleId="AHeader1">
    <w:name w:val="AHeader 1"/>
    <w:basedOn w:val="Normal"/>
    <w:rsid w:val="0029430D"/>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29430D"/>
    <w:pPr>
      <w:numPr>
        <w:ilvl w:val="1"/>
      </w:numPr>
      <w:tabs>
        <w:tab w:val="num" w:pos="360"/>
        <w:tab w:val="num" w:pos="720"/>
      </w:tabs>
      <w:ind w:left="284" w:hanging="284"/>
    </w:pPr>
    <w:rPr>
      <w:sz w:val="22"/>
    </w:rPr>
  </w:style>
  <w:style w:type="paragraph" w:customStyle="1" w:styleId="AHeader3">
    <w:name w:val="AHeader 3"/>
    <w:basedOn w:val="AHeader2"/>
    <w:rsid w:val="0029430D"/>
    <w:pPr>
      <w:numPr>
        <w:ilvl w:val="2"/>
      </w:numPr>
      <w:tabs>
        <w:tab w:val="num" w:pos="360"/>
      </w:tabs>
      <w:ind w:left="284" w:hanging="284"/>
    </w:pPr>
  </w:style>
  <w:style w:type="paragraph" w:customStyle="1" w:styleId="AHeader2abc">
    <w:name w:val="AHeader 2 abc"/>
    <w:basedOn w:val="AHeader3"/>
    <w:rsid w:val="0029430D"/>
    <w:pPr>
      <w:numPr>
        <w:ilvl w:val="3"/>
      </w:numPr>
      <w:tabs>
        <w:tab w:val="num" w:pos="360"/>
      </w:tabs>
      <w:ind w:left="284" w:hanging="284"/>
      <w:jc w:val="both"/>
    </w:pPr>
    <w:rPr>
      <w:b w:val="0"/>
      <w:bCs w:val="0"/>
    </w:rPr>
  </w:style>
  <w:style w:type="paragraph" w:customStyle="1" w:styleId="AHeader3abc">
    <w:name w:val="AHeader 3 abc"/>
    <w:basedOn w:val="AHeader2abc"/>
    <w:rsid w:val="0029430D"/>
    <w:pPr>
      <w:numPr>
        <w:ilvl w:val="4"/>
      </w:numPr>
      <w:tabs>
        <w:tab w:val="num" w:pos="360"/>
      </w:tabs>
      <w:ind w:left="284" w:hanging="284"/>
    </w:pPr>
  </w:style>
  <w:style w:type="paragraph" w:customStyle="1" w:styleId="Default">
    <w:name w:val="Default"/>
    <w:rsid w:val="0029430D"/>
    <w:pPr>
      <w:autoSpaceDE w:val="0"/>
      <w:autoSpaceDN w:val="0"/>
      <w:adjustRightInd w:val="0"/>
    </w:pPr>
    <w:rPr>
      <w:lang w:val="en-US" w:eastAsia="en-US"/>
    </w:rPr>
  </w:style>
  <w:style w:type="character" w:customStyle="1" w:styleId="BodytextAgencyChar">
    <w:name w:val="Body text (Agency) Char"/>
    <w:link w:val="BodytextAgency"/>
    <w:locked/>
    <w:rsid w:val="0029430D"/>
    <w:rPr>
      <w:rFonts w:ascii="Verdana" w:eastAsia="Verdana" w:hAnsi="Verdana" w:cs="Verdana"/>
      <w:sz w:val="18"/>
      <w:szCs w:val="18"/>
    </w:rPr>
  </w:style>
  <w:style w:type="paragraph" w:customStyle="1" w:styleId="BodytextAgency">
    <w:name w:val="Body text (Agency)"/>
    <w:basedOn w:val="Normal"/>
    <w:link w:val="BodytextAgencyChar"/>
    <w:rsid w:val="0029430D"/>
    <w:pPr>
      <w:spacing w:after="140" w:line="280" w:lineRule="atLeast"/>
    </w:pPr>
    <w:rPr>
      <w:rFonts w:ascii="Verdana" w:eastAsia="Verdana" w:hAnsi="Verdana" w:cs="Verdana"/>
      <w:sz w:val="18"/>
      <w:szCs w:val="18"/>
    </w:rPr>
  </w:style>
  <w:style w:type="table" w:styleId="Almindeligtabel2">
    <w:name w:val="Plain Table 2"/>
    <w:basedOn w:val="Tabel-Normal"/>
    <w:uiPriority w:val="42"/>
    <w:rsid w:val="0029430D"/>
    <w:rPr>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2308">
      <w:bodyDiv w:val="1"/>
      <w:marLeft w:val="0"/>
      <w:marRight w:val="0"/>
      <w:marTop w:val="0"/>
      <w:marBottom w:val="0"/>
      <w:divBdr>
        <w:top w:val="none" w:sz="0" w:space="0" w:color="auto"/>
        <w:left w:val="none" w:sz="0" w:space="0" w:color="auto"/>
        <w:bottom w:val="none" w:sz="0" w:space="0" w:color="auto"/>
        <w:right w:val="none" w:sz="0" w:space="0" w:color="auto"/>
      </w:divBdr>
    </w:div>
    <w:div w:id="70933622">
      <w:bodyDiv w:val="1"/>
      <w:marLeft w:val="0"/>
      <w:marRight w:val="0"/>
      <w:marTop w:val="0"/>
      <w:marBottom w:val="0"/>
      <w:divBdr>
        <w:top w:val="none" w:sz="0" w:space="0" w:color="auto"/>
        <w:left w:val="none" w:sz="0" w:space="0" w:color="auto"/>
        <w:bottom w:val="none" w:sz="0" w:space="0" w:color="auto"/>
        <w:right w:val="none" w:sz="0" w:space="0" w:color="auto"/>
      </w:divBdr>
    </w:div>
    <w:div w:id="128061472">
      <w:bodyDiv w:val="1"/>
      <w:marLeft w:val="0"/>
      <w:marRight w:val="0"/>
      <w:marTop w:val="0"/>
      <w:marBottom w:val="0"/>
      <w:divBdr>
        <w:top w:val="none" w:sz="0" w:space="0" w:color="auto"/>
        <w:left w:val="none" w:sz="0" w:space="0" w:color="auto"/>
        <w:bottom w:val="none" w:sz="0" w:space="0" w:color="auto"/>
        <w:right w:val="none" w:sz="0" w:space="0" w:color="auto"/>
      </w:divBdr>
    </w:div>
    <w:div w:id="363671831">
      <w:bodyDiv w:val="1"/>
      <w:marLeft w:val="0"/>
      <w:marRight w:val="0"/>
      <w:marTop w:val="0"/>
      <w:marBottom w:val="0"/>
      <w:divBdr>
        <w:top w:val="none" w:sz="0" w:space="0" w:color="auto"/>
        <w:left w:val="none" w:sz="0" w:space="0" w:color="auto"/>
        <w:bottom w:val="none" w:sz="0" w:space="0" w:color="auto"/>
        <w:right w:val="none" w:sz="0" w:space="0" w:color="auto"/>
      </w:divBdr>
    </w:div>
    <w:div w:id="431633583">
      <w:bodyDiv w:val="1"/>
      <w:marLeft w:val="0"/>
      <w:marRight w:val="0"/>
      <w:marTop w:val="0"/>
      <w:marBottom w:val="0"/>
      <w:divBdr>
        <w:top w:val="none" w:sz="0" w:space="0" w:color="auto"/>
        <w:left w:val="none" w:sz="0" w:space="0" w:color="auto"/>
        <w:bottom w:val="none" w:sz="0" w:space="0" w:color="auto"/>
        <w:right w:val="none" w:sz="0" w:space="0" w:color="auto"/>
      </w:divBdr>
    </w:div>
    <w:div w:id="441190437">
      <w:bodyDiv w:val="1"/>
      <w:marLeft w:val="0"/>
      <w:marRight w:val="0"/>
      <w:marTop w:val="0"/>
      <w:marBottom w:val="0"/>
      <w:divBdr>
        <w:top w:val="none" w:sz="0" w:space="0" w:color="auto"/>
        <w:left w:val="none" w:sz="0" w:space="0" w:color="auto"/>
        <w:bottom w:val="none" w:sz="0" w:space="0" w:color="auto"/>
        <w:right w:val="none" w:sz="0" w:space="0" w:color="auto"/>
      </w:divBdr>
    </w:div>
    <w:div w:id="879392681">
      <w:bodyDiv w:val="1"/>
      <w:marLeft w:val="0"/>
      <w:marRight w:val="0"/>
      <w:marTop w:val="0"/>
      <w:marBottom w:val="0"/>
      <w:divBdr>
        <w:top w:val="none" w:sz="0" w:space="0" w:color="auto"/>
        <w:left w:val="none" w:sz="0" w:space="0" w:color="auto"/>
        <w:bottom w:val="none" w:sz="0" w:space="0" w:color="auto"/>
        <w:right w:val="none" w:sz="0" w:space="0" w:color="auto"/>
      </w:divBdr>
    </w:div>
    <w:div w:id="970331837">
      <w:bodyDiv w:val="1"/>
      <w:marLeft w:val="0"/>
      <w:marRight w:val="0"/>
      <w:marTop w:val="0"/>
      <w:marBottom w:val="0"/>
      <w:divBdr>
        <w:top w:val="none" w:sz="0" w:space="0" w:color="auto"/>
        <w:left w:val="none" w:sz="0" w:space="0" w:color="auto"/>
        <w:bottom w:val="none" w:sz="0" w:space="0" w:color="auto"/>
        <w:right w:val="none" w:sz="0" w:space="0" w:color="auto"/>
      </w:divBdr>
    </w:div>
    <w:div w:id="983436505">
      <w:bodyDiv w:val="1"/>
      <w:marLeft w:val="0"/>
      <w:marRight w:val="0"/>
      <w:marTop w:val="0"/>
      <w:marBottom w:val="0"/>
      <w:divBdr>
        <w:top w:val="none" w:sz="0" w:space="0" w:color="auto"/>
        <w:left w:val="none" w:sz="0" w:space="0" w:color="auto"/>
        <w:bottom w:val="none" w:sz="0" w:space="0" w:color="auto"/>
        <w:right w:val="none" w:sz="0" w:space="0" w:color="auto"/>
      </w:divBdr>
    </w:div>
    <w:div w:id="996811865">
      <w:bodyDiv w:val="1"/>
      <w:marLeft w:val="0"/>
      <w:marRight w:val="0"/>
      <w:marTop w:val="0"/>
      <w:marBottom w:val="0"/>
      <w:divBdr>
        <w:top w:val="none" w:sz="0" w:space="0" w:color="auto"/>
        <w:left w:val="none" w:sz="0" w:space="0" w:color="auto"/>
        <w:bottom w:val="none" w:sz="0" w:space="0" w:color="auto"/>
        <w:right w:val="none" w:sz="0" w:space="0" w:color="auto"/>
      </w:divBdr>
    </w:div>
    <w:div w:id="1031223848">
      <w:bodyDiv w:val="1"/>
      <w:marLeft w:val="0"/>
      <w:marRight w:val="0"/>
      <w:marTop w:val="0"/>
      <w:marBottom w:val="0"/>
      <w:divBdr>
        <w:top w:val="none" w:sz="0" w:space="0" w:color="auto"/>
        <w:left w:val="none" w:sz="0" w:space="0" w:color="auto"/>
        <w:bottom w:val="none" w:sz="0" w:space="0" w:color="auto"/>
        <w:right w:val="none" w:sz="0" w:space="0" w:color="auto"/>
      </w:divBdr>
    </w:div>
    <w:div w:id="1122924608">
      <w:bodyDiv w:val="1"/>
      <w:marLeft w:val="0"/>
      <w:marRight w:val="0"/>
      <w:marTop w:val="0"/>
      <w:marBottom w:val="0"/>
      <w:divBdr>
        <w:top w:val="none" w:sz="0" w:space="0" w:color="auto"/>
        <w:left w:val="none" w:sz="0" w:space="0" w:color="auto"/>
        <w:bottom w:val="none" w:sz="0" w:space="0" w:color="auto"/>
        <w:right w:val="none" w:sz="0" w:space="0" w:color="auto"/>
      </w:divBdr>
    </w:div>
    <w:div w:id="1254972872">
      <w:bodyDiv w:val="1"/>
      <w:marLeft w:val="0"/>
      <w:marRight w:val="0"/>
      <w:marTop w:val="0"/>
      <w:marBottom w:val="0"/>
      <w:divBdr>
        <w:top w:val="none" w:sz="0" w:space="0" w:color="auto"/>
        <w:left w:val="none" w:sz="0" w:space="0" w:color="auto"/>
        <w:bottom w:val="none" w:sz="0" w:space="0" w:color="auto"/>
        <w:right w:val="none" w:sz="0" w:space="0" w:color="auto"/>
      </w:divBdr>
    </w:div>
    <w:div w:id="1320690043">
      <w:bodyDiv w:val="1"/>
      <w:marLeft w:val="0"/>
      <w:marRight w:val="0"/>
      <w:marTop w:val="0"/>
      <w:marBottom w:val="0"/>
      <w:divBdr>
        <w:top w:val="none" w:sz="0" w:space="0" w:color="auto"/>
        <w:left w:val="none" w:sz="0" w:space="0" w:color="auto"/>
        <w:bottom w:val="none" w:sz="0" w:space="0" w:color="auto"/>
        <w:right w:val="none" w:sz="0" w:space="0" w:color="auto"/>
      </w:divBdr>
    </w:div>
    <w:div w:id="1412386060">
      <w:bodyDiv w:val="1"/>
      <w:marLeft w:val="0"/>
      <w:marRight w:val="0"/>
      <w:marTop w:val="0"/>
      <w:marBottom w:val="0"/>
      <w:divBdr>
        <w:top w:val="none" w:sz="0" w:space="0" w:color="auto"/>
        <w:left w:val="none" w:sz="0" w:space="0" w:color="auto"/>
        <w:bottom w:val="none" w:sz="0" w:space="0" w:color="auto"/>
        <w:right w:val="none" w:sz="0" w:space="0" w:color="auto"/>
      </w:divBdr>
    </w:div>
    <w:div w:id="1532567203">
      <w:bodyDiv w:val="1"/>
      <w:marLeft w:val="0"/>
      <w:marRight w:val="0"/>
      <w:marTop w:val="0"/>
      <w:marBottom w:val="0"/>
      <w:divBdr>
        <w:top w:val="none" w:sz="0" w:space="0" w:color="auto"/>
        <w:left w:val="none" w:sz="0" w:space="0" w:color="auto"/>
        <w:bottom w:val="none" w:sz="0" w:space="0" w:color="auto"/>
        <w:right w:val="none" w:sz="0" w:space="0" w:color="auto"/>
      </w:divBdr>
    </w:div>
    <w:div w:id="1685859171">
      <w:bodyDiv w:val="1"/>
      <w:marLeft w:val="0"/>
      <w:marRight w:val="0"/>
      <w:marTop w:val="0"/>
      <w:marBottom w:val="0"/>
      <w:divBdr>
        <w:top w:val="none" w:sz="0" w:space="0" w:color="auto"/>
        <w:left w:val="none" w:sz="0" w:space="0" w:color="auto"/>
        <w:bottom w:val="none" w:sz="0" w:space="0" w:color="auto"/>
        <w:right w:val="none" w:sz="0" w:space="0" w:color="auto"/>
      </w:divBdr>
    </w:div>
    <w:div w:id="1914928630">
      <w:bodyDiv w:val="1"/>
      <w:marLeft w:val="0"/>
      <w:marRight w:val="0"/>
      <w:marTop w:val="0"/>
      <w:marBottom w:val="0"/>
      <w:divBdr>
        <w:top w:val="none" w:sz="0" w:space="0" w:color="auto"/>
        <w:left w:val="none" w:sz="0" w:space="0" w:color="auto"/>
        <w:bottom w:val="none" w:sz="0" w:space="0" w:color="auto"/>
        <w:right w:val="none" w:sz="0" w:space="0" w:color="auto"/>
      </w:divBdr>
    </w:div>
    <w:div w:id="2032564716">
      <w:bodyDiv w:val="1"/>
      <w:marLeft w:val="0"/>
      <w:marRight w:val="0"/>
      <w:marTop w:val="0"/>
      <w:marBottom w:val="0"/>
      <w:divBdr>
        <w:top w:val="none" w:sz="0" w:space="0" w:color="auto"/>
        <w:left w:val="none" w:sz="0" w:space="0" w:color="auto"/>
        <w:bottom w:val="none" w:sz="0" w:space="0" w:color="auto"/>
        <w:right w:val="none" w:sz="0" w:space="0" w:color="auto"/>
      </w:divBdr>
    </w:div>
    <w:div w:id="2084987290">
      <w:bodyDiv w:val="1"/>
      <w:marLeft w:val="0"/>
      <w:marRight w:val="0"/>
      <w:marTop w:val="0"/>
      <w:marBottom w:val="0"/>
      <w:divBdr>
        <w:top w:val="none" w:sz="0" w:space="0" w:color="auto"/>
        <w:left w:val="none" w:sz="0" w:space="0" w:color="auto"/>
        <w:bottom w:val="none" w:sz="0" w:space="0" w:color="auto"/>
        <w:right w:val="none" w:sz="0" w:space="0" w:color="auto"/>
      </w:divBdr>
    </w:div>
    <w:div w:id="2115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E20CD-BB22-45FB-8082-DBACD647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006-01-SKB SPC Hum skabelon - engelsk.dotx</Template>
  <TotalTime>80</TotalTime>
  <Pages>42</Pages>
  <Words>14035</Words>
  <Characters>80360</Characters>
  <Application>Microsoft Office Word</Application>
  <DocSecurity>0</DocSecurity>
  <Lines>669</Lines>
  <Paragraphs>188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2024054640, MT</dc:description>
  <cp:lastModifiedBy>Gitte Jørgensen</cp:lastModifiedBy>
  <cp:revision>12</cp:revision>
  <cp:lastPrinted>2006-02-24T09:31:00Z</cp:lastPrinted>
  <dcterms:created xsi:type="dcterms:W3CDTF">2025-09-02T11:45:00Z</dcterms:created>
  <dcterms:modified xsi:type="dcterms:W3CDTF">2025-09-03T12:02:00Z</dcterms:modified>
</cp:coreProperties>
</file>