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AD" w:rsidRPr="00955972" w:rsidRDefault="00C41FAD" w:rsidP="00C41FAD">
      <w:r>
        <w:rPr>
          <w:noProof/>
          <w:lang w:eastAsia="da-DK"/>
        </w:rPr>
        <w:drawing>
          <wp:inline distT="0" distB="0" distL="0" distR="0" wp14:anchorId="51C8F1C4" wp14:editId="24EFBA5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FAD" w:rsidRDefault="00C41FAD" w:rsidP="00C41FAD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41FAD" w:rsidRPr="00362146" w:rsidRDefault="007265D5" w:rsidP="00C41FAD">
      <w:pPr>
        <w:pStyle w:val="Titel"/>
        <w:tabs>
          <w:tab w:val="left" w:pos="8222"/>
        </w:tabs>
        <w:jc w:val="right"/>
        <w:rPr>
          <w:szCs w:val="24"/>
        </w:rPr>
      </w:pPr>
      <w:r>
        <w:rPr>
          <w:szCs w:val="24"/>
        </w:rPr>
        <w:t>17. december</w:t>
      </w:r>
      <w:r w:rsidR="00C41FAD">
        <w:rPr>
          <w:szCs w:val="24"/>
        </w:rPr>
        <w:t xml:space="preserve"> 20</w:t>
      </w:r>
      <w:r>
        <w:rPr>
          <w:szCs w:val="24"/>
        </w:rPr>
        <w:t>24</w:t>
      </w:r>
    </w:p>
    <w:p w:rsidR="00C41FAD" w:rsidRDefault="00C41FAD" w:rsidP="00C41FAD">
      <w:pPr>
        <w:pStyle w:val="Titel"/>
        <w:jc w:val="left"/>
        <w:rPr>
          <w:b w:val="0"/>
          <w:szCs w:val="24"/>
        </w:rPr>
      </w:pPr>
    </w:p>
    <w:p w:rsidR="00C41FAD" w:rsidRDefault="00C41FAD" w:rsidP="00C41FAD">
      <w:pPr>
        <w:pStyle w:val="Titel"/>
        <w:jc w:val="left"/>
        <w:rPr>
          <w:b w:val="0"/>
          <w:szCs w:val="24"/>
        </w:rPr>
      </w:pPr>
    </w:p>
    <w:p w:rsidR="00C41FAD" w:rsidRPr="00C476F8" w:rsidRDefault="00C41FAD" w:rsidP="00C41FAD">
      <w:pPr>
        <w:jc w:val="center"/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PRODUKTRESUMÉ</w:t>
      </w:r>
    </w:p>
    <w:p w:rsidR="00C41FAD" w:rsidRPr="00C476F8" w:rsidRDefault="00C41FAD" w:rsidP="00C41FAD">
      <w:pPr>
        <w:jc w:val="center"/>
        <w:rPr>
          <w:b/>
          <w:sz w:val="24"/>
          <w:szCs w:val="24"/>
        </w:rPr>
      </w:pPr>
    </w:p>
    <w:p w:rsidR="00C41FAD" w:rsidRPr="00C476F8" w:rsidRDefault="00C41FAD" w:rsidP="00C41FAD">
      <w:pPr>
        <w:jc w:val="center"/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for</w:t>
      </w:r>
    </w:p>
    <w:p w:rsidR="00C41FAD" w:rsidRPr="00C476F8" w:rsidRDefault="00C41FAD" w:rsidP="00C41FAD">
      <w:pPr>
        <w:jc w:val="center"/>
        <w:rPr>
          <w:b/>
          <w:sz w:val="24"/>
          <w:szCs w:val="24"/>
        </w:rPr>
      </w:pPr>
    </w:p>
    <w:p w:rsidR="00C41FAD" w:rsidRPr="00C476F8" w:rsidRDefault="00C41FAD" w:rsidP="00C41FAD">
      <w:pPr>
        <w:jc w:val="center"/>
        <w:rPr>
          <w:b/>
          <w:sz w:val="24"/>
          <w:szCs w:val="24"/>
        </w:rPr>
      </w:pPr>
      <w:proofErr w:type="spellStart"/>
      <w:r w:rsidRPr="00C476F8">
        <w:rPr>
          <w:b/>
          <w:sz w:val="24"/>
          <w:szCs w:val="24"/>
        </w:rPr>
        <w:t>Dolenio</w:t>
      </w:r>
      <w:proofErr w:type="spellEnd"/>
      <w:r w:rsidRPr="00C476F8">
        <w:rPr>
          <w:b/>
          <w:sz w:val="24"/>
          <w:szCs w:val="24"/>
        </w:rPr>
        <w:t>, filmovertrukne tabletter 589 mg</w:t>
      </w:r>
    </w:p>
    <w:p w:rsidR="00C41FAD" w:rsidRPr="00C476F8" w:rsidRDefault="00C41FAD" w:rsidP="00C41FAD">
      <w:pPr>
        <w:jc w:val="both"/>
        <w:rPr>
          <w:sz w:val="24"/>
          <w:szCs w:val="24"/>
        </w:rPr>
      </w:pPr>
    </w:p>
    <w:p w:rsidR="00C41FAD" w:rsidRPr="00C476F8" w:rsidRDefault="00C41FAD" w:rsidP="00C41FAD">
      <w:pPr>
        <w:jc w:val="both"/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D.SP.NR.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  <w:r w:rsidRPr="00C476F8">
        <w:rPr>
          <w:sz w:val="24"/>
          <w:szCs w:val="24"/>
        </w:rPr>
        <w:tab/>
        <w:t>22554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LÆGEMIDLETS NAVN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  <w:r w:rsidRPr="00C476F8">
        <w:rPr>
          <w:sz w:val="24"/>
          <w:szCs w:val="24"/>
        </w:rPr>
        <w:tab/>
      </w:r>
      <w:proofErr w:type="spellStart"/>
      <w:r w:rsidRPr="00C476F8">
        <w:rPr>
          <w:sz w:val="24"/>
          <w:szCs w:val="24"/>
        </w:rPr>
        <w:t>Dolenio</w:t>
      </w:r>
      <w:proofErr w:type="spellEnd"/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  <w:r w:rsidRPr="00C476F8">
        <w:rPr>
          <w:sz w:val="24"/>
          <w:szCs w:val="24"/>
        </w:rPr>
        <w:tab/>
      </w:r>
    </w:p>
    <w:p w:rsidR="00C41FAD" w:rsidRPr="00C476F8" w:rsidRDefault="00C41FAD" w:rsidP="00C41FAD">
      <w:pPr>
        <w:numPr>
          <w:ilvl w:val="0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KVALITATIV OG KVANTITATIV SAMMENSÆTNING</w:t>
      </w:r>
    </w:p>
    <w:p w:rsidR="00C41FAD" w:rsidRPr="00C476F8" w:rsidRDefault="00C41FAD" w:rsidP="007265D5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  <w:u w:val="single"/>
        </w:rPr>
        <w:t>589 mg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En tablet indeholder 942,3 mg </w:t>
      </w:r>
      <w:proofErr w:type="spellStart"/>
      <w:r w:rsidRPr="00C476F8">
        <w:rPr>
          <w:sz w:val="24"/>
          <w:szCs w:val="24"/>
        </w:rPr>
        <w:t>glucosaminsulfatnatriumchlorid</w:t>
      </w:r>
      <w:proofErr w:type="spellEnd"/>
      <w:r w:rsidRPr="00C476F8">
        <w:rPr>
          <w:sz w:val="24"/>
          <w:szCs w:val="24"/>
        </w:rPr>
        <w:t xml:space="preserve"> svarende til 750 mg </w:t>
      </w:r>
      <w:proofErr w:type="spellStart"/>
      <w:r w:rsidRPr="00C476F8">
        <w:rPr>
          <w:sz w:val="24"/>
          <w:szCs w:val="24"/>
        </w:rPr>
        <w:t>glucosaminsulfat</w:t>
      </w:r>
      <w:proofErr w:type="spellEnd"/>
      <w:r w:rsidRPr="00C476F8">
        <w:rPr>
          <w:sz w:val="24"/>
          <w:szCs w:val="24"/>
        </w:rPr>
        <w:t xml:space="preserve"> eller 589 mg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>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Hjælpestof som behandleren skal være opmærksom på: En tablet indeholder 75,610 mg natrium.</w:t>
      </w:r>
    </w:p>
    <w:p w:rsidR="00C41FAD" w:rsidRPr="00C476F8" w:rsidRDefault="00C41FAD" w:rsidP="00C41FA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jc w:val="both"/>
        <w:rPr>
          <w:sz w:val="24"/>
          <w:szCs w:val="24"/>
        </w:rPr>
      </w:pPr>
      <w:r w:rsidRPr="00C476F8">
        <w:rPr>
          <w:sz w:val="24"/>
          <w:szCs w:val="24"/>
        </w:rPr>
        <w:tab/>
        <w:t>Alle hjælpestoffer er anført under pkt. 6.1.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LÆGEMIDDELFORM</w:t>
      </w:r>
    </w:p>
    <w:p w:rsidR="00C41FAD" w:rsidRPr="00C476F8" w:rsidRDefault="00C41FAD" w:rsidP="00C41FA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C476F8">
        <w:rPr>
          <w:sz w:val="24"/>
          <w:szCs w:val="24"/>
        </w:rPr>
        <w:tab/>
        <w:t>Filmover</w:t>
      </w:r>
      <w:r>
        <w:rPr>
          <w:sz w:val="24"/>
          <w:szCs w:val="24"/>
        </w:rPr>
        <w:t>trukne tabletter</w:t>
      </w:r>
    </w:p>
    <w:p w:rsidR="00C41FAD" w:rsidRPr="00C476F8" w:rsidRDefault="00C41FAD" w:rsidP="00C41FA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C41FAD" w:rsidRPr="00C476F8" w:rsidRDefault="00C41FAD" w:rsidP="00C41FAD">
      <w:pPr>
        <w:suppressAutoHyphens/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Hvide til råhvide, ovale og </w:t>
      </w:r>
      <w:proofErr w:type="spellStart"/>
      <w:r w:rsidRPr="00C476F8">
        <w:rPr>
          <w:sz w:val="24"/>
          <w:szCs w:val="24"/>
        </w:rPr>
        <w:t>bikonvekse</w:t>
      </w:r>
      <w:proofErr w:type="spellEnd"/>
      <w:r w:rsidRPr="00C476F8">
        <w:rPr>
          <w:sz w:val="24"/>
          <w:szCs w:val="24"/>
        </w:rPr>
        <w:t xml:space="preserve"> filmovertrukne tabletter. 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KLINISKE OPLYSNINGER</w:t>
      </w:r>
    </w:p>
    <w:p w:rsidR="00C41FAD" w:rsidRPr="00C476F8" w:rsidRDefault="00C41FAD" w:rsidP="00C41FAD">
      <w:pPr>
        <w:tabs>
          <w:tab w:val="left" w:pos="851"/>
        </w:tabs>
        <w:rPr>
          <w:b/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C476F8">
        <w:rPr>
          <w:b/>
          <w:sz w:val="24"/>
          <w:szCs w:val="24"/>
        </w:rPr>
        <w:t>Terapeutiske indikationer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  <w:r w:rsidRPr="00C476F8">
        <w:rPr>
          <w:sz w:val="24"/>
          <w:szCs w:val="24"/>
        </w:rPr>
        <w:tab/>
        <w:t>Symptomlindring ved mild til moderat slidgigt i knæet.</w:t>
      </w:r>
    </w:p>
    <w:p w:rsidR="00C41FAD" w:rsidRDefault="00C41FAD" w:rsidP="00C41F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Dosering og indgivelsesmåde</w:t>
      </w:r>
    </w:p>
    <w:p w:rsidR="00C41FAD" w:rsidRDefault="00C41FAD" w:rsidP="00C41FAD">
      <w:pPr>
        <w:ind w:right="115"/>
        <w:rPr>
          <w:u w:val="single"/>
        </w:rPr>
      </w:pPr>
    </w:p>
    <w:p w:rsidR="00C41FAD" w:rsidRPr="00A57351" w:rsidRDefault="00C41FAD" w:rsidP="00C41FAD">
      <w:pPr>
        <w:ind w:right="115" w:firstLine="851"/>
        <w:rPr>
          <w:sz w:val="24"/>
          <w:u w:val="single"/>
          <w:lang w:eastAsia="da-DK"/>
        </w:rPr>
      </w:pPr>
      <w:r w:rsidRPr="00A57351">
        <w:rPr>
          <w:u w:val="single"/>
        </w:rPr>
        <w:t>Dosering</w:t>
      </w:r>
    </w:p>
    <w:p w:rsidR="00C41FAD" w:rsidRPr="00C476F8" w:rsidRDefault="00C41FAD" w:rsidP="00C41FAD">
      <w:pPr>
        <w:ind w:left="851" w:right="115"/>
        <w:rPr>
          <w:i/>
          <w:sz w:val="24"/>
          <w:szCs w:val="24"/>
        </w:rPr>
      </w:pPr>
    </w:p>
    <w:p w:rsidR="00C41FAD" w:rsidRPr="00C476F8" w:rsidRDefault="00C41FAD" w:rsidP="00C41FAD">
      <w:pPr>
        <w:ind w:left="851" w:right="115"/>
        <w:rPr>
          <w:sz w:val="24"/>
          <w:szCs w:val="24"/>
        </w:rPr>
      </w:pPr>
      <w:r w:rsidRPr="00C476F8">
        <w:rPr>
          <w:sz w:val="24"/>
          <w:szCs w:val="24"/>
          <w:u w:val="single"/>
        </w:rPr>
        <w:t>Voksne</w:t>
      </w:r>
    </w:p>
    <w:p w:rsidR="00C41FAD" w:rsidRPr="00C476F8" w:rsidRDefault="00C41FAD" w:rsidP="00C41FAD">
      <w:pPr>
        <w:ind w:left="851" w:right="115"/>
        <w:rPr>
          <w:sz w:val="24"/>
          <w:szCs w:val="24"/>
        </w:rPr>
      </w:pPr>
      <w:r w:rsidRPr="00C476F8">
        <w:rPr>
          <w:sz w:val="24"/>
          <w:szCs w:val="24"/>
        </w:rPr>
        <w:t xml:space="preserve">Den anbefalede dosis er 1178 mg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(1500 mg </w:t>
      </w:r>
      <w:proofErr w:type="spellStart"/>
      <w:r w:rsidRPr="00C476F8">
        <w:rPr>
          <w:sz w:val="24"/>
          <w:szCs w:val="24"/>
        </w:rPr>
        <w:t>glucosaminsulfat</w:t>
      </w:r>
      <w:proofErr w:type="spellEnd"/>
      <w:r w:rsidRPr="00C476F8">
        <w:rPr>
          <w:sz w:val="24"/>
          <w:szCs w:val="24"/>
        </w:rPr>
        <w:t xml:space="preserve">) 1 gang </w:t>
      </w:r>
      <w:r>
        <w:rPr>
          <w:sz w:val="24"/>
          <w:szCs w:val="24"/>
        </w:rPr>
        <w:t>daglig</w:t>
      </w:r>
      <w:r w:rsidRPr="00C476F8">
        <w:rPr>
          <w:sz w:val="24"/>
          <w:szCs w:val="24"/>
        </w:rPr>
        <w:t xml:space="preserve"> sammen med et glas vand.</w:t>
      </w:r>
    </w:p>
    <w:p w:rsidR="00C41FAD" w:rsidRPr="00C476F8" w:rsidRDefault="00C41FAD" w:rsidP="00C41FAD">
      <w:pPr>
        <w:ind w:left="851" w:right="115"/>
        <w:rPr>
          <w:sz w:val="24"/>
          <w:szCs w:val="24"/>
        </w:rPr>
      </w:pPr>
    </w:p>
    <w:p w:rsidR="00C41FAD" w:rsidRPr="00C476F8" w:rsidRDefault="00C41FAD" w:rsidP="00C41FAD">
      <w:pPr>
        <w:ind w:left="851" w:right="115"/>
        <w:rPr>
          <w:sz w:val="24"/>
          <w:szCs w:val="24"/>
        </w:rPr>
      </w:pPr>
      <w:r w:rsidRPr="00C476F8">
        <w:rPr>
          <w:sz w:val="24"/>
          <w:szCs w:val="24"/>
        </w:rPr>
        <w:t>Dette svarer til:</w:t>
      </w:r>
    </w:p>
    <w:p w:rsidR="00C41FAD" w:rsidRPr="00C476F8" w:rsidRDefault="00C41FAD" w:rsidP="00C41FAD">
      <w:pPr>
        <w:ind w:left="1134" w:right="115" w:hanging="283"/>
        <w:rPr>
          <w:sz w:val="24"/>
          <w:szCs w:val="24"/>
        </w:rPr>
      </w:pPr>
      <w:r w:rsidRPr="00C476F8">
        <w:rPr>
          <w:sz w:val="24"/>
          <w:szCs w:val="24"/>
        </w:rPr>
        <w:t>-</w:t>
      </w:r>
      <w:r w:rsidRPr="00C476F8">
        <w:rPr>
          <w:sz w:val="24"/>
          <w:szCs w:val="24"/>
        </w:rPr>
        <w:tab/>
        <w:t xml:space="preserve">2 tabletter af </w:t>
      </w:r>
      <w:proofErr w:type="spellStart"/>
      <w:r w:rsidRPr="00C476F8">
        <w:rPr>
          <w:sz w:val="24"/>
          <w:szCs w:val="24"/>
        </w:rPr>
        <w:t>Dolenio</w:t>
      </w:r>
      <w:proofErr w:type="spellEnd"/>
      <w:r w:rsidRPr="00C476F8">
        <w:rPr>
          <w:sz w:val="24"/>
          <w:szCs w:val="24"/>
        </w:rPr>
        <w:t xml:space="preserve"> 589 mg indtaget samtidig en gang </w:t>
      </w:r>
      <w:r>
        <w:rPr>
          <w:sz w:val="24"/>
          <w:szCs w:val="24"/>
        </w:rPr>
        <w:t>daglig</w:t>
      </w:r>
      <w:r w:rsidRPr="00C476F8">
        <w:rPr>
          <w:sz w:val="24"/>
          <w:szCs w:val="24"/>
        </w:rPr>
        <w:t xml:space="preserve"> eller</w:t>
      </w:r>
    </w:p>
    <w:p w:rsidR="00C41FAD" w:rsidRDefault="00C41FAD" w:rsidP="00C41FAD">
      <w:pPr>
        <w:ind w:left="1134" w:right="115" w:hanging="283"/>
        <w:rPr>
          <w:sz w:val="24"/>
          <w:szCs w:val="24"/>
        </w:rPr>
      </w:pPr>
    </w:p>
    <w:p w:rsidR="00C41FAD" w:rsidRDefault="00C41FAD" w:rsidP="00C41FAD">
      <w:pPr>
        <w:ind w:left="851" w:right="115"/>
        <w:rPr>
          <w:sz w:val="24"/>
          <w:szCs w:val="24"/>
        </w:rPr>
      </w:pPr>
      <w:r>
        <w:rPr>
          <w:sz w:val="24"/>
          <w:szCs w:val="24"/>
        </w:rPr>
        <w:t xml:space="preserve">En tredje </w:t>
      </w:r>
      <w:r w:rsidRPr="00960AEE">
        <w:rPr>
          <w:sz w:val="24"/>
          <w:szCs w:val="24"/>
        </w:rPr>
        <w:t>styrke</w:t>
      </w:r>
      <w:r>
        <w:rPr>
          <w:sz w:val="24"/>
          <w:szCs w:val="24"/>
        </w:rPr>
        <w:t xml:space="preserve"> er tilgængelig</w:t>
      </w:r>
      <w:r w:rsidRPr="00960AEE">
        <w:rPr>
          <w:sz w:val="24"/>
          <w:szCs w:val="24"/>
        </w:rPr>
        <w:t>. De</w:t>
      </w:r>
      <w:r>
        <w:rPr>
          <w:sz w:val="24"/>
          <w:szCs w:val="24"/>
        </w:rPr>
        <w:t>n tilsvarende dosis</w:t>
      </w:r>
      <w:r w:rsidRPr="00960AEE">
        <w:rPr>
          <w:sz w:val="24"/>
          <w:szCs w:val="24"/>
        </w:rPr>
        <w:t xml:space="preserve"> er:</w:t>
      </w:r>
      <w:r>
        <w:rPr>
          <w:sz w:val="24"/>
          <w:szCs w:val="24"/>
        </w:rPr>
        <w:t xml:space="preserve"> </w:t>
      </w:r>
      <w:r w:rsidRPr="00960AEE">
        <w:rPr>
          <w:sz w:val="24"/>
          <w:szCs w:val="24"/>
        </w:rPr>
        <w:t xml:space="preserve">1 tablet af </w:t>
      </w:r>
      <w:proofErr w:type="spellStart"/>
      <w:r w:rsidRPr="00960AEE">
        <w:rPr>
          <w:sz w:val="24"/>
          <w:szCs w:val="24"/>
        </w:rPr>
        <w:t>Dolenio</w:t>
      </w:r>
      <w:proofErr w:type="spellEnd"/>
      <w:r w:rsidRPr="00960AEE">
        <w:rPr>
          <w:sz w:val="24"/>
          <w:szCs w:val="24"/>
        </w:rPr>
        <w:t xml:space="preserve"> 1178 mg en</w:t>
      </w:r>
      <w:r>
        <w:rPr>
          <w:sz w:val="24"/>
          <w:szCs w:val="24"/>
        </w:rPr>
        <w:t xml:space="preserve"> gang daglig.</w:t>
      </w:r>
    </w:p>
    <w:p w:rsidR="00C41FAD" w:rsidRPr="00C476F8" w:rsidRDefault="00C41FAD" w:rsidP="00C41FAD">
      <w:pPr>
        <w:ind w:left="1134" w:right="115" w:hanging="283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ikke indiceret til behandling af akutte smertefulde symptomer. Lindring af symptomer (især smertelindring) kan først forventes at indtræffe efter adskillige ugers behandling og i nogle tilfælde efter endnu længere tid. Hvis der ikke ses symptomlindring efter 2-3 måneder, bør fortsat behandling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genovervejes.</w:t>
      </w:r>
    </w:p>
    <w:p w:rsidR="00C41FAD" w:rsidRPr="00C476F8" w:rsidRDefault="00C41FAD" w:rsidP="00C41FAD">
      <w:pPr>
        <w:ind w:left="851"/>
        <w:rPr>
          <w:i/>
          <w:sz w:val="24"/>
          <w:szCs w:val="24"/>
        </w:rPr>
      </w:pPr>
    </w:p>
    <w:p w:rsidR="00C41FAD" w:rsidRDefault="00C41FAD" w:rsidP="00C41FAD">
      <w:pPr>
        <w:ind w:firstLine="851"/>
        <w:rPr>
          <w:i/>
          <w:sz w:val="24"/>
          <w:szCs w:val="24"/>
          <w:lang w:eastAsia="da-DK"/>
        </w:rPr>
      </w:pPr>
      <w:r>
        <w:rPr>
          <w:i/>
          <w:szCs w:val="24"/>
        </w:rPr>
        <w:t>Pædiatrisk population:</w:t>
      </w:r>
    </w:p>
    <w:p w:rsidR="00C41FAD" w:rsidRDefault="00C41FAD" w:rsidP="00C41FAD">
      <w:pPr>
        <w:ind w:left="851"/>
        <w:rPr>
          <w:szCs w:val="24"/>
        </w:rPr>
      </w:pPr>
      <w:proofErr w:type="spellStart"/>
      <w:r>
        <w:rPr>
          <w:szCs w:val="24"/>
        </w:rPr>
        <w:t>Dolenio</w:t>
      </w:r>
      <w:proofErr w:type="spellEnd"/>
      <w:r>
        <w:rPr>
          <w:szCs w:val="24"/>
        </w:rPr>
        <w:t xml:space="preserve"> bør ikke anvendes til børn og unge under 18 år på grund af utilstrækkelig dokumentation for sikkerhed og virkning.</w:t>
      </w:r>
    </w:p>
    <w:p w:rsidR="00C41FAD" w:rsidRPr="00C476F8" w:rsidRDefault="00C41FAD" w:rsidP="00C41FAD">
      <w:pPr>
        <w:ind w:left="851" w:right="115"/>
        <w:rPr>
          <w:sz w:val="24"/>
          <w:szCs w:val="24"/>
          <w:u w:val="single"/>
        </w:rPr>
      </w:pPr>
    </w:p>
    <w:p w:rsidR="00C41FAD" w:rsidRPr="00C476F8" w:rsidRDefault="00C41FAD" w:rsidP="00C41FAD">
      <w:pPr>
        <w:ind w:left="851"/>
        <w:rPr>
          <w:i/>
          <w:sz w:val="24"/>
          <w:szCs w:val="24"/>
        </w:rPr>
      </w:pPr>
      <w:r w:rsidRPr="00C476F8">
        <w:rPr>
          <w:i/>
          <w:sz w:val="24"/>
          <w:szCs w:val="24"/>
        </w:rPr>
        <w:t>Ældre</w:t>
      </w:r>
    </w:p>
    <w:p w:rsidR="00C41FAD" w:rsidRPr="00C476F8" w:rsidRDefault="00C41FAD" w:rsidP="00C41FAD">
      <w:pPr>
        <w:ind w:left="851"/>
        <w:rPr>
          <w:sz w:val="24"/>
          <w:szCs w:val="24"/>
        </w:rPr>
      </w:pPr>
      <w:r w:rsidRPr="00C476F8">
        <w:rPr>
          <w:sz w:val="24"/>
          <w:szCs w:val="24"/>
        </w:rPr>
        <w:t>Der er ikke foretaget særlige undersøgelser med ældre, men ud fra klinisk erfaring er dosisjustering ikke påkrævet ved behandling af ældre patienter, der i øvrigt er raske.</w:t>
      </w:r>
    </w:p>
    <w:p w:rsidR="00C41FAD" w:rsidRPr="00C476F8" w:rsidRDefault="00C41FAD" w:rsidP="00C41FAD">
      <w:pPr>
        <w:rPr>
          <w:i/>
          <w:sz w:val="24"/>
          <w:szCs w:val="24"/>
        </w:rPr>
      </w:pPr>
    </w:p>
    <w:p w:rsidR="00C41FAD" w:rsidRPr="00C476F8" w:rsidRDefault="00C41FAD" w:rsidP="00C41FAD">
      <w:pPr>
        <w:ind w:left="851"/>
        <w:rPr>
          <w:sz w:val="24"/>
          <w:szCs w:val="24"/>
        </w:rPr>
      </w:pPr>
      <w:r w:rsidRPr="00C476F8">
        <w:rPr>
          <w:i/>
          <w:sz w:val="24"/>
          <w:szCs w:val="24"/>
        </w:rPr>
        <w:t>Nedsat nyre- og/eller leverfunktion</w:t>
      </w:r>
    </w:p>
    <w:p w:rsidR="00C41FAD" w:rsidRDefault="00C41FAD" w:rsidP="00C41FAD">
      <w:pPr>
        <w:ind w:left="851"/>
        <w:rPr>
          <w:sz w:val="24"/>
          <w:szCs w:val="24"/>
        </w:rPr>
      </w:pPr>
      <w:r w:rsidRPr="00C476F8">
        <w:rPr>
          <w:sz w:val="24"/>
          <w:szCs w:val="24"/>
        </w:rPr>
        <w:t>Der kan ikke gives dosisanbefalinger til patienter med nedsat nyre- og/eller leverfunktion, idet der ikke er foretaget undersøgelser med denne gruppe.</w:t>
      </w:r>
    </w:p>
    <w:p w:rsidR="00C41FAD" w:rsidRDefault="00C41FAD" w:rsidP="00C41FAD">
      <w:pPr>
        <w:ind w:left="851"/>
        <w:rPr>
          <w:sz w:val="24"/>
          <w:szCs w:val="24"/>
        </w:rPr>
      </w:pPr>
    </w:p>
    <w:p w:rsidR="00C41FAD" w:rsidRDefault="00C41FAD" w:rsidP="00C41FAD">
      <w:pPr>
        <w:ind w:left="851"/>
        <w:rPr>
          <w:sz w:val="24"/>
          <w:u w:val="single"/>
          <w:lang w:eastAsia="da-DK"/>
        </w:rPr>
      </w:pPr>
      <w:r>
        <w:rPr>
          <w:szCs w:val="24"/>
          <w:u w:val="single"/>
        </w:rPr>
        <w:t>A</w:t>
      </w:r>
      <w:r>
        <w:rPr>
          <w:u w:val="single"/>
        </w:rPr>
        <w:t>dministration</w:t>
      </w:r>
    </w:p>
    <w:p w:rsidR="00C41FAD" w:rsidRDefault="00C41FAD" w:rsidP="00C41FAD">
      <w:pPr>
        <w:ind w:left="851"/>
        <w:rPr>
          <w:i/>
          <w:szCs w:val="24"/>
          <w:u w:val="single"/>
        </w:rPr>
      </w:pPr>
      <w:r>
        <w:rPr>
          <w:noProof/>
        </w:rPr>
        <w:t xml:space="preserve">Oral anvendelse. </w:t>
      </w:r>
      <w:r>
        <w:t>Tabletterne kan tages uafhængigt af måltiderne.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Kontraindikationer</w:t>
      </w:r>
    </w:p>
    <w:p w:rsidR="00C41FAD" w:rsidRDefault="00C41FAD" w:rsidP="00C41FAD">
      <w:pPr>
        <w:numPr>
          <w:ilvl w:val="0"/>
          <w:numId w:val="6"/>
        </w:numPr>
        <w:rPr>
          <w:sz w:val="24"/>
          <w:lang w:eastAsia="da-DK"/>
        </w:rPr>
      </w:pPr>
      <w:r>
        <w:rPr>
          <w:szCs w:val="24"/>
        </w:rPr>
        <w:t>Overfølsomhed</w:t>
      </w:r>
      <w:r>
        <w:t xml:space="preserve"> over for skaldyr, da det aktive indholdsstof er udvundet fra skaldyr.</w:t>
      </w:r>
    </w:p>
    <w:p w:rsidR="00C41FAD" w:rsidRDefault="00C41FAD" w:rsidP="00C41FAD">
      <w:pPr>
        <w:numPr>
          <w:ilvl w:val="0"/>
          <w:numId w:val="6"/>
        </w:numPr>
      </w:pPr>
      <w:r>
        <w:t xml:space="preserve">Overfølsomhed over for det aktive stof eller over for et eller flere af hjælpestofferne </w:t>
      </w:r>
      <w:r>
        <w:rPr>
          <w:szCs w:val="24"/>
        </w:rPr>
        <w:t>anført i pkt. 6.1</w:t>
      </w:r>
      <w:r>
        <w:t>.</w:t>
      </w:r>
    </w:p>
    <w:p w:rsidR="00C41FAD" w:rsidRDefault="00C41FAD" w:rsidP="00C41FAD">
      <w:pPr>
        <w:numPr>
          <w:ilvl w:val="0"/>
          <w:numId w:val="6"/>
        </w:numPr>
      </w:pPr>
      <w:r>
        <w:t>Børn under 2 år.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Særlige advarsler og forsigtighedsregler vedrørende brugen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Lægen bør konsulteres for at udelukke tilstedeværelsen af </w:t>
      </w:r>
      <w:proofErr w:type="spellStart"/>
      <w:r w:rsidRPr="00C476F8">
        <w:rPr>
          <w:sz w:val="24"/>
          <w:szCs w:val="24"/>
        </w:rPr>
        <w:t>ledsygdomme</w:t>
      </w:r>
      <w:proofErr w:type="spellEnd"/>
      <w:r w:rsidRPr="00C476F8">
        <w:rPr>
          <w:sz w:val="24"/>
          <w:szCs w:val="24"/>
        </w:rPr>
        <w:t>, hvor anden behandling bør komme i betragtning.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Hos patienter med nedsat </w:t>
      </w:r>
      <w:proofErr w:type="spellStart"/>
      <w:r w:rsidRPr="00C476F8">
        <w:rPr>
          <w:sz w:val="24"/>
          <w:szCs w:val="24"/>
        </w:rPr>
        <w:t>glucosetolerance</w:t>
      </w:r>
      <w:proofErr w:type="spellEnd"/>
      <w:r w:rsidRPr="00C476F8">
        <w:rPr>
          <w:sz w:val="24"/>
          <w:szCs w:val="24"/>
        </w:rPr>
        <w:t xml:space="preserve"> skal blodsukkeret og evt. insulinbehov monitoreres før behandlingen initieres og periodisk under behandlingen.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Hos patienter med en kendt risikofaktor for </w:t>
      </w:r>
      <w:proofErr w:type="spellStart"/>
      <w:r w:rsidRPr="00C476F8">
        <w:rPr>
          <w:sz w:val="24"/>
          <w:szCs w:val="24"/>
        </w:rPr>
        <w:t>kardiovaskulær</w:t>
      </w:r>
      <w:proofErr w:type="spellEnd"/>
      <w:r w:rsidRPr="00C476F8">
        <w:rPr>
          <w:sz w:val="24"/>
          <w:szCs w:val="24"/>
        </w:rPr>
        <w:t xml:space="preserve"> sygdom anbefales monitorering af lipidtal i blodet, idet der er rapporteret om </w:t>
      </w:r>
      <w:proofErr w:type="spellStart"/>
      <w:r w:rsidRPr="00C476F8">
        <w:rPr>
          <w:sz w:val="24"/>
          <w:szCs w:val="24"/>
        </w:rPr>
        <w:t>hyperkolesterolæmi</w:t>
      </w:r>
      <w:proofErr w:type="spellEnd"/>
      <w:r w:rsidRPr="00C476F8">
        <w:rPr>
          <w:sz w:val="24"/>
          <w:szCs w:val="24"/>
        </w:rPr>
        <w:t xml:space="preserve"> i nogle få tilfælde hos patienter, der blev behandlet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>.</w:t>
      </w:r>
    </w:p>
    <w:p w:rsidR="00C41FAD" w:rsidRPr="00C476F8" w:rsidRDefault="00C41FAD" w:rsidP="00C41FA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b/>
          <w:sz w:val="24"/>
          <w:szCs w:val="24"/>
        </w:rPr>
      </w:pPr>
      <w:r w:rsidRPr="00C476F8">
        <w:rPr>
          <w:sz w:val="24"/>
          <w:szCs w:val="24"/>
        </w:rPr>
        <w:lastRenderedPageBreak/>
        <w:t xml:space="preserve">Der foreligger en rapport om forværrede astma symptomer efter begyndelse på </w:t>
      </w:r>
      <w:proofErr w:type="spellStart"/>
      <w:r w:rsidRPr="00C476F8">
        <w:rPr>
          <w:sz w:val="24"/>
          <w:szCs w:val="24"/>
        </w:rPr>
        <w:t>glucosaminbehandling</w:t>
      </w:r>
      <w:proofErr w:type="spellEnd"/>
      <w:r w:rsidRPr="00C476F8">
        <w:rPr>
          <w:sz w:val="24"/>
          <w:szCs w:val="24"/>
        </w:rPr>
        <w:t xml:space="preserve"> (symptomerne forsvandt ved </w:t>
      </w:r>
      <w:proofErr w:type="spellStart"/>
      <w:r w:rsidRPr="00C476F8">
        <w:rPr>
          <w:sz w:val="24"/>
          <w:szCs w:val="24"/>
        </w:rPr>
        <w:t>seponering</w:t>
      </w:r>
      <w:proofErr w:type="spellEnd"/>
      <w:r w:rsidRPr="00C476F8">
        <w:rPr>
          <w:sz w:val="24"/>
          <w:szCs w:val="24"/>
        </w:rPr>
        <w:t xml:space="preserve"> af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). Astmapatienter, der begynder på </w:t>
      </w:r>
      <w:proofErr w:type="spellStart"/>
      <w:r w:rsidRPr="00C476F8">
        <w:rPr>
          <w:sz w:val="24"/>
          <w:szCs w:val="24"/>
        </w:rPr>
        <w:t>glucosaminbehandling</w:t>
      </w:r>
      <w:proofErr w:type="spellEnd"/>
      <w:r w:rsidRPr="00C476F8">
        <w:rPr>
          <w:sz w:val="24"/>
          <w:szCs w:val="24"/>
        </w:rPr>
        <w:t>, bør derfor være opmærksomme på en potentiel forværring af astma symptomer.</w:t>
      </w:r>
    </w:p>
    <w:p w:rsidR="00C41FAD" w:rsidRDefault="00C41FAD" w:rsidP="00C41FAD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41FAD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Dette lægemiddel indeholder</w:t>
      </w:r>
      <w:r>
        <w:rPr>
          <w:sz w:val="24"/>
          <w:szCs w:val="24"/>
        </w:rPr>
        <w:t>:</w:t>
      </w:r>
    </w:p>
    <w:p w:rsidR="00C41FAD" w:rsidRPr="007E5B40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7E5B40">
        <w:rPr>
          <w:sz w:val="24"/>
          <w:szCs w:val="24"/>
        </w:rPr>
        <w:t>589 mg: 3,287 mmol (eller 75,610 mg) natrium pr. dosis.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Dette bør tages i betragtning ved behandling af patienter, som er på natriumfattig diæt.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Interaktion med andre lægemidler og andre former for interaktion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Der er rapporteret om øget effekt af </w:t>
      </w:r>
      <w:proofErr w:type="spellStart"/>
      <w:r w:rsidRPr="00C476F8">
        <w:rPr>
          <w:sz w:val="24"/>
          <w:szCs w:val="24"/>
        </w:rPr>
        <w:t>coumarin</w:t>
      </w:r>
      <w:proofErr w:type="spellEnd"/>
      <w:r w:rsidRPr="00C476F8">
        <w:rPr>
          <w:sz w:val="24"/>
          <w:szCs w:val="24"/>
        </w:rPr>
        <w:t xml:space="preserve"> </w:t>
      </w:r>
      <w:proofErr w:type="spellStart"/>
      <w:r w:rsidRPr="00C476F8">
        <w:rPr>
          <w:sz w:val="24"/>
          <w:szCs w:val="24"/>
        </w:rPr>
        <w:t>antikoagulanter</w:t>
      </w:r>
      <w:proofErr w:type="spellEnd"/>
      <w:r w:rsidRPr="00C476F8">
        <w:rPr>
          <w:sz w:val="24"/>
          <w:szCs w:val="24"/>
        </w:rPr>
        <w:t xml:space="preserve"> (f.eks. </w:t>
      </w:r>
      <w:proofErr w:type="spellStart"/>
      <w:r w:rsidRPr="00C476F8">
        <w:rPr>
          <w:sz w:val="24"/>
          <w:szCs w:val="24"/>
        </w:rPr>
        <w:t>warfarin</w:t>
      </w:r>
      <w:proofErr w:type="spellEnd"/>
      <w:r w:rsidRPr="00C476F8">
        <w:rPr>
          <w:sz w:val="24"/>
          <w:szCs w:val="24"/>
        </w:rPr>
        <w:t xml:space="preserve">) ved samtidig behandling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. Patienter i behandling med </w:t>
      </w:r>
      <w:proofErr w:type="spellStart"/>
      <w:r w:rsidRPr="00C476F8">
        <w:rPr>
          <w:sz w:val="24"/>
          <w:szCs w:val="24"/>
        </w:rPr>
        <w:t>coumarin</w:t>
      </w:r>
      <w:proofErr w:type="spellEnd"/>
      <w:r w:rsidRPr="00C476F8">
        <w:rPr>
          <w:sz w:val="24"/>
          <w:szCs w:val="24"/>
        </w:rPr>
        <w:t xml:space="preserve"> </w:t>
      </w:r>
      <w:proofErr w:type="spellStart"/>
      <w:r w:rsidRPr="00C476F8">
        <w:rPr>
          <w:sz w:val="24"/>
          <w:szCs w:val="24"/>
        </w:rPr>
        <w:t>antikoagulanter</w:t>
      </w:r>
      <w:proofErr w:type="spellEnd"/>
      <w:r w:rsidRPr="00C476F8">
        <w:rPr>
          <w:sz w:val="24"/>
          <w:szCs w:val="24"/>
        </w:rPr>
        <w:t xml:space="preserve"> skal derfor monitoreres tæt ved initiering og afslutning af behandling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. 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Samtidig behandling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kan forøge absorptionen og serumkoncentrationen af </w:t>
      </w:r>
      <w:proofErr w:type="spellStart"/>
      <w:r w:rsidRPr="00C476F8">
        <w:rPr>
          <w:sz w:val="24"/>
          <w:szCs w:val="24"/>
        </w:rPr>
        <w:t>tetracykliner</w:t>
      </w:r>
      <w:proofErr w:type="spellEnd"/>
      <w:r w:rsidRPr="00C476F8">
        <w:rPr>
          <w:sz w:val="24"/>
          <w:szCs w:val="24"/>
        </w:rPr>
        <w:t>, men den kliniske relevans af denne interaktion er sandsynligvis begrænset.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Pga. begrænset dokumentation om potentielle lægemiddelinteraktioner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, skal man generelt være opmærksom på ændret respons eller koncentration af lægemidler, der indtages </w:t>
      </w:r>
      <w:r>
        <w:rPr>
          <w:sz w:val="24"/>
          <w:szCs w:val="24"/>
        </w:rPr>
        <w:t>samtidig</w:t>
      </w:r>
      <w:r w:rsidRPr="00C476F8">
        <w:rPr>
          <w:sz w:val="24"/>
          <w:szCs w:val="24"/>
        </w:rPr>
        <w:t>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Graviditet og amning</w:t>
      </w:r>
    </w:p>
    <w:p w:rsidR="00C41FAD" w:rsidRPr="00C476F8" w:rsidRDefault="00C41FAD" w:rsidP="00C41FAD">
      <w:pPr>
        <w:ind w:left="855"/>
        <w:rPr>
          <w:i/>
          <w:sz w:val="24"/>
          <w:szCs w:val="24"/>
        </w:rPr>
      </w:pPr>
    </w:p>
    <w:p w:rsidR="00C41FAD" w:rsidRPr="00C476F8" w:rsidRDefault="00C41FAD" w:rsidP="00C41FAD">
      <w:pPr>
        <w:ind w:left="855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Graviditet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Data for anvendelse af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til gravide er utilstrækkelige. Der findes kun utilstrækkelige data fra dyreforsøg. </w:t>
      </w:r>
      <w:proofErr w:type="spellStart"/>
      <w:r w:rsidRPr="00C476F8">
        <w:rPr>
          <w:sz w:val="24"/>
          <w:szCs w:val="24"/>
        </w:rPr>
        <w:t>Dolenio</w:t>
      </w:r>
      <w:proofErr w:type="spellEnd"/>
      <w:r w:rsidRPr="00C476F8">
        <w:rPr>
          <w:sz w:val="24"/>
          <w:szCs w:val="24"/>
        </w:rPr>
        <w:t xml:space="preserve"> bør ikke anvendes til gravide.</w:t>
      </w:r>
    </w:p>
    <w:p w:rsidR="00C41FAD" w:rsidRPr="00C476F8" w:rsidRDefault="00C41FAD" w:rsidP="00C41FAD">
      <w:pPr>
        <w:ind w:left="1706"/>
        <w:rPr>
          <w:i/>
          <w:sz w:val="24"/>
          <w:szCs w:val="24"/>
        </w:rPr>
      </w:pPr>
    </w:p>
    <w:p w:rsidR="00C41FAD" w:rsidRPr="00C476F8" w:rsidRDefault="00C41FAD" w:rsidP="00C41FAD">
      <w:pPr>
        <w:ind w:left="855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Amning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Der findes ingen data om udskillelse af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i modermælk. Indtagelse af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i </w:t>
      </w:r>
      <w:proofErr w:type="spellStart"/>
      <w:r w:rsidRPr="00C476F8">
        <w:rPr>
          <w:sz w:val="24"/>
          <w:szCs w:val="24"/>
        </w:rPr>
        <w:t>ammeperioden</w:t>
      </w:r>
      <w:proofErr w:type="spellEnd"/>
      <w:r w:rsidRPr="00C476F8">
        <w:rPr>
          <w:sz w:val="24"/>
          <w:szCs w:val="24"/>
        </w:rPr>
        <w:t xml:space="preserve"> anbefales derfor ikke, da der ikke findes sikkerhedsdata for barnet.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Virkninger på evnen til at føre motorkøretøj eller betjene maskiner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>Ikke mærkning.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>Der er ikke foretaget undersøgelser af virkningen på evnen til at føre motorkøretøj eller betjene maskiner.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>Hvis der forekommer svimmelhed eller sløvhed, anbefales bilkørsel eller betjening af maskiner ikke.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Bivirkninger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De hyppigst forekommende bivirkninger ved behandling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kvalme, mavesmerter, fordøjelsesbesvær, forstoppelse og diarré. Desuden er hovedpine, træthed, udslæt, hudkløe, og rødmen rapporteret. De rapporterede bivirkninger er sædvanligvis milde og forbigående.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8790" w:type="dxa"/>
        <w:tblInd w:w="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8"/>
      </w:tblGrid>
      <w:tr w:rsidR="00C41FAD" w:rsidRPr="00C476F8" w:rsidTr="003B4BCE">
        <w:trPr>
          <w:cantSplit/>
          <w:trHeight w:val="894"/>
          <w:tblHeader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lastRenderedPageBreak/>
              <w:t xml:space="preserve">Systemorganklasse i henhold til </w:t>
            </w:r>
            <w:proofErr w:type="spellStart"/>
            <w:r w:rsidRPr="00C476F8">
              <w:rPr>
                <w:b/>
                <w:sz w:val="24"/>
                <w:szCs w:val="24"/>
              </w:rPr>
              <w:t>MedDRA</w:t>
            </w:r>
            <w:proofErr w:type="spellEnd"/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b/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t>Almindelig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t>(≥1/100 til &lt;1/10)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t>Ikke almindelig</w:t>
            </w:r>
          </w:p>
          <w:p w:rsidR="00C41FAD" w:rsidRPr="00C476F8" w:rsidRDefault="00C41FAD" w:rsidP="003B4BCE">
            <w:pPr>
              <w:rPr>
                <w:b/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t>(≥1/1.000 til ≤1/100)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-7"/>
              </w:tabs>
              <w:rPr>
                <w:b/>
                <w:sz w:val="24"/>
                <w:szCs w:val="24"/>
              </w:rPr>
            </w:pPr>
            <w:r w:rsidRPr="00C476F8">
              <w:rPr>
                <w:b/>
                <w:sz w:val="24"/>
                <w:szCs w:val="24"/>
              </w:rPr>
              <w:t xml:space="preserve">Ikke kendt (kan ikke estimeres ud fra forhåndenværende data) </w:t>
            </w: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>Metabolisme og ernæring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Utilstrækkelig kontrol af diabetes mellitus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proofErr w:type="spellStart"/>
            <w:r w:rsidRPr="00C476F8">
              <w:rPr>
                <w:sz w:val="24"/>
                <w:szCs w:val="24"/>
              </w:rPr>
              <w:t>Hyperkolesterolæmi</w:t>
            </w:r>
            <w:proofErr w:type="spellEnd"/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>Nervesystemet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 xml:space="preserve">Hovedpine 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Træthed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Svimmelhed</w:t>
            </w: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 xml:space="preserve">Luftveje, thorax og </w:t>
            </w:r>
            <w:proofErr w:type="spellStart"/>
            <w:r w:rsidRPr="00C476F8">
              <w:rPr>
                <w:color w:val="222222"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 xml:space="preserve">Astma/forværring af astma </w:t>
            </w: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>Mave-tarm-kanalen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Kvalme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Mavesmerter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Fordøjelsesbesvær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Diarré</w:t>
            </w:r>
          </w:p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Forstoppelse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Opkastning</w:t>
            </w: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>Hud og subkutane væv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Udslæt</w:t>
            </w:r>
          </w:p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Kløe</w:t>
            </w:r>
          </w:p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Rødme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C476F8">
              <w:rPr>
                <w:sz w:val="24"/>
                <w:szCs w:val="24"/>
              </w:rPr>
              <w:t>Angioødem</w:t>
            </w:r>
            <w:proofErr w:type="spellEnd"/>
          </w:p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Nældefeber</w:t>
            </w: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C41FAD" w:rsidRPr="00C476F8" w:rsidTr="003B4BCE">
        <w:trPr>
          <w:cantSplit/>
          <w:trHeight w:val="48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rPr>
                <w:color w:val="222222"/>
                <w:sz w:val="24"/>
                <w:szCs w:val="24"/>
              </w:rPr>
            </w:pPr>
            <w:r w:rsidRPr="00C476F8">
              <w:rPr>
                <w:color w:val="222222"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1FAD" w:rsidRPr="00C476F8" w:rsidRDefault="00C41FAD" w:rsidP="003B4B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476F8">
              <w:rPr>
                <w:sz w:val="24"/>
                <w:szCs w:val="24"/>
              </w:rPr>
              <w:t>Ødem/perifert ødem</w:t>
            </w:r>
          </w:p>
        </w:tc>
      </w:tr>
    </w:tbl>
    <w:p w:rsidR="00C41FAD" w:rsidRPr="00362146" w:rsidRDefault="00C41FAD" w:rsidP="00C41FAD">
      <w:pPr>
        <w:ind w:left="851"/>
        <w:rPr>
          <w:sz w:val="24"/>
          <w:szCs w:val="24"/>
        </w:rPr>
      </w:pPr>
    </w:p>
    <w:p w:rsidR="00C41FAD" w:rsidRPr="00362146" w:rsidRDefault="00C41FAD" w:rsidP="00C41FAD">
      <w:pPr>
        <w:ind w:left="851"/>
        <w:rPr>
          <w:b/>
          <w:sz w:val="24"/>
          <w:szCs w:val="24"/>
        </w:rPr>
      </w:pPr>
      <w:r w:rsidRPr="00362146">
        <w:rPr>
          <w:sz w:val="24"/>
          <w:szCs w:val="24"/>
        </w:rPr>
        <w:t xml:space="preserve">Der er rapporteret tilfælde af </w:t>
      </w:r>
      <w:proofErr w:type="spellStart"/>
      <w:r w:rsidRPr="00362146">
        <w:rPr>
          <w:sz w:val="24"/>
          <w:szCs w:val="24"/>
        </w:rPr>
        <w:t>hyperkolesterolæmi</w:t>
      </w:r>
      <w:proofErr w:type="spellEnd"/>
      <w:r w:rsidRPr="00362146">
        <w:rPr>
          <w:sz w:val="24"/>
          <w:szCs w:val="24"/>
        </w:rPr>
        <w:t>, forværring af astma og utilstrækkelig kontrol af diabetes mellitus, men årsagssammenhængen er ikke fastslået.</w:t>
      </w:r>
    </w:p>
    <w:p w:rsidR="00C41FAD" w:rsidRPr="00362146" w:rsidRDefault="00C41FAD" w:rsidP="00C41FAD">
      <w:pPr>
        <w:ind w:left="851"/>
        <w:rPr>
          <w:sz w:val="24"/>
          <w:szCs w:val="24"/>
        </w:rPr>
      </w:pPr>
    </w:p>
    <w:p w:rsidR="00C41FAD" w:rsidRPr="00C476F8" w:rsidRDefault="00C41FAD" w:rsidP="00C41FAD">
      <w:pPr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Dolenio</w:t>
      </w:r>
      <w:proofErr w:type="spellEnd"/>
      <w:r w:rsidRPr="00C476F8">
        <w:rPr>
          <w:sz w:val="24"/>
          <w:szCs w:val="24"/>
        </w:rPr>
        <w:t xml:space="preserve"> kan forårsage forhøjet leverenzymniveau og i sjældne tilfælde gulsot.</w:t>
      </w:r>
    </w:p>
    <w:p w:rsidR="00C41FAD" w:rsidRPr="00C476F8" w:rsidRDefault="00C41FAD" w:rsidP="00C41FAD">
      <w:pPr>
        <w:ind w:left="851"/>
        <w:rPr>
          <w:sz w:val="24"/>
          <w:szCs w:val="24"/>
        </w:rPr>
      </w:pPr>
    </w:p>
    <w:p w:rsidR="00C41FAD" w:rsidRPr="00C476F8" w:rsidRDefault="00C41FAD" w:rsidP="00C41FAD">
      <w:pPr>
        <w:ind w:left="851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Patienter med diabetes mellitus</w:t>
      </w:r>
    </w:p>
    <w:p w:rsidR="00C41FAD" w:rsidRDefault="00C41FAD" w:rsidP="00C41FAD">
      <w:pPr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Blodglucosekontrol</w:t>
      </w:r>
      <w:proofErr w:type="spellEnd"/>
      <w:r w:rsidRPr="00C476F8">
        <w:rPr>
          <w:sz w:val="24"/>
          <w:szCs w:val="24"/>
        </w:rPr>
        <w:t xml:space="preserve"> forværredes hos patienter med diabetes mellitus. Frekvensen er ikke kendt.</w:t>
      </w:r>
    </w:p>
    <w:p w:rsidR="00C41FAD" w:rsidRDefault="00C41FAD" w:rsidP="00C41FAD">
      <w:pPr>
        <w:ind w:left="851"/>
        <w:rPr>
          <w:sz w:val="24"/>
          <w:szCs w:val="24"/>
        </w:rPr>
      </w:pPr>
    </w:p>
    <w:p w:rsidR="00C41FAD" w:rsidRPr="003952CE" w:rsidRDefault="00C41FAD" w:rsidP="00C41FAD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C41FAD" w:rsidRPr="003952CE" w:rsidRDefault="00C41FAD" w:rsidP="00C41FA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>-forholdet for lægemidlet. Læger og sundhedspersonale anmodes om at indberette alle formodede bivirkninger via:</w:t>
      </w:r>
    </w:p>
    <w:p w:rsidR="00C41FAD" w:rsidRPr="003952CE" w:rsidRDefault="00C41FAD" w:rsidP="00C41FAD">
      <w:pPr>
        <w:tabs>
          <w:tab w:val="left" w:pos="2440"/>
        </w:tabs>
        <w:ind w:left="851"/>
        <w:rPr>
          <w:sz w:val="24"/>
          <w:szCs w:val="24"/>
        </w:rPr>
      </w:pPr>
    </w:p>
    <w:p w:rsidR="00C41FAD" w:rsidRPr="003952CE" w:rsidRDefault="00C41FAD" w:rsidP="00C41FA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C41FAD" w:rsidRPr="003952CE" w:rsidRDefault="00C41FAD" w:rsidP="00C41FA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C41FAD" w:rsidRPr="003952CE" w:rsidRDefault="00C41FAD" w:rsidP="00C41FA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C41FAD" w:rsidRPr="003952CE" w:rsidRDefault="00C41FAD" w:rsidP="00C41FAD">
      <w:pPr>
        <w:ind w:left="851"/>
        <w:rPr>
          <w:sz w:val="24"/>
          <w:szCs w:val="24"/>
          <w:lang w:val="en-US"/>
        </w:rPr>
      </w:pPr>
      <w:proofErr w:type="spellStart"/>
      <w:r w:rsidRPr="003952CE">
        <w:rPr>
          <w:sz w:val="24"/>
          <w:szCs w:val="24"/>
          <w:lang w:val="en-US"/>
        </w:rPr>
        <w:t>Websted</w:t>
      </w:r>
      <w:proofErr w:type="spellEnd"/>
      <w:r w:rsidRPr="003952CE">
        <w:rPr>
          <w:sz w:val="24"/>
          <w:szCs w:val="24"/>
          <w:lang w:val="en-US"/>
        </w:rPr>
        <w:t xml:space="preserve">: </w:t>
      </w:r>
      <w:hyperlink r:id="rId8" w:history="1">
        <w:r w:rsidRPr="003952CE"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C41FAD" w:rsidRPr="003952CE" w:rsidRDefault="00C41FAD" w:rsidP="00C41FAD">
      <w:pPr>
        <w:ind w:left="851"/>
        <w:rPr>
          <w:sz w:val="24"/>
          <w:szCs w:val="24"/>
          <w:lang w:val="en-US"/>
        </w:rPr>
      </w:pPr>
      <w:r w:rsidRPr="003952CE">
        <w:rPr>
          <w:sz w:val="24"/>
          <w:szCs w:val="24"/>
          <w:lang w:val="en-US"/>
        </w:rPr>
        <w:t xml:space="preserve">E-mail: </w:t>
      </w:r>
      <w:hyperlink r:id="rId9" w:history="1">
        <w:r w:rsidRPr="003952CE">
          <w:rPr>
            <w:rStyle w:val="Hyperlink"/>
            <w:sz w:val="24"/>
            <w:szCs w:val="24"/>
            <w:lang w:val="en-US"/>
          </w:rPr>
          <w:t>dkma@dkma.dk</w:t>
        </w:r>
      </w:hyperlink>
    </w:p>
    <w:p w:rsidR="00C41FAD" w:rsidRDefault="00C41FAD" w:rsidP="00C41FAD">
      <w:pPr>
        <w:rPr>
          <w:sz w:val="24"/>
          <w:szCs w:val="24"/>
          <w:lang w:val="en-US" w:eastAsia="da-DK"/>
        </w:rPr>
      </w:pPr>
      <w:r>
        <w:rPr>
          <w:szCs w:val="24"/>
          <w:lang w:val="en-US"/>
        </w:rPr>
        <w:br w:type="page"/>
      </w:r>
    </w:p>
    <w:p w:rsidR="00C41FAD" w:rsidRPr="00A57351" w:rsidRDefault="00C41FAD" w:rsidP="00C41FAD">
      <w:pPr>
        <w:pStyle w:val="Sidehoved"/>
        <w:tabs>
          <w:tab w:val="left" w:pos="851"/>
        </w:tabs>
        <w:rPr>
          <w:szCs w:val="24"/>
          <w:lang w:val="en-US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Overdosering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Tegn og symptomer på utilsigtet eller tilsigtet overdosering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kan omfatte hovedpine, svimmelhed, desorientering, </w:t>
      </w:r>
      <w:proofErr w:type="spellStart"/>
      <w:r w:rsidRPr="00C476F8">
        <w:rPr>
          <w:sz w:val="24"/>
          <w:szCs w:val="24"/>
        </w:rPr>
        <w:t>artralgi</w:t>
      </w:r>
      <w:proofErr w:type="spellEnd"/>
      <w:r w:rsidRPr="00C476F8">
        <w:rPr>
          <w:sz w:val="24"/>
          <w:szCs w:val="24"/>
        </w:rPr>
        <w:t>, kvalme, opkastninger, diarré eller forstoppelse.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I tilfælde af overdosering med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skal behandlingen seponeres og symptomatiske tiltag skal iværksættes efter behov.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I kliniske undersøgelser oplevede 1 ud af 5 raske unge forsøgspersoner hovedpine efter infusion af op til 30 g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>.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</w:p>
    <w:p w:rsidR="00C41FAD" w:rsidRPr="00C476F8" w:rsidRDefault="00C41FAD" w:rsidP="00C41FAD">
      <w:pPr>
        <w:ind w:left="855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Pædiatrisk population</w:t>
      </w:r>
    </w:p>
    <w:p w:rsidR="00C41FAD" w:rsidRPr="00C476F8" w:rsidRDefault="00C41FAD" w:rsidP="00C41FAD">
      <w:pPr>
        <w:ind w:left="855"/>
        <w:rPr>
          <w:sz w:val="24"/>
          <w:szCs w:val="24"/>
        </w:rPr>
      </w:pPr>
      <w:r w:rsidRPr="00C476F8">
        <w:rPr>
          <w:sz w:val="24"/>
          <w:szCs w:val="24"/>
        </w:rPr>
        <w:t xml:space="preserve">Yderligere et tilfælde af overdosering er blevet rapporteret hos en 12-årig pige, som tog 28 g </w:t>
      </w:r>
      <w:proofErr w:type="spellStart"/>
      <w:r w:rsidRPr="00C476F8">
        <w:rPr>
          <w:sz w:val="24"/>
          <w:szCs w:val="24"/>
        </w:rPr>
        <w:t>glucosaminhydrochlorid</w:t>
      </w:r>
      <w:proofErr w:type="spellEnd"/>
      <w:r w:rsidRPr="00C476F8">
        <w:rPr>
          <w:sz w:val="24"/>
          <w:szCs w:val="24"/>
        </w:rPr>
        <w:t xml:space="preserve"> oralt. Hun udviklede </w:t>
      </w:r>
      <w:proofErr w:type="spellStart"/>
      <w:r w:rsidRPr="00C476F8">
        <w:rPr>
          <w:sz w:val="24"/>
          <w:szCs w:val="24"/>
        </w:rPr>
        <w:t>artralgi</w:t>
      </w:r>
      <w:proofErr w:type="spellEnd"/>
      <w:r w:rsidRPr="00C476F8">
        <w:rPr>
          <w:sz w:val="24"/>
          <w:szCs w:val="24"/>
        </w:rPr>
        <w:t>, opkastninger og desorientering. Patienten kom sig uden følgevirkninger.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Udlevering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  <w:r w:rsidRPr="00C476F8">
        <w:rPr>
          <w:sz w:val="24"/>
          <w:szCs w:val="24"/>
        </w:rPr>
        <w:tab/>
        <w:t>HF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1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FARMAKOLOGISKE EGENSKABER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2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Terapeutisk klassifikation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ATC-kode</w:t>
      </w:r>
      <w:proofErr w:type="spellEnd"/>
      <w:r w:rsidRPr="00C476F8">
        <w:rPr>
          <w:sz w:val="24"/>
          <w:szCs w:val="24"/>
        </w:rPr>
        <w:t>: M 01 AX 05. Andre non-</w:t>
      </w:r>
      <w:proofErr w:type="spellStart"/>
      <w:r w:rsidRPr="00C476F8">
        <w:rPr>
          <w:sz w:val="24"/>
          <w:szCs w:val="24"/>
        </w:rPr>
        <w:t>steroide</w:t>
      </w:r>
      <w:proofErr w:type="spellEnd"/>
      <w:r w:rsidRPr="00C476F8">
        <w:rPr>
          <w:sz w:val="24"/>
          <w:szCs w:val="24"/>
        </w:rPr>
        <w:t xml:space="preserve"> antiinflammatoriske og </w:t>
      </w:r>
      <w:proofErr w:type="spellStart"/>
      <w:r w:rsidRPr="00C476F8">
        <w:rPr>
          <w:sz w:val="24"/>
          <w:szCs w:val="24"/>
        </w:rPr>
        <w:t>antirheumatiske</w:t>
      </w:r>
      <w:proofErr w:type="spellEnd"/>
      <w:r w:rsidRPr="00C476F8">
        <w:rPr>
          <w:sz w:val="24"/>
          <w:szCs w:val="24"/>
        </w:rPr>
        <w:t xml:space="preserve"> midler.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C476F8">
        <w:rPr>
          <w:b/>
          <w:sz w:val="24"/>
          <w:szCs w:val="24"/>
        </w:rPr>
        <w:t>Farmakodynamiske</w:t>
      </w:r>
      <w:proofErr w:type="spellEnd"/>
      <w:r w:rsidRPr="00C476F8">
        <w:rPr>
          <w:b/>
          <w:sz w:val="24"/>
          <w:szCs w:val="24"/>
        </w:rPr>
        <w:t xml:space="preserve"> egenskaber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et endogent stof, en almindelig bestanddel af polysakkaridkæden i bruskmatrix og </w:t>
      </w:r>
      <w:proofErr w:type="spellStart"/>
      <w:r w:rsidRPr="00C476F8">
        <w:rPr>
          <w:sz w:val="24"/>
          <w:szCs w:val="24"/>
        </w:rPr>
        <w:t>glycosaminoglycaner</w:t>
      </w:r>
      <w:proofErr w:type="spellEnd"/>
      <w:r w:rsidRPr="00C476F8">
        <w:rPr>
          <w:sz w:val="24"/>
          <w:szCs w:val="24"/>
        </w:rPr>
        <w:t xml:space="preserve"> i </w:t>
      </w:r>
      <w:proofErr w:type="spellStart"/>
      <w:r w:rsidRPr="00C476F8">
        <w:rPr>
          <w:sz w:val="24"/>
          <w:szCs w:val="24"/>
        </w:rPr>
        <w:t>synovialvæske</w:t>
      </w:r>
      <w:proofErr w:type="spellEnd"/>
      <w:r w:rsidRPr="00C476F8">
        <w:rPr>
          <w:sz w:val="24"/>
          <w:szCs w:val="24"/>
        </w:rPr>
        <w:t xml:space="preserve">. </w:t>
      </w:r>
      <w:r w:rsidRPr="00C476F8">
        <w:rPr>
          <w:i/>
          <w:sz w:val="24"/>
          <w:szCs w:val="24"/>
        </w:rPr>
        <w:t xml:space="preserve">In </w:t>
      </w:r>
      <w:proofErr w:type="spellStart"/>
      <w:r w:rsidRPr="00C476F8">
        <w:rPr>
          <w:i/>
          <w:sz w:val="24"/>
          <w:szCs w:val="24"/>
        </w:rPr>
        <w:t>vitro</w:t>
      </w:r>
      <w:proofErr w:type="spellEnd"/>
      <w:r w:rsidRPr="00C476F8">
        <w:rPr>
          <w:sz w:val="24"/>
          <w:szCs w:val="24"/>
        </w:rPr>
        <w:t xml:space="preserve">- og </w:t>
      </w:r>
      <w:r w:rsidRPr="00C476F8">
        <w:rPr>
          <w:i/>
          <w:sz w:val="24"/>
          <w:szCs w:val="24"/>
        </w:rPr>
        <w:t xml:space="preserve">in </w:t>
      </w:r>
      <w:proofErr w:type="spellStart"/>
      <w:r w:rsidRPr="00C476F8">
        <w:rPr>
          <w:i/>
          <w:sz w:val="24"/>
          <w:szCs w:val="24"/>
        </w:rPr>
        <w:t>vivo</w:t>
      </w:r>
      <w:proofErr w:type="spellEnd"/>
      <w:r w:rsidRPr="00C476F8">
        <w:rPr>
          <w:sz w:val="24"/>
          <w:szCs w:val="24"/>
        </w:rPr>
        <w:t xml:space="preserve">-forsøg har påvist, at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stimulerer syntesen af fysiologiske </w:t>
      </w:r>
      <w:proofErr w:type="spellStart"/>
      <w:r w:rsidRPr="00C476F8">
        <w:rPr>
          <w:sz w:val="24"/>
          <w:szCs w:val="24"/>
        </w:rPr>
        <w:t>glykosaminoglycaner</w:t>
      </w:r>
      <w:proofErr w:type="spellEnd"/>
      <w:r w:rsidRPr="00C476F8">
        <w:rPr>
          <w:sz w:val="24"/>
          <w:szCs w:val="24"/>
        </w:rPr>
        <w:t xml:space="preserve"> og </w:t>
      </w:r>
      <w:proofErr w:type="spellStart"/>
      <w:r w:rsidRPr="00C476F8">
        <w:rPr>
          <w:sz w:val="24"/>
          <w:szCs w:val="24"/>
        </w:rPr>
        <w:t>proteoglycaner</w:t>
      </w:r>
      <w:proofErr w:type="spellEnd"/>
      <w:r w:rsidRPr="00C476F8">
        <w:rPr>
          <w:sz w:val="24"/>
          <w:szCs w:val="24"/>
        </w:rPr>
        <w:t xml:space="preserve"> ved hjælp af </w:t>
      </w:r>
      <w:proofErr w:type="spellStart"/>
      <w:r w:rsidRPr="00C476F8">
        <w:rPr>
          <w:sz w:val="24"/>
          <w:szCs w:val="24"/>
        </w:rPr>
        <w:t>chondrocytter</w:t>
      </w:r>
      <w:proofErr w:type="spellEnd"/>
      <w:r w:rsidRPr="00C476F8">
        <w:rPr>
          <w:sz w:val="24"/>
          <w:szCs w:val="24"/>
        </w:rPr>
        <w:t xml:space="preserve"> og af </w:t>
      </w:r>
      <w:proofErr w:type="spellStart"/>
      <w:r w:rsidRPr="00C476F8">
        <w:rPr>
          <w:sz w:val="24"/>
          <w:szCs w:val="24"/>
        </w:rPr>
        <w:t>hyaluronsyre</w:t>
      </w:r>
      <w:proofErr w:type="spellEnd"/>
      <w:r w:rsidRPr="00C476F8">
        <w:rPr>
          <w:sz w:val="24"/>
          <w:szCs w:val="24"/>
        </w:rPr>
        <w:t xml:space="preserve"> ved hjælp af </w:t>
      </w:r>
      <w:proofErr w:type="spellStart"/>
      <w:r w:rsidRPr="00C476F8">
        <w:rPr>
          <w:sz w:val="24"/>
          <w:szCs w:val="24"/>
        </w:rPr>
        <w:t>synoviocytter</w:t>
      </w:r>
      <w:proofErr w:type="spellEnd"/>
      <w:r w:rsidRPr="00C476F8">
        <w:rPr>
          <w:sz w:val="24"/>
          <w:szCs w:val="24"/>
        </w:rPr>
        <w:t xml:space="preserve">. 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Virkningsmekanismen for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ukendt.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Perioden indtil respons kan ikke fastsættes.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3"/>
        </w:numPr>
        <w:rPr>
          <w:b/>
          <w:sz w:val="24"/>
          <w:szCs w:val="24"/>
        </w:rPr>
      </w:pPr>
      <w:proofErr w:type="spellStart"/>
      <w:r w:rsidRPr="00C476F8">
        <w:rPr>
          <w:b/>
          <w:sz w:val="24"/>
          <w:szCs w:val="24"/>
        </w:rPr>
        <w:t>Farmakokinetiske</w:t>
      </w:r>
      <w:proofErr w:type="spellEnd"/>
      <w:r w:rsidRPr="00C476F8">
        <w:rPr>
          <w:b/>
          <w:sz w:val="24"/>
          <w:szCs w:val="24"/>
        </w:rPr>
        <w:t xml:space="preserve"> egenskaber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  <w:r w:rsidRPr="00C476F8">
        <w:rPr>
          <w:sz w:val="24"/>
          <w:szCs w:val="24"/>
        </w:rPr>
        <w:tab/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et relativt lille molekyle (molekylærmasse 179), som let opløses i vand og er opløselig i hydrofile, organiske opløsningsmidler.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  <w:r w:rsidRPr="00C476F8">
        <w:rPr>
          <w:sz w:val="24"/>
          <w:szCs w:val="24"/>
        </w:rPr>
        <w:tab/>
        <w:t xml:space="preserve">Oplysninger om farmakokinetikken ved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begrænset. Den absolutte biotilgængelighed er ukendt. Distributionsvolumen er ca. 5 liter, og halveringstiden efter intravenøs indgift er ca. 2 timer. Ca. 38 % af en intravenøs dosis udskilles </w:t>
      </w:r>
      <w:proofErr w:type="spellStart"/>
      <w:r w:rsidRPr="00C476F8">
        <w:rPr>
          <w:sz w:val="24"/>
          <w:szCs w:val="24"/>
        </w:rPr>
        <w:t>uomdannet</w:t>
      </w:r>
      <w:proofErr w:type="spellEnd"/>
      <w:r w:rsidRPr="00C476F8">
        <w:rPr>
          <w:sz w:val="24"/>
          <w:szCs w:val="24"/>
        </w:rPr>
        <w:t xml:space="preserve"> med urinen.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  <w:r w:rsidRPr="00C476F8">
        <w:rPr>
          <w:sz w:val="24"/>
          <w:szCs w:val="24"/>
        </w:rPr>
        <w:tab/>
      </w:r>
      <w:proofErr w:type="spellStart"/>
      <w:r w:rsidRPr="00C476F8">
        <w:rPr>
          <w:sz w:val="24"/>
          <w:szCs w:val="24"/>
        </w:rPr>
        <w:t>Glucoaminsulfats</w:t>
      </w:r>
      <w:proofErr w:type="spellEnd"/>
      <w:r w:rsidRPr="00C476F8">
        <w:rPr>
          <w:sz w:val="24"/>
          <w:szCs w:val="24"/>
        </w:rPr>
        <w:t xml:space="preserve"> ADME-profil (absorption, distribution, metabolisme og </w:t>
      </w:r>
      <w:proofErr w:type="spellStart"/>
      <w:r w:rsidRPr="00C476F8">
        <w:rPr>
          <w:sz w:val="24"/>
          <w:szCs w:val="24"/>
        </w:rPr>
        <w:t>ekskretion</w:t>
      </w:r>
      <w:proofErr w:type="spellEnd"/>
      <w:r w:rsidRPr="00C476F8">
        <w:rPr>
          <w:sz w:val="24"/>
          <w:szCs w:val="24"/>
        </w:rPr>
        <w:t>) hos mennesker er ikke fuldstændigt klarlagt.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4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Prækliniske sikkerhedsdata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D-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har lav akut toksicitet.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lastRenderedPageBreak/>
        <w:t xml:space="preserve">Der findes ikke data fra dyreforsøg omhandlende toksicitet efter gentagne doser, reproduktionstoksicitet eller </w:t>
      </w:r>
      <w:proofErr w:type="spellStart"/>
      <w:r w:rsidRPr="00C476F8">
        <w:rPr>
          <w:sz w:val="24"/>
          <w:szCs w:val="24"/>
        </w:rPr>
        <w:t>karcinogenicitet</w:t>
      </w:r>
      <w:proofErr w:type="spellEnd"/>
      <w:r w:rsidRPr="00C476F8">
        <w:rPr>
          <w:sz w:val="24"/>
          <w:szCs w:val="24"/>
        </w:rPr>
        <w:t xml:space="preserve">.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ikke mutagent. Der er blevet observeret usikre resultater vedrørende klastogene effekter af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</w:t>
      </w:r>
      <w:r w:rsidRPr="00C476F8">
        <w:rPr>
          <w:i/>
          <w:sz w:val="24"/>
          <w:szCs w:val="24"/>
        </w:rPr>
        <w:t xml:space="preserve">in </w:t>
      </w:r>
      <w:proofErr w:type="spellStart"/>
      <w:r w:rsidRPr="00C476F8">
        <w:rPr>
          <w:i/>
          <w:sz w:val="24"/>
          <w:szCs w:val="24"/>
        </w:rPr>
        <w:t>vivo</w:t>
      </w:r>
      <w:proofErr w:type="spellEnd"/>
      <w:r w:rsidRPr="00C476F8">
        <w:rPr>
          <w:sz w:val="24"/>
          <w:szCs w:val="24"/>
        </w:rPr>
        <w:t xml:space="preserve">. Disse resultater anses imidlertid ikke for at være klinisk relevante for vurdering af menneskers sikkerhed i betragtning af, at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er et endogent stof.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 xml:space="preserve">Resultater fra </w:t>
      </w:r>
      <w:r w:rsidRPr="00C476F8">
        <w:rPr>
          <w:i/>
          <w:sz w:val="24"/>
          <w:szCs w:val="24"/>
        </w:rPr>
        <w:t xml:space="preserve">in </w:t>
      </w:r>
      <w:proofErr w:type="spellStart"/>
      <w:r w:rsidRPr="00C476F8">
        <w:rPr>
          <w:i/>
          <w:sz w:val="24"/>
          <w:szCs w:val="24"/>
        </w:rPr>
        <w:t>vitro</w:t>
      </w:r>
      <w:proofErr w:type="spellEnd"/>
      <w:r w:rsidRPr="00C476F8">
        <w:rPr>
          <w:sz w:val="24"/>
          <w:szCs w:val="24"/>
        </w:rPr>
        <w:t xml:space="preserve">- og </w:t>
      </w:r>
      <w:r w:rsidRPr="00C476F8">
        <w:rPr>
          <w:i/>
          <w:sz w:val="24"/>
          <w:szCs w:val="24"/>
        </w:rPr>
        <w:t xml:space="preserve">in </w:t>
      </w:r>
      <w:proofErr w:type="spellStart"/>
      <w:r w:rsidRPr="00C476F8">
        <w:rPr>
          <w:i/>
          <w:sz w:val="24"/>
          <w:szCs w:val="24"/>
        </w:rPr>
        <w:t>vivo</w:t>
      </w:r>
      <w:proofErr w:type="spellEnd"/>
      <w:r w:rsidRPr="00C476F8">
        <w:rPr>
          <w:sz w:val="24"/>
          <w:szCs w:val="24"/>
        </w:rPr>
        <w:t xml:space="preserve">-forsøg i dyr har vist, at </w:t>
      </w:r>
      <w:proofErr w:type="spellStart"/>
      <w:r w:rsidRPr="00C476F8">
        <w:rPr>
          <w:sz w:val="24"/>
          <w:szCs w:val="24"/>
        </w:rPr>
        <w:t>glucosamin</w:t>
      </w:r>
      <w:proofErr w:type="spellEnd"/>
      <w:r w:rsidRPr="00C476F8">
        <w:rPr>
          <w:sz w:val="24"/>
          <w:szCs w:val="24"/>
        </w:rPr>
        <w:t xml:space="preserve"> nedsætter insulinudskillelsen og giver insulinresistens, sandsynligvis ved hjælp af </w:t>
      </w:r>
      <w:proofErr w:type="spellStart"/>
      <w:r w:rsidRPr="00C476F8">
        <w:rPr>
          <w:sz w:val="24"/>
          <w:szCs w:val="24"/>
        </w:rPr>
        <w:t>glukokinasehæmning</w:t>
      </w:r>
      <w:proofErr w:type="spellEnd"/>
      <w:r w:rsidRPr="00C476F8">
        <w:rPr>
          <w:sz w:val="24"/>
          <w:szCs w:val="24"/>
        </w:rPr>
        <w:t xml:space="preserve"> i betacellerne. Den kliniske relevans er ukendt.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0"/>
          <w:numId w:val="3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FARMACEUTISKE OPLYSNINGER</w:t>
      </w:r>
    </w:p>
    <w:p w:rsidR="00C41FAD" w:rsidRPr="00C476F8" w:rsidRDefault="00C41FAD" w:rsidP="00C41FAD">
      <w:pPr>
        <w:tabs>
          <w:tab w:val="left" w:pos="851"/>
        </w:tabs>
        <w:rPr>
          <w:b/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Hjælpestoffer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Tabletkerne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Povidon</w:t>
      </w:r>
      <w:proofErr w:type="spellEnd"/>
      <w:r w:rsidRPr="00C476F8">
        <w:rPr>
          <w:sz w:val="24"/>
          <w:szCs w:val="24"/>
        </w:rPr>
        <w:t xml:space="preserve"> K30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Macrogol</w:t>
      </w:r>
      <w:proofErr w:type="spellEnd"/>
      <w:r w:rsidRPr="00C476F8">
        <w:rPr>
          <w:sz w:val="24"/>
          <w:szCs w:val="24"/>
        </w:rPr>
        <w:t xml:space="preserve"> 4000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Magnesiumstearat</w:t>
      </w:r>
      <w:proofErr w:type="spellEnd"/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76F8">
        <w:rPr>
          <w:sz w:val="24"/>
          <w:szCs w:val="24"/>
          <w:u w:val="single"/>
        </w:rPr>
        <w:t>Filmovertræk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Hypromellose</w:t>
      </w:r>
      <w:proofErr w:type="spellEnd"/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Titandioxid (E171)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C476F8">
        <w:rPr>
          <w:sz w:val="24"/>
          <w:szCs w:val="24"/>
        </w:rPr>
        <w:t>Talcum</w:t>
      </w:r>
      <w:proofErr w:type="spellEnd"/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Propylenglycol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Polysorbat</w:t>
      </w:r>
      <w:proofErr w:type="spellEnd"/>
      <w:r w:rsidRPr="00C476F8">
        <w:rPr>
          <w:sz w:val="24"/>
          <w:szCs w:val="24"/>
        </w:rPr>
        <w:t xml:space="preserve"> 80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Uforligeligheder</w:t>
      </w:r>
    </w:p>
    <w:p w:rsidR="00C41FAD" w:rsidRPr="00C476F8" w:rsidRDefault="00C41FAD" w:rsidP="00C41FAD">
      <w:pPr>
        <w:tabs>
          <w:tab w:val="left" w:pos="851"/>
        </w:tabs>
        <w:ind w:left="855"/>
        <w:rPr>
          <w:sz w:val="24"/>
          <w:szCs w:val="24"/>
        </w:rPr>
      </w:pPr>
      <w:r w:rsidRPr="00C476F8">
        <w:rPr>
          <w:sz w:val="24"/>
          <w:szCs w:val="24"/>
        </w:rPr>
        <w:t>Ikke relevant.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Opbevaringstid</w:t>
      </w:r>
    </w:p>
    <w:p w:rsidR="00C41FAD" w:rsidRPr="00C476F8" w:rsidRDefault="00C41FAD" w:rsidP="00C41FAD">
      <w:pPr>
        <w:tabs>
          <w:tab w:val="left" w:pos="851"/>
        </w:tabs>
        <w:ind w:left="855"/>
        <w:rPr>
          <w:sz w:val="24"/>
          <w:szCs w:val="24"/>
        </w:rPr>
      </w:pPr>
      <w:r>
        <w:rPr>
          <w:sz w:val="24"/>
          <w:szCs w:val="24"/>
        </w:rPr>
        <w:t>3</w:t>
      </w:r>
      <w:r w:rsidRPr="00C476F8">
        <w:rPr>
          <w:sz w:val="24"/>
          <w:szCs w:val="24"/>
        </w:rPr>
        <w:t xml:space="preserve"> år.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Særlige opbevaringsforhold</w:t>
      </w:r>
    </w:p>
    <w:p w:rsidR="00C41FAD" w:rsidRPr="00C476F8" w:rsidRDefault="00C41FAD" w:rsidP="00C41FAD">
      <w:pPr>
        <w:tabs>
          <w:tab w:val="left" w:pos="851"/>
        </w:tabs>
        <w:ind w:left="855"/>
        <w:rPr>
          <w:sz w:val="24"/>
          <w:szCs w:val="24"/>
        </w:rPr>
      </w:pPr>
      <w:r w:rsidRPr="00C476F8">
        <w:rPr>
          <w:sz w:val="24"/>
          <w:szCs w:val="24"/>
        </w:rPr>
        <w:t>Ingen særlige opbevaringsbetingelser.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Emballagetyper og pakningsstørrelser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476F8">
        <w:rPr>
          <w:sz w:val="24"/>
          <w:szCs w:val="24"/>
        </w:rPr>
        <w:t>Alu</w:t>
      </w:r>
      <w:proofErr w:type="spellEnd"/>
      <w:r w:rsidRPr="00C476F8">
        <w:rPr>
          <w:sz w:val="24"/>
          <w:szCs w:val="24"/>
        </w:rPr>
        <w:t>/PVC/</w:t>
      </w:r>
      <w:proofErr w:type="gramStart"/>
      <w:r w:rsidRPr="00C476F8">
        <w:rPr>
          <w:sz w:val="24"/>
          <w:szCs w:val="24"/>
        </w:rPr>
        <w:t>PVDC blisterpakninger</w:t>
      </w:r>
      <w:proofErr w:type="gramEnd"/>
      <w:r w:rsidRPr="00C476F8">
        <w:rPr>
          <w:sz w:val="24"/>
          <w:szCs w:val="24"/>
        </w:rPr>
        <w:t>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  <w:u w:val="single"/>
        </w:rPr>
        <w:t>Pakningsstørrelser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589 mg: </w:t>
      </w:r>
      <w:r w:rsidRPr="00C476F8">
        <w:rPr>
          <w:sz w:val="24"/>
          <w:szCs w:val="24"/>
        </w:rPr>
        <w:t>60, 120</w:t>
      </w:r>
      <w:r>
        <w:rPr>
          <w:sz w:val="24"/>
          <w:szCs w:val="24"/>
        </w:rPr>
        <w:t xml:space="preserve"> og</w:t>
      </w:r>
      <w:r w:rsidRPr="00C476F8">
        <w:rPr>
          <w:sz w:val="24"/>
          <w:szCs w:val="24"/>
        </w:rPr>
        <w:t xml:space="preserve"> 180 filmovertrukne tabletter.</w:t>
      </w: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ind w:left="851"/>
        <w:rPr>
          <w:sz w:val="24"/>
          <w:szCs w:val="24"/>
        </w:rPr>
      </w:pPr>
      <w:r w:rsidRPr="00C476F8">
        <w:rPr>
          <w:sz w:val="24"/>
          <w:szCs w:val="24"/>
        </w:rPr>
        <w:t>Ikke alle pakningsstørrelser er nødvendigvis markedsført.</w:t>
      </w:r>
    </w:p>
    <w:p w:rsidR="00C41FAD" w:rsidRPr="00C476F8" w:rsidRDefault="00C41FAD" w:rsidP="00C41FA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41FAD" w:rsidRPr="00C476F8" w:rsidRDefault="00C41FAD" w:rsidP="00C41FAD">
      <w:pPr>
        <w:numPr>
          <w:ilvl w:val="1"/>
          <w:numId w:val="5"/>
        </w:numPr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Regler for destruktion og anden håndtering</w:t>
      </w:r>
    </w:p>
    <w:p w:rsidR="00C41FAD" w:rsidRPr="00C476F8" w:rsidRDefault="00C41FAD" w:rsidP="00C41FAD">
      <w:pPr>
        <w:tabs>
          <w:tab w:val="left" w:pos="851"/>
        </w:tabs>
        <w:ind w:left="855"/>
        <w:rPr>
          <w:sz w:val="24"/>
          <w:szCs w:val="24"/>
        </w:rPr>
      </w:pPr>
      <w:r>
        <w:rPr>
          <w:sz w:val="24"/>
          <w:szCs w:val="24"/>
        </w:rPr>
        <w:t>Ingen særlige forholdsregler</w:t>
      </w:r>
    </w:p>
    <w:p w:rsidR="00C41FAD" w:rsidRDefault="00C41FAD" w:rsidP="00C41FA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C41FAD" w:rsidRPr="00C476F8" w:rsidRDefault="00C41FAD" w:rsidP="00C41FAD">
      <w:pPr>
        <w:tabs>
          <w:tab w:val="left" w:pos="851"/>
        </w:tabs>
        <w:jc w:val="both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7.</w:t>
      </w:r>
      <w:r w:rsidRPr="00C476F8">
        <w:rPr>
          <w:b/>
          <w:sz w:val="24"/>
          <w:szCs w:val="24"/>
        </w:rPr>
        <w:tab/>
        <w:t>INDEHAVER AF MARKEDSFØRINGSTILLADELSEN</w:t>
      </w:r>
    </w:p>
    <w:p w:rsidR="00C41FAD" w:rsidRPr="00BE460F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9F6B2C">
        <w:rPr>
          <w:sz w:val="24"/>
          <w:szCs w:val="24"/>
        </w:rPr>
        <w:tab/>
      </w:r>
      <w:r w:rsidRPr="00BE460F">
        <w:rPr>
          <w:sz w:val="24"/>
          <w:szCs w:val="24"/>
          <w:lang w:val="en-US"/>
        </w:rPr>
        <w:t>Blue Bio Pharmaceuticals Limited</w:t>
      </w:r>
    </w:p>
    <w:p w:rsidR="00C41FAD" w:rsidRPr="00BE460F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BE460F">
        <w:rPr>
          <w:sz w:val="24"/>
          <w:szCs w:val="24"/>
          <w:lang w:val="en-US"/>
        </w:rPr>
        <w:tab/>
        <w:t>5th Floor, Beaux Lane House</w:t>
      </w:r>
    </w:p>
    <w:p w:rsidR="00C41FAD" w:rsidRPr="00BE460F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BE460F">
        <w:rPr>
          <w:sz w:val="24"/>
          <w:szCs w:val="24"/>
          <w:lang w:val="en-US"/>
        </w:rPr>
        <w:tab/>
        <w:t>Mercer Street Lower</w:t>
      </w:r>
    </w:p>
    <w:p w:rsidR="00C41FAD" w:rsidRPr="002701F7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BE460F">
        <w:rPr>
          <w:sz w:val="24"/>
          <w:szCs w:val="24"/>
          <w:lang w:val="en-US"/>
        </w:rPr>
        <w:tab/>
      </w:r>
      <w:r w:rsidRPr="002701F7">
        <w:rPr>
          <w:sz w:val="24"/>
          <w:szCs w:val="24"/>
          <w:lang w:val="en-US"/>
        </w:rPr>
        <w:t>Dublin 2</w:t>
      </w:r>
    </w:p>
    <w:p w:rsidR="00C41FAD" w:rsidRPr="002701F7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2701F7">
        <w:rPr>
          <w:sz w:val="24"/>
          <w:szCs w:val="24"/>
          <w:lang w:val="en-US"/>
        </w:rPr>
        <w:tab/>
      </w:r>
      <w:proofErr w:type="spellStart"/>
      <w:r w:rsidRPr="002701F7">
        <w:rPr>
          <w:sz w:val="24"/>
          <w:szCs w:val="24"/>
          <w:lang w:val="en-US"/>
        </w:rPr>
        <w:t>Irland</w:t>
      </w:r>
      <w:proofErr w:type="spellEnd"/>
    </w:p>
    <w:p w:rsidR="00C41FAD" w:rsidRPr="002701F7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</w:p>
    <w:p w:rsidR="00C41FAD" w:rsidRPr="002701F7" w:rsidRDefault="00C41FAD" w:rsidP="00C41FAD">
      <w:pPr>
        <w:tabs>
          <w:tab w:val="left" w:pos="851"/>
        </w:tabs>
        <w:rPr>
          <w:b/>
          <w:sz w:val="24"/>
          <w:szCs w:val="24"/>
          <w:lang w:val="en-US"/>
        </w:rPr>
      </w:pPr>
      <w:r w:rsidRPr="002701F7">
        <w:rPr>
          <w:b/>
          <w:sz w:val="24"/>
          <w:szCs w:val="24"/>
          <w:lang w:val="en-US"/>
        </w:rPr>
        <w:tab/>
      </w:r>
      <w:proofErr w:type="spellStart"/>
      <w:r w:rsidRPr="002701F7">
        <w:rPr>
          <w:b/>
          <w:sz w:val="24"/>
          <w:szCs w:val="24"/>
          <w:lang w:val="en-US"/>
        </w:rPr>
        <w:t>Repræsentant</w:t>
      </w:r>
      <w:proofErr w:type="spellEnd"/>
    </w:p>
    <w:p w:rsidR="00C41FAD" w:rsidRPr="002701F7" w:rsidRDefault="00C41FAD" w:rsidP="00C41FAD">
      <w:pPr>
        <w:tabs>
          <w:tab w:val="left" w:pos="851"/>
        </w:tabs>
        <w:rPr>
          <w:sz w:val="24"/>
          <w:szCs w:val="24"/>
          <w:lang w:val="en-US"/>
        </w:rPr>
      </w:pPr>
      <w:r w:rsidRPr="002701F7">
        <w:rPr>
          <w:sz w:val="24"/>
          <w:szCs w:val="24"/>
          <w:lang w:val="en-US"/>
        </w:rPr>
        <w:tab/>
      </w:r>
      <w:proofErr w:type="spellStart"/>
      <w:r w:rsidRPr="002701F7">
        <w:rPr>
          <w:sz w:val="24"/>
          <w:szCs w:val="24"/>
          <w:lang w:val="en-US"/>
        </w:rPr>
        <w:t>Junge</w:t>
      </w:r>
      <w:proofErr w:type="spellEnd"/>
      <w:r w:rsidRPr="002701F7">
        <w:rPr>
          <w:sz w:val="24"/>
          <w:szCs w:val="24"/>
          <w:lang w:val="en-US"/>
        </w:rPr>
        <w:t xml:space="preserve"> Logistics </w:t>
      </w:r>
      <w:proofErr w:type="spellStart"/>
      <w:r w:rsidRPr="002701F7">
        <w:rPr>
          <w:sz w:val="24"/>
          <w:szCs w:val="24"/>
          <w:lang w:val="en-US"/>
        </w:rPr>
        <w:t>ApS</w:t>
      </w:r>
      <w:proofErr w:type="spellEnd"/>
    </w:p>
    <w:p w:rsidR="00C41FAD" w:rsidRPr="009F6B2C" w:rsidRDefault="00C41FAD" w:rsidP="00C41FAD">
      <w:pPr>
        <w:tabs>
          <w:tab w:val="left" w:pos="851"/>
        </w:tabs>
        <w:rPr>
          <w:sz w:val="24"/>
          <w:szCs w:val="24"/>
        </w:rPr>
      </w:pPr>
      <w:r w:rsidRPr="002701F7">
        <w:rPr>
          <w:sz w:val="24"/>
          <w:szCs w:val="24"/>
          <w:lang w:val="en-US"/>
        </w:rPr>
        <w:tab/>
      </w:r>
      <w:r>
        <w:rPr>
          <w:sz w:val="24"/>
          <w:szCs w:val="24"/>
        </w:rPr>
        <w:t>Hammerholmen 44</w:t>
      </w:r>
    </w:p>
    <w:p w:rsidR="00C41FAD" w:rsidRDefault="00C41FAD" w:rsidP="00C41FAD">
      <w:pPr>
        <w:tabs>
          <w:tab w:val="left" w:pos="851"/>
        </w:tabs>
        <w:rPr>
          <w:sz w:val="24"/>
          <w:szCs w:val="24"/>
        </w:rPr>
      </w:pPr>
      <w:r w:rsidRPr="009F6B2C">
        <w:rPr>
          <w:sz w:val="24"/>
          <w:szCs w:val="24"/>
        </w:rPr>
        <w:tab/>
      </w:r>
      <w:r>
        <w:rPr>
          <w:sz w:val="24"/>
          <w:szCs w:val="24"/>
        </w:rPr>
        <w:t>2650 Hvidovre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7265D5" w:rsidRDefault="00C41FAD" w:rsidP="007265D5">
      <w:pPr>
        <w:tabs>
          <w:tab w:val="left" w:pos="851"/>
        </w:tabs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8.</w:t>
      </w:r>
      <w:r w:rsidRPr="00C476F8">
        <w:rPr>
          <w:b/>
          <w:sz w:val="24"/>
          <w:szCs w:val="24"/>
        </w:rPr>
        <w:tab/>
        <w:t>MARKEDSFØRINGSTILLADELSESNUMMER (NUMRE)</w:t>
      </w:r>
    </w:p>
    <w:p w:rsidR="00C41FAD" w:rsidRPr="00C476F8" w:rsidRDefault="00C41FAD" w:rsidP="00C41FAD">
      <w:pPr>
        <w:tabs>
          <w:tab w:val="left" w:pos="851"/>
          <w:tab w:val="left" w:pos="170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589 mg:</w:t>
      </w:r>
      <w:r>
        <w:rPr>
          <w:sz w:val="24"/>
          <w:szCs w:val="24"/>
        </w:rPr>
        <w:tab/>
        <w:t>47941</w:t>
      </w:r>
    </w:p>
    <w:p w:rsidR="00C41FAD" w:rsidRPr="00C476F8" w:rsidRDefault="00C41FAD" w:rsidP="00C41FAD">
      <w:pPr>
        <w:tabs>
          <w:tab w:val="left" w:pos="851"/>
        </w:tabs>
        <w:jc w:val="both"/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9.</w:t>
      </w:r>
      <w:r w:rsidRPr="00C476F8">
        <w:rPr>
          <w:b/>
          <w:sz w:val="24"/>
          <w:szCs w:val="24"/>
        </w:rPr>
        <w:tab/>
        <w:t>DATO FOR FØRSTE MARKEDSFØRINGSTILLADELSE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20. september 2006 (1.178 mg filmovertrukne tabletter).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</w:p>
    <w:p w:rsidR="00C41FAD" w:rsidRPr="00C476F8" w:rsidRDefault="00C41FAD" w:rsidP="00C41FAD">
      <w:pPr>
        <w:tabs>
          <w:tab w:val="left" w:pos="851"/>
        </w:tabs>
        <w:rPr>
          <w:b/>
          <w:sz w:val="24"/>
          <w:szCs w:val="24"/>
        </w:rPr>
      </w:pPr>
      <w:r w:rsidRPr="00C476F8">
        <w:rPr>
          <w:b/>
          <w:sz w:val="24"/>
          <w:szCs w:val="24"/>
        </w:rPr>
        <w:t>10.</w:t>
      </w:r>
      <w:r w:rsidRPr="00C476F8">
        <w:rPr>
          <w:b/>
          <w:sz w:val="24"/>
          <w:szCs w:val="24"/>
        </w:rPr>
        <w:tab/>
        <w:t>DATO FOR ÆNDRING AF TEKSTEN</w:t>
      </w:r>
    </w:p>
    <w:p w:rsidR="00C41FAD" w:rsidRPr="00C476F8" w:rsidRDefault="00C41FAD" w:rsidP="00C41FAD">
      <w:pPr>
        <w:tabs>
          <w:tab w:val="left" w:pos="851"/>
        </w:tabs>
        <w:rPr>
          <w:sz w:val="24"/>
          <w:szCs w:val="24"/>
        </w:rPr>
      </w:pPr>
      <w:r w:rsidRPr="00C476F8">
        <w:rPr>
          <w:sz w:val="24"/>
          <w:szCs w:val="24"/>
        </w:rPr>
        <w:tab/>
      </w:r>
      <w:r w:rsidR="007265D5">
        <w:rPr>
          <w:sz w:val="24"/>
          <w:szCs w:val="24"/>
        </w:rPr>
        <w:t>17. december</w:t>
      </w:r>
      <w:r>
        <w:rPr>
          <w:sz w:val="24"/>
          <w:szCs w:val="24"/>
        </w:rPr>
        <w:t xml:space="preserve"> 20</w:t>
      </w:r>
      <w:r w:rsidR="007265D5">
        <w:rPr>
          <w:sz w:val="24"/>
          <w:szCs w:val="24"/>
        </w:rPr>
        <w:t>24</w:t>
      </w:r>
    </w:p>
    <w:p w:rsidR="00C41FAD" w:rsidRPr="005E7DA9" w:rsidRDefault="00C41FAD" w:rsidP="00C41FAD"/>
    <w:p w:rsidR="00C41FAD" w:rsidRPr="00FC7EE9" w:rsidRDefault="00C41FAD" w:rsidP="00C41FAD"/>
    <w:p w:rsidR="009260DE" w:rsidRPr="00C41FAD" w:rsidRDefault="009260DE" w:rsidP="00C41FAD"/>
    <w:sectPr w:rsidR="009260DE" w:rsidRPr="00C41FAD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AD" w:rsidRDefault="00C41FAD">
      <w:r>
        <w:separator/>
      </w:r>
    </w:p>
  </w:endnote>
  <w:endnote w:type="continuationSeparator" w:id="0">
    <w:p w:rsidR="00C41FAD" w:rsidRDefault="00C4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41FAD">
      <w:rPr>
        <w:i/>
        <w:noProof/>
        <w:sz w:val="18"/>
        <w:szCs w:val="18"/>
      </w:rPr>
      <w:t>Dokument1504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AD" w:rsidRDefault="00C41FAD">
      <w:r>
        <w:separator/>
      </w:r>
    </w:p>
  </w:footnote>
  <w:footnote w:type="continuationSeparator" w:id="0">
    <w:p w:rsidR="00C41FAD" w:rsidRDefault="00C4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8535145"/>
    <w:multiLevelType w:val="hybridMultilevel"/>
    <w:tmpl w:val="3DE85438"/>
    <w:lvl w:ilvl="0" w:tplc="5902F29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  <w:szCs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D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701F7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265D5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73AC8"/>
    <w:rsid w:val="009C7BA3"/>
    <w:rsid w:val="009D1F5A"/>
    <w:rsid w:val="00B003BF"/>
    <w:rsid w:val="00B373D7"/>
    <w:rsid w:val="00C36276"/>
    <w:rsid w:val="00C41FAD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  <w:rsid w:val="00FC37E3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3A9CD"/>
  <w15:chartTrackingRefBased/>
  <w15:docId w15:val="{CAB6916E-A885-42F2-B4E7-EA372FB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C41FA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ma@dkm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1268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Human</vt:lpstr>
    </vt:vector>
  </TitlesOfParts>
  <Company>OPTION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2018020222, Var. 27, holdbarhed ændret fra 2 til 3 år</dc:description>
  <cp:lastModifiedBy>Janni Kim Ekwall Weihrauch</cp:lastModifiedBy>
  <cp:revision>3</cp:revision>
  <cp:lastPrinted>2012-08-22T08:53:00Z</cp:lastPrinted>
  <dcterms:created xsi:type="dcterms:W3CDTF">2024-12-17T12:18:00Z</dcterms:created>
  <dcterms:modified xsi:type="dcterms:W3CDTF">2024-12-17T12:21:00Z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