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99712" w14:textId="5014E5EA" w:rsidR="007E1C88" w:rsidRDefault="007E1C88" w:rsidP="00453E1A">
      <w:bookmarkStart w:id="0" w:name="_GoBack"/>
      <w:bookmarkEnd w:id="0"/>
      <w:r>
        <w:rPr>
          <w:noProof/>
          <w:lang w:eastAsia="da-DK"/>
        </w:rPr>
        <w:drawing>
          <wp:inline distT="0" distB="0" distL="0" distR="0" wp14:anchorId="0C526F9C" wp14:editId="519070D0">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CC52763" w14:textId="77777777" w:rsidR="00453E1A" w:rsidRPr="00453E1A" w:rsidRDefault="00453E1A" w:rsidP="00453E1A"/>
    <w:p w14:paraId="31454ECE" w14:textId="6C76345B" w:rsidR="007E1C88" w:rsidRPr="006F4C90" w:rsidRDefault="00453E1A" w:rsidP="007E1C88">
      <w:pPr>
        <w:pStyle w:val="Titel"/>
        <w:jc w:val="right"/>
        <w:rPr>
          <w:szCs w:val="24"/>
        </w:rPr>
      </w:pPr>
      <w:r>
        <w:rPr>
          <w:szCs w:val="24"/>
        </w:rPr>
        <w:t>4</w:t>
      </w:r>
      <w:r w:rsidR="001A39C9">
        <w:rPr>
          <w:szCs w:val="24"/>
        </w:rPr>
        <w:t xml:space="preserve">. </w:t>
      </w:r>
      <w:r>
        <w:rPr>
          <w:szCs w:val="24"/>
        </w:rPr>
        <w:t>februar</w:t>
      </w:r>
      <w:r w:rsidR="001A39C9">
        <w:rPr>
          <w:szCs w:val="24"/>
        </w:rPr>
        <w:t xml:space="preserve"> 202</w:t>
      </w:r>
      <w:r>
        <w:rPr>
          <w:szCs w:val="24"/>
        </w:rPr>
        <w:t>5</w:t>
      </w:r>
    </w:p>
    <w:p w14:paraId="1EC5B945" w14:textId="3A517609" w:rsidR="001A39C9" w:rsidRDefault="001A39C9" w:rsidP="007E1C88">
      <w:pPr>
        <w:pStyle w:val="Titel"/>
        <w:jc w:val="left"/>
        <w:rPr>
          <w:b w:val="0"/>
          <w:szCs w:val="24"/>
        </w:rPr>
      </w:pPr>
    </w:p>
    <w:p w14:paraId="08FA7BB9" w14:textId="77777777" w:rsidR="001A39C9" w:rsidRDefault="001A39C9" w:rsidP="007E1C88">
      <w:pPr>
        <w:pStyle w:val="Titel"/>
        <w:jc w:val="left"/>
        <w:rPr>
          <w:b w:val="0"/>
          <w:szCs w:val="24"/>
        </w:rPr>
      </w:pPr>
    </w:p>
    <w:p w14:paraId="7D21CADB" w14:textId="77777777" w:rsidR="007E1C88" w:rsidRPr="00C84483" w:rsidRDefault="007E1C88" w:rsidP="00054D1F">
      <w:pPr>
        <w:jc w:val="center"/>
        <w:rPr>
          <w:b/>
          <w:sz w:val="24"/>
          <w:szCs w:val="24"/>
        </w:rPr>
      </w:pPr>
      <w:r w:rsidRPr="00C84483">
        <w:rPr>
          <w:b/>
          <w:sz w:val="24"/>
          <w:szCs w:val="24"/>
        </w:rPr>
        <w:t>PRODUKTRESUMÉ</w:t>
      </w:r>
    </w:p>
    <w:p w14:paraId="14702C7F" w14:textId="77777777" w:rsidR="007E1C88" w:rsidRPr="00C84483" w:rsidRDefault="007E1C88" w:rsidP="00054D1F">
      <w:pPr>
        <w:jc w:val="center"/>
        <w:rPr>
          <w:b/>
          <w:sz w:val="24"/>
          <w:szCs w:val="24"/>
        </w:rPr>
      </w:pPr>
    </w:p>
    <w:p w14:paraId="2E67BE35" w14:textId="599A1575" w:rsidR="007E1C88" w:rsidRPr="00C84483" w:rsidRDefault="007E1C88" w:rsidP="00054D1F">
      <w:pPr>
        <w:tabs>
          <w:tab w:val="left" w:pos="538"/>
          <w:tab w:val="center" w:pos="4819"/>
        </w:tabs>
        <w:jc w:val="center"/>
        <w:rPr>
          <w:b/>
          <w:sz w:val="24"/>
          <w:szCs w:val="24"/>
        </w:rPr>
      </w:pPr>
      <w:r w:rsidRPr="00C84483">
        <w:rPr>
          <w:b/>
          <w:sz w:val="24"/>
          <w:szCs w:val="24"/>
        </w:rPr>
        <w:t>for</w:t>
      </w:r>
    </w:p>
    <w:p w14:paraId="5CF8C853" w14:textId="77777777" w:rsidR="007E1C88" w:rsidRPr="00C84483" w:rsidRDefault="007E1C88" w:rsidP="00054D1F">
      <w:pPr>
        <w:jc w:val="center"/>
        <w:rPr>
          <w:b/>
          <w:sz w:val="24"/>
          <w:szCs w:val="24"/>
        </w:rPr>
      </w:pPr>
    </w:p>
    <w:p w14:paraId="4F2A0685" w14:textId="77777777" w:rsidR="007E1C88" w:rsidRPr="00C84483" w:rsidRDefault="007E1C88" w:rsidP="00054D1F">
      <w:pPr>
        <w:jc w:val="center"/>
        <w:rPr>
          <w:b/>
          <w:sz w:val="24"/>
          <w:szCs w:val="24"/>
        </w:rPr>
      </w:pPr>
      <w:proofErr w:type="spellStart"/>
      <w:r>
        <w:rPr>
          <w:b/>
          <w:sz w:val="24"/>
          <w:szCs w:val="24"/>
        </w:rPr>
        <w:t>Doleron</w:t>
      </w:r>
      <w:proofErr w:type="spellEnd"/>
      <w:r>
        <w:rPr>
          <w:b/>
          <w:sz w:val="24"/>
          <w:szCs w:val="24"/>
        </w:rPr>
        <w:t>, filmovertrukne tabletter</w:t>
      </w:r>
    </w:p>
    <w:p w14:paraId="1A490B83" w14:textId="77777777" w:rsidR="007E1C88" w:rsidRPr="00C84483" w:rsidRDefault="007E1C88" w:rsidP="007E1C88">
      <w:pPr>
        <w:jc w:val="both"/>
        <w:rPr>
          <w:sz w:val="24"/>
          <w:szCs w:val="24"/>
        </w:rPr>
      </w:pPr>
    </w:p>
    <w:p w14:paraId="7F4B6957" w14:textId="77777777" w:rsidR="007E1C88" w:rsidRPr="00096AFC" w:rsidRDefault="007E1C88" w:rsidP="007E1C88">
      <w:pPr>
        <w:ind w:left="851" w:hanging="851"/>
        <w:jc w:val="both"/>
        <w:rPr>
          <w:sz w:val="24"/>
          <w:szCs w:val="24"/>
        </w:rPr>
      </w:pPr>
    </w:p>
    <w:p w14:paraId="0B153D1F" w14:textId="77777777" w:rsidR="007E1C88" w:rsidRPr="00096AFC" w:rsidRDefault="007E1C88" w:rsidP="007E1C88">
      <w:pPr>
        <w:ind w:left="851" w:hanging="851"/>
        <w:rPr>
          <w:b/>
          <w:sz w:val="24"/>
          <w:szCs w:val="24"/>
        </w:rPr>
      </w:pPr>
      <w:r w:rsidRPr="00096AFC">
        <w:rPr>
          <w:b/>
          <w:sz w:val="24"/>
          <w:szCs w:val="24"/>
        </w:rPr>
        <w:t>0.</w:t>
      </w:r>
      <w:r w:rsidRPr="00096AFC">
        <w:rPr>
          <w:b/>
          <w:sz w:val="24"/>
          <w:szCs w:val="24"/>
        </w:rPr>
        <w:tab/>
        <w:t>D.SP.NR.</w:t>
      </w:r>
    </w:p>
    <w:p w14:paraId="48D69452" w14:textId="77777777" w:rsidR="007E1C88" w:rsidRPr="00096AFC" w:rsidRDefault="007E1C88" w:rsidP="007E1C88">
      <w:pPr>
        <w:ind w:left="851" w:hanging="851"/>
        <w:rPr>
          <w:sz w:val="24"/>
          <w:szCs w:val="24"/>
        </w:rPr>
      </w:pPr>
      <w:r w:rsidRPr="00096AFC">
        <w:rPr>
          <w:sz w:val="24"/>
          <w:szCs w:val="24"/>
        </w:rPr>
        <w:tab/>
        <w:t>29493</w:t>
      </w:r>
    </w:p>
    <w:p w14:paraId="6B04E142" w14:textId="77777777" w:rsidR="007E1C88" w:rsidRPr="00096AFC" w:rsidRDefault="007E1C88" w:rsidP="007E1C88">
      <w:pPr>
        <w:ind w:left="851" w:hanging="851"/>
        <w:rPr>
          <w:sz w:val="24"/>
          <w:szCs w:val="24"/>
        </w:rPr>
      </w:pPr>
    </w:p>
    <w:p w14:paraId="35428827" w14:textId="77777777" w:rsidR="007E1C88" w:rsidRPr="00096AFC" w:rsidRDefault="007E1C88" w:rsidP="007E1C88">
      <w:pPr>
        <w:ind w:left="851" w:hanging="851"/>
        <w:rPr>
          <w:b/>
          <w:sz w:val="24"/>
          <w:szCs w:val="24"/>
        </w:rPr>
      </w:pPr>
      <w:r w:rsidRPr="00096AFC">
        <w:rPr>
          <w:b/>
          <w:sz w:val="24"/>
          <w:szCs w:val="24"/>
        </w:rPr>
        <w:t>1.</w:t>
      </w:r>
      <w:r w:rsidRPr="00096AFC">
        <w:rPr>
          <w:b/>
          <w:sz w:val="24"/>
          <w:szCs w:val="24"/>
        </w:rPr>
        <w:tab/>
        <w:t>LÆGEMIDLETS NAVN</w:t>
      </w:r>
    </w:p>
    <w:p w14:paraId="546E1EA7" w14:textId="77777777" w:rsidR="007E1C88" w:rsidRPr="00096AFC" w:rsidRDefault="007E1C88" w:rsidP="007E1C88">
      <w:pPr>
        <w:ind w:left="851" w:hanging="851"/>
        <w:rPr>
          <w:sz w:val="24"/>
          <w:szCs w:val="24"/>
        </w:rPr>
      </w:pPr>
      <w:r w:rsidRPr="00096AFC">
        <w:rPr>
          <w:sz w:val="24"/>
          <w:szCs w:val="24"/>
        </w:rPr>
        <w:tab/>
      </w:r>
      <w:proofErr w:type="spellStart"/>
      <w:r>
        <w:rPr>
          <w:sz w:val="24"/>
          <w:szCs w:val="24"/>
        </w:rPr>
        <w:t>Doleron</w:t>
      </w:r>
      <w:proofErr w:type="spellEnd"/>
    </w:p>
    <w:p w14:paraId="1F9AC862" w14:textId="77777777" w:rsidR="007E1C88" w:rsidRPr="00096AFC" w:rsidRDefault="007E1C88" w:rsidP="007E1C88">
      <w:pPr>
        <w:ind w:left="851" w:hanging="851"/>
        <w:rPr>
          <w:sz w:val="24"/>
          <w:szCs w:val="24"/>
        </w:rPr>
      </w:pPr>
      <w:r w:rsidRPr="00096AFC">
        <w:rPr>
          <w:sz w:val="24"/>
          <w:szCs w:val="24"/>
        </w:rPr>
        <w:tab/>
      </w:r>
    </w:p>
    <w:p w14:paraId="100617AB" w14:textId="77777777" w:rsidR="007E1C88" w:rsidRPr="00096AFC" w:rsidRDefault="007E1C88" w:rsidP="007E1C88">
      <w:pPr>
        <w:ind w:left="851" w:hanging="851"/>
        <w:rPr>
          <w:b/>
          <w:sz w:val="24"/>
          <w:szCs w:val="24"/>
        </w:rPr>
      </w:pPr>
      <w:r w:rsidRPr="00096AFC">
        <w:rPr>
          <w:b/>
          <w:sz w:val="24"/>
          <w:szCs w:val="24"/>
        </w:rPr>
        <w:t>2.</w:t>
      </w:r>
      <w:r w:rsidRPr="00096AFC">
        <w:rPr>
          <w:b/>
          <w:sz w:val="24"/>
          <w:szCs w:val="24"/>
        </w:rPr>
        <w:tab/>
        <w:t>KVALITATIV OG KVANTITATIV SAMMENSÆTNING</w:t>
      </w:r>
    </w:p>
    <w:p w14:paraId="54C6BA36" w14:textId="77777777" w:rsidR="007E1C88" w:rsidRPr="00096AFC" w:rsidRDefault="007E1C88" w:rsidP="007E1C88">
      <w:pPr>
        <w:autoSpaceDE w:val="0"/>
        <w:autoSpaceDN w:val="0"/>
        <w:adjustRightInd w:val="0"/>
        <w:ind w:left="851" w:hanging="851"/>
        <w:rPr>
          <w:sz w:val="24"/>
          <w:szCs w:val="24"/>
        </w:rPr>
      </w:pPr>
      <w:r w:rsidRPr="00096AFC">
        <w:rPr>
          <w:sz w:val="24"/>
          <w:szCs w:val="24"/>
        </w:rPr>
        <w:tab/>
        <w:t>Hver tablet indeholder 500 mg paracetamol og 150 mg ibuprofen.</w:t>
      </w:r>
    </w:p>
    <w:p w14:paraId="66E28135" w14:textId="77777777" w:rsidR="007E1C88" w:rsidRPr="00096AFC" w:rsidRDefault="007E1C88" w:rsidP="007E1C88">
      <w:pPr>
        <w:autoSpaceDE w:val="0"/>
        <w:autoSpaceDN w:val="0"/>
        <w:adjustRightInd w:val="0"/>
        <w:ind w:left="851" w:hanging="851"/>
        <w:rPr>
          <w:sz w:val="24"/>
          <w:szCs w:val="24"/>
        </w:rPr>
      </w:pPr>
    </w:p>
    <w:p w14:paraId="1A83B50F" w14:textId="77777777" w:rsidR="007E1C88" w:rsidRDefault="007E1C88" w:rsidP="007E1C88">
      <w:pPr>
        <w:autoSpaceDE w:val="0"/>
        <w:autoSpaceDN w:val="0"/>
        <w:adjustRightInd w:val="0"/>
        <w:ind w:left="851"/>
        <w:rPr>
          <w:sz w:val="24"/>
          <w:szCs w:val="24"/>
        </w:rPr>
      </w:pPr>
      <w:r w:rsidRPr="00096AFC">
        <w:rPr>
          <w:sz w:val="24"/>
          <w:szCs w:val="24"/>
          <w:u w:val="single"/>
        </w:rPr>
        <w:t>Hjælpestof(er), som behandleren skal være opmærksom på:</w:t>
      </w:r>
      <w:r w:rsidRPr="00096AFC">
        <w:rPr>
          <w:sz w:val="24"/>
          <w:szCs w:val="24"/>
        </w:rPr>
        <w:t xml:space="preserve"> </w:t>
      </w:r>
    </w:p>
    <w:p w14:paraId="49C5BC04" w14:textId="77777777" w:rsidR="007E1C88" w:rsidRPr="00096AFC" w:rsidRDefault="007E1C88" w:rsidP="007E1C88">
      <w:pPr>
        <w:autoSpaceDE w:val="0"/>
        <w:autoSpaceDN w:val="0"/>
        <w:adjustRightInd w:val="0"/>
        <w:ind w:left="851"/>
        <w:rPr>
          <w:sz w:val="24"/>
          <w:szCs w:val="24"/>
        </w:rPr>
      </w:pPr>
      <w:proofErr w:type="spellStart"/>
      <w:r w:rsidRPr="00096AFC">
        <w:rPr>
          <w:sz w:val="24"/>
          <w:szCs w:val="24"/>
        </w:rPr>
        <w:t>La</w:t>
      </w:r>
      <w:r>
        <w:rPr>
          <w:sz w:val="24"/>
          <w:szCs w:val="24"/>
        </w:rPr>
        <w:t>c</w:t>
      </w:r>
      <w:r w:rsidRPr="00096AFC">
        <w:rPr>
          <w:sz w:val="24"/>
          <w:szCs w:val="24"/>
        </w:rPr>
        <w:t>tosemonohydrat</w:t>
      </w:r>
      <w:proofErr w:type="spellEnd"/>
      <w:r w:rsidRPr="00096AFC">
        <w:rPr>
          <w:sz w:val="24"/>
          <w:szCs w:val="24"/>
        </w:rPr>
        <w:t xml:space="preserve"> 3,81 mg</w:t>
      </w:r>
    </w:p>
    <w:p w14:paraId="41CACECD" w14:textId="77777777" w:rsidR="007E1C88" w:rsidRDefault="007E1C88" w:rsidP="007E1C88">
      <w:pPr>
        <w:autoSpaceDE w:val="0"/>
        <w:autoSpaceDN w:val="0"/>
        <w:adjustRightInd w:val="0"/>
        <w:ind w:left="851"/>
        <w:rPr>
          <w:sz w:val="24"/>
          <w:szCs w:val="24"/>
        </w:rPr>
      </w:pPr>
    </w:p>
    <w:p w14:paraId="1C6C7726" w14:textId="77777777" w:rsidR="007E1C88" w:rsidRPr="00096AFC" w:rsidRDefault="007E1C88" w:rsidP="007E1C88">
      <w:pPr>
        <w:autoSpaceDE w:val="0"/>
        <w:autoSpaceDN w:val="0"/>
        <w:adjustRightInd w:val="0"/>
        <w:ind w:left="851"/>
        <w:rPr>
          <w:sz w:val="24"/>
          <w:szCs w:val="24"/>
        </w:rPr>
      </w:pPr>
      <w:r w:rsidRPr="00096AFC">
        <w:rPr>
          <w:sz w:val="24"/>
          <w:szCs w:val="24"/>
        </w:rPr>
        <w:t>Alle hjælpestoffer er anført under pkt. 6.1.</w:t>
      </w:r>
    </w:p>
    <w:p w14:paraId="0823BD22" w14:textId="77777777" w:rsidR="007E1C88" w:rsidRPr="00096AFC" w:rsidRDefault="007E1C88" w:rsidP="007E1C88">
      <w:pPr>
        <w:ind w:left="851" w:hanging="851"/>
        <w:rPr>
          <w:sz w:val="24"/>
          <w:szCs w:val="24"/>
        </w:rPr>
      </w:pPr>
    </w:p>
    <w:p w14:paraId="5E1B6A09" w14:textId="77777777" w:rsidR="007E1C88" w:rsidRPr="00096AFC" w:rsidRDefault="007E1C88" w:rsidP="007E1C88">
      <w:pPr>
        <w:ind w:left="851" w:hanging="851"/>
        <w:rPr>
          <w:b/>
          <w:sz w:val="24"/>
          <w:szCs w:val="24"/>
        </w:rPr>
      </w:pPr>
      <w:r w:rsidRPr="00096AFC">
        <w:rPr>
          <w:b/>
          <w:sz w:val="24"/>
          <w:szCs w:val="24"/>
        </w:rPr>
        <w:t>3.</w:t>
      </w:r>
      <w:r w:rsidRPr="00096AFC">
        <w:rPr>
          <w:b/>
          <w:sz w:val="24"/>
          <w:szCs w:val="24"/>
        </w:rPr>
        <w:tab/>
        <w:t>LÆGEMIDDELFORM</w:t>
      </w:r>
    </w:p>
    <w:p w14:paraId="5CBFCD4F" w14:textId="77777777" w:rsidR="007E1C88" w:rsidRDefault="007E1C88" w:rsidP="007E1C88">
      <w:pPr>
        <w:autoSpaceDE w:val="0"/>
        <w:autoSpaceDN w:val="0"/>
        <w:adjustRightInd w:val="0"/>
        <w:ind w:left="851" w:hanging="851"/>
        <w:rPr>
          <w:sz w:val="24"/>
          <w:szCs w:val="24"/>
        </w:rPr>
      </w:pPr>
      <w:r w:rsidRPr="00096AFC">
        <w:rPr>
          <w:sz w:val="24"/>
          <w:szCs w:val="24"/>
        </w:rPr>
        <w:tab/>
        <w:t>Filmovertruk</w:t>
      </w:r>
      <w:r>
        <w:rPr>
          <w:sz w:val="24"/>
          <w:szCs w:val="24"/>
        </w:rPr>
        <w:t>ne</w:t>
      </w:r>
      <w:r w:rsidRPr="00096AFC">
        <w:rPr>
          <w:sz w:val="24"/>
          <w:szCs w:val="24"/>
        </w:rPr>
        <w:t xml:space="preserve"> tablet</w:t>
      </w:r>
      <w:r>
        <w:rPr>
          <w:sz w:val="24"/>
          <w:szCs w:val="24"/>
        </w:rPr>
        <w:t>ter</w:t>
      </w:r>
    </w:p>
    <w:p w14:paraId="45343B12" w14:textId="77777777" w:rsidR="007E1C88" w:rsidRPr="00096AFC" w:rsidRDefault="007E1C88" w:rsidP="007E1C88">
      <w:pPr>
        <w:autoSpaceDE w:val="0"/>
        <w:autoSpaceDN w:val="0"/>
        <w:adjustRightInd w:val="0"/>
        <w:ind w:left="851" w:hanging="851"/>
        <w:rPr>
          <w:sz w:val="24"/>
          <w:szCs w:val="24"/>
        </w:rPr>
      </w:pPr>
    </w:p>
    <w:p w14:paraId="7FCB068A" w14:textId="77777777" w:rsidR="007E1C88" w:rsidRPr="00096AFC" w:rsidRDefault="007E1C88" w:rsidP="007E1C88">
      <w:pPr>
        <w:autoSpaceDE w:val="0"/>
        <w:autoSpaceDN w:val="0"/>
        <w:adjustRightInd w:val="0"/>
        <w:ind w:left="851"/>
        <w:rPr>
          <w:sz w:val="24"/>
          <w:szCs w:val="24"/>
        </w:rPr>
      </w:pPr>
      <w:r w:rsidRPr="00096AFC">
        <w:rPr>
          <w:sz w:val="24"/>
          <w:szCs w:val="24"/>
        </w:rPr>
        <w:t>Hvide, kapselformede, 19 mm lange filmovertrukne tabletter med delekærv på den ene side og glat på den anden side.</w:t>
      </w:r>
    </w:p>
    <w:p w14:paraId="2AC6D6A4" w14:textId="77777777" w:rsidR="007E1C88" w:rsidRPr="00096AFC" w:rsidRDefault="007E1C88" w:rsidP="007E1C88">
      <w:pPr>
        <w:autoSpaceDE w:val="0"/>
        <w:autoSpaceDN w:val="0"/>
        <w:adjustRightInd w:val="0"/>
        <w:ind w:left="851" w:hanging="851"/>
        <w:rPr>
          <w:sz w:val="24"/>
          <w:szCs w:val="24"/>
        </w:rPr>
      </w:pPr>
    </w:p>
    <w:p w14:paraId="29252AD2" w14:textId="77777777" w:rsidR="007E1C88" w:rsidRPr="00096AFC" w:rsidRDefault="007E1C88" w:rsidP="007E1C88">
      <w:pPr>
        <w:autoSpaceDE w:val="0"/>
        <w:autoSpaceDN w:val="0"/>
        <w:adjustRightInd w:val="0"/>
        <w:ind w:left="851"/>
        <w:rPr>
          <w:sz w:val="24"/>
          <w:szCs w:val="24"/>
        </w:rPr>
      </w:pPr>
      <w:r w:rsidRPr="00096AFC">
        <w:rPr>
          <w:sz w:val="24"/>
          <w:szCs w:val="24"/>
        </w:rPr>
        <w:t>Tabletten har kun delekærv for at muliggøre deling af tabletten, så den er nemmere at sluge. Tabletten kan ikke deles i to lige store doser.</w:t>
      </w:r>
    </w:p>
    <w:p w14:paraId="11E87A95" w14:textId="77777777" w:rsidR="007E1C88" w:rsidRPr="00096AFC" w:rsidRDefault="007E1C88" w:rsidP="007E1C88">
      <w:pPr>
        <w:ind w:left="851" w:hanging="851"/>
        <w:rPr>
          <w:sz w:val="24"/>
          <w:szCs w:val="24"/>
        </w:rPr>
      </w:pPr>
    </w:p>
    <w:p w14:paraId="1EB353C3" w14:textId="77777777" w:rsidR="007E1C88" w:rsidRPr="00096AFC" w:rsidRDefault="007E1C88" w:rsidP="007E1C88">
      <w:pPr>
        <w:ind w:left="851" w:hanging="851"/>
        <w:rPr>
          <w:sz w:val="24"/>
          <w:szCs w:val="24"/>
        </w:rPr>
      </w:pPr>
    </w:p>
    <w:p w14:paraId="60A12B11" w14:textId="77777777" w:rsidR="007E1C88" w:rsidRPr="00096AFC" w:rsidRDefault="007E1C88" w:rsidP="007E1C88">
      <w:pPr>
        <w:ind w:left="851" w:hanging="851"/>
        <w:rPr>
          <w:b/>
          <w:sz w:val="24"/>
          <w:szCs w:val="24"/>
        </w:rPr>
      </w:pPr>
      <w:r w:rsidRPr="00096AFC">
        <w:rPr>
          <w:b/>
          <w:sz w:val="24"/>
          <w:szCs w:val="24"/>
        </w:rPr>
        <w:t>4.</w:t>
      </w:r>
      <w:r w:rsidRPr="00096AFC">
        <w:rPr>
          <w:b/>
          <w:sz w:val="24"/>
          <w:szCs w:val="24"/>
        </w:rPr>
        <w:tab/>
        <w:t>KLINISKE OPLYSNINGER</w:t>
      </w:r>
    </w:p>
    <w:p w14:paraId="21FE131A" w14:textId="77777777" w:rsidR="007E1C88" w:rsidRPr="00096AFC" w:rsidRDefault="007E1C88" w:rsidP="007E1C88">
      <w:pPr>
        <w:ind w:left="851" w:hanging="851"/>
        <w:rPr>
          <w:b/>
          <w:sz w:val="24"/>
          <w:szCs w:val="24"/>
        </w:rPr>
      </w:pPr>
    </w:p>
    <w:p w14:paraId="2B2FA3D0" w14:textId="77777777" w:rsidR="007E1C88" w:rsidRPr="00096AFC" w:rsidRDefault="007E1C88" w:rsidP="007E1C88">
      <w:pPr>
        <w:ind w:left="851" w:hanging="851"/>
        <w:rPr>
          <w:b/>
          <w:sz w:val="24"/>
          <w:szCs w:val="24"/>
          <w:u w:val="single"/>
        </w:rPr>
      </w:pPr>
      <w:r w:rsidRPr="00096AFC">
        <w:rPr>
          <w:b/>
          <w:sz w:val="24"/>
          <w:szCs w:val="24"/>
        </w:rPr>
        <w:t>4.1</w:t>
      </w:r>
      <w:r w:rsidRPr="00096AFC">
        <w:rPr>
          <w:b/>
          <w:sz w:val="24"/>
          <w:szCs w:val="24"/>
        </w:rPr>
        <w:tab/>
        <w:t>Terapeutiske indikationer</w:t>
      </w:r>
    </w:p>
    <w:p w14:paraId="5DAC3475" w14:textId="77777777" w:rsidR="007E1C88" w:rsidRDefault="007E1C88" w:rsidP="007E1C88">
      <w:pPr>
        <w:ind w:left="851" w:hanging="851"/>
        <w:rPr>
          <w:sz w:val="24"/>
          <w:szCs w:val="24"/>
        </w:rPr>
      </w:pPr>
      <w:r w:rsidRPr="00096AFC">
        <w:rPr>
          <w:sz w:val="24"/>
          <w:szCs w:val="24"/>
        </w:rPr>
        <w:tab/>
      </w:r>
      <w:proofErr w:type="spellStart"/>
      <w:r>
        <w:rPr>
          <w:sz w:val="24"/>
          <w:szCs w:val="24"/>
        </w:rPr>
        <w:t>Doleron</w:t>
      </w:r>
      <w:proofErr w:type="spellEnd"/>
      <w:r w:rsidRPr="00096AFC">
        <w:rPr>
          <w:sz w:val="24"/>
          <w:szCs w:val="24"/>
        </w:rPr>
        <w:t xml:space="preserve"> er indiceret til midlertidig lindring af akut smerte i forbindelse med: </w:t>
      </w:r>
    </w:p>
    <w:p w14:paraId="32655ACD" w14:textId="77777777" w:rsidR="007E1C88" w:rsidRPr="00096AFC" w:rsidRDefault="007E1C88" w:rsidP="007E1C88">
      <w:pPr>
        <w:ind w:left="851"/>
        <w:rPr>
          <w:sz w:val="24"/>
          <w:szCs w:val="24"/>
        </w:rPr>
      </w:pPr>
      <w:r>
        <w:rPr>
          <w:sz w:val="24"/>
          <w:szCs w:val="24"/>
        </w:rPr>
        <w:t>H</w:t>
      </w:r>
      <w:r w:rsidRPr="00096AFC">
        <w:rPr>
          <w:sz w:val="24"/>
          <w:szCs w:val="24"/>
        </w:rPr>
        <w:t>ovedpine (ikke migræne), rygsmerte</w:t>
      </w:r>
      <w:r>
        <w:rPr>
          <w:sz w:val="24"/>
          <w:szCs w:val="24"/>
        </w:rPr>
        <w:t>r</w:t>
      </w:r>
      <w:r w:rsidRPr="00096AFC">
        <w:rPr>
          <w:sz w:val="24"/>
          <w:szCs w:val="24"/>
        </w:rPr>
        <w:t>, tandpine, muskelsmerte</w:t>
      </w:r>
      <w:r>
        <w:rPr>
          <w:sz w:val="24"/>
          <w:szCs w:val="24"/>
        </w:rPr>
        <w:t>r</w:t>
      </w:r>
      <w:r w:rsidRPr="00096AFC">
        <w:rPr>
          <w:sz w:val="24"/>
          <w:szCs w:val="24"/>
        </w:rPr>
        <w:t xml:space="preserve"> og ondt i halsen.</w:t>
      </w:r>
    </w:p>
    <w:p w14:paraId="75592C55" w14:textId="77777777" w:rsidR="007E1C88" w:rsidRPr="00096AFC" w:rsidRDefault="007E1C88" w:rsidP="007E1C88">
      <w:pPr>
        <w:ind w:left="851" w:hanging="851"/>
        <w:rPr>
          <w:sz w:val="24"/>
          <w:szCs w:val="24"/>
        </w:rPr>
      </w:pPr>
    </w:p>
    <w:p w14:paraId="7906AC1E" w14:textId="77777777" w:rsidR="007E1C88" w:rsidRPr="00096AFC" w:rsidRDefault="007E1C88" w:rsidP="007E1C88">
      <w:pPr>
        <w:ind w:left="851"/>
        <w:rPr>
          <w:sz w:val="24"/>
          <w:szCs w:val="24"/>
        </w:rPr>
      </w:pPr>
      <w:proofErr w:type="spellStart"/>
      <w:r>
        <w:rPr>
          <w:sz w:val="24"/>
          <w:szCs w:val="24"/>
        </w:rPr>
        <w:t>Doleron</w:t>
      </w:r>
      <w:proofErr w:type="spellEnd"/>
      <w:r w:rsidRPr="00096AFC">
        <w:rPr>
          <w:sz w:val="24"/>
          <w:szCs w:val="24"/>
        </w:rPr>
        <w:t xml:space="preserve"> er indiceret mod feber.</w:t>
      </w:r>
    </w:p>
    <w:p w14:paraId="1005E2D4" w14:textId="77777777" w:rsidR="007E1C88" w:rsidRDefault="007E1C88" w:rsidP="007E1C88">
      <w:pPr>
        <w:rPr>
          <w:sz w:val="24"/>
          <w:szCs w:val="24"/>
        </w:rPr>
      </w:pPr>
      <w:r>
        <w:rPr>
          <w:sz w:val="24"/>
          <w:szCs w:val="24"/>
        </w:rPr>
        <w:br w:type="page"/>
      </w:r>
    </w:p>
    <w:p w14:paraId="4CDB9018" w14:textId="77777777" w:rsidR="007E1C88" w:rsidRPr="00096AFC" w:rsidRDefault="007E1C88" w:rsidP="007E1C88">
      <w:pPr>
        <w:ind w:left="851" w:hanging="851"/>
        <w:rPr>
          <w:sz w:val="24"/>
          <w:szCs w:val="24"/>
        </w:rPr>
      </w:pPr>
    </w:p>
    <w:p w14:paraId="1E33C196" w14:textId="07360A04" w:rsidR="007E1C88" w:rsidRPr="00CF4A5C" w:rsidRDefault="007E1C88" w:rsidP="00CF4A5C">
      <w:pPr>
        <w:ind w:left="851" w:hanging="851"/>
        <w:rPr>
          <w:b/>
          <w:sz w:val="24"/>
          <w:szCs w:val="24"/>
        </w:rPr>
      </w:pPr>
      <w:r w:rsidRPr="00096AFC">
        <w:rPr>
          <w:b/>
          <w:sz w:val="24"/>
          <w:szCs w:val="24"/>
        </w:rPr>
        <w:t>4.2</w:t>
      </w:r>
      <w:r w:rsidRPr="00096AFC">
        <w:rPr>
          <w:b/>
          <w:sz w:val="24"/>
          <w:szCs w:val="24"/>
        </w:rPr>
        <w:tab/>
        <w:t xml:space="preserve">Dosering og </w:t>
      </w:r>
      <w:r w:rsidR="002A714D">
        <w:rPr>
          <w:b/>
          <w:sz w:val="24"/>
          <w:szCs w:val="24"/>
        </w:rPr>
        <w:t>administration</w:t>
      </w:r>
    </w:p>
    <w:p w14:paraId="6CD7F53C" w14:textId="77777777" w:rsidR="00054D1F" w:rsidRDefault="00054D1F" w:rsidP="00BB222D">
      <w:pPr>
        <w:autoSpaceDE w:val="0"/>
        <w:autoSpaceDN w:val="0"/>
        <w:adjustRightInd w:val="0"/>
        <w:ind w:left="851"/>
        <w:rPr>
          <w:sz w:val="24"/>
          <w:szCs w:val="24"/>
          <w:u w:val="single"/>
        </w:rPr>
      </w:pPr>
    </w:p>
    <w:p w14:paraId="42965B4D" w14:textId="3F2AED22" w:rsidR="00BB222D" w:rsidRPr="006F4C90" w:rsidRDefault="00BB222D" w:rsidP="00BB222D">
      <w:pPr>
        <w:autoSpaceDE w:val="0"/>
        <w:autoSpaceDN w:val="0"/>
        <w:adjustRightInd w:val="0"/>
        <w:ind w:left="851"/>
        <w:rPr>
          <w:sz w:val="24"/>
          <w:szCs w:val="24"/>
          <w:u w:val="single"/>
        </w:rPr>
      </w:pPr>
      <w:r w:rsidRPr="006F4C90">
        <w:rPr>
          <w:sz w:val="24"/>
          <w:szCs w:val="24"/>
          <w:u w:val="single"/>
        </w:rPr>
        <w:t>Dosering</w:t>
      </w:r>
    </w:p>
    <w:p w14:paraId="1D398193" w14:textId="77777777" w:rsidR="00BB222D" w:rsidRPr="006F4C90" w:rsidRDefault="00BB222D" w:rsidP="00BB222D">
      <w:pPr>
        <w:autoSpaceDE w:val="0"/>
        <w:autoSpaceDN w:val="0"/>
        <w:adjustRightInd w:val="0"/>
        <w:ind w:left="851" w:hanging="851"/>
        <w:rPr>
          <w:sz w:val="24"/>
          <w:szCs w:val="24"/>
        </w:rPr>
      </w:pPr>
    </w:p>
    <w:p w14:paraId="422CADC2" w14:textId="77777777" w:rsidR="00BB222D" w:rsidRPr="006F4C90" w:rsidRDefault="00BB222D" w:rsidP="00BB222D">
      <w:pPr>
        <w:autoSpaceDE w:val="0"/>
        <w:autoSpaceDN w:val="0"/>
        <w:adjustRightInd w:val="0"/>
        <w:ind w:left="851"/>
        <w:rPr>
          <w:sz w:val="24"/>
          <w:szCs w:val="24"/>
        </w:rPr>
      </w:pPr>
      <w:r w:rsidRPr="006F4C90">
        <w:rPr>
          <w:sz w:val="24"/>
          <w:szCs w:val="24"/>
        </w:rPr>
        <w:t>Til oral administration og kun til kortvarig brug.</w:t>
      </w:r>
    </w:p>
    <w:p w14:paraId="4712BEA6" w14:textId="77777777" w:rsidR="00BB222D" w:rsidRPr="006F4C90" w:rsidRDefault="00BB222D" w:rsidP="00BB222D">
      <w:pPr>
        <w:autoSpaceDE w:val="0"/>
        <w:autoSpaceDN w:val="0"/>
        <w:adjustRightInd w:val="0"/>
        <w:ind w:left="851"/>
        <w:rPr>
          <w:bCs/>
          <w:sz w:val="24"/>
          <w:szCs w:val="24"/>
          <w:lang w:eastAsia="da-DK"/>
        </w:rPr>
      </w:pPr>
      <w:r w:rsidRPr="00B46123">
        <w:rPr>
          <w:bCs/>
          <w:sz w:val="24"/>
          <w:szCs w:val="24"/>
          <w:lang w:eastAsia="da-DK"/>
        </w:rPr>
        <w:t>Der bør anvendes den laveste effektive dosis i den kortest mulige tid, som er nødvendig for at lindre symptomerne (se pkt. 4.4).</w:t>
      </w:r>
    </w:p>
    <w:p w14:paraId="3528B19C" w14:textId="77777777" w:rsidR="00BB222D" w:rsidRPr="006F4C90" w:rsidRDefault="00BB222D" w:rsidP="00BB222D">
      <w:pPr>
        <w:autoSpaceDE w:val="0"/>
        <w:autoSpaceDN w:val="0"/>
        <w:adjustRightInd w:val="0"/>
        <w:ind w:left="851"/>
        <w:rPr>
          <w:bCs/>
          <w:sz w:val="24"/>
          <w:szCs w:val="24"/>
          <w:lang w:eastAsia="da-DK"/>
        </w:rPr>
      </w:pPr>
      <w:r w:rsidRPr="006F4C90">
        <w:rPr>
          <w:bCs/>
          <w:sz w:val="24"/>
          <w:szCs w:val="24"/>
          <w:lang w:eastAsia="da-DK"/>
        </w:rPr>
        <w:t>Patienten bør konsultere en læge, hvis symptomerne varer ved i mere end 3 dage eller forværres, eller hvis der er behov for produktet i mere end 3 dage.</w:t>
      </w:r>
    </w:p>
    <w:p w14:paraId="75327633" w14:textId="77777777" w:rsidR="00BB222D" w:rsidRPr="006F4C90" w:rsidRDefault="00BB222D" w:rsidP="00BB222D">
      <w:pPr>
        <w:autoSpaceDE w:val="0"/>
        <w:autoSpaceDN w:val="0"/>
        <w:adjustRightInd w:val="0"/>
        <w:ind w:left="851"/>
        <w:rPr>
          <w:i/>
          <w:iCs/>
          <w:sz w:val="24"/>
          <w:szCs w:val="24"/>
        </w:rPr>
      </w:pPr>
    </w:p>
    <w:p w14:paraId="2BED7C23" w14:textId="77777777" w:rsidR="007E1C88" w:rsidRPr="006F4C90" w:rsidRDefault="007E1C88" w:rsidP="007E1C88">
      <w:pPr>
        <w:autoSpaceDE w:val="0"/>
        <w:autoSpaceDN w:val="0"/>
        <w:adjustRightInd w:val="0"/>
        <w:ind w:left="851"/>
        <w:rPr>
          <w:sz w:val="24"/>
          <w:szCs w:val="24"/>
        </w:rPr>
      </w:pPr>
      <w:r w:rsidRPr="006F4C90">
        <w:rPr>
          <w:i/>
          <w:iCs/>
          <w:sz w:val="24"/>
          <w:szCs w:val="24"/>
        </w:rPr>
        <w:t>Voksne</w:t>
      </w:r>
    </w:p>
    <w:p w14:paraId="50C01D0F" w14:textId="77777777" w:rsidR="007E1C88" w:rsidRPr="006F4C90" w:rsidRDefault="007E1C88" w:rsidP="007E1C88">
      <w:pPr>
        <w:autoSpaceDE w:val="0"/>
        <w:autoSpaceDN w:val="0"/>
        <w:adjustRightInd w:val="0"/>
        <w:ind w:left="851"/>
        <w:rPr>
          <w:sz w:val="24"/>
          <w:szCs w:val="24"/>
        </w:rPr>
      </w:pPr>
      <w:r w:rsidRPr="006F4C90">
        <w:rPr>
          <w:sz w:val="24"/>
          <w:szCs w:val="24"/>
        </w:rPr>
        <w:t>Den sædvanlige dosis er en til to tabletter, som tages hver sjette time efter behov, op til højst otte tabletter inden for 24 timer.</w:t>
      </w:r>
    </w:p>
    <w:p w14:paraId="7527BA30" w14:textId="77777777" w:rsidR="007E1C88" w:rsidRPr="006F4C90" w:rsidRDefault="007E1C88" w:rsidP="007E1C88">
      <w:pPr>
        <w:autoSpaceDE w:val="0"/>
        <w:autoSpaceDN w:val="0"/>
        <w:adjustRightInd w:val="0"/>
        <w:ind w:left="851" w:hanging="851"/>
        <w:rPr>
          <w:sz w:val="24"/>
          <w:szCs w:val="24"/>
        </w:rPr>
      </w:pPr>
    </w:p>
    <w:p w14:paraId="101EB94E" w14:textId="77777777" w:rsidR="007E1C88" w:rsidRPr="006F4C90" w:rsidRDefault="007E1C88" w:rsidP="007E1C88">
      <w:pPr>
        <w:autoSpaceDE w:val="0"/>
        <w:autoSpaceDN w:val="0"/>
        <w:adjustRightInd w:val="0"/>
        <w:ind w:left="851"/>
        <w:rPr>
          <w:sz w:val="24"/>
          <w:szCs w:val="24"/>
        </w:rPr>
      </w:pPr>
      <w:r w:rsidRPr="006F4C90">
        <w:rPr>
          <w:i/>
          <w:iCs/>
          <w:sz w:val="24"/>
          <w:szCs w:val="24"/>
        </w:rPr>
        <w:t>Børn under 18 år</w:t>
      </w:r>
    </w:p>
    <w:p w14:paraId="05B78E2D" w14:textId="77777777" w:rsidR="007E1C88" w:rsidRPr="006F4C90" w:rsidRDefault="007E1C88" w:rsidP="007E1C88">
      <w:pPr>
        <w:autoSpaceDE w:val="0"/>
        <w:autoSpaceDN w:val="0"/>
        <w:adjustRightInd w:val="0"/>
        <w:ind w:left="851"/>
        <w:rPr>
          <w:sz w:val="24"/>
          <w:szCs w:val="24"/>
        </w:rPr>
      </w:pPr>
      <w:proofErr w:type="spellStart"/>
      <w:r w:rsidRPr="006F4C90">
        <w:rPr>
          <w:sz w:val="24"/>
          <w:szCs w:val="24"/>
        </w:rPr>
        <w:t>Doleron</w:t>
      </w:r>
      <w:proofErr w:type="spellEnd"/>
      <w:r w:rsidRPr="006F4C90">
        <w:rPr>
          <w:sz w:val="24"/>
          <w:szCs w:val="24"/>
        </w:rPr>
        <w:t xml:space="preserve"> bør ikke anvendes til børn under 18 år. </w:t>
      </w:r>
    </w:p>
    <w:p w14:paraId="6DD60799" w14:textId="77777777" w:rsidR="007E1C88" w:rsidRPr="006F4C90" w:rsidRDefault="007E1C88" w:rsidP="007E1C88">
      <w:pPr>
        <w:autoSpaceDE w:val="0"/>
        <w:autoSpaceDN w:val="0"/>
        <w:adjustRightInd w:val="0"/>
        <w:ind w:left="851" w:hanging="851"/>
        <w:rPr>
          <w:sz w:val="24"/>
          <w:szCs w:val="24"/>
        </w:rPr>
      </w:pPr>
    </w:p>
    <w:p w14:paraId="46EE5BB6" w14:textId="77777777" w:rsidR="007E1C88" w:rsidRPr="006F4C90" w:rsidRDefault="007E1C88" w:rsidP="007E1C88">
      <w:pPr>
        <w:ind w:left="851"/>
        <w:rPr>
          <w:sz w:val="24"/>
          <w:szCs w:val="24"/>
        </w:rPr>
      </w:pPr>
      <w:r w:rsidRPr="006F4C90">
        <w:rPr>
          <w:i/>
          <w:iCs/>
          <w:sz w:val="24"/>
          <w:szCs w:val="24"/>
        </w:rPr>
        <w:t>Ældre</w:t>
      </w:r>
    </w:p>
    <w:p w14:paraId="41413AF2" w14:textId="77777777" w:rsidR="007E1C88" w:rsidRPr="006F4C90" w:rsidRDefault="007E1C88" w:rsidP="007E1C88">
      <w:pPr>
        <w:ind w:left="851"/>
        <w:rPr>
          <w:sz w:val="24"/>
          <w:szCs w:val="24"/>
        </w:rPr>
      </w:pPr>
      <w:r w:rsidRPr="006F4C90">
        <w:rPr>
          <w:sz w:val="24"/>
          <w:szCs w:val="24"/>
        </w:rPr>
        <w:t xml:space="preserve">Der kræves ingen særlige dosismodifikationer (se pkt. 4.4). </w:t>
      </w:r>
    </w:p>
    <w:p w14:paraId="7E7F29FB" w14:textId="77777777" w:rsidR="007E1C88" w:rsidRPr="006F4C90" w:rsidRDefault="007E1C88" w:rsidP="007E1C88">
      <w:pPr>
        <w:ind w:left="851"/>
        <w:rPr>
          <w:sz w:val="24"/>
          <w:szCs w:val="24"/>
        </w:rPr>
      </w:pPr>
      <w:r w:rsidRPr="006F4C90">
        <w:rPr>
          <w:sz w:val="24"/>
          <w:szCs w:val="24"/>
        </w:rPr>
        <w:t xml:space="preserve">Ældre personer har forhøjet risiko for at blive ramt af alvorlige bivirkninger. Hvis behandling med NSAID skønnes at være nødvendig, bør den laveste effektive dosis anvendes i kortest mulig tid. Patienten bør monitoreres regelmæssigt for </w:t>
      </w:r>
      <w:proofErr w:type="spellStart"/>
      <w:r w:rsidRPr="006F4C90">
        <w:rPr>
          <w:sz w:val="24"/>
          <w:szCs w:val="24"/>
        </w:rPr>
        <w:t>gastrointestinal</w:t>
      </w:r>
      <w:proofErr w:type="spellEnd"/>
      <w:r w:rsidRPr="006F4C90">
        <w:rPr>
          <w:sz w:val="24"/>
          <w:szCs w:val="24"/>
        </w:rPr>
        <w:t xml:space="preserve"> blødning under behandlingen med NSAID. </w:t>
      </w:r>
    </w:p>
    <w:p w14:paraId="6F7A7ABE" w14:textId="77777777" w:rsidR="007E1C88" w:rsidRPr="006F4C90" w:rsidRDefault="007E1C88" w:rsidP="007E1C88">
      <w:pPr>
        <w:autoSpaceDE w:val="0"/>
        <w:autoSpaceDN w:val="0"/>
        <w:adjustRightInd w:val="0"/>
        <w:ind w:left="851" w:hanging="851"/>
        <w:rPr>
          <w:sz w:val="24"/>
          <w:szCs w:val="24"/>
        </w:rPr>
      </w:pPr>
    </w:p>
    <w:p w14:paraId="48C3AEE7" w14:textId="77777777" w:rsidR="007E1C88" w:rsidRPr="006F4C90" w:rsidRDefault="007E1C88" w:rsidP="007E1C88">
      <w:pPr>
        <w:ind w:left="851"/>
        <w:rPr>
          <w:i/>
          <w:sz w:val="24"/>
          <w:szCs w:val="24"/>
        </w:rPr>
      </w:pPr>
      <w:r w:rsidRPr="006F4C90">
        <w:rPr>
          <w:i/>
          <w:sz w:val="24"/>
          <w:szCs w:val="24"/>
        </w:rPr>
        <w:t>Nedsat nyrefunktion</w:t>
      </w:r>
    </w:p>
    <w:p w14:paraId="1619B2B5" w14:textId="77777777" w:rsidR="007E1C88" w:rsidRPr="006F4C90" w:rsidRDefault="007E1C88" w:rsidP="007E1C88">
      <w:pPr>
        <w:ind w:left="851"/>
        <w:rPr>
          <w:sz w:val="24"/>
          <w:szCs w:val="24"/>
        </w:rPr>
      </w:pPr>
      <w:r w:rsidRPr="006F4C90">
        <w:rPr>
          <w:sz w:val="24"/>
          <w:szCs w:val="24"/>
        </w:rPr>
        <w:t>Der bør udvises forsigtighed ved dosering af ibuprofen til patienter med nedsat nyrefunktion. Dosis bør vurderes individuelt. Dosis bør holdes så lav som muligt, og nyrefunktionen bør monitoreres (se pkt. 4.3, 4.4 og 5.2).</w:t>
      </w:r>
    </w:p>
    <w:p w14:paraId="72E9749C" w14:textId="77777777" w:rsidR="007E1C88" w:rsidRPr="006F4C90" w:rsidRDefault="007E1C88" w:rsidP="007E1C88">
      <w:pPr>
        <w:ind w:left="851"/>
        <w:rPr>
          <w:sz w:val="24"/>
          <w:szCs w:val="24"/>
        </w:rPr>
      </w:pPr>
      <w:r w:rsidRPr="006F4C90">
        <w:rPr>
          <w:sz w:val="24"/>
          <w:szCs w:val="24"/>
        </w:rPr>
        <w:t>Hos patienter med nedsat nyrefunktion bør paracetamoldosen reduceres:</w:t>
      </w:r>
    </w:p>
    <w:p w14:paraId="012B80FB" w14:textId="77777777" w:rsidR="007E1C88" w:rsidRPr="006F4C90" w:rsidRDefault="007E1C88" w:rsidP="007E1C88">
      <w:pPr>
        <w:ind w:left="851"/>
        <w:rPr>
          <w:sz w:val="24"/>
          <w:szCs w:val="24"/>
        </w:rPr>
      </w:pPr>
    </w:p>
    <w:tbl>
      <w:tblPr>
        <w:tblW w:w="595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8"/>
      </w:tblGrid>
      <w:tr w:rsidR="007E1C88" w:rsidRPr="006F4C90" w14:paraId="233BFEDD" w14:textId="77777777" w:rsidTr="00054D1F">
        <w:tc>
          <w:tcPr>
            <w:tcW w:w="2977" w:type="dxa"/>
            <w:tcBorders>
              <w:top w:val="single" w:sz="4" w:space="0" w:color="auto"/>
              <w:left w:val="single" w:sz="4" w:space="0" w:color="auto"/>
              <w:bottom w:val="single" w:sz="4" w:space="0" w:color="auto"/>
              <w:right w:val="single" w:sz="4" w:space="0" w:color="auto"/>
            </w:tcBorders>
            <w:hideMark/>
          </w:tcPr>
          <w:p w14:paraId="7CFFDDD8" w14:textId="77777777" w:rsidR="007E1C88" w:rsidRPr="006F4C90" w:rsidRDefault="007E1C88" w:rsidP="00540B5A">
            <w:pPr>
              <w:rPr>
                <w:sz w:val="24"/>
                <w:szCs w:val="24"/>
              </w:rPr>
            </w:pPr>
            <w:proofErr w:type="spellStart"/>
            <w:r w:rsidRPr="006F4C90">
              <w:rPr>
                <w:sz w:val="24"/>
                <w:szCs w:val="24"/>
              </w:rPr>
              <w:t>Glomerulær</w:t>
            </w:r>
            <w:proofErr w:type="spellEnd"/>
            <w:r w:rsidRPr="006F4C90">
              <w:rPr>
                <w:sz w:val="24"/>
                <w:szCs w:val="24"/>
              </w:rPr>
              <w:t xml:space="preserve"> filtrationsrate</w:t>
            </w:r>
          </w:p>
        </w:tc>
        <w:tc>
          <w:tcPr>
            <w:tcW w:w="2978" w:type="dxa"/>
            <w:tcBorders>
              <w:top w:val="single" w:sz="4" w:space="0" w:color="auto"/>
              <w:left w:val="single" w:sz="4" w:space="0" w:color="auto"/>
              <w:bottom w:val="single" w:sz="4" w:space="0" w:color="auto"/>
              <w:right w:val="single" w:sz="4" w:space="0" w:color="auto"/>
            </w:tcBorders>
            <w:hideMark/>
          </w:tcPr>
          <w:p w14:paraId="7EEE9E4D" w14:textId="77777777" w:rsidR="007E1C88" w:rsidRPr="006F4C90" w:rsidRDefault="007E1C88" w:rsidP="00540B5A">
            <w:pPr>
              <w:rPr>
                <w:sz w:val="24"/>
                <w:szCs w:val="24"/>
              </w:rPr>
            </w:pPr>
            <w:r w:rsidRPr="006F4C90">
              <w:rPr>
                <w:sz w:val="24"/>
                <w:szCs w:val="24"/>
              </w:rPr>
              <w:t>Dosis</w:t>
            </w:r>
          </w:p>
        </w:tc>
      </w:tr>
      <w:tr w:rsidR="007E1C88" w:rsidRPr="006F4C90" w14:paraId="5FC6E61C" w14:textId="77777777" w:rsidTr="00054D1F">
        <w:tc>
          <w:tcPr>
            <w:tcW w:w="2977" w:type="dxa"/>
            <w:tcBorders>
              <w:top w:val="single" w:sz="4" w:space="0" w:color="auto"/>
              <w:left w:val="single" w:sz="4" w:space="0" w:color="auto"/>
              <w:bottom w:val="single" w:sz="4" w:space="0" w:color="auto"/>
              <w:right w:val="single" w:sz="4" w:space="0" w:color="auto"/>
            </w:tcBorders>
            <w:hideMark/>
          </w:tcPr>
          <w:p w14:paraId="4FAD26BF" w14:textId="77777777" w:rsidR="007E1C88" w:rsidRPr="006F4C90" w:rsidRDefault="007E1C88" w:rsidP="00540B5A">
            <w:pPr>
              <w:rPr>
                <w:sz w:val="24"/>
                <w:szCs w:val="24"/>
              </w:rPr>
            </w:pPr>
            <w:r w:rsidRPr="006F4C90">
              <w:rPr>
                <w:sz w:val="24"/>
                <w:szCs w:val="24"/>
              </w:rPr>
              <w:t>10–50 ml/min</w:t>
            </w:r>
          </w:p>
        </w:tc>
        <w:tc>
          <w:tcPr>
            <w:tcW w:w="2978" w:type="dxa"/>
            <w:tcBorders>
              <w:top w:val="single" w:sz="4" w:space="0" w:color="auto"/>
              <w:left w:val="single" w:sz="4" w:space="0" w:color="auto"/>
              <w:bottom w:val="single" w:sz="4" w:space="0" w:color="auto"/>
              <w:right w:val="single" w:sz="4" w:space="0" w:color="auto"/>
            </w:tcBorders>
            <w:hideMark/>
          </w:tcPr>
          <w:p w14:paraId="40B44BA6" w14:textId="77777777" w:rsidR="007E1C88" w:rsidRPr="006F4C90" w:rsidRDefault="007E1C88" w:rsidP="00540B5A">
            <w:pPr>
              <w:rPr>
                <w:sz w:val="24"/>
                <w:szCs w:val="24"/>
              </w:rPr>
            </w:pPr>
            <w:r w:rsidRPr="006F4C90">
              <w:rPr>
                <w:sz w:val="24"/>
                <w:szCs w:val="24"/>
              </w:rPr>
              <w:t>500 mg hver 6. time</w:t>
            </w:r>
          </w:p>
        </w:tc>
      </w:tr>
      <w:tr w:rsidR="007E1C88" w:rsidRPr="006F4C90" w14:paraId="777C6DE4" w14:textId="77777777" w:rsidTr="00054D1F">
        <w:tc>
          <w:tcPr>
            <w:tcW w:w="2977" w:type="dxa"/>
            <w:tcBorders>
              <w:top w:val="single" w:sz="4" w:space="0" w:color="auto"/>
              <w:left w:val="single" w:sz="4" w:space="0" w:color="auto"/>
              <w:bottom w:val="single" w:sz="4" w:space="0" w:color="auto"/>
              <w:right w:val="single" w:sz="4" w:space="0" w:color="auto"/>
            </w:tcBorders>
            <w:hideMark/>
          </w:tcPr>
          <w:p w14:paraId="6C76B2F6" w14:textId="77777777" w:rsidR="007E1C88" w:rsidRPr="006F4C90" w:rsidRDefault="007E1C88" w:rsidP="00540B5A">
            <w:pPr>
              <w:rPr>
                <w:sz w:val="24"/>
                <w:szCs w:val="24"/>
              </w:rPr>
            </w:pPr>
            <w:r w:rsidRPr="006F4C90">
              <w:rPr>
                <w:sz w:val="24"/>
                <w:szCs w:val="24"/>
              </w:rPr>
              <w:t>&lt; 10 ml/min</w:t>
            </w:r>
          </w:p>
        </w:tc>
        <w:tc>
          <w:tcPr>
            <w:tcW w:w="2978" w:type="dxa"/>
            <w:tcBorders>
              <w:top w:val="single" w:sz="4" w:space="0" w:color="auto"/>
              <w:left w:val="single" w:sz="4" w:space="0" w:color="auto"/>
              <w:bottom w:val="single" w:sz="4" w:space="0" w:color="auto"/>
              <w:right w:val="single" w:sz="4" w:space="0" w:color="auto"/>
            </w:tcBorders>
            <w:hideMark/>
          </w:tcPr>
          <w:p w14:paraId="20BC6BB3" w14:textId="77777777" w:rsidR="007E1C88" w:rsidRPr="006F4C90" w:rsidRDefault="007E1C88" w:rsidP="00540B5A">
            <w:pPr>
              <w:rPr>
                <w:sz w:val="24"/>
                <w:szCs w:val="24"/>
              </w:rPr>
            </w:pPr>
            <w:r w:rsidRPr="006F4C90">
              <w:rPr>
                <w:sz w:val="24"/>
                <w:szCs w:val="24"/>
              </w:rPr>
              <w:t>500 mg hver 8. time</w:t>
            </w:r>
          </w:p>
        </w:tc>
      </w:tr>
    </w:tbl>
    <w:p w14:paraId="7B90C90C" w14:textId="77777777" w:rsidR="007E1C88" w:rsidRPr="006F4C90" w:rsidRDefault="007E1C88" w:rsidP="007E1C88">
      <w:pPr>
        <w:rPr>
          <w:sz w:val="24"/>
          <w:szCs w:val="24"/>
        </w:rPr>
      </w:pPr>
    </w:p>
    <w:p w14:paraId="7C7DD00F" w14:textId="77777777" w:rsidR="007E1C88" w:rsidRPr="006F4C90" w:rsidRDefault="007E1C88" w:rsidP="007E1C88">
      <w:pPr>
        <w:ind w:firstLine="851"/>
        <w:rPr>
          <w:i/>
          <w:sz w:val="24"/>
          <w:szCs w:val="24"/>
        </w:rPr>
      </w:pPr>
      <w:r w:rsidRPr="006F4C90">
        <w:rPr>
          <w:i/>
          <w:sz w:val="24"/>
          <w:szCs w:val="24"/>
        </w:rPr>
        <w:t>Nedsat leverfunktion</w:t>
      </w:r>
    </w:p>
    <w:p w14:paraId="01A3D5A6" w14:textId="77777777" w:rsidR="007E1C88" w:rsidRPr="006F4C90" w:rsidRDefault="007E1C88" w:rsidP="007E1C88">
      <w:pPr>
        <w:ind w:left="851"/>
        <w:rPr>
          <w:sz w:val="24"/>
          <w:szCs w:val="24"/>
        </w:rPr>
      </w:pPr>
      <w:r w:rsidRPr="006F4C90">
        <w:rPr>
          <w:sz w:val="24"/>
          <w:szCs w:val="24"/>
        </w:rPr>
        <w:t>Der bør udvises forsigtighed ved dosering af ibuprofen til patienter med nedsat leverfunktion. Doseringen bør vurderes individuelt, og dosis bør holdes så lav som muligt (se pkt. 4.3, 4.4 og 5.2).</w:t>
      </w:r>
    </w:p>
    <w:p w14:paraId="05480113" w14:textId="77777777" w:rsidR="007E1C88" w:rsidRPr="006F4C90" w:rsidRDefault="007E1C88" w:rsidP="007E1C88">
      <w:pPr>
        <w:autoSpaceDE w:val="0"/>
        <w:ind w:left="851"/>
        <w:rPr>
          <w:sz w:val="24"/>
          <w:szCs w:val="24"/>
        </w:rPr>
      </w:pPr>
      <w:r w:rsidRPr="006F4C90">
        <w:rPr>
          <w:sz w:val="24"/>
          <w:szCs w:val="24"/>
        </w:rPr>
        <w:t>Hos patienter med nedsat leverfunktion eller Gilberts syndrom skal paracetamoldosen nedsættes, eller doseringsintervallet forlænges.</w:t>
      </w:r>
    </w:p>
    <w:p w14:paraId="365DD91F" w14:textId="77777777" w:rsidR="007E1C88" w:rsidRPr="006F4C90" w:rsidRDefault="007E1C88" w:rsidP="007E1C88">
      <w:pPr>
        <w:autoSpaceDE w:val="0"/>
        <w:autoSpaceDN w:val="0"/>
        <w:adjustRightInd w:val="0"/>
        <w:ind w:left="851" w:hanging="851"/>
        <w:rPr>
          <w:sz w:val="24"/>
          <w:szCs w:val="24"/>
        </w:rPr>
      </w:pPr>
    </w:p>
    <w:p w14:paraId="495F4778" w14:textId="77777777" w:rsidR="007E1C88" w:rsidRPr="006F4C90" w:rsidRDefault="007E1C88" w:rsidP="007E1C88">
      <w:pPr>
        <w:autoSpaceDE w:val="0"/>
        <w:autoSpaceDN w:val="0"/>
        <w:adjustRightInd w:val="0"/>
        <w:ind w:left="851"/>
        <w:rPr>
          <w:sz w:val="24"/>
          <w:szCs w:val="24"/>
        </w:rPr>
      </w:pPr>
      <w:r w:rsidRPr="006F4C90">
        <w:rPr>
          <w:sz w:val="24"/>
          <w:szCs w:val="24"/>
          <w:u w:val="single"/>
        </w:rPr>
        <w:t>Administration</w:t>
      </w:r>
    </w:p>
    <w:p w14:paraId="6745B2F0" w14:textId="77777777" w:rsidR="007E1C88" w:rsidRPr="006F4C90" w:rsidRDefault="007E1C88" w:rsidP="007E1C88">
      <w:pPr>
        <w:ind w:left="851"/>
        <w:rPr>
          <w:sz w:val="24"/>
          <w:szCs w:val="24"/>
        </w:rPr>
      </w:pPr>
      <w:r w:rsidRPr="006F4C90">
        <w:rPr>
          <w:sz w:val="24"/>
          <w:szCs w:val="24"/>
        </w:rPr>
        <w:t xml:space="preserve">Produktet kan tages med eller uden mad med et helt glas vand. Det anbefales dog, at patienter tager </w:t>
      </w:r>
      <w:proofErr w:type="spellStart"/>
      <w:r w:rsidRPr="006F4C90">
        <w:rPr>
          <w:sz w:val="24"/>
          <w:szCs w:val="24"/>
        </w:rPr>
        <w:t>Doleron</w:t>
      </w:r>
      <w:proofErr w:type="spellEnd"/>
      <w:r w:rsidRPr="006F4C90">
        <w:rPr>
          <w:sz w:val="24"/>
          <w:szCs w:val="24"/>
        </w:rPr>
        <w:t xml:space="preserve"> sammen med mad for at minimere bivirkninger.</w:t>
      </w:r>
    </w:p>
    <w:p w14:paraId="77EE940D" w14:textId="77777777" w:rsidR="007E1C88" w:rsidRPr="006F4C90" w:rsidRDefault="007E1C88" w:rsidP="007E1C88">
      <w:pPr>
        <w:ind w:left="851" w:hanging="851"/>
        <w:rPr>
          <w:sz w:val="24"/>
          <w:szCs w:val="24"/>
        </w:rPr>
      </w:pPr>
    </w:p>
    <w:p w14:paraId="16B2A206" w14:textId="77777777" w:rsidR="007E1C88" w:rsidRPr="00096AFC" w:rsidRDefault="007E1C88" w:rsidP="007E1C88">
      <w:pPr>
        <w:ind w:left="851" w:hanging="851"/>
        <w:rPr>
          <w:b/>
          <w:sz w:val="24"/>
          <w:szCs w:val="24"/>
        </w:rPr>
      </w:pPr>
      <w:r w:rsidRPr="00096AFC">
        <w:rPr>
          <w:b/>
          <w:sz w:val="24"/>
          <w:szCs w:val="24"/>
        </w:rPr>
        <w:t>4.3</w:t>
      </w:r>
      <w:r w:rsidRPr="00096AFC">
        <w:rPr>
          <w:b/>
          <w:sz w:val="24"/>
          <w:szCs w:val="24"/>
        </w:rPr>
        <w:tab/>
        <w:t>Kontraindikationer</w:t>
      </w:r>
    </w:p>
    <w:p w14:paraId="5DFE77DA" w14:textId="77777777" w:rsidR="007E1C88" w:rsidRPr="00096AFC" w:rsidRDefault="007E1C88" w:rsidP="007E1C88">
      <w:pPr>
        <w:autoSpaceDE w:val="0"/>
        <w:autoSpaceDN w:val="0"/>
        <w:adjustRightInd w:val="0"/>
        <w:ind w:left="851" w:hanging="851"/>
        <w:rPr>
          <w:sz w:val="24"/>
          <w:szCs w:val="24"/>
        </w:rPr>
      </w:pPr>
      <w:r w:rsidRPr="00096AFC">
        <w:rPr>
          <w:sz w:val="24"/>
          <w:szCs w:val="24"/>
        </w:rPr>
        <w:tab/>
        <w:t>Anvendelse af produktet er kontraindiceret:</w:t>
      </w:r>
    </w:p>
    <w:p w14:paraId="0648BE77" w14:textId="77777777" w:rsidR="007E1C88" w:rsidRPr="00096AFC" w:rsidRDefault="007E1C88" w:rsidP="007E1C88">
      <w:pPr>
        <w:pStyle w:val="Listeafsnit"/>
        <w:numPr>
          <w:ilvl w:val="0"/>
          <w:numId w:val="4"/>
        </w:numPr>
        <w:autoSpaceDE w:val="0"/>
        <w:autoSpaceDN w:val="0"/>
        <w:adjustRightInd w:val="0"/>
        <w:spacing w:after="0" w:line="240" w:lineRule="auto"/>
        <w:ind w:left="1276" w:hanging="425"/>
        <w:rPr>
          <w:rFonts w:ascii="Times New Roman" w:hAnsi="Times New Roman"/>
          <w:sz w:val="24"/>
          <w:szCs w:val="24"/>
          <w:lang w:val="da-DK"/>
        </w:rPr>
      </w:pPr>
      <w:r w:rsidRPr="00096AFC">
        <w:rPr>
          <w:rFonts w:ascii="Times New Roman" w:hAnsi="Times New Roman"/>
          <w:sz w:val="24"/>
          <w:szCs w:val="24"/>
          <w:lang w:val="da-DK"/>
        </w:rPr>
        <w:t>hos patienter med kendte overfølsomhedsreaktioner over for paracetamol, ibuprofen, andre NSAID eller over for et eller flere af hjælpestofferne anført i pkt. 6.1.</w:t>
      </w:r>
    </w:p>
    <w:p w14:paraId="2FBF8DA9" w14:textId="77777777" w:rsidR="007E1C88" w:rsidRPr="00096AFC" w:rsidRDefault="007E1C88" w:rsidP="007E1C88">
      <w:pPr>
        <w:pStyle w:val="Listeafsnit"/>
        <w:numPr>
          <w:ilvl w:val="0"/>
          <w:numId w:val="4"/>
        </w:numPr>
        <w:autoSpaceDE w:val="0"/>
        <w:autoSpaceDN w:val="0"/>
        <w:adjustRightInd w:val="0"/>
        <w:spacing w:after="0" w:line="240" w:lineRule="auto"/>
        <w:ind w:left="1276" w:hanging="425"/>
        <w:rPr>
          <w:rFonts w:ascii="Times New Roman" w:hAnsi="Times New Roman"/>
          <w:sz w:val="24"/>
          <w:szCs w:val="24"/>
          <w:lang w:val="da-DK"/>
        </w:rPr>
      </w:pPr>
      <w:r w:rsidRPr="00096AFC">
        <w:rPr>
          <w:rFonts w:ascii="Times New Roman" w:hAnsi="Times New Roman"/>
          <w:sz w:val="24"/>
          <w:szCs w:val="24"/>
          <w:lang w:val="da-DK"/>
        </w:rPr>
        <w:lastRenderedPageBreak/>
        <w:t xml:space="preserve">hos patienter med aktiv alkoholisme, da kronisk overdreven alkoholindtagelse kan prædisponere patienter for </w:t>
      </w:r>
      <w:proofErr w:type="spellStart"/>
      <w:r w:rsidRPr="00096AFC">
        <w:rPr>
          <w:rFonts w:ascii="Times New Roman" w:hAnsi="Times New Roman"/>
          <w:sz w:val="24"/>
          <w:szCs w:val="24"/>
          <w:lang w:val="da-DK"/>
        </w:rPr>
        <w:t>hepatotoksicitet</w:t>
      </w:r>
      <w:proofErr w:type="spellEnd"/>
      <w:r w:rsidRPr="00096AFC">
        <w:rPr>
          <w:rFonts w:ascii="Times New Roman" w:hAnsi="Times New Roman"/>
          <w:sz w:val="24"/>
          <w:szCs w:val="24"/>
          <w:lang w:val="da-DK"/>
        </w:rPr>
        <w:t xml:space="preserve"> (pga. paracetamol-komponenten).</w:t>
      </w:r>
    </w:p>
    <w:p w14:paraId="62AA493C" w14:textId="77777777" w:rsidR="007E1C88" w:rsidRPr="00096AFC" w:rsidRDefault="007E1C88" w:rsidP="007E1C88">
      <w:pPr>
        <w:pStyle w:val="Listeafsnit"/>
        <w:numPr>
          <w:ilvl w:val="0"/>
          <w:numId w:val="4"/>
        </w:numPr>
        <w:autoSpaceDE w:val="0"/>
        <w:autoSpaceDN w:val="0"/>
        <w:adjustRightInd w:val="0"/>
        <w:spacing w:after="0" w:line="240" w:lineRule="auto"/>
        <w:ind w:left="1276" w:hanging="425"/>
        <w:rPr>
          <w:rFonts w:ascii="Times New Roman" w:hAnsi="Times New Roman"/>
          <w:sz w:val="24"/>
          <w:szCs w:val="24"/>
          <w:lang w:val="da-DK"/>
        </w:rPr>
      </w:pPr>
      <w:r w:rsidRPr="00096AFC">
        <w:rPr>
          <w:rFonts w:ascii="Times New Roman" w:hAnsi="Times New Roman"/>
          <w:sz w:val="24"/>
          <w:szCs w:val="24"/>
          <w:lang w:val="da-DK"/>
        </w:rPr>
        <w:t xml:space="preserve">hos patienter, der har oplevet astma, </w:t>
      </w:r>
      <w:proofErr w:type="spellStart"/>
      <w:r w:rsidRPr="00096AFC">
        <w:rPr>
          <w:rFonts w:ascii="Times New Roman" w:hAnsi="Times New Roman"/>
          <w:sz w:val="24"/>
          <w:szCs w:val="24"/>
          <w:lang w:val="da-DK"/>
        </w:rPr>
        <w:t>urticaria</w:t>
      </w:r>
      <w:proofErr w:type="spellEnd"/>
      <w:r w:rsidRPr="00096AFC">
        <w:rPr>
          <w:rFonts w:ascii="Times New Roman" w:hAnsi="Times New Roman"/>
          <w:sz w:val="24"/>
          <w:szCs w:val="24"/>
          <w:lang w:val="da-DK"/>
        </w:rPr>
        <w:t xml:space="preserve"> eller allergiske reaktioner efter at have taget acetylsalicylsyre eller andre NSAID.</w:t>
      </w:r>
    </w:p>
    <w:p w14:paraId="39C86F85" w14:textId="77777777" w:rsidR="007E1C88" w:rsidRPr="00096AFC" w:rsidRDefault="007E1C88" w:rsidP="007E1C88">
      <w:pPr>
        <w:pStyle w:val="Listeafsnit"/>
        <w:numPr>
          <w:ilvl w:val="0"/>
          <w:numId w:val="4"/>
        </w:numPr>
        <w:autoSpaceDE w:val="0"/>
        <w:autoSpaceDN w:val="0"/>
        <w:adjustRightInd w:val="0"/>
        <w:spacing w:after="0" w:line="240" w:lineRule="auto"/>
        <w:ind w:left="1276" w:hanging="425"/>
        <w:rPr>
          <w:rFonts w:ascii="Times New Roman" w:hAnsi="Times New Roman"/>
          <w:sz w:val="24"/>
          <w:szCs w:val="24"/>
          <w:lang w:val="da-DK"/>
        </w:rPr>
      </w:pPr>
      <w:r w:rsidRPr="00096AFC">
        <w:rPr>
          <w:rFonts w:ascii="Times New Roman" w:hAnsi="Times New Roman"/>
          <w:sz w:val="24"/>
          <w:szCs w:val="24"/>
          <w:lang w:val="da-DK"/>
        </w:rPr>
        <w:t xml:space="preserve">hos patienter, der har eller har haft aktiv </w:t>
      </w:r>
      <w:proofErr w:type="spellStart"/>
      <w:r w:rsidRPr="00096AFC">
        <w:rPr>
          <w:rFonts w:ascii="Times New Roman" w:hAnsi="Times New Roman"/>
          <w:sz w:val="24"/>
          <w:szCs w:val="24"/>
          <w:lang w:val="da-DK"/>
        </w:rPr>
        <w:t>gastrointestinal</w:t>
      </w:r>
      <w:proofErr w:type="spellEnd"/>
      <w:r w:rsidRPr="00096AFC">
        <w:rPr>
          <w:rFonts w:ascii="Times New Roman" w:hAnsi="Times New Roman"/>
          <w:sz w:val="24"/>
          <w:szCs w:val="24"/>
          <w:lang w:val="da-DK"/>
        </w:rPr>
        <w:t xml:space="preserve"> blødning eller ulcus </w:t>
      </w:r>
      <w:proofErr w:type="spellStart"/>
      <w:r w:rsidRPr="00096AFC">
        <w:rPr>
          <w:rFonts w:ascii="Times New Roman" w:hAnsi="Times New Roman"/>
          <w:sz w:val="24"/>
          <w:szCs w:val="24"/>
          <w:lang w:val="da-DK"/>
        </w:rPr>
        <w:t>pepticum</w:t>
      </w:r>
      <w:proofErr w:type="spellEnd"/>
      <w:r w:rsidRPr="00096AFC">
        <w:rPr>
          <w:rFonts w:ascii="Times New Roman" w:hAnsi="Times New Roman"/>
          <w:sz w:val="24"/>
          <w:szCs w:val="24"/>
          <w:lang w:val="da-DK"/>
        </w:rPr>
        <w:t>.</w:t>
      </w:r>
    </w:p>
    <w:p w14:paraId="596B0A4C" w14:textId="77777777" w:rsidR="007E1C88" w:rsidRPr="00096AFC" w:rsidRDefault="007E1C88" w:rsidP="007E1C88">
      <w:pPr>
        <w:pStyle w:val="Listeafsnit"/>
        <w:numPr>
          <w:ilvl w:val="0"/>
          <w:numId w:val="4"/>
        </w:numPr>
        <w:autoSpaceDE w:val="0"/>
        <w:autoSpaceDN w:val="0"/>
        <w:adjustRightInd w:val="0"/>
        <w:spacing w:after="0" w:line="240" w:lineRule="auto"/>
        <w:ind w:left="1276" w:hanging="425"/>
        <w:rPr>
          <w:rFonts w:ascii="Times New Roman" w:hAnsi="Times New Roman"/>
          <w:sz w:val="24"/>
          <w:szCs w:val="24"/>
          <w:lang w:val="da-DK"/>
        </w:rPr>
      </w:pPr>
      <w:r w:rsidRPr="00096AFC">
        <w:rPr>
          <w:rFonts w:ascii="Times New Roman" w:hAnsi="Times New Roman"/>
          <w:sz w:val="24"/>
          <w:szCs w:val="24"/>
          <w:lang w:val="da-DK"/>
        </w:rPr>
        <w:t>under graviditetens tredje trimester (se pkt. 4.6).</w:t>
      </w:r>
    </w:p>
    <w:p w14:paraId="7A76DC4C" w14:textId="77777777" w:rsidR="007E1C88" w:rsidRDefault="007E1C88" w:rsidP="007E1C88">
      <w:pPr>
        <w:numPr>
          <w:ilvl w:val="0"/>
          <w:numId w:val="4"/>
        </w:numPr>
        <w:suppressAutoHyphens/>
        <w:ind w:firstLine="491"/>
        <w:rPr>
          <w:sz w:val="24"/>
          <w:szCs w:val="24"/>
        </w:rPr>
      </w:pPr>
      <w:r>
        <w:rPr>
          <w:sz w:val="24"/>
          <w:szCs w:val="24"/>
        </w:rPr>
        <w:t>hos patienter med svær leverinsufficiens eller svær nyreinsufficiens (se pkt. 4.4).</w:t>
      </w:r>
    </w:p>
    <w:p w14:paraId="3CEE55E2" w14:textId="77777777" w:rsidR="007E1C88" w:rsidRDefault="007E1C88" w:rsidP="007E1C88">
      <w:pPr>
        <w:numPr>
          <w:ilvl w:val="0"/>
          <w:numId w:val="4"/>
        </w:numPr>
        <w:ind w:firstLine="491"/>
        <w:contextualSpacing/>
        <w:rPr>
          <w:sz w:val="24"/>
          <w:szCs w:val="24"/>
        </w:rPr>
      </w:pPr>
      <w:r>
        <w:rPr>
          <w:sz w:val="24"/>
          <w:szCs w:val="24"/>
        </w:rPr>
        <w:t xml:space="preserve">hos patienter med </w:t>
      </w:r>
      <w:proofErr w:type="spellStart"/>
      <w:r>
        <w:rPr>
          <w:sz w:val="24"/>
          <w:szCs w:val="24"/>
        </w:rPr>
        <w:t>cerebrovaskulær</w:t>
      </w:r>
      <w:proofErr w:type="spellEnd"/>
      <w:r>
        <w:rPr>
          <w:sz w:val="24"/>
          <w:szCs w:val="24"/>
        </w:rPr>
        <w:t xml:space="preserve"> eller anden aktiv blødning.</w:t>
      </w:r>
    </w:p>
    <w:p w14:paraId="1E6185C3" w14:textId="77777777" w:rsidR="007E1C88" w:rsidRDefault="007E1C88" w:rsidP="007E1C88">
      <w:pPr>
        <w:numPr>
          <w:ilvl w:val="0"/>
          <w:numId w:val="4"/>
        </w:numPr>
        <w:suppressAutoHyphens/>
        <w:ind w:left="1276" w:hanging="425"/>
        <w:rPr>
          <w:sz w:val="24"/>
          <w:szCs w:val="24"/>
        </w:rPr>
      </w:pPr>
      <w:r>
        <w:rPr>
          <w:sz w:val="24"/>
          <w:szCs w:val="24"/>
        </w:rPr>
        <w:t>hos patienter med blodstørkningsforstyrrelser og tilstande, der indebærer øget blødningstendens.</w:t>
      </w:r>
    </w:p>
    <w:p w14:paraId="1E554855" w14:textId="77777777" w:rsidR="007E1C88" w:rsidRDefault="007E1C88" w:rsidP="007E1C88">
      <w:pPr>
        <w:numPr>
          <w:ilvl w:val="0"/>
          <w:numId w:val="4"/>
        </w:numPr>
        <w:suppressAutoHyphens/>
        <w:ind w:firstLine="491"/>
        <w:rPr>
          <w:sz w:val="24"/>
          <w:szCs w:val="24"/>
        </w:rPr>
      </w:pPr>
      <w:r>
        <w:rPr>
          <w:sz w:val="24"/>
          <w:szCs w:val="24"/>
        </w:rPr>
        <w:t>hos patienter med svær hjerteinsufficiens (NYHA-klasse IV)</w:t>
      </w:r>
    </w:p>
    <w:p w14:paraId="48C4AB16" w14:textId="77777777" w:rsidR="007E1C88" w:rsidRPr="00096AFC" w:rsidRDefault="007E1C88" w:rsidP="00054D1F">
      <w:pPr>
        <w:ind w:left="851"/>
        <w:rPr>
          <w:sz w:val="24"/>
          <w:szCs w:val="24"/>
        </w:rPr>
      </w:pPr>
    </w:p>
    <w:p w14:paraId="3BE44C66" w14:textId="77777777" w:rsidR="007E1C88" w:rsidRPr="00096AFC" w:rsidRDefault="007E1C88" w:rsidP="007E1C88">
      <w:pPr>
        <w:ind w:left="851" w:hanging="851"/>
        <w:rPr>
          <w:b/>
          <w:sz w:val="24"/>
          <w:szCs w:val="24"/>
        </w:rPr>
      </w:pPr>
      <w:r w:rsidRPr="00096AFC">
        <w:rPr>
          <w:b/>
          <w:sz w:val="24"/>
          <w:szCs w:val="24"/>
        </w:rPr>
        <w:t>4.4</w:t>
      </w:r>
      <w:r w:rsidRPr="00096AFC">
        <w:rPr>
          <w:b/>
          <w:sz w:val="24"/>
          <w:szCs w:val="24"/>
        </w:rPr>
        <w:tab/>
        <w:t>Særlige advarsler og forsigtighedsregler vedrørende brugen</w:t>
      </w:r>
    </w:p>
    <w:p w14:paraId="4053C3FD" w14:textId="77777777" w:rsidR="007E1C88" w:rsidRPr="00096AFC" w:rsidRDefault="007E1C88" w:rsidP="007E1C88">
      <w:pPr>
        <w:autoSpaceDE w:val="0"/>
        <w:autoSpaceDN w:val="0"/>
        <w:adjustRightInd w:val="0"/>
        <w:ind w:left="851" w:hanging="851"/>
        <w:rPr>
          <w:sz w:val="24"/>
          <w:szCs w:val="24"/>
        </w:rPr>
      </w:pPr>
      <w:r w:rsidRPr="00096AFC">
        <w:rPr>
          <w:sz w:val="24"/>
          <w:szCs w:val="24"/>
        </w:rPr>
        <w:tab/>
        <w:t xml:space="preserve">Brug af </w:t>
      </w:r>
      <w:proofErr w:type="spellStart"/>
      <w:r>
        <w:rPr>
          <w:sz w:val="24"/>
          <w:szCs w:val="24"/>
        </w:rPr>
        <w:t>Doleron</w:t>
      </w:r>
      <w:proofErr w:type="spellEnd"/>
      <w:r w:rsidRPr="00096AFC">
        <w:rPr>
          <w:sz w:val="24"/>
          <w:szCs w:val="24"/>
        </w:rPr>
        <w:t xml:space="preserve"> samtidig med NSAID, herunder selektive cyclooxygenase-2-hæmmere og doser af acetylsalicylsyre over 75 mg dagligt bør undgås pga. den øgede risiko for alvorlige </w:t>
      </w:r>
      <w:proofErr w:type="spellStart"/>
      <w:r w:rsidRPr="00096AFC">
        <w:rPr>
          <w:sz w:val="24"/>
          <w:szCs w:val="24"/>
        </w:rPr>
        <w:t>gastrointestinale</w:t>
      </w:r>
      <w:proofErr w:type="spellEnd"/>
      <w:r w:rsidRPr="00096AFC">
        <w:rPr>
          <w:sz w:val="24"/>
          <w:szCs w:val="24"/>
        </w:rPr>
        <w:t xml:space="preserve"> bivirkninger.</w:t>
      </w:r>
    </w:p>
    <w:p w14:paraId="6892A011" w14:textId="77777777" w:rsidR="007E1C88" w:rsidRPr="00096AFC" w:rsidRDefault="007E1C88" w:rsidP="007E1C88">
      <w:pPr>
        <w:autoSpaceDE w:val="0"/>
        <w:autoSpaceDN w:val="0"/>
        <w:adjustRightInd w:val="0"/>
        <w:ind w:left="851" w:hanging="851"/>
        <w:rPr>
          <w:sz w:val="24"/>
          <w:szCs w:val="24"/>
        </w:rPr>
      </w:pPr>
    </w:p>
    <w:p w14:paraId="5C13A03D" w14:textId="77777777" w:rsidR="007E1C88" w:rsidRPr="00096AFC" w:rsidRDefault="007E1C88" w:rsidP="007E1C88">
      <w:pPr>
        <w:autoSpaceDE w:val="0"/>
        <w:autoSpaceDN w:val="0"/>
        <w:adjustRightInd w:val="0"/>
        <w:ind w:left="851"/>
        <w:rPr>
          <w:sz w:val="24"/>
          <w:szCs w:val="24"/>
        </w:rPr>
      </w:pPr>
      <w:r w:rsidRPr="00096AFC">
        <w:rPr>
          <w:sz w:val="24"/>
          <w:szCs w:val="24"/>
        </w:rPr>
        <w:t xml:space="preserve">Brug af </w:t>
      </w:r>
      <w:proofErr w:type="spellStart"/>
      <w:r>
        <w:rPr>
          <w:sz w:val="24"/>
          <w:szCs w:val="24"/>
        </w:rPr>
        <w:t>Doleron</w:t>
      </w:r>
      <w:proofErr w:type="spellEnd"/>
      <w:r w:rsidRPr="00096AFC">
        <w:rPr>
          <w:sz w:val="24"/>
          <w:szCs w:val="24"/>
        </w:rPr>
        <w:t xml:space="preserve"> samtidig med andre produkter, der indeholder paracetamol, bør undgås pga. den øgede risiko for alvorlig leverskade.</w:t>
      </w:r>
    </w:p>
    <w:p w14:paraId="77F72BDC" w14:textId="77777777" w:rsidR="007E1C88" w:rsidRPr="00096AFC" w:rsidRDefault="007E1C88" w:rsidP="007E1C88">
      <w:pPr>
        <w:autoSpaceDE w:val="0"/>
        <w:autoSpaceDN w:val="0"/>
        <w:adjustRightInd w:val="0"/>
        <w:ind w:left="851" w:hanging="851"/>
        <w:rPr>
          <w:sz w:val="24"/>
          <w:szCs w:val="24"/>
        </w:rPr>
      </w:pPr>
    </w:p>
    <w:p w14:paraId="605A7FBF" w14:textId="77777777" w:rsidR="007E1C88" w:rsidRPr="00096AFC" w:rsidRDefault="007E1C88" w:rsidP="007E1C88">
      <w:pPr>
        <w:autoSpaceDE w:val="0"/>
        <w:autoSpaceDN w:val="0"/>
        <w:adjustRightInd w:val="0"/>
        <w:ind w:left="851"/>
        <w:rPr>
          <w:sz w:val="24"/>
          <w:szCs w:val="24"/>
        </w:rPr>
      </w:pPr>
      <w:r w:rsidRPr="00096AFC">
        <w:rPr>
          <w:sz w:val="24"/>
          <w:szCs w:val="24"/>
        </w:rPr>
        <w:t>Bivirkningerne kan minimeres ved at anvende lavest</w:t>
      </w:r>
      <w:r>
        <w:rPr>
          <w:sz w:val="24"/>
          <w:szCs w:val="24"/>
        </w:rPr>
        <w:t>e</w:t>
      </w:r>
      <w:r w:rsidRPr="00096AFC">
        <w:rPr>
          <w:sz w:val="24"/>
          <w:szCs w:val="24"/>
        </w:rPr>
        <w:t xml:space="preserve"> effektive dosis i den korteste tid, der er nødvendig for at kontrollere symptomerne (se pkt. 4.2 og </w:t>
      </w:r>
      <w:proofErr w:type="spellStart"/>
      <w:r w:rsidRPr="00096AFC">
        <w:rPr>
          <w:i/>
          <w:iCs/>
          <w:sz w:val="24"/>
          <w:szCs w:val="24"/>
        </w:rPr>
        <w:t>Gastrointestinale</w:t>
      </w:r>
      <w:proofErr w:type="spellEnd"/>
      <w:r w:rsidRPr="00096AFC">
        <w:rPr>
          <w:i/>
          <w:iCs/>
          <w:sz w:val="24"/>
          <w:szCs w:val="24"/>
        </w:rPr>
        <w:t xml:space="preserve"> hændelser</w:t>
      </w:r>
      <w:r w:rsidRPr="00096AFC">
        <w:rPr>
          <w:sz w:val="24"/>
          <w:szCs w:val="24"/>
        </w:rPr>
        <w:t xml:space="preserve"> samt </w:t>
      </w:r>
      <w:proofErr w:type="spellStart"/>
      <w:r w:rsidRPr="00096AFC">
        <w:rPr>
          <w:i/>
          <w:iCs/>
          <w:sz w:val="24"/>
          <w:szCs w:val="24"/>
        </w:rPr>
        <w:t>Kardiovaskulære</w:t>
      </w:r>
      <w:proofErr w:type="spellEnd"/>
      <w:r w:rsidRPr="00096AFC">
        <w:rPr>
          <w:i/>
          <w:iCs/>
          <w:sz w:val="24"/>
          <w:szCs w:val="24"/>
        </w:rPr>
        <w:t xml:space="preserve"> </w:t>
      </w:r>
      <w:proofErr w:type="spellStart"/>
      <w:r w:rsidRPr="00096AFC">
        <w:rPr>
          <w:i/>
          <w:iCs/>
          <w:sz w:val="24"/>
          <w:szCs w:val="24"/>
        </w:rPr>
        <w:t>trombotiske</w:t>
      </w:r>
      <w:proofErr w:type="spellEnd"/>
      <w:r w:rsidRPr="00096AFC">
        <w:rPr>
          <w:i/>
          <w:iCs/>
          <w:sz w:val="24"/>
          <w:szCs w:val="24"/>
        </w:rPr>
        <w:t xml:space="preserve"> hændelser</w:t>
      </w:r>
      <w:r w:rsidRPr="00096AFC">
        <w:rPr>
          <w:sz w:val="24"/>
          <w:szCs w:val="24"/>
        </w:rPr>
        <w:t xml:space="preserve"> herunder). Patienter i langtidsbehandling med NSAID bør gennemgå regelmæssig lægelig supervision med henblik på monitorering for utilsigtede hændelser.</w:t>
      </w:r>
    </w:p>
    <w:p w14:paraId="0AE3A0BA" w14:textId="77777777" w:rsidR="007E1C88" w:rsidRPr="00096AFC" w:rsidRDefault="007E1C88" w:rsidP="007E1C88">
      <w:pPr>
        <w:autoSpaceDE w:val="0"/>
        <w:autoSpaceDN w:val="0"/>
        <w:adjustRightInd w:val="0"/>
        <w:ind w:left="851" w:hanging="851"/>
        <w:rPr>
          <w:sz w:val="24"/>
          <w:szCs w:val="24"/>
        </w:rPr>
      </w:pPr>
    </w:p>
    <w:p w14:paraId="5999A6FB" w14:textId="77777777" w:rsidR="007E1C88" w:rsidRPr="00096AFC" w:rsidRDefault="007E1C88" w:rsidP="007E1C88">
      <w:pPr>
        <w:ind w:left="851"/>
        <w:rPr>
          <w:i/>
          <w:sz w:val="24"/>
          <w:szCs w:val="24"/>
        </w:rPr>
      </w:pPr>
      <w:r w:rsidRPr="00096AFC">
        <w:rPr>
          <w:i/>
          <w:sz w:val="24"/>
          <w:szCs w:val="24"/>
        </w:rPr>
        <w:t>Nedsat leverfunktion</w:t>
      </w:r>
    </w:p>
    <w:p w14:paraId="76A7D9DA" w14:textId="77777777" w:rsidR="007E1C88" w:rsidRPr="00096AFC" w:rsidRDefault="007E1C88" w:rsidP="007E1C88">
      <w:pPr>
        <w:ind w:left="851"/>
        <w:rPr>
          <w:sz w:val="24"/>
          <w:szCs w:val="24"/>
        </w:rPr>
      </w:pPr>
      <w:r w:rsidRPr="00096AFC">
        <w:rPr>
          <w:sz w:val="24"/>
          <w:szCs w:val="24"/>
        </w:rPr>
        <w:t xml:space="preserve">Brug af paracetamol i højere doser end de anbefalede kan medføre </w:t>
      </w:r>
      <w:proofErr w:type="spellStart"/>
      <w:r w:rsidRPr="00096AFC">
        <w:rPr>
          <w:sz w:val="24"/>
          <w:szCs w:val="24"/>
        </w:rPr>
        <w:t>hepatotoksicitet</w:t>
      </w:r>
      <w:proofErr w:type="spellEnd"/>
      <w:r w:rsidRPr="00096AFC">
        <w:rPr>
          <w:sz w:val="24"/>
          <w:szCs w:val="24"/>
        </w:rPr>
        <w:t xml:space="preserve"> og endda leversvigt eller død. Hos patienter med nedsat leverfunktion eller leversygdom i anamnesen, eller som er i langtidsbehandling med ibuprofen eller paracetamol, bør leverfunktionen monitoreres med jævne mellemrum, da ibuprofen ifølge indberetninger kan have en mindre og forbigående indvirkning på leverenzymerne.</w:t>
      </w:r>
    </w:p>
    <w:p w14:paraId="205D64E7" w14:textId="77777777" w:rsidR="007E1C88" w:rsidRPr="00096AFC" w:rsidRDefault="007E1C88" w:rsidP="007E1C88">
      <w:pPr>
        <w:autoSpaceDE w:val="0"/>
        <w:autoSpaceDN w:val="0"/>
        <w:adjustRightInd w:val="0"/>
        <w:ind w:left="851"/>
        <w:rPr>
          <w:sz w:val="24"/>
          <w:szCs w:val="24"/>
        </w:rPr>
      </w:pPr>
      <w:r w:rsidRPr="00096AFC">
        <w:rPr>
          <w:sz w:val="24"/>
          <w:szCs w:val="24"/>
        </w:rPr>
        <w:t xml:space="preserve">Svære leverreaktioner, herunder gulsot og tilfælde af fatal hepatitis er, om end sjældent, blevet indberettet med ibuprofen ligesom med andre NSAID. Ved vedvarende abnorme levertest eller ved udvikling af kliniske tegn eller symptomer, der stemmer overens med leversygdom, eller hvis der opstår kliniske manifestationer (f.eks. </w:t>
      </w:r>
      <w:proofErr w:type="spellStart"/>
      <w:r w:rsidRPr="00096AFC">
        <w:rPr>
          <w:sz w:val="24"/>
          <w:szCs w:val="24"/>
        </w:rPr>
        <w:t>eosinofili</w:t>
      </w:r>
      <w:proofErr w:type="spellEnd"/>
      <w:r w:rsidRPr="00096AFC">
        <w:rPr>
          <w:sz w:val="24"/>
          <w:szCs w:val="24"/>
        </w:rPr>
        <w:t xml:space="preserve">, udslæt osv.), bør ibuprofen seponeres. Begge aktive lægemidler har ifølge indberetninger forårsaget </w:t>
      </w:r>
      <w:proofErr w:type="spellStart"/>
      <w:r w:rsidRPr="00096AFC">
        <w:rPr>
          <w:sz w:val="24"/>
          <w:szCs w:val="24"/>
        </w:rPr>
        <w:t>hepatotoksicitet</w:t>
      </w:r>
      <w:proofErr w:type="spellEnd"/>
      <w:r w:rsidRPr="00096AFC">
        <w:rPr>
          <w:sz w:val="24"/>
          <w:szCs w:val="24"/>
        </w:rPr>
        <w:t xml:space="preserve"> og endda leversvigt, særlig paracetamol.</w:t>
      </w:r>
    </w:p>
    <w:p w14:paraId="39F4AA31" w14:textId="77777777" w:rsidR="007E1C88" w:rsidRPr="00096AFC" w:rsidRDefault="007E1C88" w:rsidP="007E1C88">
      <w:pPr>
        <w:autoSpaceDE w:val="0"/>
        <w:autoSpaceDN w:val="0"/>
        <w:adjustRightInd w:val="0"/>
        <w:ind w:left="851"/>
        <w:rPr>
          <w:sz w:val="24"/>
          <w:szCs w:val="24"/>
        </w:rPr>
      </w:pPr>
      <w:r w:rsidRPr="00096AFC">
        <w:rPr>
          <w:sz w:val="24"/>
          <w:szCs w:val="24"/>
        </w:rPr>
        <w:t>Patienter bør rådes til ikke at tage andre produkter, der indeholder paracetamol eller ibuprofen, samtidig.</w:t>
      </w:r>
    </w:p>
    <w:p w14:paraId="7A31DD15" w14:textId="77777777" w:rsidR="007E1C88" w:rsidRPr="00096AFC" w:rsidRDefault="007E1C88" w:rsidP="007E1C88">
      <w:pPr>
        <w:autoSpaceDE w:val="0"/>
        <w:autoSpaceDN w:val="0"/>
        <w:adjustRightInd w:val="0"/>
        <w:ind w:left="851" w:hanging="851"/>
        <w:rPr>
          <w:sz w:val="24"/>
          <w:szCs w:val="24"/>
        </w:rPr>
      </w:pPr>
    </w:p>
    <w:p w14:paraId="65FB732D" w14:textId="77777777" w:rsidR="007E1C88" w:rsidRPr="00096AFC" w:rsidRDefault="007E1C88" w:rsidP="007E1C88">
      <w:pPr>
        <w:autoSpaceDE w:val="0"/>
        <w:autoSpaceDN w:val="0"/>
        <w:adjustRightInd w:val="0"/>
        <w:ind w:left="851"/>
        <w:rPr>
          <w:sz w:val="24"/>
          <w:szCs w:val="24"/>
        </w:rPr>
      </w:pPr>
      <w:r w:rsidRPr="00096AFC">
        <w:rPr>
          <w:i/>
          <w:iCs/>
          <w:sz w:val="24"/>
          <w:szCs w:val="24"/>
        </w:rPr>
        <w:t>Nedsat nyrefunktion</w:t>
      </w:r>
    </w:p>
    <w:p w14:paraId="7A7E6B9F" w14:textId="77777777" w:rsidR="007E1C88" w:rsidRDefault="007E1C88" w:rsidP="007E1C88">
      <w:pPr>
        <w:autoSpaceDE w:val="0"/>
        <w:autoSpaceDN w:val="0"/>
        <w:adjustRightInd w:val="0"/>
        <w:ind w:left="851"/>
        <w:rPr>
          <w:sz w:val="24"/>
          <w:szCs w:val="24"/>
        </w:rPr>
      </w:pPr>
      <w:r w:rsidRPr="00096AFC">
        <w:rPr>
          <w:sz w:val="24"/>
          <w:szCs w:val="24"/>
        </w:rPr>
        <w:t>Forsigtighed tilrådes ved administration af paracetamol til patienter med moderat og svær nyreinsufficiens. For ibuprofen-komponenten i dette produkt skal der udvises forsigtighed ved initiering af behandling med ibuprofen hos patienter med dehydrering eller nedsat nyrefunktion. Ibuprofens to hovedmetabolitter udskilles hovedsageligt i urinen, og nedsat nyrefunktion kan medføre ophobning af dem. Betydningen af dette er ukendt. Brug af NSAID kan medføre forringelse af nyrefunktionen. Dosis bør holdes så lav som muligt, og nyrefunktionen bør vurderes før initiering af behandlingen og regelmæssigt derefter.</w:t>
      </w:r>
    </w:p>
    <w:p w14:paraId="5EF3B0A4" w14:textId="77777777" w:rsidR="00540B5A" w:rsidRPr="00096AFC" w:rsidRDefault="00540B5A" w:rsidP="007E1C88">
      <w:pPr>
        <w:autoSpaceDE w:val="0"/>
        <w:autoSpaceDN w:val="0"/>
        <w:adjustRightInd w:val="0"/>
        <w:ind w:left="851"/>
        <w:rPr>
          <w:sz w:val="24"/>
          <w:szCs w:val="24"/>
        </w:rPr>
      </w:pPr>
    </w:p>
    <w:p w14:paraId="45CC6369" w14:textId="77777777" w:rsidR="00540B5A" w:rsidRDefault="00540B5A" w:rsidP="00540B5A">
      <w:pPr>
        <w:autoSpaceDE w:val="0"/>
        <w:autoSpaceDN w:val="0"/>
        <w:adjustRightInd w:val="0"/>
        <w:ind w:left="851" w:hanging="851"/>
        <w:rPr>
          <w:i/>
          <w:sz w:val="24"/>
          <w:szCs w:val="24"/>
        </w:rPr>
      </w:pPr>
      <w:r>
        <w:rPr>
          <w:sz w:val="24"/>
          <w:szCs w:val="24"/>
        </w:rPr>
        <w:lastRenderedPageBreak/>
        <w:tab/>
      </w:r>
      <w:r w:rsidRPr="001D252B">
        <w:rPr>
          <w:i/>
          <w:sz w:val="24"/>
          <w:szCs w:val="24"/>
        </w:rPr>
        <w:t xml:space="preserve">Metabolisk </w:t>
      </w:r>
      <w:proofErr w:type="spellStart"/>
      <w:r w:rsidRPr="001D252B">
        <w:rPr>
          <w:i/>
          <w:sz w:val="24"/>
          <w:szCs w:val="24"/>
        </w:rPr>
        <w:t>acidose</w:t>
      </w:r>
      <w:proofErr w:type="spellEnd"/>
      <w:r w:rsidRPr="001D252B">
        <w:rPr>
          <w:i/>
          <w:sz w:val="24"/>
          <w:szCs w:val="24"/>
        </w:rPr>
        <w:t xml:space="preserve"> med højt anion-</w:t>
      </w:r>
      <w:proofErr w:type="spellStart"/>
      <w:r w:rsidRPr="001D252B">
        <w:rPr>
          <w:i/>
          <w:sz w:val="24"/>
          <w:szCs w:val="24"/>
        </w:rPr>
        <w:t>gap</w:t>
      </w:r>
      <w:proofErr w:type="spellEnd"/>
      <w:r w:rsidRPr="001D252B">
        <w:rPr>
          <w:i/>
          <w:sz w:val="24"/>
          <w:szCs w:val="24"/>
        </w:rPr>
        <w:t xml:space="preserve"> (HAGMA)</w:t>
      </w:r>
    </w:p>
    <w:p w14:paraId="4D0E9932" w14:textId="77777777" w:rsidR="00540B5A" w:rsidRPr="001D252B" w:rsidRDefault="00540B5A" w:rsidP="00540B5A">
      <w:pPr>
        <w:autoSpaceDE w:val="0"/>
        <w:autoSpaceDN w:val="0"/>
        <w:adjustRightInd w:val="0"/>
        <w:ind w:left="851" w:hanging="851"/>
        <w:rPr>
          <w:i/>
          <w:sz w:val="24"/>
          <w:szCs w:val="24"/>
        </w:rPr>
      </w:pPr>
    </w:p>
    <w:p w14:paraId="4417FC24" w14:textId="77777777" w:rsidR="00540B5A" w:rsidRPr="00096AFC" w:rsidRDefault="00540B5A" w:rsidP="00540B5A">
      <w:pPr>
        <w:autoSpaceDE w:val="0"/>
        <w:autoSpaceDN w:val="0"/>
        <w:adjustRightInd w:val="0"/>
        <w:ind w:left="851"/>
        <w:rPr>
          <w:sz w:val="24"/>
          <w:szCs w:val="24"/>
        </w:rPr>
      </w:pPr>
      <w:r w:rsidRPr="00F432C8">
        <w:rPr>
          <w:sz w:val="24"/>
          <w:szCs w:val="24"/>
        </w:rPr>
        <w:t xml:space="preserve">Forsigtighed tilrådes, når paracetamol gives samtidigt med </w:t>
      </w:r>
      <w:proofErr w:type="spellStart"/>
      <w:r w:rsidRPr="00F432C8">
        <w:rPr>
          <w:sz w:val="24"/>
          <w:szCs w:val="24"/>
        </w:rPr>
        <w:t>flucloxacillin</w:t>
      </w:r>
      <w:proofErr w:type="spellEnd"/>
      <w:r w:rsidRPr="00F432C8">
        <w:rPr>
          <w:sz w:val="24"/>
          <w:szCs w:val="24"/>
        </w:rPr>
        <w:t xml:space="preserve"> på grund af den forhøjede risiko for metabolisk </w:t>
      </w:r>
      <w:proofErr w:type="spellStart"/>
      <w:r w:rsidRPr="00F432C8">
        <w:rPr>
          <w:sz w:val="24"/>
          <w:szCs w:val="24"/>
        </w:rPr>
        <w:t>acidose</w:t>
      </w:r>
      <w:proofErr w:type="spellEnd"/>
      <w:r w:rsidRPr="00F432C8">
        <w:rPr>
          <w:sz w:val="24"/>
          <w:szCs w:val="24"/>
        </w:rPr>
        <w:t xml:space="preserve"> med højt anion-</w:t>
      </w:r>
      <w:proofErr w:type="spellStart"/>
      <w:r w:rsidRPr="00F432C8">
        <w:rPr>
          <w:sz w:val="24"/>
          <w:szCs w:val="24"/>
        </w:rPr>
        <w:t>gap</w:t>
      </w:r>
      <w:proofErr w:type="spellEnd"/>
      <w:r w:rsidRPr="00F432C8">
        <w:rPr>
          <w:sz w:val="24"/>
          <w:szCs w:val="24"/>
        </w:rPr>
        <w:t xml:space="preserve"> (HAGMA), særligt for patienter med svært nedsat nyrefunktion, sepsis, fejlernæring og andre kilder til </w:t>
      </w:r>
      <w:proofErr w:type="spellStart"/>
      <w:r w:rsidRPr="00F432C8">
        <w:rPr>
          <w:sz w:val="24"/>
          <w:szCs w:val="24"/>
        </w:rPr>
        <w:t>glutathionmangel</w:t>
      </w:r>
      <w:proofErr w:type="spellEnd"/>
      <w:r w:rsidRPr="00F432C8">
        <w:rPr>
          <w:sz w:val="24"/>
          <w:szCs w:val="24"/>
        </w:rPr>
        <w:t xml:space="preserve"> (f.eks. kronisk alkoholisme), så vel som for dem, der anvender maksimale daglige doser af paracetamol. Tæt monitorering anbefales herunder måling af 5-oxoprolin i urinen</w:t>
      </w:r>
      <w:r>
        <w:rPr>
          <w:sz w:val="24"/>
          <w:szCs w:val="24"/>
        </w:rPr>
        <w:t>.</w:t>
      </w:r>
    </w:p>
    <w:p w14:paraId="6730B6E9" w14:textId="77777777" w:rsidR="007E1C88" w:rsidRPr="00096AFC" w:rsidRDefault="007E1C88" w:rsidP="007E1C88">
      <w:pPr>
        <w:autoSpaceDE w:val="0"/>
        <w:autoSpaceDN w:val="0"/>
        <w:adjustRightInd w:val="0"/>
        <w:ind w:left="851" w:hanging="851"/>
        <w:rPr>
          <w:sz w:val="24"/>
          <w:szCs w:val="24"/>
        </w:rPr>
      </w:pPr>
    </w:p>
    <w:p w14:paraId="52E5ED92" w14:textId="77777777" w:rsidR="007E1C88" w:rsidRPr="00054D1F" w:rsidRDefault="007E1C88" w:rsidP="00054D1F">
      <w:pPr>
        <w:ind w:left="851"/>
        <w:rPr>
          <w:i/>
          <w:sz w:val="24"/>
          <w:szCs w:val="24"/>
        </w:rPr>
      </w:pPr>
      <w:r w:rsidRPr="00054D1F">
        <w:rPr>
          <w:i/>
          <w:sz w:val="24"/>
          <w:szCs w:val="24"/>
        </w:rPr>
        <w:t>Kombineret brug af ACE-</w:t>
      </w:r>
      <w:proofErr w:type="spellStart"/>
      <w:r w:rsidRPr="00054D1F">
        <w:rPr>
          <w:i/>
          <w:sz w:val="24"/>
          <w:szCs w:val="24"/>
        </w:rPr>
        <w:t>hæmmere</w:t>
      </w:r>
      <w:proofErr w:type="spellEnd"/>
      <w:r w:rsidRPr="00054D1F">
        <w:rPr>
          <w:i/>
          <w:sz w:val="24"/>
          <w:szCs w:val="24"/>
        </w:rPr>
        <w:t xml:space="preserve"> eller </w:t>
      </w:r>
      <w:proofErr w:type="spellStart"/>
      <w:r w:rsidRPr="00054D1F">
        <w:rPr>
          <w:i/>
          <w:sz w:val="24"/>
          <w:szCs w:val="24"/>
        </w:rPr>
        <w:t>angiotensinreceptorantagonister</w:t>
      </w:r>
      <w:proofErr w:type="spellEnd"/>
      <w:r w:rsidRPr="00054D1F">
        <w:rPr>
          <w:i/>
          <w:sz w:val="24"/>
          <w:szCs w:val="24"/>
        </w:rPr>
        <w:t xml:space="preserve">, anti-inflammatoriske lægemidler og </w:t>
      </w:r>
      <w:proofErr w:type="spellStart"/>
      <w:r w:rsidRPr="00054D1F">
        <w:rPr>
          <w:i/>
          <w:sz w:val="24"/>
          <w:szCs w:val="24"/>
        </w:rPr>
        <w:t>thiazid-diuretika</w:t>
      </w:r>
      <w:proofErr w:type="spellEnd"/>
      <w:r w:rsidRPr="00054D1F">
        <w:rPr>
          <w:i/>
          <w:sz w:val="24"/>
          <w:szCs w:val="24"/>
        </w:rPr>
        <w:t>.</w:t>
      </w:r>
    </w:p>
    <w:p w14:paraId="59D7ED94" w14:textId="77777777" w:rsidR="007E1C88" w:rsidRPr="00096AFC" w:rsidRDefault="007E1C88" w:rsidP="007E1C88">
      <w:pPr>
        <w:autoSpaceDE w:val="0"/>
        <w:autoSpaceDN w:val="0"/>
        <w:adjustRightInd w:val="0"/>
        <w:ind w:left="851"/>
        <w:rPr>
          <w:sz w:val="24"/>
          <w:szCs w:val="24"/>
        </w:rPr>
      </w:pPr>
      <w:r w:rsidRPr="00096AFC">
        <w:rPr>
          <w:sz w:val="24"/>
          <w:szCs w:val="24"/>
        </w:rPr>
        <w:t xml:space="preserve">Brug af et ACE-hæmmende lægemiddel (ACE-hæmmer eller </w:t>
      </w:r>
      <w:proofErr w:type="spellStart"/>
      <w:r w:rsidRPr="00096AFC">
        <w:rPr>
          <w:sz w:val="24"/>
          <w:szCs w:val="24"/>
        </w:rPr>
        <w:t>angiotensinreceptor</w:t>
      </w:r>
      <w:r>
        <w:rPr>
          <w:sz w:val="24"/>
          <w:szCs w:val="24"/>
        </w:rPr>
        <w:softHyphen/>
      </w:r>
      <w:r w:rsidRPr="00096AFC">
        <w:rPr>
          <w:sz w:val="24"/>
          <w:szCs w:val="24"/>
        </w:rPr>
        <w:t>antagonist</w:t>
      </w:r>
      <w:proofErr w:type="spellEnd"/>
      <w:r w:rsidRPr="00096AFC">
        <w:rPr>
          <w:sz w:val="24"/>
          <w:szCs w:val="24"/>
        </w:rPr>
        <w:t xml:space="preserve">), et anti-inflammatorisk lægemiddel (NSAID eller COX-2-hæmmer) og </w:t>
      </w:r>
      <w:proofErr w:type="spellStart"/>
      <w:r w:rsidRPr="00096AFC">
        <w:rPr>
          <w:sz w:val="24"/>
          <w:szCs w:val="24"/>
        </w:rPr>
        <w:t>thiazid-diuretikum</w:t>
      </w:r>
      <w:proofErr w:type="spellEnd"/>
      <w:r w:rsidRPr="00096AFC">
        <w:rPr>
          <w:sz w:val="24"/>
          <w:szCs w:val="24"/>
        </w:rPr>
        <w:t xml:space="preserve"> på samme tid kan øge risikoen for nedsat nyrefunktion. Dette gælder også brug i produkter med faste kombinationer, som indeholder mere end én lægemiddelklasse. Kombineret brug af disse lægemidler bør ledsages af øget monitorering af </w:t>
      </w:r>
      <w:proofErr w:type="spellStart"/>
      <w:r w:rsidRPr="00096AFC">
        <w:rPr>
          <w:sz w:val="24"/>
          <w:szCs w:val="24"/>
        </w:rPr>
        <w:t>serumkreatin</w:t>
      </w:r>
      <w:proofErr w:type="spellEnd"/>
      <w:r w:rsidRPr="00096AFC">
        <w:rPr>
          <w:sz w:val="24"/>
          <w:szCs w:val="24"/>
        </w:rPr>
        <w:t>, særlig når kombinationen iværksættes. Kombination af lægemidler fra disse tre klasser bør anvendes med forsigtighed, særlig hos ældre patienter eller patienter med kendt nedsat nyrefunktion.</w:t>
      </w:r>
    </w:p>
    <w:p w14:paraId="4BC2240D" w14:textId="77777777" w:rsidR="007E1C88" w:rsidRPr="00096AFC" w:rsidRDefault="007E1C88" w:rsidP="007E1C88">
      <w:pPr>
        <w:autoSpaceDE w:val="0"/>
        <w:autoSpaceDN w:val="0"/>
        <w:adjustRightInd w:val="0"/>
        <w:ind w:left="851" w:hanging="851"/>
        <w:rPr>
          <w:sz w:val="24"/>
          <w:szCs w:val="24"/>
        </w:rPr>
      </w:pPr>
    </w:p>
    <w:p w14:paraId="71EDE607" w14:textId="77777777" w:rsidR="007E1C88" w:rsidRPr="00096AFC" w:rsidRDefault="007E1C88" w:rsidP="007E1C88">
      <w:pPr>
        <w:autoSpaceDE w:val="0"/>
        <w:autoSpaceDN w:val="0"/>
        <w:adjustRightInd w:val="0"/>
        <w:ind w:left="851"/>
        <w:rPr>
          <w:sz w:val="24"/>
          <w:szCs w:val="24"/>
        </w:rPr>
      </w:pPr>
      <w:r w:rsidRPr="00096AFC">
        <w:rPr>
          <w:i/>
          <w:iCs/>
          <w:sz w:val="24"/>
          <w:szCs w:val="24"/>
        </w:rPr>
        <w:t>Ældre</w:t>
      </w:r>
    </w:p>
    <w:p w14:paraId="4E9E9C8B" w14:textId="77777777" w:rsidR="007E1C88" w:rsidRPr="00096AFC" w:rsidRDefault="007E1C88" w:rsidP="007E1C88">
      <w:pPr>
        <w:autoSpaceDE w:val="0"/>
        <w:autoSpaceDN w:val="0"/>
        <w:adjustRightInd w:val="0"/>
        <w:ind w:left="851"/>
        <w:rPr>
          <w:sz w:val="24"/>
          <w:szCs w:val="24"/>
        </w:rPr>
      </w:pPr>
      <w:r w:rsidRPr="00096AFC">
        <w:rPr>
          <w:sz w:val="24"/>
          <w:szCs w:val="24"/>
        </w:rPr>
        <w:t xml:space="preserve">Justering af den angivne dosering er ikke nødvendig for ældre patienter med behov for behandling med paracetamol. Patienter med behov for behandling i mere end 3 dage bør rådføre sig med deres læge med henblik på monitorering af deres tilstand. Reduktion af den anbefalede dosering er dog ikke nødvendig. Der bør imidlertid udvises forsigtighed med hensyn til anvendelse af ibuprofen, da det ikke bør tages af voksne over 65 år uden hensyntagen til </w:t>
      </w:r>
      <w:proofErr w:type="spellStart"/>
      <w:r w:rsidRPr="00096AFC">
        <w:rPr>
          <w:sz w:val="24"/>
          <w:szCs w:val="24"/>
        </w:rPr>
        <w:t>co</w:t>
      </w:r>
      <w:proofErr w:type="spellEnd"/>
      <w:r w:rsidRPr="00096AFC">
        <w:rPr>
          <w:sz w:val="24"/>
          <w:szCs w:val="24"/>
        </w:rPr>
        <w:t xml:space="preserve">-morbiditeter og samtidig medicinering pga. en forhøjet risiko for bivirkninger, især hjerteinsufficiens, </w:t>
      </w:r>
      <w:proofErr w:type="spellStart"/>
      <w:r w:rsidRPr="00096AFC">
        <w:rPr>
          <w:sz w:val="24"/>
          <w:szCs w:val="24"/>
        </w:rPr>
        <w:t>gastrointestinal</w:t>
      </w:r>
      <w:proofErr w:type="spellEnd"/>
      <w:r w:rsidRPr="00096AFC">
        <w:rPr>
          <w:sz w:val="24"/>
          <w:szCs w:val="24"/>
        </w:rPr>
        <w:t xml:space="preserve"> </w:t>
      </w:r>
      <w:proofErr w:type="spellStart"/>
      <w:r w:rsidRPr="00096AFC">
        <w:rPr>
          <w:sz w:val="24"/>
          <w:szCs w:val="24"/>
        </w:rPr>
        <w:t>ulceration</w:t>
      </w:r>
      <w:proofErr w:type="spellEnd"/>
      <w:r w:rsidRPr="00096AFC">
        <w:rPr>
          <w:sz w:val="24"/>
          <w:szCs w:val="24"/>
        </w:rPr>
        <w:t xml:space="preserve"> og nedsat nyrefunktion.</w:t>
      </w:r>
    </w:p>
    <w:p w14:paraId="35E86008" w14:textId="77777777" w:rsidR="007E1C88" w:rsidRPr="00096AFC" w:rsidRDefault="007E1C88" w:rsidP="007E1C88">
      <w:pPr>
        <w:autoSpaceDE w:val="0"/>
        <w:autoSpaceDN w:val="0"/>
        <w:adjustRightInd w:val="0"/>
        <w:ind w:left="851" w:hanging="851"/>
        <w:rPr>
          <w:sz w:val="24"/>
          <w:szCs w:val="24"/>
        </w:rPr>
      </w:pPr>
    </w:p>
    <w:p w14:paraId="2EB8DD16" w14:textId="77777777" w:rsidR="007E1C88" w:rsidRPr="00096AFC" w:rsidRDefault="007E1C88" w:rsidP="007E1C88">
      <w:pPr>
        <w:autoSpaceDE w:val="0"/>
        <w:autoSpaceDN w:val="0"/>
        <w:adjustRightInd w:val="0"/>
        <w:ind w:left="851"/>
        <w:rPr>
          <w:sz w:val="24"/>
          <w:szCs w:val="24"/>
        </w:rPr>
      </w:pPr>
      <w:r w:rsidRPr="00096AFC">
        <w:rPr>
          <w:i/>
          <w:iCs/>
          <w:sz w:val="24"/>
          <w:szCs w:val="24"/>
        </w:rPr>
        <w:t>Hæmatologiske virkninger</w:t>
      </w:r>
    </w:p>
    <w:p w14:paraId="05066817" w14:textId="77777777" w:rsidR="007E1C88" w:rsidRPr="00096AFC" w:rsidRDefault="007E1C88" w:rsidP="007E1C88">
      <w:pPr>
        <w:autoSpaceDE w:val="0"/>
        <w:autoSpaceDN w:val="0"/>
        <w:adjustRightInd w:val="0"/>
        <w:ind w:left="851"/>
        <w:rPr>
          <w:sz w:val="24"/>
          <w:szCs w:val="24"/>
        </w:rPr>
      </w:pPr>
      <w:r w:rsidRPr="00096AFC">
        <w:rPr>
          <w:sz w:val="24"/>
          <w:szCs w:val="24"/>
        </w:rPr>
        <w:t xml:space="preserve">Der er i sjældne tilfælde indberettet </w:t>
      </w:r>
      <w:proofErr w:type="spellStart"/>
      <w:r w:rsidRPr="00096AFC">
        <w:rPr>
          <w:sz w:val="24"/>
          <w:szCs w:val="24"/>
        </w:rPr>
        <w:t>bloddyskrasier</w:t>
      </w:r>
      <w:proofErr w:type="spellEnd"/>
      <w:r w:rsidRPr="00096AFC">
        <w:rPr>
          <w:sz w:val="24"/>
          <w:szCs w:val="24"/>
        </w:rPr>
        <w:t>. Patienter i langtidsbehandling med ibuprofen bør have regelmæssig hæmatologisk monitorering.</w:t>
      </w:r>
    </w:p>
    <w:p w14:paraId="61D3FEB0" w14:textId="77777777" w:rsidR="007E1C88" w:rsidRPr="00096AFC" w:rsidRDefault="007E1C88" w:rsidP="007E1C88">
      <w:pPr>
        <w:autoSpaceDE w:val="0"/>
        <w:autoSpaceDN w:val="0"/>
        <w:adjustRightInd w:val="0"/>
        <w:ind w:left="851" w:hanging="851"/>
        <w:rPr>
          <w:sz w:val="24"/>
          <w:szCs w:val="24"/>
        </w:rPr>
      </w:pPr>
    </w:p>
    <w:p w14:paraId="1CDE98F4" w14:textId="77777777" w:rsidR="007E1C88" w:rsidRPr="00096AFC" w:rsidRDefault="007E1C88" w:rsidP="007E1C88">
      <w:pPr>
        <w:autoSpaceDE w:val="0"/>
        <w:autoSpaceDN w:val="0"/>
        <w:adjustRightInd w:val="0"/>
        <w:ind w:left="851"/>
        <w:rPr>
          <w:sz w:val="24"/>
          <w:szCs w:val="24"/>
        </w:rPr>
      </w:pPr>
      <w:r w:rsidRPr="00096AFC">
        <w:rPr>
          <w:sz w:val="24"/>
          <w:szCs w:val="24"/>
          <w:u w:val="single"/>
        </w:rPr>
        <w:t>Koagulationsdefekter</w:t>
      </w:r>
    </w:p>
    <w:p w14:paraId="229E9B83" w14:textId="77777777" w:rsidR="007E1C88" w:rsidRPr="00096AFC" w:rsidRDefault="007E1C88" w:rsidP="007E1C88">
      <w:pPr>
        <w:autoSpaceDE w:val="0"/>
        <w:autoSpaceDN w:val="0"/>
        <w:adjustRightInd w:val="0"/>
        <w:ind w:left="851"/>
        <w:rPr>
          <w:sz w:val="24"/>
          <w:szCs w:val="24"/>
        </w:rPr>
      </w:pPr>
      <w:r w:rsidRPr="00096AFC">
        <w:rPr>
          <w:sz w:val="24"/>
          <w:szCs w:val="24"/>
        </w:rPr>
        <w:t xml:space="preserve">Ligesom andre NSAID kan ibuprofen hæmme </w:t>
      </w:r>
      <w:proofErr w:type="spellStart"/>
      <w:r w:rsidRPr="00096AFC">
        <w:rPr>
          <w:sz w:val="24"/>
          <w:szCs w:val="24"/>
        </w:rPr>
        <w:t>trombocytaggregation</w:t>
      </w:r>
      <w:proofErr w:type="spellEnd"/>
      <w:r w:rsidRPr="00096AFC">
        <w:rPr>
          <w:sz w:val="24"/>
          <w:szCs w:val="24"/>
        </w:rPr>
        <w:t xml:space="preserve">. Det er påvist, at ibuprofen forlænger blødningstiden (men inden for normalområdet) hos raske forsøgspersoner. Fordi den blødningsforlængende virkning kan være forstærket hos patienter med underliggende </w:t>
      </w:r>
      <w:proofErr w:type="spellStart"/>
      <w:r w:rsidRPr="00096AFC">
        <w:rPr>
          <w:sz w:val="24"/>
          <w:szCs w:val="24"/>
        </w:rPr>
        <w:t>hæmostasedefekter</w:t>
      </w:r>
      <w:proofErr w:type="spellEnd"/>
      <w:r w:rsidRPr="00096AFC">
        <w:rPr>
          <w:sz w:val="24"/>
          <w:szCs w:val="24"/>
        </w:rPr>
        <w:t xml:space="preserve">, bør produkter, der indeholder ibuprofen, anvendes med forsigtighed hos personer med </w:t>
      </w:r>
      <w:proofErr w:type="spellStart"/>
      <w:r w:rsidRPr="00096AFC">
        <w:rPr>
          <w:sz w:val="24"/>
          <w:szCs w:val="24"/>
        </w:rPr>
        <w:t>intrinsiske</w:t>
      </w:r>
      <w:proofErr w:type="spellEnd"/>
      <w:r w:rsidRPr="00096AFC">
        <w:rPr>
          <w:sz w:val="24"/>
          <w:szCs w:val="24"/>
        </w:rPr>
        <w:t xml:space="preserve"> koagulationsdefekter og patienter i antikoagulerende behandling.</w:t>
      </w:r>
    </w:p>
    <w:p w14:paraId="39C0C662" w14:textId="77777777" w:rsidR="007E1C88" w:rsidRPr="00096AFC" w:rsidRDefault="007E1C88" w:rsidP="007E1C88">
      <w:pPr>
        <w:autoSpaceDE w:val="0"/>
        <w:autoSpaceDN w:val="0"/>
        <w:adjustRightInd w:val="0"/>
        <w:ind w:left="851" w:hanging="851"/>
        <w:rPr>
          <w:sz w:val="24"/>
          <w:szCs w:val="24"/>
        </w:rPr>
      </w:pPr>
    </w:p>
    <w:p w14:paraId="3387769E" w14:textId="77777777" w:rsidR="007E1C88" w:rsidRPr="00096AFC" w:rsidRDefault="007E1C88" w:rsidP="007E1C88">
      <w:pPr>
        <w:ind w:left="851"/>
        <w:rPr>
          <w:i/>
          <w:sz w:val="24"/>
          <w:szCs w:val="24"/>
        </w:rPr>
      </w:pPr>
      <w:proofErr w:type="spellStart"/>
      <w:r w:rsidRPr="00096AFC">
        <w:rPr>
          <w:i/>
          <w:sz w:val="24"/>
          <w:szCs w:val="24"/>
        </w:rPr>
        <w:t>Gastrointestinale</w:t>
      </w:r>
      <w:proofErr w:type="spellEnd"/>
      <w:r w:rsidRPr="00096AFC">
        <w:rPr>
          <w:i/>
          <w:sz w:val="24"/>
          <w:szCs w:val="24"/>
        </w:rPr>
        <w:t xml:space="preserve"> hændelser</w:t>
      </w:r>
    </w:p>
    <w:p w14:paraId="6EDE5D25" w14:textId="77777777" w:rsidR="007E1C88" w:rsidRPr="00096AFC" w:rsidRDefault="007E1C88" w:rsidP="007E1C88">
      <w:pPr>
        <w:ind w:left="851"/>
        <w:rPr>
          <w:sz w:val="24"/>
          <w:szCs w:val="24"/>
        </w:rPr>
      </w:pPr>
      <w:r w:rsidRPr="00096AFC">
        <w:rPr>
          <w:sz w:val="24"/>
          <w:szCs w:val="24"/>
        </w:rPr>
        <w:t xml:space="preserve">Sår i øvre </w:t>
      </w:r>
      <w:proofErr w:type="spellStart"/>
      <w:r w:rsidRPr="00096AFC">
        <w:rPr>
          <w:sz w:val="24"/>
          <w:szCs w:val="24"/>
        </w:rPr>
        <w:t>mave-tarmkanal</w:t>
      </w:r>
      <w:proofErr w:type="spellEnd"/>
      <w:r w:rsidRPr="00096AFC">
        <w:rPr>
          <w:sz w:val="24"/>
          <w:szCs w:val="24"/>
        </w:rPr>
        <w:t xml:space="preserve">, kraftig blødning eller perforation har været beskrevet med NSAID. Risikoen stiger med dosis og behandlingsvarighed og er mere almindelig hos patienter over 65 år. Nogle patienter vil opleve dyspepsi, halsbrand, kvalme, mavesmerter og diarré. </w:t>
      </w:r>
    </w:p>
    <w:p w14:paraId="63A834CC" w14:textId="77777777" w:rsidR="007E1C88" w:rsidRPr="00096AFC" w:rsidRDefault="007E1C88" w:rsidP="007E1C88">
      <w:pPr>
        <w:ind w:left="851" w:hanging="851"/>
        <w:rPr>
          <w:sz w:val="24"/>
          <w:szCs w:val="24"/>
        </w:rPr>
      </w:pPr>
    </w:p>
    <w:p w14:paraId="46FE66BA" w14:textId="77777777" w:rsidR="007E1C88" w:rsidRPr="00096AFC" w:rsidRDefault="007E1C88" w:rsidP="007E1C88">
      <w:pPr>
        <w:ind w:left="851"/>
        <w:rPr>
          <w:sz w:val="24"/>
          <w:szCs w:val="24"/>
        </w:rPr>
      </w:pPr>
      <w:r w:rsidRPr="00096AFC">
        <w:rPr>
          <w:sz w:val="24"/>
          <w:szCs w:val="24"/>
        </w:rPr>
        <w:t>På grund af ibuprofen-komponenten bør det gives med forsigtighed til patienter med GI-sygdom i anamnesen (</w:t>
      </w:r>
      <w:proofErr w:type="spellStart"/>
      <w:r w:rsidRPr="00096AFC">
        <w:rPr>
          <w:sz w:val="24"/>
          <w:szCs w:val="24"/>
        </w:rPr>
        <w:t>ulcerativ</w:t>
      </w:r>
      <w:proofErr w:type="spellEnd"/>
      <w:r w:rsidRPr="00096AFC">
        <w:rPr>
          <w:sz w:val="24"/>
          <w:szCs w:val="24"/>
        </w:rPr>
        <w:t xml:space="preserve"> colitis, </w:t>
      </w:r>
      <w:proofErr w:type="spellStart"/>
      <w:r w:rsidRPr="00096AFC">
        <w:rPr>
          <w:sz w:val="24"/>
          <w:szCs w:val="24"/>
        </w:rPr>
        <w:t>Crohns</w:t>
      </w:r>
      <w:proofErr w:type="spellEnd"/>
      <w:r w:rsidRPr="00096AFC">
        <w:rPr>
          <w:sz w:val="24"/>
          <w:szCs w:val="24"/>
        </w:rPr>
        <w:t xml:space="preserve"> sygdom) samt til patienter med </w:t>
      </w:r>
      <w:proofErr w:type="spellStart"/>
      <w:r w:rsidRPr="00096AFC">
        <w:rPr>
          <w:sz w:val="24"/>
          <w:szCs w:val="24"/>
        </w:rPr>
        <w:t>porfyri</w:t>
      </w:r>
      <w:proofErr w:type="spellEnd"/>
      <w:r w:rsidRPr="00096AFC">
        <w:rPr>
          <w:sz w:val="24"/>
          <w:szCs w:val="24"/>
        </w:rPr>
        <w:t xml:space="preserve"> og </w:t>
      </w:r>
      <w:proofErr w:type="spellStart"/>
      <w:r w:rsidRPr="00096AFC">
        <w:rPr>
          <w:sz w:val="24"/>
          <w:szCs w:val="24"/>
        </w:rPr>
        <w:t>varicella</w:t>
      </w:r>
      <w:proofErr w:type="spellEnd"/>
      <w:r w:rsidRPr="00096AFC">
        <w:rPr>
          <w:sz w:val="24"/>
          <w:szCs w:val="24"/>
        </w:rPr>
        <w:t>.</w:t>
      </w:r>
    </w:p>
    <w:p w14:paraId="28B7C7A3" w14:textId="77777777" w:rsidR="007E1C88" w:rsidRPr="00096AFC" w:rsidRDefault="007E1C88" w:rsidP="007E1C88">
      <w:pPr>
        <w:autoSpaceDE w:val="0"/>
        <w:autoSpaceDN w:val="0"/>
        <w:adjustRightInd w:val="0"/>
        <w:ind w:left="851" w:hanging="851"/>
        <w:rPr>
          <w:sz w:val="24"/>
          <w:szCs w:val="24"/>
        </w:rPr>
      </w:pPr>
    </w:p>
    <w:p w14:paraId="2D72786E" w14:textId="77777777" w:rsidR="007E1C88" w:rsidRPr="00096AFC" w:rsidRDefault="007E1C88" w:rsidP="007E1C88">
      <w:pPr>
        <w:autoSpaceDE w:val="0"/>
        <w:autoSpaceDN w:val="0"/>
        <w:adjustRightInd w:val="0"/>
        <w:ind w:left="851"/>
        <w:rPr>
          <w:sz w:val="24"/>
          <w:szCs w:val="24"/>
        </w:rPr>
      </w:pPr>
      <w:r w:rsidRPr="00096AFC">
        <w:rPr>
          <w:sz w:val="24"/>
          <w:szCs w:val="24"/>
        </w:rPr>
        <w:lastRenderedPageBreak/>
        <w:t xml:space="preserve">Produktet bør seponeres ved tegn på </w:t>
      </w:r>
      <w:proofErr w:type="spellStart"/>
      <w:r w:rsidRPr="00096AFC">
        <w:rPr>
          <w:sz w:val="24"/>
          <w:szCs w:val="24"/>
        </w:rPr>
        <w:t>gastrointestinal</w:t>
      </w:r>
      <w:proofErr w:type="spellEnd"/>
      <w:r w:rsidRPr="00096AFC">
        <w:rPr>
          <w:sz w:val="24"/>
          <w:szCs w:val="24"/>
        </w:rPr>
        <w:t xml:space="preserve"> blødning.</w:t>
      </w:r>
    </w:p>
    <w:p w14:paraId="1B82E0FD" w14:textId="77777777" w:rsidR="007E1C88" w:rsidRPr="00096AFC" w:rsidRDefault="007E1C88" w:rsidP="007E1C88">
      <w:pPr>
        <w:autoSpaceDE w:val="0"/>
        <w:autoSpaceDN w:val="0"/>
        <w:adjustRightInd w:val="0"/>
        <w:ind w:left="851" w:hanging="851"/>
        <w:rPr>
          <w:sz w:val="24"/>
          <w:szCs w:val="24"/>
        </w:rPr>
      </w:pPr>
    </w:p>
    <w:p w14:paraId="06FE1943" w14:textId="77777777" w:rsidR="007E1C88" w:rsidRPr="00096AFC" w:rsidRDefault="007E1C88" w:rsidP="007E1C88">
      <w:pPr>
        <w:autoSpaceDE w:val="0"/>
        <w:autoSpaceDN w:val="0"/>
        <w:adjustRightInd w:val="0"/>
        <w:ind w:left="851"/>
        <w:rPr>
          <w:sz w:val="24"/>
          <w:szCs w:val="24"/>
        </w:rPr>
      </w:pPr>
      <w:proofErr w:type="spellStart"/>
      <w:r w:rsidRPr="00096AFC">
        <w:rPr>
          <w:i/>
          <w:iCs/>
          <w:sz w:val="24"/>
          <w:szCs w:val="24"/>
        </w:rPr>
        <w:t>Kardiovaskulære</w:t>
      </w:r>
      <w:proofErr w:type="spellEnd"/>
      <w:r w:rsidRPr="00096AFC">
        <w:rPr>
          <w:i/>
          <w:iCs/>
          <w:sz w:val="24"/>
          <w:szCs w:val="24"/>
        </w:rPr>
        <w:t xml:space="preserve"> </w:t>
      </w:r>
      <w:proofErr w:type="spellStart"/>
      <w:r w:rsidRPr="00096AFC">
        <w:rPr>
          <w:i/>
          <w:iCs/>
          <w:sz w:val="24"/>
          <w:szCs w:val="24"/>
        </w:rPr>
        <w:t>trombotiske</w:t>
      </w:r>
      <w:proofErr w:type="spellEnd"/>
      <w:r w:rsidRPr="00096AFC">
        <w:rPr>
          <w:i/>
          <w:iCs/>
          <w:sz w:val="24"/>
          <w:szCs w:val="24"/>
        </w:rPr>
        <w:t xml:space="preserve"> hændelser</w:t>
      </w:r>
    </w:p>
    <w:p w14:paraId="5D1BE087" w14:textId="77777777" w:rsidR="007E1C88" w:rsidRDefault="007E1C88" w:rsidP="007E1C88">
      <w:pPr>
        <w:tabs>
          <w:tab w:val="left" w:pos="851"/>
        </w:tabs>
        <w:ind w:left="851" w:hanging="851"/>
        <w:rPr>
          <w:sz w:val="24"/>
          <w:szCs w:val="24"/>
        </w:rPr>
      </w:pPr>
      <w:r>
        <w:rPr>
          <w:sz w:val="24"/>
          <w:szCs w:val="24"/>
        </w:rPr>
        <w:tab/>
        <w:t>Kliniske undersøgelser tyder på, at brug af ibuprofen, særligt ved især høje doser (2400 mg dagligt), kan være forbundet med en lille forøget risiko for arterielle tromboser (f.eks. myokardieinfarkt eller slagtilfælde). Overordnet viser de epidemiologiske studier dog ikke, at en lav dosis ibuprofen (f.eks. 1200 mg dagligt) er forbundet med en øget risiko for arterielle tromboser.</w:t>
      </w:r>
    </w:p>
    <w:p w14:paraId="118175EF" w14:textId="77777777" w:rsidR="007E1C88" w:rsidRDefault="007E1C88" w:rsidP="007E1C88">
      <w:pPr>
        <w:tabs>
          <w:tab w:val="left" w:pos="851"/>
        </w:tabs>
        <w:ind w:left="851" w:hanging="851"/>
        <w:rPr>
          <w:sz w:val="24"/>
          <w:szCs w:val="24"/>
        </w:rPr>
      </w:pPr>
      <w:r>
        <w:rPr>
          <w:sz w:val="24"/>
          <w:szCs w:val="24"/>
        </w:rPr>
        <w:tab/>
        <w:t xml:space="preserve">Patienter med ukontrolleret hypertension, kongestiv hjerteinsufficiens (NYHA II-III), manifest iskæmisk hjertesygdom, perifer arteriesygdom og/eller </w:t>
      </w:r>
      <w:proofErr w:type="spellStart"/>
      <w:r>
        <w:rPr>
          <w:sz w:val="24"/>
          <w:szCs w:val="24"/>
        </w:rPr>
        <w:t>cerebrovaskulær</w:t>
      </w:r>
      <w:proofErr w:type="spellEnd"/>
      <w:r>
        <w:rPr>
          <w:sz w:val="24"/>
          <w:szCs w:val="24"/>
        </w:rPr>
        <w:t xml:space="preserve"> sygdom bør kun behandles med ibuprofen efter en nøje vurdering og høje doser (2400 mg/dag) bør undgås. </w:t>
      </w:r>
    </w:p>
    <w:p w14:paraId="2E9611F7" w14:textId="77777777" w:rsidR="007E1C88" w:rsidRDefault="007E1C88" w:rsidP="007E1C88">
      <w:pPr>
        <w:tabs>
          <w:tab w:val="left" w:pos="851"/>
        </w:tabs>
        <w:ind w:left="851" w:hanging="851"/>
        <w:rPr>
          <w:sz w:val="24"/>
          <w:szCs w:val="24"/>
        </w:rPr>
      </w:pPr>
      <w:r>
        <w:rPr>
          <w:sz w:val="24"/>
          <w:szCs w:val="24"/>
        </w:rPr>
        <w:tab/>
        <w:t xml:space="preserve">Initiering af længerevarende behandling hos patienter med risikofaktorer for </w:t>
      </w:r>
      <w:proofErr w:type="spellStart"/>
      <w:r>
        <w:rPr>
          <w:sz w:val="24"/>
          <w:szCs w:val="24"/>
        </w:rPr>
        <w:t>kardiovaskulære</w:t>
      </w:r>
      <w:proofErr w:type="spellEnd"/>
      <w:r>
        <w:rPr>
          <w:sz w:val="24"/>
          <w:szCs w:val="24"/>
        </w:rPr>
        <w:t xml:space="preserve"> hændelser (f.eks. hypertension, </w:t>
      </w:r>
      <w:proofErr w:type="spellStart"/>
      <w:r>
        <w:rPr>
          <w:sz w:val="24"/>
          <w:szCs w:val="24"/>
        </w:rPr>
        <w:t>hyperlipidæmi</w:t>
      </w:r>
      <w:proofErr w:type="spellEnd"/>
      <w:r>
        <w:rPr>
          <w:sz w:val="24"/>
          <w:szCs w:val="24"/>
        </w:rPr>
        <w:t>, diabetes mellitus og rygning), skal også nøje overvejes, særligt hvis der er behov for høje doser af ibuprofen (2400 mg/dag).</w:t>
      </w:r>
    </w:p>
    <w:p w14:paraId="4E3BF6CA" w14:textId="77777777" w:rsidR="007E1C88" w:rsidRDefault="007E1C88" w:rsidP="007E1C88">
      <w:pPr>
        <w:tabs>
          <w:tab w:val="left" w:pos="851"/>
        </w:tabs>
        <w:ind w:left="851" w:hanging="851"/>
        <w:rPr>
          <w:sz w:val="24"/>
          <w:szCs w:val="24"/>
        </w:rPr>
      </w:pPr>
    </w:p>
    <w:p w14:paraId="6D7776DA" w14:textId="77777777" w:rsidR="007E1C88" w:rsidRDefault="007E1C88" w:rsidP="007E1C88">
      <w:pPr>
        <w:autoSpaceDE w:val="0"/>
        <w:autoSpaceDN w:val="0"/>
        <w:adjustRightInd w:val="0"/>
        <w:ind w:left="851"/>
        <w:rPr>
          <w:sz w:val="24"/>
          <w:szCs w:val="24"/>
        </w:rPr>
      </w:pPr>
      <w:r>
        <w:rPr>
          <w:sz w:val="24"/>
          <w:szCs w:val="24"/>
        </w:rPr>
        <w:t xml:space="preserve">Der er ingen konsistente beviser for, at samtidig brug af acetylsalicylsyre mildner den mulige forhøjede risiko for alvorlige </w:t>
      </w:r>
      <w:proofErr w:type="spellStart"/>
      <w:r>
        <w:rPr>
          <w:sz w:val="24"/>
          <w:szCs w:val="24"/>
        </w:rPr>
        <w:t>kardiovaskulære</w:t>
      </w:r>
      <w:proofErr w:type="spellEnd"/>
      <w:r>
        <w:rPr>
          <w:sz w:val="24"/>
          <w:szCs w:val="24"/>
        </w:rPr>
        <w:t xml:space="preserve"> </w:t>
      </w:r>
      <w:proofErr w:type="spellStart"/>
      <w:r>
        <w:rPr>
          <w:sz w:val="24"/>
          <w:szCs w:val="24"/>
        </w:rPr>
        <w:t>trombotiske</w:t>
      </w:r>
      <w:proofErr w:type="spellEnd"/>
      <w:r>
        <w:rPr>
          <w:sz w:val="24"/>
          <w:szCs w:val="24"/>
        </w:rPr>
        <w:t xml:space="preserve"> hændelser, der er forbundet med brug af NSAID.</w:t>
      </w:r>
    </w:p>
    <w:p w14:paraId="1B177060" w14:textId="77777777" w:rsidR="007E1C88" w:rsidRDefault="007E1C88" w:rsidP="007E1C88">
      <w:pPr>
        <w:autoSpaceDE w:val="0"/>
        <w:autoSpaceDN w:val="0"/>
        <w:adjustRightInd w:val="0"/>
        <w:ind w:left="851" w:hanging="851"/>
        <w:rPr>
          <w:sz w:val="24"/>
          <w:szCs w:val="24"/>
        </w:rPr>
      </w:pPr>
    </w:p>
    <w:p w14:paraId="6D3ECAFE" w14:textId="77777777" w:rsidR="007E1C88" w:rsidRDefault="007E1C88" w:rsidP="007E1C88">
      <w:pPr>
        <w:autoSpaceDE w:val="0"/>
        <w:autoSpaceDN w:val="0"/>
        <w:adjustRightInd w:val="0"/>
        <w:ind w:firstLine="851"/>
        <w:rPr>
          <w:sz w:val="24"/>
          <w:szCs w:val="24"/>
        </w:rPr>
      </w:pPr>
      <w:r>
        <w:rPr>
          <w:sz w:val="24"/>
          <w:szCs w:val="24"/>
          <w:u w:val="single"/>
        </w:rPr>
        <w:t>Hypertension</w:t>
      </w:r>
      <w:r>
        <w:rPr>
          <w:i/>
          <w:iCs/>
          <w:sz w:val="24"/>
          <w:szCs w:val="24"/>
        </w:rPr>
        <w:t>:</w:t>
      </w:r>
    </w:p>
    <w:p w14:paraId="1CFE745A" w14:textId="77777777" w:rsidR="007E1C88" w:rsidRDefault="007E1C88" w:rsidP="007E1C88">
      <w:pPr>
        <w:autoSpaceDE w:val="0"/>
        <w:autoSpaceDN w:val="0"/>
        <w:adjustRightInd w:val="0"/>
        <w:ind w:left="851"/>
        <w:rPr>
          <w:sz w:val="24"/>
          <w:szCs w:val="24"/>
        </w:rPr>
      </w:pPr>
      <w:r>
        <w:rPr>
          <w:sz w:val="24"/>
          <w:szCs w:val="24"/>
        </w:rPr>
        <w:t xml:space="preserve">NSAID kan medføre debut af ny hypertension eller forværring af eksisterende hypertension, og patienter, der tager </w:t>
      </w:r>
      <w:proofErr w:type="spellStart"/>
      <w:r>
        <w:rPr>
          <w:sz w:val="24"/>
          <w:szCs w:val="24"/>
        </w:rPr>
        <w:t>antihypertensiva</w:t>
      </w:r>
      <w:proofErr w:type="spellEnd"/>
      <w:r>
        <w:rPr>
          <w:sz w:val="24"/>
          <w:szCs w:val="24"/>
        </w:rPr>
        <w:t xml:space="preserve"> samtidig med NSAID, kan have en forringet </w:t>
      </w:r>
      <w:proofErr w:type="spellStart"/>
      <w:r>
        <w:rPr>
          <w:sz w:val="24"/>
          <w:szCs w:val="24"/>
        </w:rPr>
        <w:t>antihypertensiv</w:t>
      </w:r>
      <w:proofErr w:type="spellEnd"/>
      <w:r>
        <w:rPr>
          <w:sz w:val="24"/>
          <w:szCs w:val="24"/>
        </w:rPr>
        <w:t xml:space="preserve"> respons. Forsigtighed tilrådes ved ordinering af NSAID til patienter med hypertension. Blodtrykket bør monitoreres tæt under initiering af behandling med NSAID og med jævne mellemrum derefter.</w:t>
      </w:r>
    </w:p>
    <w:p w14:paraId="68C260C2" w14:textId="77777777" w:rsidR="007E1C88" w:rsidRDefault="007E1C88" w:rsidP="007E1C88">
      <w:pPr>
        <w:autoSpaceDE w:val="0"/>
        <w:autoSpaceDN w:val="0"/>
        <w:adjustRightInd w:val="0"/>
        <w:ind w:left="851" w:hanging="851"/>
        <w:rPr>
          <w:sz w:val="24"/>
          <w:szCs w:val="24"/>
        </w:rPr>
      </w:pPr>
    </w:p>
    <w:p w14:paraId="0406D7EF" w14:textId="77777777" w:rsidR="007E1C88" w:rsidRDefault="007E1C88" w:rsidP="007E1C88">
      <w:pPr>
        <w:autoSpaceDE w:val="0"/>
        <w:autoSpaceDN w:val="0"/>
        <w:adjustRightInd w:val="0"/>
        <w:ind w:left="851"/>
        <w:rPr>
          <w:sz w:val="24"/>
          <w:szCs w:val="24"/>
        </w:rPr>
      </w:pPr>
      <w:r>
        <w:rPr>
          <w:sz w:val="24"/>
          <w:szCs w:val="24"/>
          <w:u w:val="single"/>
        </w:rPr>
        <w:t>Hjerteinsufficiens</w:t>
      </w:r>
    </w:p>
    <w:p w14:paraId="15969D0E" w14:textId="77777777" w:rsidR="007E1C88" w:rsidRDefault="007E1C88" w:rsidP="007E1C88">
      <w:pPr>
        <w:autoSpaceDE w:val="0"/>
        <w:autoSpaceDN w:val="0"/>
        <w:adjustRightInd w:val="0"/>
        <w:ind w:left="851"/>
        <w:rPr>
          <w:sz w:val="24"/>
          <w:szCs w:val="24"/>
        </w:rPr>
      </w:pPr>
      <w:r>
        <w:rPr>
          <w:sz w:val="24"/>
          <w:szCs w:val="24"/>
        </w:rPr>
        <w:t>Væskeretention og ødem er blevet observeret hos nogle patienter, der har taget NSAID. Der bør derfor udvises forsigtighed hos patienter med væskeretention eller hjerteinsufficiens.</w:t>
      </w:r>
    </w:p>
    <w:p w14:paraId="4E13E286" w14:textId="77777777" w:rsidR="007E1C88" w:rsidRDefault="007E1C88" w:rsidP="007E1C88">
      <w:pPr>
        <w:autoSpaceDE w:val="0"/>
        <w:autoSpaceDN w:val="0"/>
        <w:adjustRightInd w:val="0"/>
        <w:ind w:left="851" w:hanging="851"/>
        <w:rPr>
          <w:sz w:val="24"/>
          <w:szCs w:val="24"/>
        </w:rPr>
      </w:pPr>
    </w:p>
    <w:p w14:paraId="6BE6109C" w14:textId="77777777" w:rsidR="001B530E" w:rsidRDefault="001B530E" w:rsidP="001B530E">
      <w:pPr>
        <w:autoSpaceDE w:val="0"/>
        <w:autoSpaceDN w:val="0"/>
        <w:adjustRightInd w:val="0"/>
        <w:ind w:left="851"/>
        <w:rPr>
          <w:sz w:val="24"/>
          <w:szCs w:val="24"/>
          <w:u w:val="single"/>
        </w:rPr>
      </w:pPr>
      <w:r>
        <w:rPr>
          <w:iCs/>
          <w:sz w:val="24"/>
          <w:szCs w:val="24"/>
          <w:u w:val="single"/>
        </w:rPr>
        <w:t>Svære hudreaktioner</w:t>
      </w:r>
    </w:p>
    <w:p w14:paraId="74181A05" w14:textId="77777777" w:rsidR="007E1C88" w:rsidRDefault="001B530E" w:rsidP="001B530E">
      <w:pPr>
        <w:autoSpaceDE w:val="0"/>
        <w:autoSpaceDN w:val="0"/>
        <w:adjustRightInd w:val="0"/>
        <w:ind w:left="851"/>
        <w:rPr>
          <w:sz w:val="24"/>
          <w:szCs w:val="24"/>
        </w:rPr>
      </w:pPr>
      <w:r>
        <w:rPr>
          <w:sz w:val="24"/>
          <w:szCs w:val="24"/>
        </w:rPr>
        <w:t xml:space="preserve">Der er rapporteret om sjældne tilfælde af alvorlige hudreaktioner, indimellem med dødelig udgang, herunder </w:t>
      </w:r>
      <w:proofErr w:type="spellStart"/>
      <w:r>
        <w:rPr>
          <w:sz w:val="24"/>
          <w:szCs w:val="24"/>
        </w:rPr>
        <w:t>eksfoliativ</w:t>
      </w:r>
      <w:proofErr w:type="spellEnd"/>
      <w:r>
        <w:rPr>
          <w:sz w:val="24"/>
          <w:szCs w:val="24"/>
        </w:rPr>
        <w:t xml:space="preserve"> </w:t>
      </w:r>
      <w:proofErr w:type="spellStart"/>
      <w:r>
        <w:rPr>
          <w:sz w:val="24"/>
          <w:szCs w:val="24"/>
        </w:rPr>
        <w:t>dermatitis</w:t>
      </w:r>
      <w:proofErr w:type="spellEnd"/>
      <w:r>
        <w:rPr>
          <w:sz w:val="24"/>
          <w:szCs w:val="24"/>
        </w:rPr>
        <w:t xml:space="preserve">, Stevens-Johnsons syndrom og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ved anvendelse af </w:t>
      </w:r>
      <w:proofErr w:type="spellStart"/>
      <w:r>
        <w:rPr>
          <w:sz w:val="24"/>
          <w:szCs w:val="24"/>
        </w:rPr>
        <w:t>NSAIDS'er</w:t>
      </w:r>
      <w:proofErr w:type="spellEnd"/>
      <w:r>
        <w:rPr>
          <w:sz w:val="24"/>
          <w:szCs w:val="24"/>
        </w:rPr>
        <w:t xml:space="preserve"> (se pkt. 4.8). Patienterne har formentlig højere risiko for at få disse reaktioner tidligt i behandlingsforløbet, idet reaktionen i de fleste tilfælde opstår inden for den første måned af behandlingen. Der er rapporteret om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 i forbindelse med </w:t>
      </w:r>
      <w:proofErr w:type="spellStart"/>
      <w:r>
        <w:rPr>
          <w:sz w:val="24"/>
          <w:szCs w:val="24"/>
        </w:rPr>
        <w:t>ibuprofen-holdige</w:t>
      </w:r>
      <w:proofErr w:type="spellEnd"/>
      <w:r>
        <w:rPr>
          <w:sz w:val="24"/>
          <w:szCs w:val="24"/>
        </w:rPr>
        <w:t xml:space="preserve"> lægemidler. Ibuprofen bør seponeres ved de første tegn og symptomer på svære hudreaktioner, f.eks. hududslæt, læsioner i slimhinderne eller andre tegn på overfølsomhed.</w:t>
      </w:r>
    </w:p>
    <w:p w14:paraId="5BAB1AA4" w14:textId="77777777" w:rsidR="001B530E" w:rsidRDefault="001B530E" w:rsidP="001B530E">
      <w:pPr>
        <w:autoSpaceDE w:val="0"/>
        <w:autoSpaceDN w:val="0"/>
        <w:adjustRightInd w:val="0"/>
        <w:ind w:left="851" w:hanging="851"/>
        <w:rPr>
          <w:sz w:val="24"/>
          <w:szCs w:val="24"/>
        </w:rPr>
      </w:pPr>
    </w:p>
    <w:p w14:paraId="4E29E3EA" w14:textId="77777777" w:rsidR="007E1C88" w:rsidRDefault="007E1C88" w:rsidP="007E1C88">
      <w:pPr>
        <w:autoSpaceDE w:val="0"/>
        <w:autoSpaceDN w:val="0"/>
        <w:adjustRightInd w:val="0"/>
        <w:ind w:left="851"/>
        <w:rPr>
          <w:sz w:val="24"/>
          <w:szCs w:val="24"/>
        </w:rPr>
      </w:pPr>
      <w:r>
        <w:rPr>
          <w:i/>
          <w:iCs/>
          <w:sz w:val="24"/>
          <w:szCs w:val="24"/>
        </w:rPr>
        <w:t>Kendt astma</w:t>
      </w:r>
    </w:p>
    <w:p w14:paraId="381955C9" w14:textId="77777777" w:rsidR="007E1C88" w:rsidRDefault="007E1C88" w:rsidP="007E1C88">
      <w:pPr>
        <w:autoSpaceDE w:val="0"/>
        <w:autoSpaceDN w:val="0"/>
        <w:adjustRightInd w:val="0"/>
        <w:ind w:left="851"/>
        <w:rPr>
          <w:sz w:val="24"/>
          <w:szCs w:val="24"/>
        </w:rPr>
      </w:pPr>
      <w:r>
        <w:rPr>
          <w:sz w:val="24"/>
          <w:szCs w:val="24"/>
        </w:rPr>
        <w:t>Produkter, der indeholder ibuprofen, bør ikke administreres til patienter med acetylsalicylsyrefølsom astma og bør anvendes med forsigtighed hos patienter med kendt astma.</w:t>
      </w:r>
    </w:p>
    <w:p w14:paraId="3EFCC853" w14:textId="51819743" w:rsidR="004E015F" w:rsidRDefault="004E015F">
      <w:pPr>
        <w:rPr>
          <w:sz w:val="24"/>
          <w:szCs w:val="24"/>
        </w:rPr>
      </w:pPr>
      <w:r>
        <w:rPr>
          <w:sz w:val="24"/>
          <w:szCs w:val="24"/>
        </w:rPr>
        <w:br w:type="page"/>
      </w:r>
    </w:p>
    <w:p w14:paraId="7394C89C" w14:textId="77777777" w:rsidR="007E1C88" w:rsidRDefault="007E1C88" w:rsidP="007E1C88">
      <w:pPr>
        <w:autoSpaceDE w:val="0"/>
        <w:autoSpaceDN w:val="0"/>
        <w:adjustRightInd w:val="0"/>
        <w:ind w:left="851" w:hanging="851"/>
        <w:rPr>
          <w:sz w:val="24"/>
          <w:szCs w:val="24"/>
        </w:rPr>
      </w:pPr>
    </w:p>
    <w:p w14:paraId="029DFCDC" w14:textId="77777777" w:rsidR="007E1C88" w:rsidRDefault="007E1C88" w:rsidP="007E1C88">
      <w:pPr>
        <w:autoSpaceDE w:val="0"/>
        <w:autoSpaceDN w:val="0"/>
        <w:adjustRightInd w:val="0"/>
        <w:ind w:left="851"/>
        <w:rPr>
          <w:sz w:val="24"/>
          <w:szCs w:val="24"/>
        </w:rPr>
      </w:pPr>
      <w:r>
        <w:rPr>
          <w:i/>
          <w:iCs/>
          <w:sz w:val="24"/>
          <w:szCs w:val="24"/>
        </w:rPr>
        <w:t>Oftalmologiske virkninger</w:t>
      </w:r>
    </w:p>
    <w:p w14:paraId="01FA3C32" w14:textId="77777777" w:rsidR="007E1C88" w:rsidRDefault="007E1C88" w:rsidP="007E1C88">
      <w:pPr>
        <w:autoSpaceDE w:val="0"/>
        <w:autoSpaceDN w:val="0"/>
        <w:adjustRightInd w:val="0"/>
        <w:ind w:left="851"/>
        <w:rPr>
          <w:sz w:val="24"/>
          <w:szCs w:val="24"/>
        </w:rPr>
      </w:pPr>
      <w:r>
        <w:rPr>
          <w:sz w:val="24"/>
          <w:szCs w:val="24"/>
        </w:rPr>
        <w:t>Der er observeret utilsigtede oftalmologiske hændelser med NSAID. Patienter, der udvikler synsforstyrrelser under behandling med produkter, der indeholder ibuprofen, bør følgelig have en oftalmologisk undersøgelse.</w:t>
      </w:r>
    </w:p>
    <w:p w14:paraId="77E40D73" w14:textId="77777777" w:rsidR="007E1C88" w:rsidRDefault="007E1C88" w:rsidP="007E1C88">
      <w:pPr>
        <w:autoSpaceDE w:val="0"/>
        <w:autoSpaceDN w:val="0"/>
        <w:adjustRightInd w:val="0"/>
        <w:ind w:left="851" w:hanging="851"/>
        <w:rPr>
          <w:sz w:val="24"/>
          <w:szCs w:val="24"/>
        </w:rPr>
      </w:pPr>
    </w:p>
    <w:p w14:paraId="02E4E9F7" w14:textId="77777777" w:rsidR="007E1C88" w:rsidRDefault="007E1C88" w:rsidP="007E1C88">
      <w:pPr>
        <w:ind w:left="851"/>
        <w:rPr>
          <w:i/>
          <w:sz w:val="24"/>
          <w:szCs w:val="24"/>
        </w:rPr>
      </w:pPr>
      <w:r>
        <w:rPr>
          <w:i/>
          <w:sz w:val="24"/>
          <w:szCs w:val="24"/>
        </w:rPr>
        <w:t>Luftvejssygdomme</w:t>
      </w:r>
    </w:p>
    <w:p w14:paraId="22F05803" w14:textId="77777777" w:rsidR="007E1C88" w:rsidRDefault="007E1C88" w:rsidP="007E1C88">
      <w:pPr>
        <w:ind w:left="851"/>
        <w:rPr>
          <w:sz w:val="24"/>
          <w:szCs w:val="24"/>
        </w:rPr>
      </w:pPr>
      <w:r>
        <w:rPr>
          <w:sz w:val="24"/>
          <w:szCs w:val="24"/>
        </w:rPr>
        <w:t xml:space="preserve">Der har været indberetninger om, at NSAID fremskynder </w:t>
      </w:r>
      <w:proofErr w:type="spellStart"/>
      <w:r>
        <w:rPr>
          <w:sz w:val="24"/>
          <w:szCs w:val="24"/>
        </w:rPr>
        <w:t>bronkospasme</w:t>
      </w:r>
      <w:proofErr w:type="spellEnd"/>
      <w:r>
        <w:rPr>
          <w:sz w:val="24"/>
          <w:szCs w:val="24"/>
        </w:rPr>
        <w:t xml:space="preserve"> hos patienter, der har eller har haft bronkial astma eller allergiske sygdomme.</w:t>
      </w:r>
    </w:p>
    <w:p w14:paraId="796D362B" w14:textId="77777777" w:rsidR="00540B5A" w:rsidRDefault="00540B5A" w:rsidP="00540B5A">
      <w:pPr>
        <w:rPr>
          <w:sz w:val="24"/>
          <w:szCs w:val="24"/>
        </w:rPr>
      </w:pPr>
    </w:p>
    <w:p w14:paraId="6DC4009C" w14:textId="77777777" w:rsidR="007E1C88" w:rsidRDefault="007E1C88" w:rsidP="00540B5A">
      <w:pPr>
        <w:ind w:firstLine="851"/>
        <w:rPr>
          <w:i/>
          <w:iCs/>
          <w:sz w:val="24"/>
          <w:szCs w:val="24"/>
        </w:rPr>
      </w:pPr>
      <w:r>
        <w:rPr>
          <w:i/>
          <w:iCs/>
          <w:sz w:val="24"/>
          <w:szCs w:val="24"/>
        </w:rPr>
        <w:t>SLE og blandet bindevævssygdom</w:t>
      </w:r>
    </w:p>
    <w:p w14:paraId="13585D95" w14:textId="77777777" w:rsidR="007E1C88" w:rsidRDefault="007E1C88" w:rsidP="007E1C88">
      <w:pPr>
        <w:ind w:left="851"/>
        <w:rPr>
          <w:sz w:val="24"/>
          <w:szCs w:val="24"/>
        </w:rPr>
      </w:pPr>
      <w:r>
        <w:rPr>
          <w:sz w:val="24"/>
          <w:szCs w:val="24"/>
        </w:rPr>
        <w:t xml:space="preserve">Hos patienter med systemisk lupus </w:t>
      </w:r>
      <w:proofErr w:type="spellStart"/>
      <w:r>
        <w:rPr>
          <w:sz w:val="24"/>
          <w:szCs w:val="24"/>
        </w:rPr>
        <w:t>erythematosus</w:t>
      </w:r>
      <w:proofErr w:type="spellEnd"/>
      <w:r>
        <w:rPr>
          <w:sz w:val="24"/>
          <w:szCs w:val="24"/>
        </w:rPr>
        <w:t xml:space="preserve"> (SLE) og blandet bindevævssygdom kan der være en øget risiko for aseptisk meningitis (se pkt. 4.8).</w:t>
      </w:r>
    </w:p>
    <w:p w14:paraId="400AC8D0" w14:textId="77777777" w:rsidR="007E1C88" w:rsidRDefault="007E1C88" w:rsidP="007E1C88">
      <w:pPr>
        <w:ind w:left="851"/>
        <w:rPr>
          <w:sz w:val="24"/>
          <w:szCs w:val="24"/>
        </w:rPr>
      </w:pPr>
    </w:p>
    <w:p w14:paraId="78C6A96D" w14:textId="77777777" w:rsidR="007E1C88" w:rsidRDefault="007E1C88" w:rsidP="007E1C88">
      <w:pPr>
        <w:tabs>
          <w:tab w:val="left" w:pos="567"/>
          <w:tab w:val="left" w:pos="851"/>
        </w:tabs>
        <w:ind w:left="851"/>
        <w:rPr>
          <w:sz w:val="24"/>
          <w:szCs w:val="24"/>
          <w:u w:val="single"/>
        </w:rPr>
      </w:pPr>
      <w:r>
        <w:rPr>
          <w:sz w:val="24"/>
          <w:szCs w:val="24"/>
          <w:u w:val="single"/>
        </w:rPr>
        <w:t>Aseptisk meningitis</w:t>
      </w:r>
    </w:p>
    <w:p w14:paraId="785EC0F1" w14:textId="77777777" w:rsidR="007E1C88" w:rsidRDefault="007E1C88" w:rsidP="007E1C88">
      <w:pPr>
        <w:tabs>
          <w:tab w:val="left" w:pos="851"/>
        </w:tabs>
        <w:ind w:left="851"/>
        <w:rPr>
          <w:sz w:val="24"/>
          <w:szCs w:val="24"/>
        </w:rPr>
      </w:pPr>
      <w:r>
        <w:rPr>
          <w:sz w:val="24"/>
          <w:szCs w:val="24"/>
        </w:rPr>
        <w:t xml:space="preserve">Der er set sjældne tilfælde af aseptisk meningitis hos patienter i </w:t>
      </w:r>
      <w:r>
        <w:rPr>
          <w:sz w:val="24"/>
          <w:szCs w:val="24"/>
          <w:lang w:eastAsia="da-DK"/>
        </w:rPr>
        <w:t>ibuprofen-behandling</w:t>
      </w:r>
      <w:r>
        <w:rPr>
          <w:sz w:val="24"/>
          <w:szCs w:val="24"/>
        </w:rPr>
        <w:t xml:space="preserve">. Selvom det formentligt er mere sandsynligt, at det forekommer hos patienter med </w:t>
      </w:r>
      <w:r>
        <w:rPr>
          <w:sz w:val="24"/>
          <w:szCs w:val="24"/>
          <w:lang w:eastAsia="da-DK"/>
        </w:rPr>
        <w:t xml:space="preserve">systemisk lupus </w:t>
      </w:r>
      <w:proofErr w:type="spellStart"/>
      <w:r>
        <w:rPr>
          <w:sz w:val="24"/>
          <w:szCs w:val="24"/>
          <w:lang w:eastAsia="da-DK"/>
        </w:rPr>
        <w:t>erythematosus</w:t>
      </w:r>
      <w:proofErr w:type="spellEnd"/>
      <w:r>
        <w:rPr>
          <w:sz w:val="24"/>
          <w:szCs w:val="24"/>
        </w:rPr>
        <w:t xml:space="preserve"> og relaterede bindevævssygdomme, er det indberettet hos patienter, som ikke har en underliggende kronisk sygdom.</w:t>
      </w:r>
      <w:r>
        <w:rPr>
          <w:sz w:val="24"/>
          <w:szCs w:val="24"/>
        </w:rPr>
        <w:tab/>
      </w:r>
    </w:p>
    <w:p w14:paraId="661CD19D" w14:textId="77777777" w:rsidR="007E1C88" w:rsidRDefault="007E1C88" w:rsidP="007E1C88">
      <w:pPr>
        <w:ind w:left="851"/>
        <w:rPr>
          <w:sz w:val="24"/>
          <w:szCs w:val="24"/>
        </w:rPr>
      </w:pPr>
    </w:p>
    <w:p w14:paraId="7AA25BCF" w14:textId="77777777" w:rsidR="007E1C88" w:rsidRDefault="007E1C88" w:rsidP="007E1C88">
      <w:pPr>
        <w:ind w:left="851"/>
        <w:rPr>
          <w:i/>
          <w:iCs/>
          <w:sz w:val="24"/>
          <w:szCs w:val="24"/>
        </w:rPr>
      </w:pPr>
      <w:r>
        <w:rPr>
          <w:i/>
          <w:iCs/>
          <w:sz w:val="24"/>
          <w:szCs w:val="24"/>
        </w:rPr>
        <w:t>Forringet fertilitet hos kvinder</w:t>
      </w:r>
    </w:p>
    <w:p w14:paraId="41A903FE" w14:textId="77777777" w:rsidR="007E1C88" w:rsidRDefault="007E1C88" w:rsidP="007E1C88">
      <w:pPr>
        <w:ind w:left="851"/>
        <w:rPr>
          <w:sz w:val="24"/>
          <w:szCs w:val="24"/>
        </w:rPr>
      </w:pPr>
      <w:r>
        <w:rPr>
          <w:sz w:val="24"/>
          <w:szCs w:val="24"/>
        </w:rPr>
        <w:t xml:space="preserve">Anvendelse af produktet kan forringe den kvindelige fertilitet, og det frarådes til kvinder, der forsøger at blive gravide. Hos kvinder, der har svært ved at blive gravide, eller som er under udredning for </w:t>
      </w:r>
      <w:proofErr w:type="spellStart"/>
      <w:r>
        <w:rPr>
          <w:sz w:val="24"/>
          <w:szCs w:val="24"/>
        </w:rPr>
        <w:t>infertilitet</w:t>
      </w:r>
      <w:proofErr w:type="spellEnd"/>
      <w:r>
        <w:rPr>
          <w:sz w:val="24"/>
          <w:szCs w:val="24"/>
        </w:rPr>
        <w:t xml:space="preserve">, bør </w:t>
      </w:r>
      <w:proofErr w:type="spellStart"/>
      <w:r>
        <w:rPr>
          <w:sz w:val="24"/>
          <w:szCs w:val="24"/>
        </w:rPr>
        <w:t>seponering</w:t>
      </w:r>
      <w:proofErr w:type="spellEnd"/>
      <w:r>
        <w:rPr>
          <w:sz w:val="24"/>
          <w:szCs w:val="24"/>
        </w:rPr>
        <w:t xml:space="preserve"> af produktet overvejes.</w:t>
      </w:r>
    </w:p>
    <w:p w14:paraId="0C0B016A" w14:textId="77777777" w:rsidR="007E1C88" w:rsidRDefault="007E1C88" w:rsidP="007E1C88">
      <w:pPr>
        <w:autoSpaceDE w:val="0"/>
        <w:autoSpaceDN w:val="0"/>
        <w:adjustRightInd w:val="0"/>
        <w:ind w:left="851" w:hanging="851"/>
        <w:rPr>
          <w:sz w:val="24"/>
          <w:szCs w:val="24"/>
        </w:rPr>
      </w:pPr>
    </w:p>
    <w:p w14:paraId="1D4206B1" w14:textId="77777777" w:rsidR="007E1C88" w:rsidRDefault="007E1C88" w:rsidP="007E1C88">
      <w:pPr>
        <w:autoSpaceDE w:val="0"/>
        <w:autoSpaceDN w:val="0"/>
        <w:adjustRightInd w:val="0"/>
        <w:ind w:left="851"/>
        <w:rPr>
          <w:sz w:val="24"/>
          <w:szCs w:val="24"/>
        </w:rPr>
      </w:pPr>
      <w:r>
        <w:rPr>
          <w:i/>
          <w:iCs/>
          <w:sz w:val="24"/>
          <w:szCs w:val="24"/>
        </w:rPr>
        <w:t>Mulig interferens med laboratorietest</w:t>
      </w:r>
    </w:p>
    <w:p w14:paraId="09077D36" w14:textId="77777777" w:rsidR="007E1C88" w:rsidRDefault="007E1C88" w:rsidP="007E1C88">
      <w:pPr>
        <w:autoSpaceDE w:val="0"/>
        <w:autoSpaceDN w:val="0"/>
        <w:adjustRightInd w:val="0"/>
        <w:ind w:left="851"/>
        <w:rPr>
          <w:sz w:val="24"/>
          <w:szCs w:val="24"/>
        </w:rPr>
      </w:pPr>
      <w:r>
        <w:rPr>
          <w:sz w:val="24"/>
          <w:szCs w:val="24"/>
        </w:rPr>
        <w:t>Ved anvendelse af de aktuelle analysesystemer forårsager paracetamol ikke interferens med laboratorietest. Der findes dog visse metoder, hvor der er en mulighed for interferens, som beskrevet herunder:</w:t>
      </w:r>
    </w:p>
    <w:p w14:paraId="7F5B29F9" w14:textId="77777777" w:rsidR="007E1C88" w:rsidRDefault="007E1C88" w:rsidP="007E1C88">
      <w:pPr>
        <w:autoSpaceDE w:val="0"/>
        <w:autoSpaceDN w:val="0"/>
        <w:adjustRightInd w:val="0"/>
        <w:ind w:left="851" w:hanging="851"/>
        <w:rPr>
          <w:sz w:val="24"/>
          <w:szCs w:val="24"/>
        </w:rPr>
      </w:pPr>
    </w:p>
    <w:p w14:paraId="67663FD9" w14:textId="77777777" w:rsidR="00BB222D" w:rsidRDefault="00BB222D" w:rsidP="00BB222D">
      <w:pPr>
        <w:autoSpaceDE w:val="0"/>
        <w:autoSpaceDN w:val="0"/>
        <w:adjustRightInd w:val="0"/>
        <w:ind w:left="851"/>
        <w:rPr>
          <w:sz w:val="24"/>
          <w:szCs w:val="24"/>
        </w:rPr>
      </w:pPr>
      <w:r>
        <w:rPr>
          <w:sz w:val="24"/>
          <w:szCs w:val="24"/>
          <w:u w:val="single"/>
        </w:rPr>
        <w:t>Urinprøver:</w:t>
      </w:r>
    </w:p>
    <w:p w14:paraId="58AC548D" w14:textId="77777777" w:rsidR="00BB222D" w:rsidRDefault="00BB222D" w:rsidP="00BB222D">
      <w:pPr>
        <w:autoSpaceDE w:val="0"/>
        <w:autoSpaceDN w:val="0"/>
        <w:adjustRightInd w:val="0"/>
        <w:ind w:left="851"/>
        <w:rPr>
          <w:sz w:val="24"/>
          <w:szCs w:val="24"/>
        </w:rPr>
      </w:pPr>
      <w:r>
        <w:rPr>
          <w:sz w:val="24"/>
          <w:szCs w:val="24"/>
        </w:rPr>
        <w:t>Paracetamol i terapeutiske doser kan interferere med bestemmelse af 5-hydroxyindol</w:t>
      </w:r>
      <w:r>
        <w:rPr>
          <w:sz w:val="24"/>
          <w:szCs w:val="24"/>
        </w:rPr>
        <w:softHyphen/>
        <w:t>eddikesyre (5HIAA) og give falsk-positive resultater. Forkert bestemmelse kan elimineres ved at undgå indtagelse af paracetamol adskillige timer før og under indsamlingen af urinprøven.</w:t>
      </w:r>
    </w:p>
    <w:p w14:paraId="66349490" w14:textId="77777777" w:rsidR="00BB222D" w:rsidRDefault="00BB222D" w:rsidP="00BB222D">
      <w:pPr>
        <w:autoSpaceDE w:val="0"/>
        <w:autoSpaceDN w:val="0"/>
        <w:adjustRightInd w:val="0"/>
        <w:ind w:left="851" w:hanging="851"/>
        <w:rPr>
          <w:sz w:val="24"/>
          <w:szCs w:val="24"/>
        </w:rPr>
      </w:pPr>
    </w:p>
    <w:p w14:paraId="0A34555F" w14:textId="77777777" w:rsidR="00BB222D" w:rsidRPr="00B46123" w:rsidRDefault="00BB222D" w:rsidP="00BB222D">
      <w:pPr>
        <w:autoSpaceDE w:val="0"/>
        <w:autoSpaceDN w:val="0"/>
        <w:adjustRightInd w:val="0"/>
        <w:ind w:left="851"/>
        <w:rPr>
          <w:i/>
          <w:iCs/>
          <w:sz w:val="24"/>
          <w:szCs w:val="24"/>
        </w:rPr>
      </w:pPr>
      <w:r w:rsidRPr="00B46123">
        <w:rPr>
          <w:i/>
          <w:iCs/>
          <w:sz w:val="24"/>
          <w:szCs w:val="24"/>
        </w:rPr>
        <w:t>Maskering af symptomer på underliggende infektioner</w:t>
      </w:r>
    </w:p>
    <w:p w14:paraId="14BBD70F" w14:textId="77777777" w:rsidR="00BB222D" w:rsidRDefault="00BB222D" w:rsidP="00BB222D">
      <w:pPr>
        <w:autoSpaceDE w:val="0"/>
        <w:autoSpaceDN w:val="0"/>
        <w:adjustRightInd w:val="0"/>
        <w:ind w:left="851"/>
        <w:rPr>
          <w:i/>
          <w:iCs/>
          <w:sz w:val="24"/>
          <w:szCs w:val="24"/>
        </w:rPr>
      </w:pPr>
      <w:r>
        <w:rPr>
          <w:sz w:val="24"/>
          <w:szCs w:val="24"/>
        </w:rPr>
        <w:t>Ibuprofen</w:t>
      </w:r>
      <w:r w:rsidRPr="007F56D0">
        <w:rPr>
          <w:sz w:val="24"/>
          <w:szCs w:val="24"/>
        </w:rPr>
        <w:t xml:space="preserve"> kan maskere symptomer på infektion, hvilket kan medføre forsinket påbegyndelse af relevant behandling og dermed en forværring af infektionens udfald. Dette er observeret ved bakteriel samfundserhvervet pneumoni og bakterielle komplikationer til </w:t>
      </w:r>
      <w:proofErr w:type="spellStart"/>
      <w:r w:rsidRPr="007F56D0">
        <w:rPr>
          <w:sz w:val="24"/>
          <w:szCs w:val="24"/>
        </w:rPr>
        <w:t>varicella</w:t>
      </w:r>
      <w:proofErr w:type="spellEnd"/>
      <w:r w:rsidRPr="007F56D0">
        <w:rPr>
          <w:sz w:val="24"/>
          <w:szCs w:val="24"/>
        </w:rPr>
        <w:t xml:space="preserve">. Når </w:t>
      </w:r>
      <w:r>
        <w:rPr>
          <w:sz w:val="24"/>
          <w:szCs w:val="24"/>
        </w:rPr>
        <w:t>ibuprofen</w:t>
      </w:r>
      <w:r w:rsidRPr="007F56D0">
        <w:rPr>
          <w:sz w:val="24"/>
          <w:szCs w:val="24"/>
        </w:rPr>
        <w:t xml:space="preserve"> gives som feber- eller smertestillende middel i forbindelse med infektion, bør infektionen overvåges. Hvis patienten ikke er indlagt på hospital, bør vedkommende kontakte sin læge, hvis symptomerne varer ved eller forværres</w:t>
      </w:r>
      <w:r w:rsidRPr="00B46123">
        <w:rPr>
          <w:i/>
          <w:iCs/>
          <w:sz w:val="24"/>
          <w:szCs w:val="24"/>
        </w:rPr>
        <w:t>.</w:t>
      </w:r>
    </w:p>
    <w:p w14:paraId="0536211C" w14:textId="77777777" w:rsidR="00BB222D" w:rsidRDefault="00BB222D" w:rsidP="00BB222D">
      <w:pPr>
        <w:autoSpaceDE w:val="0"/>
        <w:autoSpaceDN w:val="0"/>
        <w:adjustRightInd w:val="0"/>
        <w:ind w:left="851" w:hanging="851"/>
        <w:rPr>
          <w:sz w:val="24"/>
          <w:szCs w:val="24"/>
        </w:rPr>
      </w:pPr>
    </w:p>
    <w:p w14:paraId="08A0EDAA" w14:textId="77777777" w:rsidR="00BB222D" w:rsidRDefault="00BB222D" w:rsidP="00BB222D">
      <w:pPr>
        <w:autoSpaceDE w:val="0"/>
        <w:autoSpaceDN w:val="0"/>
        <w:adjustRightInd w:val="0"/>
        <w:ind w:left="851"/>
        <w:rPr>
          <w:sz w:val="24"/>
          <w:szCs w:val="24"/>
        </w:rPr>
      </w:pPr>
      <w:r>
        <w:rPr>
          <w:i/>
          <w:iCs/>
          <w:sz w:val="24"/>
          <w:szCs w:val="24"/>
        </w:rPr>
        <w:t>Særlige forholdsregler</w:t>
      </w:r>
    </w:p>
    <w:p w14:paraId="20CA58F8" w14:textId="77777777" w:rsidR="00BB222D" w:rsidRDefault="00BB222D" w:rsidP="00BB222D">
      <w:pPr>
        <w:autoSpaceDE w:val="0"/>
        <w:autoSpaceDN w:val="0"/>
        <w:adjustRightInd w:val="0"/>
        <w:ind w:left="851"/>
        <w:rPr>
          <w:sz w:val="24"/>
          <w:szCs w:val="24"/>
        </w:rPr>
      </w:pPr>
      <w:r>
        <w:rPr>
          <w:sz w:val="24"/>
          <w:szCs w:val="24"/>
        </w:rPr>
        <w:t xml:space="preserve">Langtidsbehandling (&gt;3 måneder) med </w:t>
      </w:r>
      <w:proofErr w:type="spellStart"/>
      <w:r>
        <w:rPr>
          <w:sz w:val="24"/>
          <w:szCs w:val="24"/>
        </w:rPr>
        <w:t>analgetika</w:t>
      </w:r>
      <w:proofErr w:type="spellEnd"/>
      <w:r>
        <w:rPr>
          <w:sz w:val="24"/>
          <w:szCs w:val="24"/>
        </w:rPr>
        <w:t xml:space="preserve"> med anvendelse hver anden dag eller hyppigere kan fremkalde eller forværre hovedpine. Hovedpine forårsaget af overforbrug af </w:t>
      </w:r>
      <w:proofErr w:type="spellStart"/>
      <w:r>
        <w:rPr>
          <w:sz w:val="24"/>
          <w:szCs w:val="24"/>
        </w:rPr>
        <w:t>analgetika</w:t>
      </w:r>
      <w:proofErr w:type="spellEnd"/>
      <w:r>
        <w:rPr>
          <w:sz w:val="24"/>
          <w:szCs w:val="24"/>
        </w:rPr>
        <w:t xml:space="preserve"> (MOH - medicin-overforbrugs-hovedpine) bør ikke behandles ved at øge dosis. I sådanne tilfælde bør brugen af </w:t>
      </w:r>
      <w:proofErr w:type="spellStart"/>
      <w:r>
        <w:rPr>
          <w:sz w:val="24"/>
          <w:szCs w:val="24"/>
        </w:rPr>
        <w:t>analgetika</w:t>
      </w:r>
      <w:proofErr w:type="spellEnd"/>
      <w:r>
        <w:rPr>
          <w:sz w:val="24"/>
          <w:szCs w:val="24"/>
        </w:rPr>
        <w:t xml:space="preserve"> afbrydes i samråd med en læge. </w:t>
      </w:r>
    </w:p>
    <w:p w14:paraId="0DC3DD24" w14:textId="77777777" w:rsidR="007E1C88" w:rsidRDefault="007E1C88" w:rsidP="007E1C88">
      <w:pPr>
        <w:autoSpaceDE w:val="0"/>
        <w:autoSpaceDN w:val="0"/>
        <w:adjustRightInd w:val="0"/>
        <w:ind w:left="851" w:hanging="851"/>
        <w:rPr>
          <w:sz w:val="24"/>
          <w:szCs w:val="24"/>
        </w:rPr>
      </w:pPr>
    </w:p>
    <w:p w14:paraId="2E0766A7" w14:textId="77777777" w:rsidR="007E1C88" w:rsidRDefault="007E1C88" w:rsidP="007E1C88">
      <w:pPr>
        <w:autoSpaceDE w:val="0"/>
        <w:autoSpaceDN w:val="0"/>
        <w:adjustRightInd w:val="0"/>
        <w:ind w:left="851"/>
        <w:rPr>
          <w:sz w:val="24"/>
          <w:szCs w:val="24"/>
        </w:rPr>
      </w:pPr>
      <w:r>
        <w:rPr>
          <w:sz w:val="24"/>
          <w:szCs w:val="24"/>
        </w:rPr>
        <w:lastRenderedPageBreak/>
        <w:t xml:space="preserve">For at undgå forværring af sygdom eller binyreinsufficiens bør patienter, der har været på langvarig </w:t>
      </w:r>
      <w:proofErr w:type="spellStart"/>
      <w:r>
        <w:rPr>
          <w:sz w:val="24"/>
          <w:szCs w:val="24"/>
        </w:rPr>
        <w:t>kortikosteroidbehandling</w:t>
      </w:r>
      <w:proofErr w:type="spellEnd"/>
      <w:r>
        <w:rPr>
          <w:sz w:val="24"/>
          <w:szCs w:val="24"/>
        </w:rPr>
        <w:t xml:space="preserve"> trappes langsomt ud af deres behandling frem for at ophøre brat, når produkter, der indeholder ibuprofen, tilføjes til behandlingsprogrammet.</w:t>
      </w:r>
    </w:p>
    <w:p w14:paraId="6CF9CD76" w14:textId="77777777" w:rsidR="007E1C88" w:rsidRDefault="007E1C88" w:rsidP="007E1C88">
      <w:pPr>
        <w:autoSpaceDE w:val="0"/>
        <w:autoSpaceDN w:val="0"/>
        <w:adjustRightInd w:val="0"/>
        <w:ind w:left="851" w:hanging="851"/>
        <w:rPr>
          <w:sz w:val="24"/>
          <w:szCs w:val="24"/>
        </w:rPr>
      </w:pPr>
    </w:p>
    <w:p w14:paraId="464C1BEE" w14:textId="77777777" w:rsidR="007E1C88" w:rsidRDefault="007E1C88" w:rsidP="007E1C88">
      <w:pPr>
        <w:autoSpaceDE w:val="0"/>
        <w:autoSpaceDN w:val="0"/>
        <w:adjustRightInd w:val="0"/>
        <w:ind w:left="851"/>
        <w:rPr>
          <w:sz w:val="24"/>
          <w:szCs w:val="24"/>
        </w:rPr>
      </w:pPr>
      <w:r>
        <w:rPr>
          <w:sz w:val="24"/>
          <w:szCs w:val="24"/>
        </w:rPr>
        <w:t xml:space="preserve">Én filmovertrukket tablet indeholder 3,81 mg </w:t>
      </w:r>
      <w:proofErr w:type="spellStart"/>
      <w:r>
        <w:rPr>
          <w:sz w:val="24"/>
          <w:szCs w:val="24"/>
        </w:rPr>
        <w:t>lactose</w:t>
      </w:r>
      <w:proofErr w:type="spellEnd"/>
      <w:r>
        <w:rPr>
          <w:sz w:val="24"/>
          <w:szCs w:val="24"/>
        </w:rPr>
        <w:t xml:space="preserve">, hvilket giver 30,48 mg </w:t>
      </w:r>
      <w:proofErr w:type="spellStart"/>
      <w:r>
        <w:rPr>
          <w:sz w:val="24"/>
          <w:szCs w:val="24"/>
        </w:rPr>
        <w:t>lactose</w:t>
      </w:r>
      <w:proofErr w:type="spellEnd"/>
      <w:r>
        <w:rPr>
          <w:sz w:val="24"/>
          <w:szCs w:val="24"/>
        </w:rPr>
        <w:t xml:space="preserve"> pr. højeste anbefalede daglige dosis. Patienter med de sjældne arvelige tilstande </w:t>
      </w:r>
      <w:proofErr w:type="spellStart"/>
      <w:r>
        <w:rPr>
          <w:sz w:val="24"/>
          <w:szCs w:val="24"/>
        </w:rPr>
        <w:t>galactoseintolerans</w:t>
      </w:r>
      <w:proofErr w:type="spellEnd"/>
      <w:r>
        <w:rPr>
          <w:sz w:val="24"/>
          <w:szCs w:val="24"/>
        </w:rPr>
        <w:t xml:space="preserve">, </w:t>
      </w:r>
      <w:proofErr w:type="spellStart"/>
      <w:r>
        <w:rPr>
          <w:sz w:val="24"/>
          <w:szCs w:val="24"/>
        </w:rPr>
        <w:t>lapp-lactasemangel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 xml:space="preserve"> bør ikke tage dette lægemiddel.</w:t>
      </w:r>
    </w:p>
    <w:p w14:paraId="70D8613C" w14:textId="77777777" w:rsidR="007E1C88" w:rsidRPr="00096AFC" w:rsidRDefault="007E1C88" w:rsidP="007E1C88">
      <w:pPr>
        <w:ind w:left="851" w:hanging="851"/>
        <w:rPr>
          <w:sz w:val="24"/>
          <w:szCs w:val="24"/>
        </w:rPr>
      </w:pPr>
    </w:p>
    <w:p w14:paraId="38172A97" w14:textId="77777777" w:rsidR="007E1C88" w:rsidRPr="00096AFC" w:rsidRDefault="007E1C88" w:rsidP="007E1C88">
      <w:pPr>
        <w:ind w:left="851" w:hanging="851"/>
        <w:rPr>
          <w:b/>
          <w:sz w:val="24"/>
          <w:szCs w:val="24"/>
        </w:rPr>
      </w:pPr>
      <w:r w:rsidRPr="00096AFC">
        <w:rPr>
          <w:b/>
          <w:sz w:val="24"/>
          <w:szCs w:val="24"/>
        </w:rPr>
        <w:t>4.5</w:t>
      </w:r>
      <w:r w:rsidRPr="00096AFC">
        <w:rPr>
          <w:b/>
          <w:sz w:val="24"/>
          <w:szCs w:val="24"/>
        </w:rPr>
        <w:tab/>
        <w:t>Interaktion med andre lægemidler og andre former for interaktion</w:t>
      </w:r>
    </w:p>
    <w:p w14:paraId="6BC9BCFE" w14:textId="77777777" w:rsidR="007E1C88" w:rsidRPr="00096AFC" w:rsidRDefault="007E1C88" w:rsidP="007E1C88">
      <w:pPr>
        <w:ind w:left="851" w:hanging="851"/>
        <w:rPr>
          <w:sz w:val="24"/>
          <w:szCs w:val="24"/>
        </w:rPr>
      </w:pPr>
      <w:r w:rsidRPr="00096AFC">
        <w:rPr>
          <w:sz w:val="24"/>
          <w:szCs w:val="24"/>
        </w:rPr>
        <w:tab/>
        <w:t>Dette produkt bør (ligesom andre produkter, der indeholder paracetamol og/eller ibuprofen) ikke tages samtidig med andre paracetamol- og/eller ibuprofen-produkter pga. risikoen for alvorlige bivirkninger.</w:t>
      </w:r>
    </w:p>
    <w:p w14:paraId="356449D2" w14:textId="77777777" w:rsidR="007E1C88" w:rsidRPr="00096AFC" w:rsidRDefault="007E1C88" w:rsidP="007E1C88">
      <w:pPr>
        <w:ind w:left="851" w:hanging="851"/>
        <w:jc w:val="both"/>
        <w:rPr>
          <w:sz w:val="24"/>
          <w:szCs w:val="24"/>
        </w:rPr>
      </w:pPr>
    </w:p>
    <w:p w14:paraId="6370C658" w14:textId="77777777" w:rsidR="007E1C88" w:rsidRPr="00096AFC" w:rsidRDefault="007E1C88" w:rsidP="007E1C88">
      <w:pPr>
        <w:ind w:left="851"/>
        <w:jc w:val="both"/>
        <w:rPr>
          <w:i/>
          <w:iCs/>
          <w:sz w:val="24"/>
          <w:szCs w:val="24"/>
          <w:u w:val="single"/>
        </w:rPr>
      </w:pPr>
      <w:r w:rsidRPr="00096AFC">
        <w:rPr>
          <w:i/>
          <w:iCs/>
          <w:sz w:val="24"/>
          <w:szCs w:val="24"/>
          <w:u w:val="single"/>
        </w:rPr>
        <w:t>Ibuprofen:</w:t>
      </w:r>
    </w:p>
    <w:p w14:paraId="7875FBA0" w14:textId="77777777" w:rsidR="007E1C88" w:rsidRPr="00096AFC" w:rsidRDefault="007E1C88" w:rsidP="007E1C88">
      <w:pPr>
        <w:ind w:left="851" w:hanging="851"/>
        <w:jc w:val="both"/>
        <w:rPr>
          <w:sz w:val="24"/>
          <w:szCs w:val="24"/>
        </w:rPr>
      </w:pPr>
    </w:p>
    <w:p w14:paraId="61432B46" w14:textId="77777777" w:rsidR="007E1C88" w:rsidRPr="00846CDD" w:rsidRDefault="007E1C88" w:rsidP="007E1C88">
      <w:pPr>
        <w:ind w:left="851"/>
        <w:rPr>
          <w:i/>
          <w:iCs/>
          <w:sz w:val="24"/>
          <w:szCs w:val="24"/>
          <w:u w:val="single"/>
        </w:rPr>
      </w:pPr>
      <w:r w:rsidRPr="00846CDD">
        <w:rPr>
          <w:i/>
          <w:iCs/>
          <w:sz w:val="24"/>
          <w:szCs w:val="24"/>
          <w:u w:val="single"/>
        </w:rPr>
        <w:t xml:space="preserve">Ligesom med andre produkter, der indeholder ibuprofen, bør kombination af følgende med </w:t>
      </w:r>
      <w:proofErr w:type="spellStart"/>
      <w:r>
        <w:rPr>
          <w:i/>
          <w:iCs/>
          <w:sz w:val="24"/>
          <w:szCs w:val="24"/>
          <w:u w:val="single"/>
        </w:rPr>
        <w:t>Doleron</w:t>
      </w:r>
      <w:proofErr w:type="spellEnd"/>
      <w:r w:rsidRPr="00846CDD">
        <w:rPr>
          <w:i/>
          <w:iCs/>
          <w:sz w:val="24"/>
          <w:szCs w:val="24"/>
          <w:u w:val="single"/>
        </w:rPr>
        <w:t xml:space="preserve"> undgås:</w:t>
      </w:r>
    </w:p>
    <w:p w14:paraId="68E009E6" w14:textId="77777777" w:rsidR="007E1C88" w:rsidRPr="00096AFC" w:rsidRDefault="007E1C88" w:rsidP="007E1C88">
      <w:pPr>
        <w:ind w:left="851" w:hanging="851"/>
        <w:rPr>
          <w:sz w:val="24"/>
          <w:szCs w:val="24"/>
        </w:rPr>
      </w:pPr>
    </w:p>
    <w:p w14:paraId="75E8A4DA" w14:textId="77777777" w:rsidR="007E1C88" w:rsidRPr="00096AFC" w:rsidRDefault="007E1C88" w:rsidP="007E1C88">
      <w:pPr>
        <w:ind w:left="851"/>
        <w:rPr>
          <w:sz w:val="24"/>
          <w:szCs w:val="24"/>
        </w:rPr>
      </w:pPr>
      <w:proofErr w:type="spellStart"/>
      <w:r w:rsidRPr="00096AFC">
        <w:rPr>
          <w:i/>
          <w:iCs/>
          <w:sz w:val="24"/>
          <w:szCs w:val="24"/>
        </w:rPr>
        <w:t>Dicumarol</w:t>
      </w:r>
      <w:proofErr w:type="spellEnd"/>
      <w:r w:rsidRPr="00096AFC">
        <w:rPr>
          <w:i/>
          <w:iCs/>
          <w:sz w:val="24"/>
          <w:szCs w:val="24"/>
        </w:rPr>
        <w:t>-gruppen:</w:t>
      </w:r>
      <w:r w:rsidRPr="00096AFC">
        <w:rPr>
          <w:sz w:val="24"/>
          <w:szCs w:val="24"/>
        </w:rPr>
        <w:t xml:space="preserve"> NSAID kan øge virkningen af </w:t>
      </w:r>
      <w:proofErr w:type="spellStart"/>
      <w:r w:rsidRPr="00096AFC">
        <w:rPr>
          <w:sz w:val="24"/>
          <w:szCs w:val="24"/>
        </w:rPr>
        <w:t>antikoagulantia</w:t>
      </w:r>
      <w:proofErr w:type="spellEnd"/>
      <w:r w:rsidRPr="00096AFC">
        <w:rPr>
          <w:sz w:val="24"/>
          <w:szCs w:val="24"/>
        </w:rPr>
        <w:t xml:space="preserve"> som for eksempel </w:t>
      </w:r>
      <w:proofErr w:type="spellStart"/>
      <w:r w:rsidRPr="00096AFC">
        <w:rPr>
          <w:sz w:val="24"/>
          <w:szCs w:val="24"/>
        </w:rPr>
        <w:t>warfarin</w:t>
      </w:r>
      <w:proofErr w:type="spellEnd"/>
      <w:r w:rsidRPr="00096AFC">
        <w:rPr>
          <w:sz w:val="24"/>
          <w:szCs w:val="24"/>
        </w:rPr>
        <w:t xml:space="preserve">. Eksperimentelle studier viser, at ibuprofen forstærker </w:t>
      </w:r>
      <w:proofErr w:type="spellStart"/>
      <w:r w:rsidRPr="00096AFC">
        <w:rPr>
          <w:sz w:val="24"/>
          <w:szCs w:val="24"/>
        </w:rPr>
        <w:t>warfarins</w:t>
      </w:r>
      <w:proofErr w:type="spellEnd"/>
      <w:r w:rsidRPr="00096AFC">
        <w:rPr>
          <w:sz w:val="24"/>
          <w:szCs w:val="24"/>
        </w:rPr>
        <w:t xml:space="preserve"> virkninger på blødningstiden. NSAID og </w:t>
      </w:r>
      <w:proofErr w:type="spellStart"/>
      <w:r w:rsidRPr="00096AFC">
        <w:rPr>
          <w:sz w:val="24"/>
          <w:szCs w:val="24"/>
        </w:rPr>
        <w:t>dicumarol</w:t>
      </w:r>
      <w:proofErr w:type="spellEnd"/>
      <w:r w:rsidRPr="00096AFC">
        <w:rPr>
          <w:sz w:val="24"/>
          <w:szCs w:val="24"/>
        </w:rPr>
        <w:t xml:space="preserve">-gruppen </w:t>
      </w:r>
      <w:proofErr w:type="spellStart"/>
      <w:r w:rsidRPr="00096AFC">
        <w:rPr>
          <w:sz w:val="24"/>
          <w:szCs w:val="24"/>
        </w:rPr>
        <w:t>metaboliseres</w:t>
      </w:r>
      <w:proofErr w:type="spellEnd"/>
      <w:r w:rsidRPr="00096AFC">
        <w:rPr>
          <w:sz w:val="24"/>
          <w:szCs w:val="24"/>
        </w:rPr>
        <w:t xml:space="preserve"> af det samme enzym, CYP2C9.</w:t>
      </w:r>
    </w:p>
    <w:p w14:paraId="79093966" w14:textId="77777777" w:rsidR="007E1C88" w:rsidRPr="00096AFC" w:rsidRDefault="007E1C88" w:rsidP="007E1C88">
      <w:pPr>
        <w:ind w:left="851" w:hanging="851"/>
        <w:rPr>
          <w:sz w:val="24"/>
          <w:szCs w:val="24"/>
        </w:rPr>
      </w:pPr>
    </w:p>
    <w:p w14:paraId="71EC0825" w14:textId="77777777" w:rsidR="007E1C88" w:rsidRPr="00096AFC" w:rsidRDefault="007E1C88" w:rsidP="007E1C88">
      <w:pPr>
        <w:ind w:left="851"/>
        <w:rPr>
          <w:sz w:val="24"/>
          <w:szCs w:val="24"/>
        </w:rPr>
      </w:pPr>
      <w:proofErr w:type="spellStart"/>
      <w:r w:rsidRPr="00096AFC">
        <w:rPr>
          <w:i/>
          <w:iCs/>
          <w:sz w:val="24"/>
          <w:szCs w:val="24"/>
        </w:rPr>
        <w:t>Antitrombocytmidler</w:t>
      </w:r>
      <w:proofErr w:type="spellEnd"/>
      <w:r w:rsidRPr="00096AFC">
        <w:rPr>
          <w:i/>
          <w:iCs/>
          <w:sz w:val="24"/>
          <w:szCs w:val="24"/>
        </w:rPr>
        <w:t>:</w:t>
      </w:r>
      <w:r w:rsidRPr="00096AFC">
        <w:rPr>
          <w:sz w:val="24"/>
          <w:szCs w:val="24"/>
        </w:rPr>
        <w:t xml:space="preserve"> NSAID bør ikke kombineres med </w:t>
      </w:r>
      <w:proofErr w:type="spellStart"/>
      <w:r w:rsidRPr="00096AFC">
        <w:rPr>
          <w:sz w:val="24"/>
          <w:szCs w:val="24"/>
        </w:rPr>
        <w:t>antitrombocytmidler</w:t>
      </w:r>
      <w:proofErr w:type="spellEnd"/>
      <w:r w:rsidRPr="00096AFC">
        <w:rPr>
          <w:sz w:val="24"/>
          <w:szCs w:val="24"/>
        </w:rPr>
        <w:t xml:space="preserve">, som for eksempel </w:t>
      </w:r>
      <w:proofErr w:type="spellStart"/>
      <w:r w:rsidRPr="00096AFC">
        <w:rPr>
          <w:sz w:val="24"/>
          <w:szCs w:val="24"/>
        </w:rPr>
        <w:t>ticlopidin</w:t>
      </w:r>
      <w:proofErr w:type="spellEnd"/>
      <w:r w:rsidRPr="00096AFC">
        <w:rPr>
          <w:sz w:val="24"/>
          <w:szCs w:val="24"/>
        </w:rPr>
        <w:t xml:space="preserve">, pga. den </w:t>
      </w:r>
      <w:proofErr w:type="spellStart"/>
      <w:r w:rsidRPr="00096AFC">
        <w:rPr>
          <w:sz w:val="24"/>
          <w:szCs w:val="24"/>
        </w:rPr>
        <w:t>additive</w:t>
      </w:r>
      <w:proofErr w:type="spellEnd"/>
      <w:r w:rsidRPr="00096AFC">
        <w:rPr>
          <w:sz w:val="24"/>
          <w:szCs w:val="24"/>
        </w:rPr>
        <w:t xml:space="preserve"> hæmning af </w:t>
      </w:r>
      <w:proofErr w:type="spellStart"/>
      <w:r w:rsidRPr="00096AFC">
        <w:rPr>
          <w:sz w:val="24"/>
          <w:szCs w:val="24"/>
        </w:rPr>
        <w:t>trombocytfunktionen</w:t>
      </w:r>
      <w:proofErr w:type="spellEnd"/>
      <w:r w:rsidRPr="00096AFC">
        <w:rPr>
          <w:sz w:val="24"/>
          <w:szCs w:val="24"/>
        </w:rPr>
        <w:t xml:space="preserve"> (se nedenfor).</w:t>
      </w:r>
    </w:p>
    <w:p w14:paraId="07016AA8" w14:textId="77777777" w:rsidR="007E1C88" w:rsidRPr="00096AFC" w:rsidRDefault="007E1C88" w:rsidP="007E1C88">
      <w:pPr>
        <w:ind w:left="851" w:hanging="851"/>
        <w:rPr>
          <w:sz w:val="24"/>
          <w:szCs w:val="24"/>
        </w:rPr>
      </w:pPr>
    </w:p>
    <w:p w14:paraId="5C656235" w14:textId="77777777" w:rsidR="007E1C88" w:rsidRPr="00096AFC" w:rsidRDefault="007E1C88" w:rsidP="007E1C88">
      <w:pPr>
        <w:ind w:left="851"/>
        <w:rPr>
          <w:sz w:val="24"/>
          <w:szCs w:val="24"/>
        </w:rPr>
      </w:pPr>
      <w:proofErr w:type="spellStart"/>
      <w:r w:rsidRPr="00096AFC">
        <w:rPr>
          <w:i/>
          <w:iCs/>
          <w:sz w:val="24"/>
          <w:szCs w:val="24"/>
        </w:rPr>
        <w:t>Methotrexat</w:t>
      </w:r>
      <w:proofErr w:type="spellEnd"/>
      <w:r w:rsidRPr="00096AFC">
        <w:rPr>
          <w:i/>
          <w:iCs/>
          <w:sz w:val="24"/>
          <w:szCs w:val="24"/>
        </w:rPr>
        <w:t>:</w:t>
      </w:r>
      <w:r w:rsidRPr="00096AFC">
        <w:rPr>
          <w:sz w:val="24"/>
          <w:szCs w:val="24"/>
        </w:rPr>
        <w:t xml:space="preserve"> NSAID hæmmer udskillelsen af </w:t>
      </w:r>
      <w:proofErr w:type="spellStart"/>
      <w:r w:rsidRPr="00096AFC">
        <w:rPr>
          <w:sz w:val="24"/>
          <w:szCs w:val="24"/>
        </w:rPr>
        <w:t>methotrexat</w:t>
      </w:r>
      <w:proofErr w:type="spellEnd"/>
      <w:r w:rsidRPr="00096AFC">
        <w:rPr>
          <w:sz w:val="24"/>
          <w:szCs w:val="24"/>
        </w:rPr>
        <w:t xml:space="preserve"> i </w:t>
      </w:r>
      <w:proofErr w:type="spellStart"/>
      <w:r w:rsidRPr="00096AFC">
        <w:rPr>
          <w:sz w:val="24"/>
          <w:szCs w:val="24"/>
        </w:rPr>
        <w:t>tubuli</w:t>
      </w:r>
      <w:proofErr w:type="spellEnd"/>
      <w:r w:rsidRPr="00096AFC">
        <w:rPr>
          <w:sz w:val="24"/>
          <w:szCs w:val="24"/>
        </w:rPr>
        <w:t xml:space="preserve">, og der kan som følge deraf forekomme en vis metabolisk interaktion med nedsat </w:t>
      </w:r>
      <w:proofErr w:type="spellStart"/>
      <w:r w:rsidRPr="00096AFC">
        <w:rPr>
          <w:sz w:val="24"/>
          <w:szCs w:val="24"/>
        </w:rPr>
        <w:t>clearance</w:t>
      </w:r>
      <w:proofErr w:type="spellEnd"/>
      <w:r w:rsidRPr="00096AFC">
        <w:rPr>
          <w:sz w:val="24"/>
          <w:szCs w:val="24"/>
        </w:rPr>
        <w:t xml:space="preserve"> af </w:t>
      </w:r>
      <w:proofErr w:type="spellStart"/>
      <w:r w:rsidRPr="00096AFC">
        <w:rPr>
          <w:sz w:val="24"/>
          <w:szCs w:val="24"/>
        </w:rPr>
        <w:t>methotrexat</w:t>
      </w:r>
      <w:proofErr w:type="spellEnd"/>
      <w:r w:rsidRPr="00096AFC">
        <w:rPr>
          <w:sz w:val="24"/>
          <w:szCs w:val="24"/>
        </w:rPr>
        <w:t xml:space="preserve">. Følgelig bør ordination af NSAID altid undgås ved behandling med </w:t>
      </w:r>
      <w:proofErr w:type="spellStart"/>
      <w:r w:rsidRPr="00096AFC">
        <w:rPr>
          <w:sz w:val="24"/>
          <w:szCs w:val="24"/>
        </w:rPr>
        <w:t>methotrexat</w:t>
      </w:r>
      <w:proofErr w:type="spellEnd"/>
      <w:r w:rsidRPr="00096AFC">
        <w:rPr>
          <w:sz w:val="24"/>
          <w:szCs w:val="24"/>
        </w:rPr>
        <w:t xml:space="preserve"> i høje doser (se nedenfor).</w:t>
      </w:r>
    </w:p>
    <w:p w14:paraId="3875676B" w14:textId="77777777" w:rsidR="007E1C88" w:rsidRPr="00096AFC" w:rsidRDefault="007E1C88" w:rsidP="007E1C88">
      <w:pPr>
        <w:ind w:left="851" w:hanging="851"/>
        <w:rPr>
          <w:sz w:val="24"/>
          <w:szCs w:val="24"/>
        </w:rPr>
      </w:pPr>
    </w:p>
    <w:p w14:paraId="0B0D3763" w14:textId="77777777" w:rsidR="007E1C88" w:rsidRDefault="007E1C88" w:rsidP="007E1C88">
      <w:pPr>
        <w:ind w:left="851"/>
      </w:pPr>
      <w:r w:rsidRPr="00096AFC">
        <w:rPr>
          <w:i/>
          <w:iCs/>
          <w:sz w:val="24"/>
          <w:szCs w:val="24"/>
        </w:rPr>
        <w:t>Acetylsalicylsyre:</w:t>
      </w:r>
      <w:r w:rsidRPr="00096AFC">
        <w:rPr>
          <w:sz w:val="24"/>
          <w:szCs w:val="24"/>
        </w:rPr>
        <w:t xml:space="preserve"> </w:t>
      </w:r>
      <w:r>
        <w:t>Samtidig administration af ibuprofen og acetylsalicylsyre anbefales generelt ikke på grund af en potentielt øget bivirkningsfrekvens.</w:t>
      </w:r>
    </w:p>
    <w:p w14:paraId="15127755" w14:textId="77777777" w:rsidR="007E1C88" w:rsidRDefault="007E1C88" w:rsidP="007E1C88">
      <w:pPr>
        <w:ind w:left="851"/>
        <w:rPr>
          <w:sz w:val="24"/>
          <w:szCs w:val="24"/>
        </w:rPr>
      </w:pPr>
    </w:p>
    <w:p w14:paraId="0078AB5C" w14:textId="77777777" w:rsidR="007E1C88" w:rsidRDefault="007E1C88" w:rsidP="007E1C88">
      <w:pPr>
        <w:ind w:left="851"/>
        <w:rPr>
          <w:szCs w:val="24"/>
        </w:rPr>
      </w:pPr>
      <w:r>
        <w:rPr>
          <w:sz w:val="24"/>
          <w:szCs w:val="24"/>
        </w:rPr>
        <w:t xml:space="preserve">Eksperimentelle data tyder på, at ibuprofen muligvis </w:t>
      </w:r>
      <w:proofErr w:type="spellStart"/>
      <w:r>
        <w:rPr>
          <w:sz w:val="24"/>
          <w:szCs w:val="24"/>
        </w:rPr>
        <w:t>kompetitivt</w:t>
      </w:r>
      <w:proofErr w:type="spellEnd"/>
      <w:r>
        <w:rPr>
          <w:sz w:val="24"/>
          <w:szCs w:val="24"/>
        </w:rPr>
        <w:t xml:space="preserve"> hæmmer virkningen af lavdosis-acetylsalicylsyre på </w:t>
      </w:r>
      <w:proofErr w:type="spellStart"/>
      <w:r>
        <w:rPr>
          <w:sz w:val="24"/>
          <w:szCs w:val="24"/>
        </w:rPr>
        <w:t>trombocytaggregation</w:t>
      </w:r>
      <w:proofErr w:type="spellEnd"/>
      <w:r>
        <w:rPr>
          <w:sz w:val="24"/>
          <w:szCs w:val="24"/>
        </w:rPr>
        <w:t xml:space="preserve">, når de doseres samtidig. Selvom der er usikkerhed vedrørende ekstrapolation af disse data til den kliniske situation, kan muligheden for, at regelmæssig langvarig behandling med ibuprofen kan nedsætte den </w:t>
      </w:r>
      <w:proofErr w:type="spellStart"/>
      <w:r>
        <w:rPr>
          <w:sz w:val="24"/>
          <w:szCs w:val="24"/>
        </w:rPr>
        <w:t>kardioprotektive</w:t>
      </w:r>
      <w:proofErr w:type="spellEnd"/>
      <w:r>
        <w:rPr>
          <w:sz w:val="24"/>
          <w:szCs w:val="24"/>
        </w:rPr>
        <w:t xml:space="preserve"> virkning af lavdosis acetylsalicylsyre, ikke udelukkes. En klinisk relevant virkning ved lejlighedsvis brug af ibuprofen anses ikke for at være sandsynlig (se pkt. 5.1).</w:t>
      </w:r>
    </w:p>
    <w:p w14:paraId="305293BB" w14:textId="77777777" w:rsidR="007E1C88" w:rsidRPr="00096AFC" w:rsidRDefault="007E1C88" w:rsidP="007E1C88">
      <w:pPr>
        <w:ind w:left="851" w:hanging="851"/>
        <w:rPr>
          <w:sz w:val="24"/>
          <w:szCs w:val="24"/>
        </w:rPr>
      </w:pPr>
    </w:p>
    <w:p w14:paraId="6AFA4652" w14:textId="77777777" w:rsidR="007E1C88" w:rsidRPr="00096AFC" w:rsidRDefault="007E1C88" w:rsidP="007E1C88">
      <w:pPr>
        <w:ind w:left="851"/>
        <w:rPr>
          <w:sz w:val="24"/>
          <w:szCs w:val="24"/>
        </w:rPr>
      </w:pPr>
      <w:proofErr w:type="spellStart"/>
      <w:r w:rsidRPr="00096AFC">
        <w:rPr>
          <w:i/>
          <w:iCs/>
          <w:sz w:val="24"/>
          <w:szCs w:val="24"/>
        </w:rPr>
        <w:t>Kardioglykosider</w:t>
      </w:r>
      <w:proofErr w:type="spellEnd"/>
      <w:r w:rsidRPr="00096AFC">
        <w:rPr>
          <w:i/>
          <w:iCs/>
          <w:sz w:val="24"/>
          <w:szCs w:val="24"/>
        </w:rPr>
        <w:t xml:space="preserve">: </w:t>
      </w:r>
      <w:r w:rsidRPr="00096AFC">
        <w:rPr>
          <w:sz w:val="24"/>
          <w:szCs w:val="24"/>
        </w:rPr>
        <w:t xml:space="preserve">NSAID kan forværre hjerteinsufficiens, nedsætte </w:t>
      </w:r>
      <w:proofErr w:type="spellStart"/>
      <w:r w:rsidRPr="00096AFC">
        <w:rPr>
          <w:sz w:val="24"/>
          <w:szCs w:val="24"/>
        </w:rPr>
        <w:t>glomerulær</w:t>
      </w:r>
      <w:proofErr w:type="spellEnd"/>
      <w:r w:rsidRPr="00096AFC">
        <w:rPr>
          <w:sz w:val="24"/>
          <w:szCs w:val="24"/>
        </w:rPr>
        <w:t xml:space="preserve"> filtration og øge plasmakoncentrationer af </w:t>
      </w:r>
      <w:proofErr w:type="spellStart"/>
      <w:r w:rsidRPr="00096AFC">
        <w:rPr>
          <w:sz w:val="24"/>
          <w:szCs w:val="24"/>
        </w:rPr>
        <w:t>kardioglykosider</w:t>
      </w:r>
      <w:proofErr w:type="spellEnd"/>
      <w:r w:rsidRPr="00096AFC">
        <w:rPr>
          <w:sz w:val="24"/>
          <w:szCs w:val="24"/>
        </w:rPr>
        <w:t xml:space="preserve"> (f.eks. </w:t>
      </w:r>
      <w:proofErr w:type="spellStart"/>
      <w:r w:rsidRPr="00096AFC">
        <w:rPr>
          <w:sz w:val="24"/>
          <w:szCs w:val="24"/>
        </w:rPr>
        <w:t>digoxin</w:t>
      </w:r>
      <w:proofErr w:type="spellEnd"/>
      <w:r w:rsidRPr="00096AFC">
        <w:rPr>
          <w:sz w:val="24"/>
          <w:szCs w:val="24"/>
        </w:rPr>
        <w:t>).</w:t>
      </w:r>
    </w:p>
    <w:p w14:paraId="1E68B7E2" w14:textId="77777777" w:rsidR="007E1C88" w:rsidRPr="00096AFC" w:rsidRDefault="007E1C88" w:rsidP="007E1C88">
      <w:pPr>
        <w:ind w:left="851" w:hanging="851"/>
        <w:rPr>
          <w:sz w:val="24"/>
          <w:szCs w:val="24"/>
        </w:rPr>
      </w:pPr>
    </w:p>
    <w:p w14:paraId="32630D2E" w14:textId="77777777" w:rsidR="007E1C88" w:rsidRPr="00096AFC" w:rsidRDefault="007E1C88" w:rsidP="007E1C88">
      <w:pPr>
        <w:autoSpaceDE w:val="0"/>
        <w:autoSpaceDN w:val="0"/>
        <w:adjustRightInd w:val="0"/>
        <w:ind w:left="851"/>
        <w:rPr>
          <w:sz w:val="24"/>
          <w:szCs w:val="24"/>
        </w:rPr>
      </w:pPr>
      <w:proofErr w:type="spellStart"/>
      <w:r w:rsidRPr="00096AFC">
        <w:rPr>
          <w:i/>
          <w:iCs/>
          <w:sz w:val="24"/>
          <w:szCs w:val="24"/>
        </w:rPr>
        <w:t>Mifepriston</w:t>
      </w:r>
      <w:proofErr w:type="spellEnd"/>
      <w:r w:rsidRPr="00096AFC">
        <w:rPr>
          <w:i/>
          <w:iCs/>
          <w:sz w:val="24"/>
          <w:szCs w:val="24"/>
        </w:rPr>
        <w:t xml:space="preserve">: </w:t>
      </w:r>
      <w:r w:rsidRPr="00096AFC">
        <w:rPr>
          <w:sz w:val="24"/>
          <w:szCs w:val="24"/>
        </w:rPr>
        <w:t>Der kan i teorien ske et fald i lægemidlets effektivitet pga. non-</w:t>
      </w:r>
      <w:proofErr w:type="spellStart"/>
      <w:r w:rsidRPr="00096AFC">
        <w:rPr>
          <w:sz w:val="24"/>
          <w:szCs w:val="24"/>
        </w:rPr>
        <w:t>steroide</w:t>
      </w:r>
      <w:proofErr w:type="spellEnd"/>
      <w:r w:rsidRPr="00096AFC">
        <w:rPr>
          <w:sz w:val="24"/>
          <w:szCs w:val="24"/>
        </w:rPr>
        <w:t xml:space="preserve"> anti-inflammatoriske lægemidlers (</w:t>
      </w:r>
      <w:proofErr w:type="spellStart"/>
      <w:r w:rsidRPr="00096AFC">
        <w:rPr>
          <w:sz w:val="24"/>
          <w:szCs w:val="24"/>
        </w:rPr>
        <w:t>NSAIDs</w:t>
      </w:r>
      <w:proofErr w:type="spellEnd"/>
      <w:r w:rsidRPr="00096AFC">
        <w:rPr>
          <w:sz w:val="24"/>
          <w:szCs w:val="24"/>
        </w:rPr>
        <w:t xml:space="preserve">), herunder acetylsalicylsyres, </w:t>
      </w:r>
      <w:proofErr w:type="spellStart"/>
      <w:r w:rsidRPr="00096AFC">
        <w:rPr>
          <w:sz w:val="24"/>
          <w:szCs w:val="24"/>
        </w:rPr>
        <w:t>antiprostaglandin</w:t>
      </w:r>
      <w:proofErr w:type="spellEnd"/>
      <w:r w:rsidRPr="00096AFC">
        <w:rPr>
          <w:sz w:val="24"/>
          <w:szCs w:val="24"/>
        </w:rPr>
        <w:t xml:space="preserve">-egenskaber. Begrænset evidens tyder på, at administration af NSAID samme dag som </w:t>
      </w:r>
      <w:proofErr w:type="spellStart"/>
      <w:r w:rsidRPr="00096AFC">
        <w:rPr>
          <w:sz w:val="24"/>
          <w:szCs w:val="24"/>
        </w:rPr>
        <w:t>prostaglandin</w:t>
      </w:r>
      <w:proofErr w:type="spellEnd"/>
      <w:r w:rsidRPr="00096AFC">
        <w:rPr>
          <w:sz w:val="24"/>
          <w:szCs w:val="24"/>
        </w:rPr>
        <w:t xml:space="preserve">-administration ikke har en negativ effekt på </w:t>
      </w:r>
      <w:proofErr w:type="spellStart"/>
      <w:r w:rsidRPr="00096AFC">
        <w:rPr>
          <w:sz w:val="24"/>
          <w:szCs w:val="24"/>
        </w:rPr>
        <w:t>mifepristons</w:t>
      </w:r>
      <w:proofErr w:type="spellEnd"/>
      <w:r w:rsidRPr="00096AFC">
        <w:rPr>
          <w:sz w:val="24"/>
          <w:szCs w:val="24"/>
        </w:rPr>
        <w:t xml:space="preserve"> eller </w:t>
      </w:r>
      <w:proofErr w:type="spellStart"/>
      <w:r w:rsidRPr="00096AFC">
        <w:rPr>
          <w:sz w:val="24"/>
          <w:szCs w:val="24"/>
        </w:rPr>
        <w:t>prostaglandinets</w:t>
      </w:r>
      <w:proofErr w:type="spellEnd"/>
      <w:r w:rsidRPr="00096AFC">
        <w:rPr>
          <w:sz w:val="24"/>
          <w:szCs w:val="24"/>
        </w:rPr>
        <w:t xml:space="preserve"> virkninger på modning af </w:t>
      </w:r>
      <w:proofErr w:type="spellStart"/>
      <w:r w:rsidRPr="00096AFC">
        <w:rPr>
          <w:sz w:val="24"/>
          <w:szCs w:val="24"/>
        </w:rPr>
        <w:t>cervix</w:t>
      </w:r>
      <w:proofErr w:type="spellEnd"/>
      <w:r w:rsidRPr="00096AFC">
        <w:rPr>
          <w:sz w:val="24"/>
          <w:szCs w:val="24"/>
        </w:rPr>
        <w:t xml:space="preserve"> eller livmoderens kontraktionsvene, og at det ikke nedsætter den kliniske virkning af medicinsk svangerskabsafbrydelse.</w:t>
      </w:r>
    </w:p>
    <w:p w14:paraId="1CFD5A68" w14:textId="77777777" w:rsidR="007E1C88" w:rsidRPr="00096AFC" w:rsidRDefault="007E1C88" w:rsidP="007E1C88">
      <w:pPr>
        <w:autoSpaceDE w:val="0"/>
        <w:autoSpaceDN w:val="0"/>
        <w:adjustRightInd w:val="0"/>
        <w:ind w:left="851" w:hanging="851"/>
        <w:rPr>
          <w:i/>
          <w:iCs/>
          <w:sz w:val="24"/>
          <w:szCs w:val="24"/>
        </w:rPr>
      </w:pPr>
    </w:p>
    <w:p w14:paraId="3E820034" w14:textId="77777777" w:rsidR="007E1C88" w:rsidRPr="00096AFC" w:rsidRDefault="007E1C88" w:rsidP="007E1C88">
      <w:pPr>
        <w:autoSpaceDE w:val="0"/>
        <w:autoSpaceDN w:val="0"/>
        <w:adjustRightInd w:val="0"/>
        <w:ind w:left="851"/>
        <w:rPr>
          <w:sz w:val="24"/>
          <w:szCs w:val="24"/>
        </w:rPr>
      </w:pPr>
      <w:proofErr w:type="spellStart"/>
      <w:r w:rsidRPr="00096AFC">
        <w:rPr>
          <w:i/>
          <w:iCs/>
          <w:sz w:val="24"/>
          <w:szCs w:val="24"/>
        </w:rPr>
        <w:t>Sulfonylurinstoffer</w:t>
      </w:r>
      <w:proofErr w:type="spellEnd"/>
      <w:r w:rsidRPr="00096AFC">
        <w:rPr>
          <w:i/>
          <w:iCs/>
          <w:sz w:val="24"/>
          <w:szCs w:val="24"/>
        </w:rPr>
        <w:t xml:space="preserve">: </w:t>
      </w:r>
      <w:r w:rsidRPr="00096AFC">
        <w:rPr>
          <w:sz w:val="24"/>
          <w:szCs w:val="24"/>
        </w:rPr>
        <w:t xml:space="preserve">Der er sjældne indberetninger om hypoglykæmi hos patienter, der får </w:t>
      </w:r>
      <w:proofErr w:type="spellStart"/>
      <w:r w:rsidRPr="00096AFC">
        <w:rPr>
          <w:sz w:val="24"/>
          <w:szCs w:val="24"/>
        </w:rPr>
        <w:t>sulfonylurinstoffer</w:t>
      </w:r>
      <w:proofErr w:type="spellEnd"/>
      <w:r w:rsidRPr="00096AFC">
        <w:rPr>
          <w:sz w:val="24"/>
          <w:szCs w:val="24"/>
        </w:rPr>
        <w:t xml:space="preserve"> og ibuprofen samtidig.</w:t>
      </w:r>
    </w:p>
    <w:p w14:paraId="1C4E9C1E" w14:textId="77777777" w:rsidR="007E1C88" w:rsidRPr="00096AFC" w:rsidRDefault="007E1C88" w:rsidP="007E1C88">
      <w:pPr>
        <w:autoSpaceDE w:val="0"/>
        <w:autoSpaceDN w:val="0"/>
        <w:adjustRightInd w:val="0"/>
        <w:ind w:left="851" w:hanging="851"/>
        <w:rPr>
          <w:i/>
          <w:iCs/>
          <w:sz w:val="24"/>
          <w:szCs w:val="24"/>
        </w:rPr>
      </w:pPr>
    </w:p>
    <w:p w14:paraId="0EC7DA7B" w14:textId="77777777" w:rsidR="007E1C88" w:rsidRPr="00096AFC" w:rsidRDefault="007E1C88" w:rsidP="007E1C88">
      <w:pPr>
        <w:autoSpaceDE w:val="0"/>
        <w:autoSpaceDN w:val="0"/>
        <w:adjustRightInd w:val="0"/>
        <w:ind w:left="851"/>
        <w:rPr>
          <w:sz w:val="24"/>
          <w:szCs w:val="24"/>
        </w:rPr>
      </w:pPr>
      <w:proofErr w:type="spellStart"/>
      <w:r w:rsidRPr="00096AFC">
        <w:rPr>
          <w:i/>
          <w:iCs/>
          <w:sz w:val="24"/>
          <w:szCs w:val="24"/>
        </w:rPr>
        <w:t>Zidovudin</w:t>
      </w:r>
      <w:proofErr w:type="spellEnd"/>
      <w:r w:rsidRPr="00096AFC">
        <w:rPr>
          <w:i/>
          <w:iCs/>
          <w:sz w:val="24"/>
          <w:szCs w:val="24"/>
        </w:rPr>
        <w:t xml:space="preserve">: </w:t>
      </w:r>
      <w:r w:rsidRPr="00096AFC">
        <w:rPr>
          <w:sz w:val="24"/>
          <w:szCs w:val="24"/>
        </w:rPr>
        <w:t xml:space="preserve">Der er evidens for en forhøjet risiko for </w:t>
      </w:r>
      <w:proofErr w:type="spellStart"/>
      <w:r w:rsidRPr="00096AFC">
        <w:rPr>
          <w:sz w:val="24"/>
          <w:szCs w:val="24"/>
        </w:rPr>
        <w:t>ledblødninger</w:t>
      </w:r>
      <w:proofErr w:type="spellEnd"/>
      <w:r w:rsidRPr="00096AFC">
        <w:rPr>
          <w:sz w:val="24"/>
          <w:szCs w:val="24"/>
        </w:rPr>
        <w:t xml:space="preserve"> og </w:t>
      </w:r>
      <w:proofErr w:type="spellStart"/>
      <w:r w:rsidRPr="00096AFC">
        <w:rPr>
          <w:sz w:val="24"/>
          <w:szCs w:val="24"/>
        </w:rPr>
        <w:t>hæmatom</w:t>
      </w:r>
      <w:proofErr w:type="spellEnd"/>
      <w:r w:rsidRPr="00096AFC">
        <w:rPr>
          <w:sz w:val="24"/>
          <w:szCs w:val="24"/>
        </w:rPr>
        <w:t xml:space="preserve"> hos hiv-positive blødere, der får samtidig behandling med </w:t>
      </w:r>
      <w:proofErr w:type="spellStart"/>
      <w:r w:rsidRPr="00096AFC">
        <w:rPr>
          <w:sz w:val="24"/>
          <w:szCs w:val="24"/>
        </w:rPr>
        <w:t>zidovudin</w:t>
      </w:r>
      <w:proofErr w:type="spellEnd"/>
      <w:r w:rsidRPr="00096AFC">
        <w:rPr>
          <w:sz w:val="24"/>
          <w:szCs w:val="24"/>
        </w:rPr>
        <w:t xml:space="preserve"> og ibuprofen.</w:t>
      </w:r>
    </w:p>
    <w:p w14:paraId="24156146" w14:textId="77777777" w:rsidR="007E1C88" w:rsidRPr="00096AFC" w:rsidRDefault="007E1C88" w:rsidP="007E1C88">
      <w:pPr>
        <w:autoSpaceDE w:val="0"/>
        <w:autoSpaceDN w:val="0"/>
        <w:adjustRightInd w:val="0"/>
        <w:ind w:left="851" w:hanging="851"/>
        <w:rPr>
          <w:sz w:val="24"/>
          <w:szCs w:val="24"/>
        </w:rPr>
      </w:pPr>
    </w:p>
    <w:p w14:paraId="634183EF" w14:textId="77777777" w:rsidR="007E1C88" w:rsidRPr="00096AFC" w:rsidRDefault="007E1C88" w:rsidP="007E1C88">
      <w:pPr>
        <w:autoSpaceDE w:val="0"/>
        <w:autoSpaceDN w:val="0"/>
        <w:adjustRightInd w:val="0"/>
        <w:ind w:left="851"/>
        <w:rPr>
          <w:sz w:val="24"/>
          <w:szCs w:val="24"/>
        </w:rPr>
      </w:pPr>
      <w:proofErr w:type="spellStart"/>
      <w:r w:rsidRPr="00096AFC">
        <w:rPr>
          <w:i/>
          <w:iCs/>
          <w:sz w:val="24"/>
          <w:szCs w:val="24"/>
        </w:rPr>
        <w:t>Quinolon</w:t>
      </w:r>
      <w:proofErr w:type="spellEnd"/>
      <w:r w:rsidRPr="00096AFC">
        <w:rPr>
          <w:i/>
          <w:iCs/>
          <w:sz w:val="24"/>
          <w:szCs w:val="24"/>
        </w:rPr>
        <w:t>-antibiotika:</w:t>
      </w:r>
      <w:r w:rsidRPr="00096AFC">
        <w:rPr>
          <w:sz w:val="24"/>
          <w:szCs w:val="24"/>
        </w:rPr>
        <w:t xml:space="preserve"> Data fra dyreforsøg indikerer, at NSAID kan øge risikoen for konvulsioner i forbindelse med </w:t>
      </w:r>
      <w:proofErr w:type="spellStart"/>
      <w:r w:rsidRPr="00096AFC">
        <w:rPr>
          <w:sz w:val="24"/>
          <w:szCs w:val="24"/>
        </w:rPr>
        <w:t>quinolon</w:t>
      </w:r>
      <w:proofErr w:type="spellEnd"/>
      <w:r w:rsidRPr="00096AFC">
        <w:rPr>
          <w:sz w:val="24"/>
          <w:szCs w:val="24"/>
        </w:rPr>
        <w:t xml:space="preserve">-antibiotika. Patienter, der tager NSAID og </w:t>
      </w:r>
      <w:proofErr w:type="spellStart"/>
      <w:r w:rsidRPr="00096AFC">
        <w:rPr>
          <w:sz w:val="24"/>
          <w:szCs w:val="24"/>
        </w:rPr>
        <w:t>quinoloner</w:t>
      </w:r>
      <w:proofErr w:type="spellEnd"/>
      <w:r w:rsidRPr="00096AFC">
        <w:rPr>
          <w:sz w:val="24"/>
          <w:szCs w:val="24"/>
        </w:rPr>
        <w:t xml:space="preserve"> kan have en forhøjet risiko for at udvikle konvulsioner.</w:t>
      </w:r>
    </w:p>
    <w:p w14:paraId="636F48EE" w14:textId="77777777" w:rsidR="007E1C88" w:rsidRPr="00096AFC" w:rsidRDefault="007E1C88" w:rsidP="007E1C88">
      <w:pPr>
        <w:autoSpaceDE w:val="0"/>
        <w:autoSpaceDN w:val="0"/>
        <w:adjustRightInd w:val="0"/>
        <w:ind w:left="851" w:hanging="851"/>
        <w:rPr>
          <w:sz w:val="24"/>
          <w:szCs w:val="24"/>
        </w:rPr>
      </w:pPr>
    </w:p>
    <w:p w14:paraId="3F4DBBE3" w14:textId="77777777" w:rsidR="007E1C88" w:rsidRPr="00096AFC" w:rsidRDefault="007E1C88" w:rsidP="007E1C88">
      <w:pPr>
        <w:ind w:left="851"/>
        <w:rPr>
          <w:i/>
          <w:iCs/>
          <w:sz w:val="24"/>
          <w:szCs w:val="24"/>
          <w:u w:val="single"/>
        </w:rPr>
      </w:pPr>
      <w:r w:rsidRPr="00096AFC">
        <w:rPr>
          <w:i/>
          <w:iCs/>
          <w:sz w:val="24"/>
          <w:szCs w:val="24"/>
          <w:u w:val="single"/>
        </w:rPr>
        <w:t xml:space="preserve">Følgende kombinationer med </w:t>
      </w:r>
      <w:proofErr w:type="spellStart"/>
      <w:r>
        <w:rPr>
          <w:i/>
          <w:iCs/>
          <w:sz w:val="24"/>
          <w:szCs w:val="24"/>
          <w:u w:val="single"/>
        </w:rPr>
        <w:t>Doleron</w:t>
      </w:r>
      <w:proofErr w:type="spellEnd"/>
      <w:r w:rsidRPr="00096AFC">
        <w:rPr>
          <w:i/>
          <w:iCs/>
          <w:sz w:val="24"/>
          <w:szCs w:val="24"/>
          <w:u w:val="single"/>
        </w:rPr>
        <w:t xml:space="preserve"> kan nødvendiggøre dosisjustering:</w:t>
      </w:r>
    </w:p>
    <w:p w14:paraId="242DBCBF" w14:textId="77777777" w:rsidR="007E1C88" w:rsidRPr="00096AFC" w:rsidRDefault="007E1C88" w:rsidP="007E1C88">
      <w:pPr>
        <w:ind w:left="851" w:hanging="851"/>
        <w:rPr>
          <w:i/>
          <w:iCs/>
          <w:sz w:val="24"/>
          <w:szCs w:val="24"/>
        </w:rPr>
      </w:pPr>
    </w:p>
    <w:p w14:paraId="09AEB798" w14:textId="77777777" w:rsidR="007E1C88" w:rsidRPr="00096AFC" w:rsidRDefault="007E1C88" w:rsidP="007E1C88">
      <w:pPr>
        <w:ind w:left="851"/>
        <w:rPr>
          <w:sz w:val="24"/>
          <w:szCs w:val="24"/>
        </w:rPr>
      </w:pPr>
      <w:r w:rsidRPr="00096AFC">
        <w:rPr>
          <w:sz w:val="24"/>
          <w:szCs w:val="24"/>
        </w:rPr>
        <w:t xml:space="preserve">NSAID kan reducere effekten af </w:t>
      </w:r>
      <w:proofErr w:type="spellStart"/>
      <w:r w:rsidRPr="00096AFC">
        <w:rPr>
          <w:sz w:val="24"/>
          <w:szCs w:val="24"/>
        </w:rPr>
        <w:t>diuretika</w:t>
      </w:r>
      <w:proofErr w:type="spellEnd"/>
      <w:r w:rsidRPr="00096AFC">
        <w:rPr>
          <w:sz w:val="24"/>
          <w:szCs w:val="24"/>
        </w:rPr>
        <w:t xml:space="preserve"> og andre </w:t>
      </w:r>
      <w:proofErr w:type="spellStart"/>
      <w:r w:rsidRPr="00096AFC">
        <w:rPr>
          <w:sz w:val="24"/>
          <w:szCs w:val="24"/>
        </w:rPr>
        <w:t>antihypertensive</w:t>
      </w:r>
      <w:proofErr w:type="spellEnd"/>
      <w:r w:rsidRPr="00096AFC">
        <w:rPr>
          <w:sz w:val="24"/>
          <w:szCs w:val="24"/>
        </w:rPr>
        <w:t xml:space="preserve"> midler.</w:t>
      </w:r>
    </w:p>
    <w:p w14:paraId="0EC5EB48" w14:textId="77777777" w:rsidR="007E1C88" w:rsidRPr="00096AFC" w:rsidRDefault="007E1C88" w:rsidP="007E1C88">
      <w:pPr>
        <w:ind w:left="851" w:hanging="851"/>
        <w:rPr>
          <w:sz w:val="24"/>
          <w:szCs w:val="24"/>
        </w:rPr>
      </w:pPr>
    </w:p>
    <w:p w14:paraId="59DFF150" w14:textId="77777777" w:rsidR="007E1C88" w:rsidRPr="00096AFC" w:rsidRDefault="007E1C88" w:rsidP="007E1C88">
      <w:pPr>
        <w:ind w:left="851"/>
        <w:rPr>
          <w:sz w:val="24"/>
          <w:szCs w:val="24"/>
        </w:rPr>
      </w:pPr>
      <w:r w:rsidRPr="00096AFC">
        <w:rPr>
          <w:sz w:val="24"/>
          <w:szCs w:val="24"/>
        </w:rPr>
        <w:t xml:space="preserve">NSAID kan reducere udskillelsen af aminoglykosider. </w:t>
      </w:r>
    </w:p>
    <w:p w14:paraId="7F3960D3" w14:textId="77777777" w:rsidR="007E1C88" w:rsidRPr="00096AFC" w:rsidRDefault="007E1C88" w:rsidP="007E1C88">
      <w:pPr>
        <w:ind w:left="851"/>
        <w:rPr>
          <w:sz w:val="24"/>
          <w:szCs w:val="24"/>
        </w:rPr>
      </w:pPr>
      <w:r w:rsidRPr="00096AFC">
        <w:rPr>
          <w:i/>
          <w:iCs/>
          <w:sz w:val="24"/>
          <w:szCs w:val="24"/>
        </w:rPr>
        <w:t xml:space="preserve">Børn: </w:t>
      </w:r>
      <w:r w:rsidRPr="00096AFC">
        <w:rPr>
          <w:sz w:val="24"/>
          <w:szCs w:val="24"/>
        </w:rPr>
        <w:t>Der skal udvises forsigtighed ved samtidig behandling med ibuprofen og aminoglykosider.</w:t>
      </w:r>
    </w:p>
    <w:p w14:paraId="57448BE4" w14:textId="77777777" w:rsidR="007E1C88" w:rsidRPr="00096AFC" w:rsidRDefault="007E1C88" w:rsidP="007E1C88">
      <w:pPr>
        <w:ind w:left="851" w:hanging="851"/>
        <w:rPr>
          <w:sz w:val="24"/>
          <w:szCs w:val="24"/>
        </w:rPr>
      </w:pPr>
    </w:p>
    <w:p w14:paraId="7BB792CD" w14:textId="1E90C135" w:rsidR="007E1C88" w:rsidRPr="00096AFC" w:rsidRDefault="007E1C88" w:rsidP="007E1C88">
      <w:pPr>
        <w:ind w:left="851"/>
        <w:rPr>
          <w:sz w:val="24"/>
          <w:szCs w:val="24"/>
        </w:rPr>
      </w:pPr>
      <w:proofErr w:type="spellStart"/>
      <w:r w:rsidRPr="00096AFC">
        <w:rPr>
          <w:i/>
          <w:iCs/>
          <w:sz w:val="24"/>
          <w:szCs w:val="24"/>
        </w:rPr>
        <w:t>Lithium</w:t>
      </w:r>
      <w:proofErr w:type="spellEnd"/>
      <w:r w:rsidRPr="00096AFC">
        <w:rPr>
          <w:sz w:val="24"/>
          <w:szCs w:val="24"/>
        </w:rPr>
        <w:t xml:space="preserve">: Ibuprofen reducerer den </w:t>
      </w:r>
      <w:proofErr w:type="spellStart"/>
      <w:r w:rsidRPr="00096AFC">
        <w:rPr>
          <w:sz w:val="24"/>
          <w:szCs w:val="24"/>
        </w:rPr>
        <w:t>renale</w:t>
      </w:r>
      <w:proofErr w:type="spellEnd"/>
      <w:r w:rsidRPr="00096AFC">
        <w:rPr>
          <w:sz w:val="24"/>
          <w:szCs w:val="24"/>
        </w:rPr>
        <w:t xml:space="preserve"> </w:t>
      </w:r>
      <w:proofErr w:type="spellStart"/>
      <w:r w:rsidRPr="00096AFC">
        <w:rPr>
          <w:sz w:val="24"/>
          <w:szCs w:val="24"/>
        </w:rPr>
        <w:t>clearance</w:t>
      </w:r>
      <w:proofErr w:type="spellEnd"/>
      <w:r w:rsidRPr="00096AFC">
        <w:rPr>
          <w:sz w:val="24"/>
          <w:szCs w:val="24"/>
        </w:rPr>
        <w:t xml:space="preserve"> af </w:t>
      </w:r>
      <w:proofErr w:type="spellStart"/>
      <w:r w:rsidRPr="00096AFC">
        <w:rPr>
          <w:sz w:val="24"/>
          <w:szCs w:val="24"/>
        </w:rPr>
        <w:t>lithium</w:t>
      </w:r>
      <w:proofErr w:type="spellEnd"/>
      <w:r w:rsidRPr="00096AFC">
        <w:rPr>
          <w:sz w:val="24"/>
          <w:szCs w:val="24"/>
        </w:rPr>
        <w:t xml:space="preserve">, og </w:t>
      </w:r>
      <w:proofErr w:type="spellStart"/>
      <w:r w:rsidRPr="00096AFC">
        <w:rPr>
          <w:sz w:val="24"/>
          <w:szCs w:val="24"/>
        </w:rPr>
        <w:t>serum-lithium</w:t>
      </w:r>
      <w:r w:rsidR="001A39C9">
        <w:rPr>
          <w:sz w:val="24"/>
          <w:szCs w:val="24"/>
        </w:rPr>
        <w:softHyphen/>
      </w:r>
      <w:r w:rsidRPr="00096AFC">
        <w:rPr>
          <w:sz w:val="24"/>
          <w:szCs w:val="24"/>
        </w:rPr>
        <w:t>koncentrationerne</w:t>
      </w:r>
      <w:proofErr w:type="spellEnd"/>
      <w:r w:rsidRPr="00096AFC">
        <w:rPr>
          <w:sz w:val="24"/>
          <w:szCs w:val="24"/>
        </w:rPr>
        <w:t xml:space="preserve"> kan derfor stige. Kombinationen bør undgås, medmindre der kan udføres hyppige kontroller af serum-</w:t>
      </w:r>
      <w:proofErr w:type="spellStart"/>
      <w:r w:rsidRPr="00096AFC">
        <w:rPr>
          <w:sz w:val="24"/>
          <w:szCs w:val="24"/>
        </w:rPr>
        <w:t>lithium</w:t>
      </w:r>
      <w:proofErr w:type="spellEnd"/>
      <w:r w:rsidRPr="00096AFC">
        <w:rPr>
          <w:sz w:val="24"/>
          <w:szCs w:val="24"/>
        </w:rPr>
        <w:t xml:space="preserve">, og </w:t>
      </w:r>
      <w:proofErr w:type="spellStart"/>
      <w:r w:rsidRPr="00096AFC">
        <w:rPr>
          <w:sz w:val="24"/>
          <w:szCs w:val="24"/>
        </w:rPr>
        <w:t>lithium</w:t>
      </w:r>
      <w:proofErr w:type="spellEnd"/>
      <w:r w:rsidRPr="00096AFC">
        <w:rPr>
          <w:sz w:val="24"/>
          <w:szCs w:val="24"/>
        </w:rPr>
        <w:t>-dosen eventuelt kan reduceres.</w:t>
      </w:r>
    </w:p>
    <w:p w14:paraId="4C87AEAB" w14:textId="77777777" w:rsidR="007E1C88" w:rsidRPr="00096AFC" w:rsidRDefault="007E1C88" w:rsidP="007E1C88">
      <w:pPr>
        <w:ind w:left="851" w:hanging="851"/>
        <w:rPr>
          <w:sz w:val="24"/>
          <w:szCs w:val="24"/>
        </w:rPr>
      </w:pPr>
    </w:p>
    <w:p w14:paraId="0C44BB0E" w14:textId="77777777" w:rsidR="007E1C88" w:rsidRPr="00096AFC" w:rsidRDefault="007E1C88" w:rsidP="007E1C88">
      <w:pPr>
        <w:ind w:left="851"/>
        <w:rPr>
          <w:i/>
          <w:iCs/>
          <w:sz w:val="24"/>
          <w:szCs w:val="24"/>
        </w:rPr>
      </w:pPr>
      <w:r w:rsidRPr="00096AFC">
        <w:rPr>
          <w:i/>
          <w:iCs/>
          <w:sz w:val="24"/>
          <w:szCs w:val="24"/>
        </w:rPr>
        <w:t>ACE-</w:t>
      </w:r>
      <w:proofErr w:type="spellStart"/>
      <w:r w:rsidRPr="00096AFC">
        <w:rPr>
          <w:i/>
          <w:iCs/>
          <w:sz w:val="24"/>
          <w:szCs w:val="24"/>
        </w:rPr>
        <w:t>hæmmere</w:t>
      </w:r>
      <w:proofErr w:type="spellEnd"/>
      <w:r w:rsidRPr="00096AFC">
        <w:rPr>
          <w:i/>
          <w:iCs/>
          <w:sz w:val="24"/>
          <w:szCs w:val="24"/>
        </w:rPr>
        <w:t xml:space="preserve"> og </w:t>
      </w:r>
      <w:proofErr w:type="spellStart"/>
      <w:r w:rsidRPr="00096AFC">
        <w:rPr>
          <w:i/>
          <w:iCs/>
          <w:sz w:val="24"/>
          <w:szCs w:val="24"/>
        </w:rPr>
        <w:t>angiotensin</w:t>
      </w:r>
      <w:proofErr w:type="spellEnd"/>
      <w:r w:rsidRPr="00096AFC">
        <w:rPr>
          <w:i/>
          <w:iCs/>
          <w:sz w:val="24"/>
          <w:szCs w:val="24"/>
        </w:rPr>
        <w:t>-II-antagonister:</w:t>
      </w:r>
    </w:p>
    <w:p w14:paraId="43C8AEE6" w14:textId="77777777" w:rsidR="007E1C88" w:rsidRPr="00096AFC" w:rsidRDefault="007E1C88" w:rsidP="007E1C88">
      <w:pPr>
        <w:ind w:left="851" w:right="-109"/>
        <w:rPr>
          <w:sz w:val="24"/>
          <w:szCs w:val="24"/>
        </w:rPr>
      </w:pPr>
      <w:r w:rsidRPr="00096AFC">
        <w:rPr>
          <w:sz w:val="24"/>
          <w:szCs w:val="24"/>
        </w:rPr>
        <w:t>Der er en forhøjet risiko for akut nyreinsufficiens, som almindeligvis er reversibel, hos patienter med nedsat nyrefunktion (f.eks. dehydrerede og/eller ældre patienter), når behandling med ACE-</w:t>
      </w:r>
      <w:proofErr w:type="spellStart"/>
      <w:r w:rsidRPr="00096AFC">
        <w:rPr>
          <w:sz w:val="24"/>
          <w:szCs w:val="24"/>
        </w:rPr>
        <w:t>hæmmere</w:t>
      </w:r>
      <w:proofErr w:type="spellEnd"/>
      <w:r w:rsidRPr="00096AFC">
        <w:rPr>
          <w:sz w:val="24"/>
          <w:szCs w:val="24"/>
        </w:rPr>
        <w:t xml:space="preserve"> og </w:t>
      </w:r>
      <w:proofErr w:type="spellStart"/>
      <w:r w:rsidRPr="00096AFC">
        <w:rPr>
          <w:sz w:val="24"/>
          <w:szCs w:val="24"/>
        </w:rPr>
        <w:t>angiotensin</w:t>
      </w:r>
      <w:proofErr w:type="spellEnd"/>
      <w:r w:rsidRPr="00096AFC">
        <w:rPr>
          <w:sz w:val="24"/>
          <w:szCs w:val="24"/>
        </w:rPr>
        <w:t>-II-antagonister gives samtidig med NSAID, herunder selektive cyklooxygenase-2-hæmmere. Kombinationen bør derfor gives med forsigtighed til patienter med nedsat nyrefunktion, især ældre patienter. Patienter bør være tilstrækkeligt hydrerede, og en kontrol af nyrefunktionen bør overvejes, efter initiering af kombinationsbehandlingen og med jævne mellemrum under behandlingen (se pkt. 4.4).</w:t>
      </w:r>
    </w:p>
    <w:p w14:paraId="04EA8AD8" w14:textId="77777777" w:rsidR="007E1C88" w:rsidRPr="00096AFC" w:rsidRDefault="007E1C88" w:rsidP="007E1C88">
      <w:pPr>
        <w:ind w:left="851" w:hanging="851"/>
        <w:rPr>
          <w:sz w:val="24"/>
          <w:szCs w:val="24"/>
        </w:rPr>
      </w:pPr>
    </w:p>
    <w:p w14:paraId="34DD396A" w14:textId="77777777" w:rsidR="007E1C88" w:rsidRPr="00096AFC" w:rsidRDefault="007E1C88" w:rsidP="007E1C88">
      <w:pPr>
        <w:ind w:left="851"/>
        <w:rPr>
          <w:sz w:val="24"/>
          <w:szCs w:val="24"/>
        </w:rPr>
      </w:pPr>
      <w:r w:rsidRPr="00096AFC">
        <w:rPr>
          <w:i/>
          <w:iCs/>
          <w:sz w:val="24"/>
          <w:szCs w:val="24"/>
        </w:rPr>
        <w:t>Betablokkere:</w:t>
      </w:r>
      <w:r w:rsidRPr="00096AFC">
        <w:rPr>
          <w:sz w:val="24"/>
          <w:szCs w:val="24"/>
        </w:rPr>
        <w:t xml:space="preserve"> NSAID modvirker beta-</w:t>
      </w:r>
      <w:proofErr w:type="spellStart"/>
      <w:r w:rsidRPr="00096AFC">
        <w:rPr>
          <w:sz w:val="24"/>
          <w:szCs w:val="24"/>
        </w:rPr>
        <w:t>adrenoceptor</w:t>
      </w:r>
      <w:proofErr w:type="spellEnd"/>
      <w:r w:rsidRPr="00096AFC">
        <w:rPr>
          <w:sz w:val="24"/>
          <w:szCs w:val="24"/>
        </w:rPr>
        <w:t xml:space="preserve">-blokerende lægemidlers </w:t>
      </w:r>
      <w:proofErr w:type="spellStart"/>
      <w:r w:rsidRPr="00096AFC">
        <w:rPr>
          <w:sz w:val="24"/>
          <w:szCs w:val="24"/>
        </w:rPr>
        <w:t>antihypertensive</w:t>
      </w:r>
      <w:proofErr w:type="spellEnd"/>
      <w:r w:rsidRPr="00096AFC">
        <w:rPr>
          <w:sz w:val="24"/>
          <w:szCs w:val="24"/>
        </w:rPr>
        <w:t xml:space="preserve"> virkning.</w:t>
      </w:r>
    </w:p>
    <w:p w14:paraId="25F07326" w14:textId="77777777" w:rsidR="007E1C88" w:rsidRPr="00096AFC" w:rsidRDefault="007E1C88" w:rsidP="007E1C88">
      <w:pPr>
        <w:ind w:left="851" w:hanging="851"/>
        <w:rPr>
          <w:sz w:val="24"/>
          <w:szCs w:val="24"/>
        </w:rPr>
      </w:pPr>
    </w:p>
    <w:p w14:paraId="147E31E7" w14:textId="77777777" w:rsidR="007E1C88" w:rsidRPr="00096AFC" w:rsidRDefault="007E1C88" w:rsidP="007E1C88">
      <w:pPr>
        <w:ind w:left="851"/>
        <w:rPr>
          <w:i/>
          <w:iCs/>
          <w:sz w:val="24"/>
          <w:szCs w:val="24"/>
        </w:rPr>
      </w:pPr>
      <w:r w:rsidRPr="00096AFC">
        <w:rPr>
          <w:i/>
          <w:iCs/>
          <w:sz w:val="24"/>
          <w:szCs w:val="24"/>
        </w:rPr>
        <w:t xml:space="preserve">Selektive </w:t>
      </w:r>
      <w:proofErr w:type="spellStart"/>
      <w:r w:rsidRPr="00096AFC">
        <w:rPr>
          <w:i/>
          <w:iCs/>
          <w:sz w:val="24"/>
          <w:szCs w:val="24"/>
        </w:rPr>
        <w:t>serotoningenoptagshæmmere</w:t>
      </w:r>
      <w:proofErr w:type="spellEnd"/>
      <w:r w:rsidRPr="00096AFC">
        <w:rPr>
          <w:i/>
          <w:iCs/>
          <w:sz w:val="24"/>
          <w:szCs w:val="24"/>
        </w:rPr>
        <w:t xml:space="preserve"> (SSRI):</w:t>
      </w:r>
    </w:p>
    <w:p w14:paraId="484D2E21" w14:textId="77777777" w:rsidR="007E1C88" w:rsidRPr="00096AFC" w:rsidRDefault="007E1C88" w:rsidP="007E1C88">
      <w:pPr>
        <w:ind w:left="851"/>
        <w:rPr>
          <w:sz w:val="24"/>
          <w:szCs w:val="24"/>
        </w:rPr>
      </w:pPr>
      <w:r w:rsidRPr="00096AFC">
        <w:rPr>
          <w:sz w:val="24"/>
          <w:szCs w:val="24"/>
        </w:rPr>
        <w:t xml:space="preserve">SSRI og NSAID indebærer begge en forhøjet blødningsrisiko, f.eks. fra </w:t>
      </w:r>
      <w:proofErr w:type="spellStart"/>
      <w:r w:rsidRPr="00096AFC">
        <w:rPr>
          <w:sz w:val="24"/>
          <w:szCs w:val="24"/>
        </w:rPr>
        <w:t>mave-tarmkanalen</w:t>
      </w:r>
      <w:proofErr w:type="spellEnd"/>
      <w:r w:rsidRPr="00096AFC">
        <w:rPr>
          <w:sz w:val="24"/>
          <w:szCs w:val="24"/>
        </w:rPr>
        <w:t xml:space="preserve">. Kombinationsterapi øger denne risiko. Mekanismen kan muligvis være koblet til nedsat optagelse af serotonin i </w:t>
      </w:r>
      <w:proofErr w:type="spellStart"/>
      <w:r w:rsidRPr="00096AFC">
        <w:rPr>
          <w:sz w:val="24"/>
          <w:szCs w:val="24"/>
        </w:rPr>
        <w:t>trombocytterne</w:t>
      </w:r>
      <w:proofErr w:type="spellEnd"/>
      <w:r w:rsidRPr="00096AFC">
        <w:rPr>
          <w:sz w:val="24"/>
          <w:szCs w:val="24"/>
        </w:rPr>
        <w:t xml:space="preserve"> (se pkt. 4.4).</w:t>
      </w:r>
    </w:p>
    <w:p w14:paraId="53EF7F34" w14:textId="77777777" w:rsidR="007E1C88" w:rsidRPr="00096AFC" w:rsidRDefault="007E1C88" w:rsidP="007E1C88">
      <w:pPr>
        <w:ind w:left="851" w:hanging="851"/>
        <w:rPr>
          <w:sz w:val="24"/>
          <w:szCs w:val="24"/>
        </w:rPr>
      </w:pPr>
    </w:p>
    <w:p w14:paraId="25EFD837" w14:textId="77777777" w:rsidR="007E1C88" w:rsidRPr="00096AFC" w:rsidRDefault="007E1C88" w:rsidP="007E1C88">
      <w:pPr>
        <w:ind w:left="851"/>
        <w:rPr>
          <w:sz w:val="24"/>
          <w:szCs w:val="24"/>
        </w:rPr>
      </w:pPr>
      <w:proofErr w:type="spellStart"/>
      <w:r w:rsidRPr="00096AFC">
        <w:rPr>
          <w:i/>
          <w:iCs/>
          <w:sz w:val="24"/>
          <w:szCs w:val="24"/>
        </w:rPr>
        <w:t>Cyclosporin</w:t>
      </w:r>
      <w:proofErr w:type="spellEnd"/>
      <w:r w:rsidRPr="00096AFC">
        <w:rPr>
          <w:i/>
          <w:iCs/>
          <w:sz w:val="24"/>
          <w:szCs w:val="24"/>
        </w:rPr>
        <w:t xml:space="preserve">: </w:t>
      </w:r>
      <w:r w:rsidRPr="00096AFC">
        <w:rPr>
          <w:sz w:val="24"/>
          <w:szCs w:val="24"/>
        </w:rPr>
        <w:t xml:space="preserve">Samtidig administration af NSAID og </w:t>
      </w:r>
      <w:proofErr w:type="spellStart"/>
      <w:r w:rsidRPr="00096AFC">
        <w:rPr>
          <w:sz w:val="24"/>
          <w:szCs w:val="24"/>
        </w:rPr>
        <w:t>cyclosporin</w:t>
      </w:r>
      <w:proofErr w:type="spellEnd"/>
      <w:r w:rsidRPr="00096AFC">
        <w:rPr>
          <w:sz w:val="24"/>
          <w:szCs w:val="24"/>
        </w:rPr>
        <w:t xml:space="preserve"> menes at kunne øge risikoen for </w:t>
      </w:r>
      <w:proofErr w:type="spellStart"/>
      <w:r w:rsidRPr="00096AFC">
        <w:rPr>
          <w:sz w:val="24"/>
          <w:szCs w:val="24"/>
        </w:rPr>
        <w:t>nefrotoksicitet</w:t>
      </w:r>
      <w:proofErr w:type="spellEnd"/>
      <w:r w:rsidRPr="00096AFC">
        <w:rPr>
          <w:sz w:val="24"/>
          <w:szCs w:val="24"/>
        </w:rPr>
        <w:t xml:space="preserve"> pga. nedsat </w:t>
      </w:r>
      <w:proofErr w:type="spellStart"/>
      <w:r w:rsidRPr="00096AFC">
        <w:rPr>
          <w:sz w:val="24"/>
          <w:szCs w:val="24"/>
        </w:rPr>
        <w:t>prostacyclin</w:t>
      </w:r>
      <w:proofErr w:type="spellEnd"/>
      <w:r w:rsidRPr="00096AFC">
        <w:rPr>
          <w:sz w:val="24"/>
          <w:szCs w:val="24"/>
        </w:rPr>
        <w:t>-syntese i nyrerne. I tilfælde af kombinationsbehandling skal nyrefunktionen derfor monitoreres tæt.</w:t>
      </w:r>
    </w:p>
    <w:p w14:paraId="7D468626" w14:textId="77777777" w:rsidR="007E1C88" w:rsidRPr="00096AFC" w:rsidRDefault="007E1C88" w:rsidP="007E1C88">
      <w:pPr>
        <w:ind w:left="851" w:hanging="851"/>
        <w:rPr>
          <w:sz w:val="24"/>
          <w:szCs w:val="24"/>
        </w:rPr>
      </w:pPr>
    </w:p>
    <w:p w14:paraId="15956DA6" w14:textId="77777777" w:rsidR="007E1C88" w:rsidRPr="00096AFC" w:rsidRDefault="007E1C88" w:rsidP="007E1C88">
      <w:pPr>
        <w:ind w:left="851"/>
        <w:rPr>
          <w:sz w:val="24"/>
          <w:szCs w:val="24"/>
        </w:rPr>
      </w:pPr>
      <w:proofErr w:type="spellStart"/>
      <w:r w:rsidRPr="00096AFC">
        <w:rPr>
          <w:i/>
          <w:iCs/>
          <w:sz w:val="24"/>
          <w:szCs w:val="24"/>
        </w:rPr>
        <w:t>Captopril</w:t>
      </w:r>
      <w:proofErr w:type="spellEnd"/>
      <w:r w:rsidRPr="00096AFC">
        <w:rPr>
          <w:sz w:val="24"/>
          <w:szCs w:val="24"/>
        </w:rPr>
        <w:t xml:space="preserve">: Eksperimentelle studier indikerer, at ibuprofen modvirker virkningen af </w:t>
      </w:r>
      <w:proofErr w:type="spellStart"/>
      <w:r w:rsidRPr="00096AFC">
        <w:rPr>
          <w:sz w:val="24"/>
          <w:szCs w:val="24"/>
        </w:rPr>
        <w:t>captopril</w:t>
      </w:r>
      <w:proofErr w:type="spellEnd"/>
      <w:r w:rsidRPr="00096AFC">
        <w:rPr>
          <w:sz w:val="24"/>
          <w:szCs w:val="24"/>
        </w:rPr>
        <w:t xml:space="preserve"> på natriumudskillelsen.</w:t>
      </w:r>
    </w:p>
    <w:p w14:paraId="209C26F0" w14:textId="77777777" w:rsidR="007E1C88" w:rsidRPr="00096AFC" w:rsidRDefault="007E1C88" w:rsidP="007E1C88">
      <w:pPr>
        <w:ind w:left="851" w:hanging="851"/>
        <w:rPr>
          <w:sz w:val="24"/>
          <w:szCs w:val="24"/>
        </w:rPr>
      </w:pPr>
    </w:p>
    <w:p w14:paraId="218E906B" w14:textId="77777777" w:rsidR="007E1C88" w:rsidRPr="00096AFC" w:rsidRDefault="007E1C88" w:rsidP="007E1C88">
      <w:pPr>
        <w:ind w:left="851"/>
        <w:rPr>
          <w:sz w:val="24"/>
          <w:szCs w:val="24"/>
        </w:rPr>
      </w:pPr>
      <w:proofErr w:type="spellStart"/>
      <w:r w:rsidRPr="00096AFC">
        <w:rPr>
          <w:i/>
          <w:iCs/>
          <w:sz w:val="24"/>
          <w:szCs w:val="24"/>
        </w:rPr>
        <w:t>Colestyramin</w:t>
      </w:r>
      <w:proofErr w:type="spellEnd"/>
      <w:r w:rsidRPr="00096AFC">
        <w:rPr>
          <w:i/>
          <w:iCs/>
          <w:sz w:val="24"/>
          <w:szCs w:val="24"/>
        </w:rPr>
        <w:t xml:space="preserve">: </w:t>
      </w:r>
      <w:r w:rsidRPr="00096AFC">
        <w:rPr>
          <w:sz w:val="24"/>
          <w:szCs w:val="24"/>
        </w:rPr>
        <w:t xml:space="preserve">Samtidig administration af ibuprofen og </w:t>
      </w:r>
      <w:proofErr w:type="spellStart"/>
      <w:r w:rsidRPr="00096AFC">
        <w:rPr>
          <w:sz w:val="24"/>
          <w:szCs w:val="24"/>
        </w:rPr>
        <w:t>colestyramin</w:t>
      </w:r>
      <w:proofErr w:type="spellEnd"/>
      <w:r w:rsidRPr="00096AFC">
        <w:rPr>
          <w:sz w:val="24"/>
          <w:szCs w:val="24"/>
        </w:rPr>
        <w:t xml:space="preserve"> forsinker og reducerer (med 25 %) absorptionen af ibuprofen. Der bør gå mindst 2 timer mellem administration af disse lægemidler.</w:t>
      </w:r>
    </w:p>
    <w:p w14:paraId="75471A6E" w14:textId="77777777" w:rsidR="007E1C88" w:rsidRPr="00096AFC" w:rsidRDefault="007E1C88" w:rsidP="007E1C88">
      <w:pPr>
        <w:ind w:left="851" w:hanging="851"/>
        <w:rPr>
          <w:sz w:val="24"/>
          <w:szCs w:val="24"/>
        </w:rPr>
      </w:pPr>
    </w:p>
    <w:p w14:paraId="43CDEBB1" w14:textId="77777777" w:rsidR="007E1C88" w:rsidRPr="00096AFC" w:rsidRDefault="007E1C88" w:rsidP="007E1C88">
      <w:pPr>
        <w:ind w:left="851"/>
        <w:rPr>
          <w:sz w:val="24"/>
          <w:szCs w:val="24"/>
        </w:rPr>
      </w:pPr>
      <w:proofErr w:type="spellStart"/>
      <w:r w:rsidRPr="00096AFC">
        <w:rPr>
          <w:i/>
          <w:iCs/>
          <w:sz w:val="24"/>
          <w:szCs w:val="24"/>
        </w:rPr>
        <w:lastRenderedPageBreak/>
        <w:t>Thiazider</w:t>
      </w:r>
      <w:proofErr w:type="spellEnd"/>
      <w:r w:rsidRPr="00096AFC">
        <w:rPr>
          <w:i/>
          <w:iCs/>
          <w:sz w:val="24"/>
          <w:szCs w:val="24"/>
        </w:rPr>
        <w:t xml:space="preserve">, </w:t>
      </w:r>
      <w:proofErr w:type="spellStart"/>
      <w:r w:rsidRPr="00096AFC">
        <w:rPr>
          <w:i/>
          <w:iCs/>
          <w:sz w:val="24"/>
          <w:szCs w:val="24"/>
        </w:rPr>
        <w:t>thiazid</w:t>
      </w:r>
      <w:proofErr w:type="spellEnd"/>
      <w:r w:rsidRPr="00096AFC">
        <w:rPr>
          <w:i/>
          <w:iCs/>
          <w:sz w:val="24"/>
          <w:szCs w:val="24"/>
        </w:rPr>
        <w:t>-relaterede præparater og loop-</w:t>
      </w:r>
      <w:proofErr w:type="spellStart"/>
      <w:r w:rsidRPr="00096AFC">
        <w:rPr>
          <w:i/>
          <w:iCs/>
          <w:sz w:val="24"/>
          <w:szCs w:val="24"/>
        </w:rPr>
        <w:t>diuretika</w:t>
      </w:r>
      <w:proofErr w:type="spellEnd"/>
      <w:r w:rsidRPr="00096AFC">
        <w:rPr>
          <w:sz w:val="24"/>
          <w:szCs w:val="24"/>
        </w:rPr>
        <w:t xml:space="preserve">: NSAID kan modvirke den diuretiske virkning af </w:t>
      </w:r>
      <w:proofErr w:type="spellStart"/>
      <w:r w:rsidRPr="00096AFC">
        <w:rPr>
          <w:sz w:val="24"/>
          <w:szCs w:val="24"/>
        </w:rPr>
        <w:t>furosemid</w:t>
      </w:r>
      <w:proofErr w:type="spellEnd"/>
      <w:r w:rsidRPr="00096AFC">
        <w:rPr>
          <w:sz w:val="24"/>
          <w:szCs w:val="24"/>
        </w:rPr>
        <w:t xml:space="preserve"> og </w:t>
      </w:r>
      <w:proofErr w:type="spellStart"/>
      <w:r w:rsidRPr="00096AFC">
        <w:rPr>
          <w:sz w:val="24"/>
          <w:szCs w:val="24"/>
        </w:rPr>
        <w:t>bumetanid</w:t>
      </w:r>
      <w:proofErr w:type="spellEnd"/>
      <w:r w:rsidRPr="00096AFC">
        <w:rPr>
          <w:sz w:val="24"/>
          <w:szCs w:val="24"/>
        </w:rPr>
        <w:t xml:space="preserve">, muligvis gennem hæmning af </w:t>
      </w:r>
      <w:proofErr w:type="spellStart"/>
      <w:r w:rsidRPr="00096AFC">
        <w:rPr>
          <w:sz w:val="24"/>
          <w:szCs w:val="24"/>
        </w:rPr>
        <w:t>prostaglandin</w:t>
      </w:r>
      <w:proofErr w:type="spellEnd"/>
      <w:r w:rsidRPr="00096AFC">
        <w:rPr>
          <w:sz w:val="24"/>
          <w:szCs w:val="24"/>
        </w:rPr>
        <w:t xml:space="preserve">-syntesen. De kan også modvirke </w:t>
      </w:r>
      <w:proofErr w:type="spellStart"/>
      <w:r w:rsidRPr="00096AFC">
        <w:rPr>
          <w:sz w:val="24"/>
          <w:szCs w:val="24"/>
        </w:rPr>
        <w:t>thiaziders</w:t>
      </w:r>
      <w:proofErr w:type="spellEnd"/>
      <w:r w:rsidRPr="00096AFC">
        <w:rPr>
          <w:sz w:val="24"/>
          <w:szCs w:val="24"/>
        </w:rPr>
        <w:t xml:space="preserve"> </w:t>
      </w:r>
      <w:proofErr w:type="spellStart"/>
      <w:r w:rsidRPr="00096AFC">
        <w:rPr>
          <w:sz w:val="24"/>
          <w:szCs w:val="24"/>
        </w:rPr>
        <w:t>antihypertensive</w:t>
      </w:r>
      <w:proofErr w:type="spellEnd"/>
      <w:r w:rsidRPr="00096AFC">
        <w:rPr>
          <w:sz w:val="24"/>
          <w:szCs w:val="24"/>
        </w:rPr>
        <w:t xml:space="preserve"> virkning.</w:t>
      </w:r>
    </w:p>
    <w:p w14:paraId="4DD7B759" w14:textId="77777777" w:rsidR="007E1C88" w:rsidRPr="00096AFC" w:rsidRDefault="007E1C88" w:rsidP="007E1C88">
      <w:pPr>
        <w:ind w:left="851" w:hanging="851"/>
        <w:rPr>
          <w:sz w:val="24"/>
          <w:szCs w:val="24"/>
        </w:rPr>
      </w:pPr>
    </w:p>
    <w:p w14:paraId="67A1A733" w14:textId="77777777" w:rsidR="007E1C88" w:rsidRPr="00096AFC" w:rsidRDefault="007E1C88" w:rsidP="007E1C88">
      <w:pPr>
        <w:ind w:left="851"/>
        <w:rPr>
          <w:sz w:val="24"/>
          <w:szCs w:val="24"/>
        </w:rPr>
      </w:pPr>
      <w:proofErr w:type="spellStart"/>
      <w:r w:rsidRPr="00096AFC">
        <w:rPr>
          <w:i/>
          <w:iCs/>
          <w:sz w:val="24"/>
          <w:szCs w:val="24"/>
        </w:rPr>
        <w:t>Tacrolimus</w:t>
      </w:r>
      <w:proofErr w:type="spellEnd"/>
      <w:r w:rsidRPr="00096AFC">
        <w:rPr>
          <w:sz w:val="24"/>
          <w:szCs w:val="24"/>
        </w:rPr>
        <w:t xml:space="preserve">: Samtidig administration af NSAID og </w:t>
      </w:r>
      <w:proofErr w:type="spellStart"/>
      <w:r w:rsidRPr="00096AFC">
        <w:rPr>
          <w:sz w:val="24"/>
          <w:szCs w:val="24"/>
        </w:rPr>
        <w:t>tacrolimus</w:t>
      </w:r>
      <w:proofErr w:type="spellEnd"/>
      <w:r w:rsidRPr="00096AFC">
        <w:rPr>
          <w:sz w:val="24"/>
          <w:szCs w:val="24"/>
        </w:rPr>
        <w:t xml:space="preserve"> menes at kunne øge risikoen for </w:t>
      </w:r>
      <w:proofErr w:type="spellStart"/>
      <w:r w:rsidRPr="00096AFC">
        <w:rPr>
          <w:sz w:val="24"/>
          <w:szCs w:val="24"/>
        </w:rPr>
        <w:t>nefrotoksicitet</w:t>
      </w:r>
      <w:proofErr w:type="spellEnd"/>
      <w:r w:rsidRPr="00096AFC">
        <w:rPr>
          <w:sz w:val="24"/>
          <w:szCs w:val="24"/>
        </w:rPr>
        <w:t xml:space="preserve"> pga. nedsat syntese af </w:t>
      </w:r>
      <w:proofErr w:type="spellStart"/>
      <w:r w:rsidRPr="00096AFC">
        <w:rPr>
          <w:sz w:val="24"/>
          <w:szCs w:val="24"/>
        </w:rPr>
        <w:t>prostacyclin</w:t>
      </w:r>
      <w:proofErr w:type="spellEnd"/>
      <w:r w:rsidRPr="00096AFC">
        <w:rPr>
          <w:sz w:val="24"/>
          <w:szCs w:val="24"/>
        </w:rPr>
        <w:t xml:space="preserve"> i nyrerne. I tilfælde af kombinationsbehandling bør nyrefunktionen derfor monitoreres tæt.</w:t>
      </w:r>
    </w:p>
    <w:p w14:paraId="3F982F83" w14:textId="77777777" w:rsidR="007E1C88" w:rsidRPr="00096AFC" w:rsidRDefault="007E1C88" w:rsidP="007E1C88">
      <w:pPr>
        <w:ind w:left="851" w:hanging="851"/>
        <w:rPr>
          <w:sz w:val="24"/>
          <w:szCs w:val="24"/>
        </w:rPr>
      </w:pPr>
    </w:p>
    <w:p w14:paraId="4C638237" w14:textId="77777777" w:rsidR="007E1C88" w:rsidRPr="00096AFC" w:rsidRDefault="007E1C88" w:rsidP="007E1C88">
      <w:pPr>
        <w:ind w:left="851"/>
        <w:rPr>
          <w:sz w:val="24"/>
          <w:szCs w:val="24"/>
        </w:rPr>
      </w:pPr>
      <w:proofErr w:type="spellStart"/>
      <w:r w:rsidRPr="00096AFC">
        <w:rPr>
          <w:i/>
          <w:iCs/>
          <w:sz w:val="24"/>
          <w:szCs w:val="24"/>
        </w:rPr>
        <w:t>Methotrexat</w:t>
      </w:r>
      <w:proofErr w:type="spellEnd"/>
      <w:r w:rsidRPr="00096AFC">
        <w:rPr>
          <w:sz w:val="24"/>
          <w:szCs w:val="24"/>
        </w:rPr>
        <w:t xml:space="preserve">: Risikoen for en </w:t>
      </w:r>
      <w:proofErr w:type="gramStart"/>
      <w:r w:rsidRPr="00096AFC">
        <w:rPr>
          <w:sz w:val="24"/>
          <w:szCs w:val="24"/>
        </w:rPr>
        <w:t>potential interaktion</w:t>
      </w:r>
      <w:proofErr w:type="gramEnd"/>
      <w:r w:rsidRPr="00096AFC">
        <w:rPr>
          <w:sz w:val="24"/>
          <w:szCs w:val="24"/>
        </w:rPr>
        <w:t xml:space="preserve"> mellem et NSAID og </w:t>
      </w:r>
      <w:proofErr w:type="spellStart"/>
      <w:r w:rsidRPr="00096AFC">
        <w:rPr>
          <w:sz w:val="24"/>
          <w:szCs w:val="24"/>
        </w:rPr>
        <w:t>methotrexat</w:t>
      </w:r>
      <w:proofErr w:type="spellEnd"/>
      <w:r w:rsidRPr="00096AFC">
        <w:rPr>
          <w:sz w:val="24"/>
          <w:szCs w:val="24"/>
        </w:rPr>
        <w:t xml:space="preserve"> bør også tages i betragtning i forbindelse med lavdosis </w:t>
      </w:r>
      <w:proofErr w:type="spellStart"/>
      <w:r w:rsidRPr="00096AFC">
        <w:rPr>
          <w:sz w:val="24"/>
          <w:szCs w:val="24"/>
        </w:rPr>
        <w:t>methotrexat</w:t>
      </w:r>
      <w:proofErr w:type="spellEnd"/>
      <w:r w:rsidRPr="00096AFC">
        <w:rPr>
          <w:sz w:val="24"/>
          <w:szCs w:val="24"/>
        </w:rPr>
        <w:t xml:space="preserve">-behandling, særlig hos patienter med nedsat nyrefunktion. I tilfælde af kombinationsbehandling bør nyrefunktionen altid monitoreres. Der skal udvises forsigtighed, hvis der gives både et NSAID og </w:t>
      </w:r>
      <w:proofErr w:type="spellStart"/>
      <w:r w:rsidRPr="00096AFC">
        <w:rPr>
          <w:sz w:val="24"/>
          <w:szCs w:val="24"/>
        </w:rPr>
        <w:t>methotrexat</w:t>
      </w:r>
      <w:proofErr w:type="spellEnd"/>
      <w:r w:rsidRPr="00096AFC">
        <w:rPr>
          <w:sz w:val="24"/>
          <w:szCs w:val="24"/>
        </w:rPr>
        <w:t xml:space="preserve"> inden for 24 timer, da plasmakoncentrationerne af </w:t>
      </w:r>
      <w:proofErr w:type="spellStart"/>
      <w:r w:rsidRPr="00096AFC">
        <w:rPr>
          <w:sz w:val="24"/>
          <w:szCs w:val="24"/>
        </w:rPr>
        <w:t>methotrexat</w:t>
      </w:r>
      <w:proofErr w:type="spellEnd"/>
      <w:r w:rsidRPr="00096AFC">
        <w:rPr>
          <w:sz w:val="24"/>
          <w:szCs w:val="24"/>
        </w:rPr>
        <w:t xml:space="preserve"> kan stige, hvilket kan medføre øget toksicitet (se ovenfor).</w:t>
      </w:r>
    </w:p>
    <w:p w14:paraId="208758B7" w14:textId="77777777" w:rsidR="007E1C88" w:rsidRPr="00096AFC" w:rsidRDefault="007E1C88" w:rsidP="007E1C88">
      <w:pPr>
        <w:ind w:left="851" w:hanging="851"/>
        <w:rPr>
          <w:sz w:val="24"/>
          <w:szCs w:val="24"/>
        </w:rPr>
      </w:pPr>
    </w:p>
    <w:p w14:paraId="03632B11" w14:textId="77777777" w:rsidR="007E1C88" w:rsidRPr="00096AFC" w:rsidRDefault="007E1C88" w:rsidP="007E1C88">
      <w:pPr>
        <w:ind w:left="851"/>
        <w:rPr>
          <w:i/>
          <w:iCs/>
          <w:sz w:val="24"/>
          <w:szCs w:val="24"/>
        </w:rPr>
      </w:pPr>
      <w:proofErr w:type="spellStart"/>
      <w:r w:rsidRPr="00096AFC">
        <w:rPr>
          <w:i/>
          <w:iCs/>
          <w:sz w:val="24"/>
          <w:szCs w:val="24"/>
        </w:rPr>
        <w:t>Kortikosteroider</w:t>
      </w:r>
      <w:proofErr w:type="spellEnd"/>
      <w:r w:rsidRPr="00096AFC">
        <w:rPr>
          <w:i/>
          <w:iCs/>
          <w:sz w:val="24"/>
          <w:szCs w:val="24"/>
        </w:rPr>
        <w:t xml:space="preserve">: </w:t>
      </w:r>
      <w:r w:rsidRPr="00096AFC">
        <w:rPr>
          <w:sz w:val="24"/>
          <w:szCs w:val="24"/>
        </w:rPr>
        <w:t xml:space="preserve">Samtidig behandling medfører en forhøjet risiko for </w:t>
      </w:r>
      <w:proofErr w:type="spellStart"/>
      <w:r w:rsidRPr="00096AFC">
        <w:rPr>
          <w:sz w:val="24"/>
          <w:szCs w:val="24"/>
        </w:rPr>
        <w:t>gastrointestinal</w:t>
      </w:r>
      <w:proofErr w:type="spellEnd"/>
      <w:r w:rsidRPr="00096AFC">
        <w:rPr>
          <w:sz w:val="24"/>
          <w:szCs w:val="24"/>
        </w:rPr>
        <w:t xml:space="preserve"> </w:t>
      </w:r>
      <w:proofErr w:type="spellStart"/>
      <w:r w:rsidRPr="00096AFC">
        <w:rPr>
          <w:sz w:val="24"/>
          <w:szCs w:val="24"/>
        </w:rPr>
        <w:t>ulceration</w:t>
      </w:r>
      <w:proofErr w:type="spellEnd"/>
      <w:r w:rsidRPr="00096AFC">
        <w:rPr>
          <w:sz w:val="24"/>
          <w:szCs w:val="24"/>
        </w:rPr>
        <w:t xml:space="preserve"> eller blødning.</w:t>
      </w:r>
    </w:p>
    <w:p w14:paraId="0E77E2B3" w14:textId="77777777" w:rsidR="007E1C88" w:rsidRPr="00096AFC" w:rsidRDefault="007E1C88" w:rsidP="007E1C88">
      <w:pPr>
        <w:ind w:left="851" w:hanging="851"/>
        <w:rPr>
          <w:sz w:val="24"/>
          <w:szCs w:val="24"/>
        </w:rPr>
      </w:pPr>
    </w:p>
    <w:p w14:paraId="2840B75C" w14:textId="77777777" w:rsidR="007E1C88" w:rsidRPr="00096AFC" w:rsidRDefault="007E1C88" w:rsidP="007E1C88">
      <w:pPr>
        <w:ind w:left="851"/>
        <w:rPr>
          <w:sz w:val="24"/>
          <w:szCs w:val="24"/>
        </w:rPr>
      </w:pPr>
      <w:proofErr w:type="spellStart"/>
      <w:r w:rsidRPr="00096AFC">
        <w:rPr>
          <w:i/>
          <w:iCs/>
          <w:sz w:val="24"/>
          <w:szCs w:val="24"/>
        </w:rPr>
        <w:t>Antitrombocytlægemidler</w:t>
      </w:r>
      <w:proofErr w:type="spellEnd"/>
      <w:r w:rsidRPr="00096AFC">
        <w:rPr>
          <w:i/>
          <w:iCs/>
          <w:sz w:val="24"/>
          <w:szCs w:val="24"/>
        </w:rPr>
        <w:t xml:space="preserve">: </w:t>
      </w:r>
      <w:r w:rsidRPr="00096AFC">
        <w:rPr>
          <w:sz w:val="24"/>
          <w:szCs w:val="24"/>
        </w:rPr>
        <w:t xml:space="preserve">Forhøjet risiko for </w:t>
      </w:r>
      <w:proofErr w:type="spellStart"/>
      <w:r w:rsidRPr="00096AFC">
        <w:rPr>
          <w:sz w:val="24"/>
          <w:szCs w:val="24"/>
        </w:rPr>
        <w:t>gastrointestinal</w:t>
      </w:r>
      <w:proofErr w:type="spellEnd"/>
      <w:r w:rsidRPr="00096AFC">
        <w:rPr>
          <w:sz w:val="24"/>
          <w:szCs w:val="24"/>
        </w:rPr>
        <w:t xml:space="preserve"> blødning (se ovenfor).</w:t>
      </w:r>
    </w:p>
    <w:p w14:paraId="55C6FF17" w14:textId="77777777" w:rsidR="007E1C88" w:rsidRPr="00096AFC" w:rsidRDefault="007E1C88" w:rsidP="007E1C88">
      <w:pPr>
        <w:ind w:left="851" w:hanging="851"/>
        <w:rPr>
          <w:sz w:val="24"/>
          <w:szCs w:val="24"/>
        </w:rPr>
      </w:pPr>
    </w:p>
    <w:p w14:paraId="4E34F7D0" w14:textId="77777777" w:rsidR="007E1C88" w:rsidRPr="00096AFC" w:rsidRDefault="007E1C88" w:rsidP="007E1C88">
      <w:pPr>
        <w:autoSpaceDE w:val="0"/>
        <w:autoSpaceDN w:val="0"/>
        <w:adjustRightInd w:val="0"/>
        <w:ind w:left="851"/>
        <w:rPr>
          <w:sz w:val="24"/>
          <w:szCs w:val="24"/>
        </w:rPr>
      </w:pPr>
      <w:r w:rsidRPr="00096AFC">
        <w:rPr>
          <w:i/>
          <w:iCs/>
          <w:sz w:val="24"/>
          <w:szCs w:val="24"/>
        </w:rPr>
        <w:t xml:space="preserve">CYP2C9-hæmmere: </w:t>
      </w:r>
      <w:r w:rsidRPr="00096AFC">
        <w:rPr>
          <w:sz w:val="24"/>
          <w:szCs w:val="24"/>
        </w:rPr>
        <w:t xml:space="preserve">Samtidig administration af ibuprofen og CYP2C9-hæmmere kan øge eksponeringen for ibuprofen (CYP2C9-substrat). I et studie med </w:t>
      </w:r>
      <w:proofErr w:type="spellStart"/>
      <w:r w:rsidRPr="00096AFC">
        <w:rPr>
          <w:sz w:val="24"/>
          <w:szCs w:val="24"/>
        </w:rPr>
        <w:t>voriconazol</w:t>
      </w:r>
      <w:proofErr w:type="spellEnd"/>
      <w:r w:rsidRPr="00096AFC">
        <w:rPr>
          <w:sz w:val="24"/>
          <w:szCs w:val="24"/>
        </w:rPr>
        <w:t xml:space="preserve"> og </w:t>
      </w:r>
      <w:proofErr w:type="spellStart"/>
      <w:r w:rsidRPr="00096AFC">
        <w:rPr>
          <w:sz w:val="24"/>
          <w:szCs w:val="24"/>
        </w:rPr>
        <w:t>fluconazol</w:t>
      </w:r>
      <w:proofErr w:type="spellEnd"/>
      <w:r w:rsidRPr="00096AFC">
        <w:rPr>
          <w:sz w:val="24"/>
          <w:szCs w:val="24"/>
        </w:rPr>
        <w:t xml:space="preserve"> (CYP2C9-hæmmere) er der påvist en forhøjelse af eksponeringen for </w:t>
      </w:r>
      <w:proofErr w:type="gramStart"/>
      <w:r w:rsidRPr="00096AFC">
        <w:rPr>
          <w:sz w:val="24"/>
          <w:szCs w:val="24"/>
        </w:rPr>
        <w:t>S(</w:t>
      </w:r>
      <w:proofErr w:type="gramEnd"/>
      <w:r w:rsidRPr="00096AFC">
        <w:rPr>
          <w:sz w:val="24"/>
          <w:szCs w:val="24"/>
        </w:rPr>
        <w:t xml:space="preserve">+)-ibuprofen med ca. 80 til 100 %. Reduktion af ibuprofen-dosen bør overvejes, når potente CYP2C9-hæmmere administreres samtidig, særlig ved administration af højdosis ibuprofen med enten </w:t>
      </w:r>
      <w:proofErr w:type="spellStart"/>
      <w:r w:rsidRPr="00096AFC">
        <w:rPr>
          <w:sz w:val="24"/>
          <w:szCs w:val="24"/>
        </w:rPr>
        <w:t>voriconazol</w:t>
      </w:r>
      <w:proofErr w:type="spellEnd"/>
      <w:r w:rsidRPr="00096AFC">
        <w:rPr>
          <w:sz w:val="24"/>
          <w:szCs w:val="24"/>
        </w:rPr>
        <w:t xml:space="preserve"> eller </w:t>
      </w:r>
      <w:proofErr w:type="spellStart"/>
      <w:r w:rsidRPr="00096AFC">
        <w:rPr>
          <w:sz w:val="24"/>
          <w:szCs w:val="24"/>
        </w:rPr>
        <w:t>fluconazol</w:t>
      </w:r>
      <w:proofErr w:type="spellEnd"/>
      <w:r w:rsidRPr="00096AFC">
        <w:rPr>
          <w:sz w:val="24"/>
          <w:szCs w:val="24"/>
        </w:rPr>
        <w:t>.</w:t>
      </w:r>
    </w:p>
    <w:p w14:paraId="6113B3F6" w14:textId="77777777" w:rsidR="007E1C88" w:rsidRPr="00096AFC" w:rsidRDefault="007E1C88" w:rsidP="007E1C88">
      <w:pPr>
        <w:ind w:left="851" w:hanging="851"/>
        <w:rPr>
          <w:sz w:val="24"/>
          <w:szCs w:val="24"/>
        </w:rPr>
      </w:pPr>
    </w:p>
    <w:p w14:paraId="4BEBD68F" w14:textId="77777777" w:rsidR="007E1C88" w:rsidRPr="00096AFC" w:rsidRDefault="007E1C88" w:rsidP="007E1C88">
      <w:pPr>
        <w:ind w:left="851"/>
        <w:rPr>
          <w:i/>
          <w:iCs/>
          <w:sz w:val="24"/>
          <w:szCs w:val="24"/>
          <w:u w:val="single"/>
        </w:rPr>
      </w:pPr>
      <w:r w:rsidRPr="00096AFC">
        <w:rPr>
          <w:i/>
          <w:iCs/>
          <w:sz w:val="24"/>
          <w:szCs w:val="24"/>
          <w:u w:val="single"/>
        </w:rPr>
        <w:t>Paracetamol:</w:t>
      </w:r>
    </w:p>
    <w:p w14:paraId="3192FEE5" w14:textId="77777777" w:rsidR="007E1C88" w:rsidRPr="00096AFC" w:rsidRDefault="007E1C88" w:rsidP="007E1C88">
      <w:pPr>
        <w:ind w:left="851" w:hanging="851"/>
        <w:rPr>
          <w:i/>
          <w:iCs/>
          <w:sz w:val="24"/>
          <w:szCs w:val="24"/>
          <w:u w:val="single"/>
        </w:rPr>
      </w:pPr>
    </w:p>
    <w:p w14:paraId="6F4973F3" w14:textId="77777777" w:rsidR="007E1C88" w:rsidRPr="00096AFC" w:rsidRDefault="007E1C88" w:rsidP="007E1C88">
      <w:pPr>
        <w:pStyle w:val="ammannexetitre2bis"/>
        <w:widowControl w:val="0"/>
        <w:spacing w:before="0" w:beforeAutospacing="0" w:after="0" w:afterAutospacing="0"/>
        <w:ind w:left="851"/>
        <w:rPr>
          <w:rFonts w:ascii="Times New Roman" w:hAnsi="Times New Roman" w:cs="Times New Roman"/>
          <w:b w:val="0"/>
          <w:bCs w:val="0"/>
          <w:i w:val="0"/>
          <w:iCs w:val="0"/>
          <w:color w:val="000000"/>
          <w:lang w:val="da-DK"/>
        </w:rPr>
      </w:pPr>
      <w:proofErr w:type="spellStart"/>
      <w:r w:rsidRPr="00096AFC">
        <w:rPr>
          <w:rFonts w:ascii="Times New Roman" w:hAnsi="Times New Roman" w:cs="Times New Roman"/>
          <w:b w:val="0"/>
          <w:bCs w:val="0"/>
          <w:i w:val="0"/>
          <w:iCs w:val="0"/>
          <w:color w:val="000000"/>
          <w:lang w:val="da-DK"/>
        </w:rPr>
        <w:t>Probenecid</w:t>
      </w:r>
      <w:proofErr w:type="spellEnd"/>
      <w:r w:rsidRPr="00096AFC">
        <w:rPr>
          <w:rFonts w:ascii="Times New Roman" w:hAnsi="Times New Roman" w:cs="Times New Roman"/>
          <w:b w:val="0"/>
          <w:bCs w:val="0"/>
          <w:i w:val="0"/>
          <w:iCs w:val="0"/>
          <w:color w:val="000000"/>
          <w:lang w:val="da-DK"/>
        </w:rPr>
        <w:t xml:space="preserve"> hæmmer paracetamols binding til </w:t>
      </w:r>
      <w:proofErr w:type="spellStart"/>
      <w:r w:rsidRPr="00096AFC">
        <w:rPr>
          <w:rFonts w:ascii="Times New Roman" w:hAnsi="Times New Roman" w:cs="Times New Roman"/>
          <w:b w:val="0"/>
          <w:bCs w:val="0"/>
          <w:i w:val="0"/>
          <w:iCs w:val="0"/>
          <w:color w:val="000000"/>
          <w:lang w:val="da-DK"/>
        </w:rPr>
        <w:t>glucuronsyre</w:t>
      </w:r>
      <w:proofErr w:type="spellEnd"/>
      <w:r w:rsidRPr="00096AFC">
        <w:rPr>
          <w:rFonts w:ascii="Times New Roman" w:hAnsi="Times New Roman" w:cs="Times New Roman"/>
          <w:b w:val="0"/>
          <w:bCs w:val="0"/>
          <w:i w:val="0"/>
          <w:iCs w:val="0"/>
          <w:color w:val="000000"/>
          <w:lang w:val="da-DK"/>
        </w:rPr>
        <w:t xml:space="preserve"> og fører dermed til en reduktion i paracetamol-</w:t>
      </w:r>
      <w:proofErr w:type="spellStart"/>
      <w:r w:rsidRPr="00096AFC">
        <w:rPr>
          <w:rFonts w:ascii="Times New Roman" w:hAnsi="Times New Roman" w:cs="Times New Roman"/>
          <w:b w:val="0"/>
          <w:bCs w:val="0"/>
          <w:i w:val="0"/>
          <w:iCs w:val="0"/>
          <w:color w:val="000000"/>
          <w:lang w:val="da-DK"/>
        </w:rPr>
        <w:t>clearance</w:t>
      </w:r>
      <w:proofErr w:type="spellEnd"/>
      <w:r w:rsidRPr="00096AFC">
        <w:rPr>
          <w:rFonts w:ascii="Times New Roman" w:hAnsi="Times New Roman" w:cs="Times New Roman"/>
          <w:b w:val="0"/>
          <w:bCs w:val="0"/>
          <w:i w:val="0"/>
          <w:iCs w:val="0"/>
          <w:color w:val="000000"/>
          <w:lang w:val="da-DK"/>
        </w:rPr>
        <w:t xml:space="preserve"> med en faktor på ca. 2. Hos patienter, der samtidig tager </w:t>
      </w:r>
      <w:proofErr w:type="spellStart"/>
      <w:r w:rsidRPr="00096AFC">
        <w:rPr>
          <w:rFonts w:ascii="Times New Roman" w:hAnsi="Times New Roman" w:cs="Times New Roman"/>
          <w:b w:val="0"/>
          <w:bCs w:val="0"/>
          <w:i w:val="0"/>
          <w:iCs w:val="0"/>
          <w:color w:val="000000"/>
          <w:lang w:val="da-DK"/>
        </w:rPr>
        <w:t>probenecid</w:t>
      </w:r>
      <w:proofErr w:type="spellEnd"/>
      <w:r w:rsidRPr="00096AFC">
        <w:rPr>
          <w:rFonts w:ascii="Times New Roman" w:hAnsi="Times New Roman" w:cs="Times New Roman"/>
          <w:b w:val="0"/>
          <w:bCs w:val="0"/>
          <w:i w:val="0"/>
          <w:iCs w:val="0"/>
          <w:color w:val="000000"/>
          <w:lang w:val="da-DK"/>
        </w:rPr>
        <w:t>, bør paracetamoldosen reduceres.</w:t>
      </w:r>
    </w:p>
    <w:p w14:paraId="6FF22C88" w14:textId="77777777" w:rsidR="007E1C88" w:rsidRPr="00297413" w:rsidRDefault="007E1C88" w:rsidP="007E1C88">
      <w:pPr>
        <w:pStyle w:val="ammannexetitre2bis"/>
        <w:widowControl w:val="0"/>
        <w:spacing w:before="0" w:beforeAutospacing="0" w:after="0" w:afterAutospacing="0"/>
        <w:ind w:left="851"/>
        <w:rPr>
          <w:rFonts w:ascii="Times New Roman" w:hAnsi="Times New Roman" w:cs="Times New Roman"/>
          <w:b w:val="0"/>
          <w:bCs w:val="0"/>
          <w:i w:val="0"/>
          <w:iCs w:val="0"/>
          <w:color w:val="000000"/>
          <w:lang w:val="da-DK"/>
        </w:rPr>
      </w:pPr>
      <w:r w:rsidRPr="00096AFC">
        <w:rPr>
          <w:rFonts w:ascii="Times New Roman" w:hAnsi="Times New Roman" w:cs="Times New Roman"/>
          <w:b w:val="0"/>
          <w:bCs w:val="0"/>
          <w:i w:val="0"/>
          <w:iCs w:val="0"/>
          <w:color w:val="000000"/>
          <w:lang w:val="da-DK"/>
        </w:rPr>
        <w:t xml:space="preserve">Enzyminducerende lægemidler, som for eksempel visse </w:t>
      </w:r>
      <w:proofErr w:type="spellStart"/>
      <w:r w:rsidRPr="00096AFC">
        <w:rPr>
          <w:rFonts w:ascii="Times New Roman" w:hAnsi="Times New Roman" w:cs="Times New Roman"/>
          <w:b w:val="0"/>
          <w:bCs w:val="0"/>
          <w:i w:val="0"/>
          <w:iCs w:val="0"/>
          <w:color w:val="000000"/>
          <w:lang w:val="da-DK"/>
        </w:rPr>
        <w:t>antiepileptika</w:t>
      </w:r>
      <w:proofErr w:type="spellEnd"/>
      <w:r w:rsidRPr="00096AFC">
        <w:rPr>
          <w:rFonts w:ascii="Times New Roman" w:hAnsi="Times New Roman" w:cs="Times New Roman"/>
          <w:b w:val="0"/>
          <w:bCs w:val="0"/>
          <w:i w:val="0"/>
          <w:iCs w:val="0"/>
          <w:color w:val="000000"/>
          <w:lang w:val="da-DK"/>
        </w:rPr>
        <w:t xml:space="preserve"> (</w:t>
      </w:r>
      <w:proofErr w:type="spellStart"/>
      <w:r w:rsidRPr="00096AFC">
        <w:rPr>
          <w:rFonts w:ascii="Times New Roman" w:hAnsi="Times New Roman" w:cs="Times New Roman"/>
          <w:b w:val="0"/>
          <w:bCs w:val="0"/>
          <w:i w:val="0"/>
          <w:iCs w:val="0"/>
          <w:color w:val="000000"/>
          <w:lang w:val="da-DK"/>
        </w:rPr>
        <w:t>phenytoin</w:t>
      </w:r>
      <w:proofErr w:type="spellEnd"/>
      <w:r w:rsidRPr="00096AFC">
        <w:rPr>
          <w:rFonts w:ascii="Times New Roman" w:hAnsi="Times New Roman" w:cs="Times New Roman"/>
          <w:b w:val="0"/>
          <w:bCs w:val="0"/>
          <w:i w:val="0"/>
          <w:iCs w:val="0"/>
          <w:color w:val="000000"/>
          <w:lang w:val="da-DK"/>
        </w:rPr>
        <w:t xml:space="preserve">, </w:t>
      </w:r>
      <w:proofErr w:type="spellStart"/>
      <w:r w:rsidRPr="00096AFC">
        <w:rPr>
          <w:rFonts w:ascii="Times New Roman" w:hAnsi="Times New Roman" w:cs="Times New Roman"/>
          <w:b w:val="0"/>
          <w:bCs w:val="0"/>
          <w:i w:val="0"/>
          <w:iCs w:val="0"/>
          <w:color w:val="000000"/>
          <w:lang w:val="da-DK"/>
        </w:rPr>
        <w:t>phenobarbital</w:t>
      </w:r>
      <w:proofErr w:type="spellEnd"/>
      <w:r w:rsidRPr="00096AFC">
        <w:rPr>
          <w:rFonts w:ascii="Times New Roman" w:hAnsi="Times New Roman" w:cs="Times New Roman"/>
          <w:b w:val="0"/>
          <w:bCs w:val="0"/>
          <w:i w:val="0"/>
          <w:iCs w:val="0"/>
          <w:color w:val="000000"/>
          <w:lang w:val="da-DK"/>
        </w:rPr>
        <w:t xml:space="preserve">, </w:t>
      </w:r>
      <w:proofErr w:type="spellStart"/>
      <w:r w:rsidRPr="00096AFC">
        <w:rPr>
          <w:rFonts w:ascii="Times New Roman" w:hAnsi="Times New Roman" w:cs="Times New Roman"/>
          <w:b w:val="0"/>
          <w:bCs w:val="0"/>
          <w:i w:val="0"/>
          <w:iCs w:val="0"/>
          <w:color w:val="000000"/>
          <w:lang w:val="da-DK"/>
        </w:rPr>
        <w:t>carbamazepin</w:t>
      </w:r>
      <w:proofErr w:type="spellEnd"/>
      <w:r w:rsidRPr="00096AFC">
        <w:rPr>
          <w:rFonts w:ascii="Times New Roman" w:hAnsi="Times New Roman" w:cs="Times New Roman"/>
          <w:b w:val="0"/>
          <w:bCs w:val="0"/>
          <w:i w:val="0"/>
          <w:iCs w:val="0"/>
          <w:color w:val="000000"/>
          <w:lang w:val="da-DK"/>
        </w:rPr>
        <w:t xml:space="preserve">), nedsatte paracetamols plasma-AUC til ca. 60 % i </w:t>
      </w:r>
      <w:proofErr w:type="spellStart"/>
      <w:r w:rsidRPr="00096AFC">
        <w:rPr>
          <w:rFonts w:ascii="Times New Roman" w:hAnsi="Times New Roman" w:cs="Times New Roman"/>
          <w:b w:val="0"/>
          <w:bCs w:val="0"/>
          <w:i w:val="0"/>
          <w:iCs w:val="0"/>
          <w:color w:val="000000"/>
          <w:lang w:val="da-DK"/>
        </w:rPr>
        <w:t>farmakokinetiske</w:t>
      </w:r>
      <w:proofErr w:type="spellEnd"/>
      <w:r w:rsidRPr="00096AFC">
        <w:rPr>
          <w:rFonts w:ascii="Times New Roman" w:hAnsi="Times New Roman" w:cs="Times New Roman"/>
          <w:b w:val="0"/>
          <w:bCs w:val="0"/>
          <w:i w:val="0"/>
          <w:iCs w:val="0"/>
          <w:color w:val="000000"/>
          <w:lang w:val="da-DK"/>
        </w:rPr>
        <w:t xml:space="preserve"> studier. Andre stoffer med enzyminducerende egenskaber (dvs. </w:t>
      </w:r>
      <w:proofErr w:type="spellStart"/>
      <w:r w:rsidRPr="00096AFC">
        <w:rPr>
          <w:rFonts w:ascii="Times New Roman" w:hAnsi="Times New Roman" w:cs="Times New Roman"/>
          <w:b w:val="0"/>
          <w:bCs w:val="0"/>
          <w:i w:val="0"/>
          <w:iCs w:val="0"/>
          <w:color w:val="000000"/>
          <w:lang w:val="da-DK"/>
        </w:rPr>
        <w:t>rifampicin</w:t>
      </w:r>
      <w:proofErr w:type="spellEnd"/>
      <w:r w:rsidRPr="00096AFC">
        <w:rPr>
          <w:rFonts w:ascii="Times New Roman" w:hAnsi="Times New Roman" w:cs="Times New Roman"/>
          <w:b w:val="0"/>
          <w:bCs w:val="0"/>
          <w:i w:val="0"/>
          <w:iCs w:val="0"/>
          <w:color w:val="000000"/>
          <w:lang w:val="da-DK"/>
        </w:rPr>
        <w:t xml:space="preserve">, </w:t>
      </w:r>
      <w:proofErr w:type="spellStart"/>
      <w:r w:rsidRPr="00096AFC">
        <w:rPr>
          <w:rFonts w:ascii="Times New Roman" w:hAnsi="Times New Roman" w:cs="Times New Roman"/>
          <w:b w:val="0"/>
          <w:bCs w:val="0"/>
          <w:color w:val="000000"/>
          <w:lang w:val="da-DK"/>
        </w:rPr>
        <w:t>Hypericum</w:t>
      </w:r>
      <w:proofErr w:type="spellEnd"/>
      <w:r w:rsidRPr="00096AFC">
        <w:rPr>
          <w:rFonts w:ascii="Times New Roman" w:hAnsi="Times New Roman" w:cs="Times New Roman"/>
          <w:b w:val="0"/>
          <w:bCs w:val="0"/>
          <w:i w:val="0"/>
          <w:iCs w:val="0"/>
          <w:color w:val="000000"/>
          <w:lang w:val="da-DK"/>
        </w:rPr>
        <w:t>) kan måske også medføre reducerede paracetamol-koncentrationer.</w:t>
      </w:r>
      <w:r w:rsidRPr="00096AFC">
        <w:rPr>
          <w:rFonts w:ascii="Times New Roman" w:hAnsi="Times New Roman" w:cs="Times New Roman"/>
          <w:b w:val="0"/>
          <w:bCs w:val="0"/>
          <w:color w:val="000000"/>
          <w:lang w:val="da-DK"/>
        </w:rPr>
        <w:t xml:space="preserve"> </w:t>
      </w:r>
      <w:r w:rsidRPr="00297413">
        <w:rPr>
          <w:rFonts w:ascii="Times New Roman" w:hAnsi="Times New Roman" w:cs="Times New Roman"/>
          <w:b w:val="0"/>
          <w:bCs w:val="0"/>
          <w:i w:val="0"/>
          <w:color w:val="000000"/>
          <w:lang w:val="da-DK"/>
        </w:rPr>
        <w:t>Desuden er risikoen for leverskade under behandling med den højeste anbefalede dosis paracetamol sandsynligvis højere hos patienter, der får enzyminducerende lægemidler.</w:t>
      </w:r>
    </w:p>
    <w:p w14:paraId="38A355F7" w14:textId="77777777" w:rsidR="007E1C88" w:rsidRPr="00096AFC" w:rsidRDefault="007E1C88" w:rsidP="007E1C88">
      <w:pPr>
        <w:pStyle w:val="ammannexetitre2bis"/>
        <w:widowControl w:val="0"/>
        <w:spacing w:before="0" w:beforeAutospacing="0" w:after="0" w:afterAutospacing="0"/>
        <w:ind w:left="851"/>
        <w:rPr>
          <w:rFonts w:ascii="Times New Roman" w:hAnsi="Times New Roman" w:cs="Times New Roman"/>
          <w:b w:val="0"/>
          <w:bCs w:val="0"/>
          <w:i w:val="0"/>
          <w:iCs w:val="0"/>
          <w:color w:val="000000"/>
          <w:lang w:val="da-DK"/>
        </w:rPr>
      </w:pPr>
      <w:proofErr w:type="spellStart"/>
      <w:r w:rsidRPr="00096AFC">
        <w:rPr>
          <w:rFonts w:ascii="Times New Roman" w:hAnsi="Times New Roman" w:cs="Times New Roman"/>
          <w:b w:val="0"/>
          <w:bCs w:val="0"/>
          <w:i w:val="0"/>
          <w:iCs w:val="0"/>
          <w:color w:val="000000"/>
          <w:lang w:val="da-DK"/>
        </w:rPr>
        <w:t>Zidovudin</w:t>
      </w:r>
      <w:proofErr w:type="spellEnd"/>
      <w:r w:rsidRPr="00096AFC">
        <w:rPr>
          <w:rFonts w:ascii="Times New Roman" w:hAnsi="Times New Roman" w:cs="Times New Roman"/>
          <w:b w:val="0"/>
          <w:bCs w:val="0"/>
          <w:i w:val="0"/>
          <w:iCs w:val="0"/>
          <w:color w:val="000000"/>
          <w:lang w:val="da-DK"/>
        </w:rPr>
        <w:t xml:space="preserve"> kan påvirke paracetamol-metabolismen og vice versa, hvilket kan øge toksiciteten af dem begge.</w:t>
      </w:r>
    </w:p>
    <w:p w14:paraId="6D25C89C" w14:textId="77777777" w:rsidR="007E1C88" w:rsidRPr="00096AFC" w:rsidRDefault="007E1C88" w:rsidP="007E1C88">
      <w:pPr>
        <w:pStyle w:val="ammannexetitre2bis"/>
        <w:widowControl w:val="0"/>
        <w:spacing w:before="0" w:beforeAutospacing="0" w:after="0" w:afterAutospacing="0"/>
        <w:ind w:left="851"/>
        <w:rPr>
          <w:rFonts w:ascii="Times New Roman" w:hAnsi="Times New Roman" w:cs="Times New Roman"/>
          <w:b w:val="0"/>
          <w:bCs w:val="0"/>
          <w:i w:val="0"/>
          <w:iCs w:val="0"/>
          <w:color w:val="000000"/>
          <w:lang w:val="da-DK"/>
        </w:rPr>
      </w:pPr>
      <w:r w:rsidRPr="00096AFC">
        <w:rPr>
          <w:rFonts w:ascii="Times New Roman" w:hAnsi="Times New Roman" w:cs="Times New Roman"/>
          <w:b w:val="0"/>
          <w:bCs w:val="0"/>
          <w:i w:val="0"/>
          <w:iCs w:val="0"/>
          <w:color w:val="000000"/>
          <w:lang w:val="da-DK"/>
        </w:rPr>
        <w:t xml:space="preserve">Gentagen indtagelse af paracetamol i mere end en uge forstærker virkningerne af </w:t>
      </w:r>
      <w:proofErr w:type="spellStart"/>
      <w:r w:rsidRPr="00096AFC">
        <w:rPr>
          <w:rFonts w:ascii="Times New Roman" w:hAnsi="Times New Roman" w:cs="Times New Roman"/>
          <w:b w:val="0"/>
          <w:bCs w:val="0"/>
          <w:i w:val="0"/>
          <w:iCs w:val="0"/>
          <w:color w:val="000000"/>
          <w:lang w:val="da-DK"/>
        </w:rPr>
        <w:t>antikoagulantia</w:t>
      </w:r>
      <w:proofErr w:type="spellEnd"/>
      <w:r w:rsidRPr="00096AFC">
        <w:rPr>
          <w:rFonts w:ascii="Times New Roman" w:hAnsi="Times New Roman" w:cs="Times New Roman"/>
          <w:b w:val="0"/>
          <w:bCs w:val="0"/>
          <w:i w:val="0"/>
          <w:iCs w:val="0"/>
          <w:color w:val="000000"/>
          <w:lang w:val="da-DK"/>
        </w:rPr>
        <w:t xml:space="preserve">, især </w:t>
      </w:r>
      <w:proofErr w:type="spellStart"/>
      <w:r w:rsidRPr="00096AFC">
        <w:rPr>
          <w:rFonts w:ascii="Times New Roman" w:hAnsi="Times New Roman" w:cs="Times New Roman"/>
          <w:b w:val="0"/>
          <w:bCs w:val="0"/>
          <w:i w:val="0"/>
          <w:iCs w:val="0"/>
          <w:color w:val="000000"/>
          <w:lang w:val="da-DK"/>
        </w:rPr>
        <w:t>warfarin</w:t>
      </w:r>
      <w:proofErr w:type="spellEnd"/>
      <w:r w:rsidRPr="00096AFC">
        <w:rPr>
          <w:rFonts w:ascii="Times New Roman" w:hAnsi="Times New Roman" w:cs="Times New Roman"/>
          <w:b w:val="0"/>
          <w:bCs w:val="0"/>
          <w:i w:val="0"/>
          <w:iCs w:val="0"/>
          <w:color w:val="000000"/>
          <w:lang w:val="da-DK"/>
        </w:rPr>
        <w:t xml:space="preserve">. Langvarig administration af paracetamol hos patienter, der får behandling med </w:t>
      </w:r>
      <w:proofErr w:type="spellStart"/>
      <w:r w:rsidRPr="00096AFC">
        <w:rPr>
          <w:rFonts w:ascii="Times New Roman" w:hAnsi="Times New Roman" w:cs="Times New Roman"/>
          <w:b w:val="0"/>
          <w:bCs w:val="0"/>
          <w:i w:val="0"/>
          <w:iCs w:val="0"/>
          <w:color w:val="000000"/>
          <w:lang w:val="da-DK"/>
        </w:rPr>
        <w:t>antikoagulantia</w:t>
      </w:r>
      <w:proofErr w:type="spellEnd"/>
      <w:r w:rsidRPr="00096AFC">
        <w:rPr>
          <w:rFonts w:ascii="Times New Roman" w:hAnsi="Times New Roman" w:cs="Times New Roman"/>
          <w:b w:val="0"/>
          <w:bCs w:val="0"/>
          <w:i w:val="0"/>
          <w:iCs w:val="0"/>
          <w:color w:val="000000"/>
          <w:lang w:val="da-DK"/>
        </w:rPr>
        <w:t>, bør derfor kun finde sted under lægelig supervision. Virkningen kan forekomme allerede ved daglige doser på 1,5–2 g i 5–7 dage. Hvis paracetamol anvendes i doser på &gt;2 g daglig, bør INR-værdierne (international normaliseret ratio) monitoreres. Lejlighedsvis indtagelse af paracetamol har ingen signifikante virkninger på blødningstendensen.</w:t>
      </w:r>
    </w:p>
    <w:p w14:paraId="5D8DE761" w14:textId="77777777" w:rsidR="007E1C88" w:rsidRPr="00096AFC" w:rsidRDefault="007E1C88" w:rsidP="007E1C88">
      <w:pPr>
        <w:pStyle w:val="ammannexetitre2bis"/>
        <w:widowControl w:val="0"/>
        <w:spacing w:before="0" w:beforeAutospacing="0" w:after="0" w:afterAutospacing="0"/>
        <w:ind w:left="851"/>
        <w:rPr>
          <w:rFonts w:ascii="Times New Roman" w:hAnsi="Times New Roman" w:cs="Times New Roman"/>
          <w:b w:val="0"/>
          <w:bCs w:val="0"/>
          <w:i w:val="0"/>
          <w:iCs w:val="0"/>
          <w:color w:val="000000"/>
          <w:lang w:val="da-DK"/>
        </w:rPr>
      </w:pPr>
      <w:r w:rsidRPr="00096AFC">
        <w:rPr>
          <w:rFonts w:ascii="Times New Roman" w:hAnsi="Times New Roman" w:cs="Times New Roman"/>
          <w:b w:val="0"/>
          <w:bCs w:val="0"/>
          <w:i w:val="0"/>
          <w:iCs w:val="0"/>
          <w:color w:val="000000"/>
          <w:lang w:val="da-DK"/>
        </w:rPr>
        <w:t xml:space="preserve">Samtidig indtagelse af lægemidler, der accelererer mavesækkens tømning, såsom </w:t>
      </w:r>
      <w:proofErr w:type="spellStart"/>
      <w:r w:rsidRPr="00096AFC">
        <w:rPr>
          <w:rFonts w:ascii="Times New Roman" w:hAnsi="Times New Roman" w:cs="Times New Roman"/>
          <w:b w:val="0"/>
          <w:bCs w:val="0"/>
          <w:i w:val="0"/>
          <w:iCs w:val="0"/>
          <w:color w:val="000000"/>
          <w:lang w:val="da-DK"/>
        </w:rPr>
        <w:t>metoclopramid</w:t>
      </w:r>
      <w:proofErr w:type="spellEnd"/>
      <w:r w:rsidRPr="00096AFC">
        <w:rPr>
          <w:rFonts w:ascii="Times New Roman" w:hAnsi="Times New Roman" w:cs="Times New Roman"/>
          <w:b w:val="0"/>
          <w:bCs w:val="0"/>
          <w:i w:val="0"/>
          <w:iCs w:val="0"/>
          <w:color w:val="000000"/>
          <w:lang w:val="da-DK"/>
        </w:rPr>
        <w:t xml:space="preserve"> eller </w:t>
      </w:r>
      <w:proofErr w:type="spellStart"/>
      <w:r w:rsidRPr="00096AFC">
        <w:rPr>
          <w:rFonts w:ascii="Times New Roman" w:hAnsi="Times New Roman" w:cs="Times New Roman"/>
          <w:b w:val="0"/>
          <w:bCs w:val="0"/>
          <w:i w:val="0"/>
          <w:iCs w:val="0"/>
          <w:color w:val="000000"/>
          <w:lang w:val="da-DK"/>
        </w:rPr>
        <w:t>domperidon</w:t>
      </w:r>
      <w:proofErr w:type="spellEnd"/>
      <w:r w:rsidRPr="00096AFC">
        <w:rPr>
          <w:rFonts w:ascii="Times New Roman" w:hAnsi="Times New Roman" w:cs="Times New Roman"/>
          <w:b w:val="0"/>
          <w:bCs w:val="0"/>
          <w:i w:val="0"/>
          <w:iCs w:val="0"/>
          <w:color w:val="000000"/>
          <w:lang w:val="da-DK"/>
        </w:rPr>
        <w:t>, accelererer absorptionen af paracetamol og påbegyndelsen af dets virkning.</w:t>
      </w:r>
    </w:p>
    <w:p w14:paraId="27F264DB" w14:textId="77777777" w:rsidR="007E1C88" w:rsidRPr="00096AFC" w:rsidRDefault="007E1C88" w:rsidP="007E1C88">
      <w:pPr>
        <w:pStyle w:val="ammannexetitre2bis"/>
        <w:widowControl w:val="0"/>
        <w:spacing w:before="0" w:beforeAutospacing="0" w:after="0" w:afterAutospacing="0"/>
        <w:ind w:left="851"/>
        <w:rPr>
          <w:rFonts w:ascii="Times New Roman" w:hAnsi="Times New Roman" w:cs="Times New Roman"/>
          <w:b w:val="0"/>
          <w:bCs w:val="0"/>
          <w:i w:val="0"/>
          <w:iCs w:val="0"/>
          <w:color w:val="000000"/>
          <w:lang w:val="da-DK"/>
        </w:rPr>
      </w:pPr>
      <w:proofErr w:type="spellStart"/>
      <w:r w:rsidRPr="00096AFC">
        <w:rPr>
          <w:rFonts w:ascii="Times New Roman" w:hAnsi="Times New Roman" w:cs="Times New Roman"/>
          <w:b w:val="0"/>
          <w:bCs w:val="0"/>
          <w:i w:val="0"/>
          <w:iCs w:val="0"/>
          <w:color w:val="000000"/>
          <w:lang w:val="da-DK"/>
        </w:rPr>
        <w:t>Colestyramin</w:t>
      </w:r>
      <w:proofErr w:type="spellEnd"/>
      <w:r w:rsidRPr="00096AFC">
        <w:rPr>
          <w:rFonts w:ascii="Times New Roman" w:hAnsi="Times New Roman" w:cs="Times New Roman"/>
          <w:b w:val="0"/>
          <w:bCs w:val="0"/>
          <w:i w:val="0"/>
          <w:iCs w:val="0"/>
          <w:color w:val="000000"/>
          <w:lang w:val="da-DK"/>
        </w:rPr>
        <w:t xml:space="preserve"> kan nedsætte absorptionen af paracetamol og bør derfor ikke administreres </w:t>
      </w:r>
      <w:r w:rsidRPr="00096AFC">
        <w:rPr>
          <w:rFonts w:ascii="Times New Roman" w:hAnsi="Times New Roman" w:cs="Times New Roman"/>
          <w:b w:val="0"/>
          <w:bCs w:val="0"/>
          <w:i w:val="0"/>
          <w:iCs w:val="0"/>
          <w:color w:val="000000"/>
          <w:lang w:val="da-DK"/>
        </w:rPr>
        <w:lastRenderedPageBreak/>
        <w:t xml:space="preserve">inden for en time efter administration af paracetamol. </w:t>
      </w:r>
      <w:proofErr w:type="spellStart"/>
      <w:r w:rsidRPr="00096AFC">
        <w:rPr>
          <w:rFonts w:ascii="Times New Roman" w:hAnsi="Times New Roman" w:cs="Times New Roman"/>
          <w:b w:val="0"/>
          <w:bCs w:val="0"/>
          <w:i w:val="0"/>
          <w:iCs w:val="0"/>
          <w:color w:val="000000"/>
          <w:lang w:val="da-DK"/>
        </w:rPr>
        <w:t>Isoniazid</w:t>
      </w:r>
      <w:proofErr w:type="spellEnd"/>
      <w:r w:rsidRPr="00096AFC">
        <w:rPr>
          <w:rFonts w:ascii="Times New Roman" w:hAnsi="Times New Roman" w:cs="Times New Roman"/>
          <w:b w:val="0"/>
          <w:bCs w:val="0"/>
          <w:i w:val="0"/>
          <w:iCs w:val="0"/>
          <w:color w:val="000000"/>
          <w:lang w:val="da-DK"/>
        </w:rPr>
        <w:t xml:space="preserve"> kan påvirke paracetamols farmakokinetik med mulig potensering af levertoksicitet.</w:t>
      </w:r>
    </w:p>
    <w:p w14:paraId="1913FFA0" w14:textId="77777777" w:rsidR="007E1C88" w:rsidRPr="00096AFC" w:rsidRDefault="007E1C88" w:rsidP="007E1C88">
      <w:pPr>
        <w:pStyle w:val="ammannexetitre2bis"/>
        <w:widowControl w:val="0"/>
        <w:spacing w:before="0" w:beforeAutospacing="0" w:after="0" w:afterAutospacing="0"/>
        <w:ind w:left="851"/>
        <w:rPr>
          <w:rFonts w:ascii="Times New Roman" w:hAnsi="Times New Roman" w:cs="Times New Roman"/>
          <w:b w:val="0"/>
          <w:bCs w:val="0"/>
          <w:i w:val="0"/>
          <w:iCs w:val="0"/>
          <w:color w:val="000000"/>
          <w:lang w:val="da-DK"/>
        </w:rPr>
      </w:pPr>
      <w:r w:rsidRPr="00096AFC">
        <w:rPr>
          <w:rFonts w:ascii="Times New Roman" w:hAnsi="Times New Roman" w:cs="Times New Roman"/>
          <w:b w:val="0"/>
          <w:bCs w:val="0"/>
          <w:i w:val="0"/>
          <w:iCs w:val="0"/>
          <w:color w:val="000000"/>
          <w:lang w:val="da-DK"/>
        </w:rPr>
        <w:t>Samtidig indtagelse af lægemidler, der forsinker mavesækkens tømning, kan forsinke absorptionen af paracetamol og påbegyndelsen af dets virkning.</w:t>
      </w:r>
    </w:p>
    <w:p w14:paraId="2F425D57" w14:textId="77777777" w:rsidR="007E1C88" w:rsidRPr="00096AFC" w:rsidRDefault="007E1C88" w:rsidP="007E1C88">
      <w:pPr>
        <w:pStyle w:val="ammannexetitre2bis"/>
        <w:widowControl w:val="0"/>
        <w:spacing w:before="0" w:beforeAutospacing="0" w:after="0" w:afterAutospacing="0"/>
        <w:ind w:left="851"/>
        <w:rPr>
          <w:rFonts w:ascii="Times New Roman" w:hAnsi="Times New Roman" w:cs="Times New Roman"/>
          <w:b w:val="0"/>
          <w:bCs w:val="0"/>
          <w:i w:val="0"/>
          <w:iCs w:val="0"/>
          <w:color w:val="000000"/>
          <w:lang w:val="da-DK"/>
        </w:rPr>
      </w:pPr>
      <w:r w:rsidRPr="00096AFC">
        <w:rPr>
          <w:rFonts w:ascii="Times New Roman" w:hAnsi="Times New Roman" w:cs="Times New Roman"/>
          <w:b w:val="0"/>
          <w:bCs w:val="0"/>
          <w:i w:val="0"/>
          <w:iCs w:val="0"/>
          <w:color w:val="000000"/>
          <w:lang w:val="da-DK"/>
        </w:rPr>
        <w:t xml:space="preserve">Paracetamol kan påvirke </w:t>
      </w:r>
      <w:proofErr w:type="spellStart"/>
      <w:r w:rsidRPr="00096AFC">
        <w:rPr>
          <w:rFonts w:ascii="Times New Roman" w:hAnsi="Times New Roman" w:cs="Times New Roman"/>
          <w:b w:val="0"/>
          <w:bCs w:val="0"/>
          <w:i w:val="0"/>
          <w:iCs w:val="0"/>
          <w:color w:val="000000"/>
          <w:lang w:val="da-DK"/>
        </w:rPr>
        <w:t>chloramphenicols</w:t>
      </w:r>
      <w:proofErr w:type="spellEnd"/>
      <w:r w:rsidRPr="00096AFC">
        <w:rPr>
          <w:rFonts w:ascii="Times New Roman" w:hAnsi="Times New Roman" w:cs="Times New Roman"/>
          <w:b w:val="0"/>
          <w:bCs w:val="0"/>
          <w:i w:val="0"/>
          <w:iCs w:val="0"/>
          <w:color w:val="000000"/>
          <w:lang w:val="da-DK"/>
        </w:rPr>
        <w:t xml:space="preserve"> farmakokinetik. Monitorering af plasmakoncentrationerne af </w:t>
      </w:r>
      <w:proofErr w:type="spellStart"/>
      <w:r w:rsidRPr="00096AFC">
        <w:rPr>
          <w:rFonts w:ascii="Times New Roman" w:hAnsi="Times New Roman" w:cs="Times New Roman"/>
          <w:b w:val="0"/>
          <w:bCs w:val="0"/>
          <w:i w:val="0"/>
          <w:iCs w:val="0"/>
          <w:color w:val="000000"/>
          <w:lang w:val="da-DK"/>
        </w:rPr>
        <w:t>chloramphenicol</w:t>
      </w:r>
      <w:proofErr w:type="spellEnd"/>
      <w:r w:rsidRPr="00096AFC">
        <w:rPr>
          <w:rFonts w:ascii="Times New Roman" w:hAnsi="Times New Roman" w:cs="Times New Roman"/>
          <w:b w:val="0"/>
          <w:bCs w:val="0"/>
          <w:i w:val="0"/>
          <w:iCs w:val="0"/>
          <w:color w:val="000000"/>
          <w:lang w:val="da-DK"/>
        </w:rPr>
        <w:t xml:space="preserve"> anbefales ved kombination af paracetamol med behandling med </w:t>
      </w:r>
      <w:proofErr w:type="spellStart"/>
      <w:r w:rsidRPr="00096AFC">
        <w:rPr>
          <w:rFonts w:ascii="Times New Roman" w:hAnsi="Times New Roman" w:cs="Times New Roman"/>
          <w:b w:val="0"/>
          <w:bCs w:val="0"/>
          <w:i w:val="0"/>
          <w:iCs w:val="0"/>
          <w:color w:val="000000"/>
          <w:lang w:val="da-DK"/>
        </w:rPr>
        <w:t>chloramphenicol</w:t>
      </w:r>
      <w:proofErr w:type="spellEnd"/>
      <w:r w:rsidRPr="00096AFC">
        <w:rPr>
          <w:rFonts w:ascii="Times New Roman" w:hAnsi="Times New Roman" w:cs="Times New Roman"/>
          <w:b w:val="0"/>
          <w:bCs w:val="0"/>
          <w:i w:val="0"/>
          <w:iCs w:val="0"/>
          <w:color w:val="000000"/>
          <w:lang w:val="da-DK"/>
        </w:rPr>
        <w:t>-injektion.</w:t>
      </w:r>
    </w:p>
    <w:p w14:paraId="20039FA2" w14:textId="77777777" w:rsidR="007E1C88" w:rsidRDefault="007E1C88" w:rsidP="007E1C88">
      <w:pPr>
        <w:ind w:left="851"/>
        <w:rPr>
          <w:bCs/>
          <w:iCs/>
          <w:color w:val="000000"/>
          <w:sz w:val="24"/>
          <w:szCs w:val="24"/>
        </w:rPr>
      </w:pPr>
      <w:proofErr w:type="spellStart"/>
      <w:r w:rsidRPr="00297413">
        <w:rPr>
          <w:bCs/>
          <w:iCs/>
          <w:color w:val="000000"/>
          <w:sz w:val="24"/>
          <w:szCs w:val="24"/>
        </w:rPr>
        <w:t>Ethylalkohol</w:t>
      </w:r>
      <w:proofErr w:type="spellEnd"/>
      <w:r w:rsidRPr="00297413">
        <w:rPr>
          <w:bCs/>
          <w:iCs/>
          <w:color w:val="000000"/>
          <w:sz w:val="24"/>
          <w:szCs w:val="24"/>
        </w:rPr>
        <w:t xml:space="preserve"> potenserer paracetamols toksicitet, muligvis ved at inducere produktion af paracetamol-afledte </w:t>
      </w:r>
      <w:proofErr w:type="spellStart"/>
      <w:r w:rsidRPr="00297413">
        <w:rPr>
          <w:bCs/>
          <w:iCs/>
          <w:color w:val="000000"/>
          <w:sz w:val="24"/>
          <w:szCs w:val="24"/>
        </w:rPr>
        <w:t>hepatotoksiske</w:t>
      </w:r>
      <w:proofErr w:type="spellEnd"/>
      <w:r w:rsidRPr="00297413">
        <w:rPr>
          <w:bCs/>
          <w:iCs/>
          <w:color w:val="000000"/>
          <w:sz w:val="24"/>
          <w:szCs w:val="24"/>
        </w:rPr>
        <w:t xml:space="preserve"> produkter i leveren.</w:t>
      </w:r>
    </w:p>
    <w:p w14:paraId="460FD933" w14:textId="77777777" w:rsidR="00540B5A" w:rsidRDefault="00540B5A" w:rsidP="007E1C88">
      <w:pPr>
        <w:ind w:left="851"/>
        <w:rPr>
          <w:sz w:val="24"/>
          <w:szCs w:val="24"/>
        </w:rPr>
      </w:pPr>
    </w:p>
    <w:p w14:paraId="690C6113" w14:textId="7668F62D" w:rsidR="00540B5A" w:rsidRDefault="00540B5A" w:rsidP="00540B5A">
      <w:pPr>
        <w:pStyle w:val="ammannexetitre2bis"/>
        <w:widowControl w:val="0"/>
        <w:spacing w:before="0" w:beforeAutospacing="0" w:after="0" w:afterAutospacing="0"/>
        <w:ind w:left="851"/>
        <w:rPr>
          <w:rFonts w:ascii="Times New Roman" w:hAnsi="Times New Roman" w:cs="Times New Roman"/>
          <w:b w:val="0"/>
          <w:bCs w:val="0"/>
          <w:i w:val="0"/>
          <w:iCs w:val="0"/>
          <w:color w:val="000000"/>
          <w:u w:val="single"/>
          <w:lang w:val="da-DK"/>
        </w:rPr>
      </w:pPr>
      <w:r w:rsidRPr="00F432C8">
        <w:rPr>
          <w:rFonts w:ascii="Times New Roman" w:hAnsi="Times New Roman" w:cs="Times New Roman"/>
          <w:b w:val="0"/>
          <w:bCs w:val="0"/>
          <w:i w:val="0"/>
          <w:iCs w:val="0"/>
          <w:color w:val="000000"/>
          <w:u w:val="single"/>
          <w:lang w:val="da-DK"/>
        </w:rPr>
        <w:t xml:space="preserve">Der bør udvises forsigtighed, når paracetamol anvendes samtidig med </w:t>
      </w:r>
      <w:proofErr w:type="spellStart"/>
      <w:r w:rsidRPr="00F432C8">
        <w:rPr>
          <w:rFonts w:ascii="Times New Roman" w:hAnsi="Times New Roman" w:cs="Times New Roman"/>
          <w:b w:val="0"/>
          <w:bCs w:val="0"/>
          <w:i w:val="0"/>
          <w:iCs w:val="0"/>
          <w:color w:val="000000"/>
          <w:u w:val="single"/>
          <w:lang w:val="da-DK"/>
        </w:rPr>
        <w:t>flucloxacillin</w:t>
      </w:r>
      <w:proofErr w:type="spellEnd"/>
      <w:r w:rsidRPr="00F432C8">
        <w:rPr>
          <w:rFonts w:ascii="Times New Roman" w:hAnsi="Times New Roman" w:cs="Times New Roman"/>
          <w:b w:val="0"/>
          <w:bCs w:val="0"/>
          <w:i w:val="0"/>
          <w:iCs w:val="0"/>
          <w:color w:val="000000"/>
          <w:u w:val="single"/>
          <w:lang w:val="da-DK"/>
        </w:rPr>
        <w:t xml:space="preserve">, idet samtidig brug kan være forbundet med metabolisk </w:t>
      </w:r>
      <w:proofErr w:type="spellStart"/>
      <w:r w:rsidRPr="00F432C8">
        <w:rPr>
          <w:rFonts w:ascii="Times New Roman" w:hAnsi="Times New Roman" w:cs="Times New Roman"/>
          <w:b w:val="0"/>
          <w:bCs w:val="0"/>
          <w:i w:val="0"/>
          <w:iCs w:val="0"/>
          <w:color w:val="000000"/>
          <w:u w:val="single"/>
          <w:lang w:val="da-DK"/>
        </w:rPr>
        <w:t>acidose</w:t>
      </w:r>
      <w:proofErr w:type="spellEnd"/>
      <w:r w:rsidRPr="00F432C8">
        <w:rPr>
          <w:rFonts w:ascii="Times New Roman" w:hAnsi="Times New Roman" w:cs="Times New Roman"/>
          <w:b w:val="0"/>
          <w:bCs w:val="0"/>
          <w:i w:val="0"/>
          <w:iCs w:val="0"/>
          <w:color w:val="000000"/>
          <w:u w:val="single"/>
          <w:lang w:val="da-DK"/>
        </w:rPr>
        <w:t xml:space="preserve"> med højt anion-</w:t>
      </w:r>
      <w:proofErr w:type="spellStart"/>
      <w:r w:rsidRPr="00F432C8">
        <w:rPr>
          <w:rFonts w:ascii="Times New Roman" w:hAnsi="Times New Roman" w:cs="Times New Roman"/>
          <w:b w:val="0"/>
          <w:bCs w:val="0"/>
          <w:i w:val="0"/>
          <w:iCs w:val="0"/>
          <w:color w:val="000000"/>
          <w:u w:val="single"/>
          <w:lang w:val="da-DK"/>
        </w:rPr>
        <w:t>gap</w:t>
      </w:r>
      <w:proofErr w:type="spellEnd"/>
      <w:r w:rsidRPr="00F432C8">
        <w:rPr>
          <w:rFonts w:ascii="Times New Roman" w:hAnsi="Times New Roman" w:cs="Times New Roman"/>
          <w:b w:val="0"/>
          <w:bCs w:val="0"/>
          <w:i w:val="0"/>
          <w:iCs w:val="0"/>
          <w:color w:val="000000"/>
          <w:u w:val="single"/>
          <w:lang w:val="da-DK"/>
        </w:rPr>
        <w:t xml:space="preserve">, særligt hos patienter med risikofaktorer (se </w:t>
      </w:r>
      <w:r w:rsidR="001A39C9">
        <w:rPr>
          <w:rFonts w:ascii="Times New Roman" w:hAnsi="Times New Roman" w:cs="Times New Roman"/>
          <w:b w:val="0"/>
          <w:bCs w:val="0"/>
          <w:i w:val="0"/>
          <w:iCs w:val="0"/>
          <w:color w:val="000000"/>
          <w:u w:val="single"/>
          <w:lang w:val="da-DK"/>
        </w:rPr>
        <w:t>pkt.</w:t>
      </w:r>
      <w:r w:rsidRPr="00F432C8">
        <w:rPr>
          <w:rFonts w:ascii="Times New Roman" w:hAnsi="Times New Roman" w:cs="Times New Roman"/>
          <w:b w:val="0"/>
          <w:bCs w:val="0"/>
          <w:i w:val="0"/>
          <w:iCs w:val="0"/>
          <w:color w:val="000000"/>
          <w:u w:val="single"/>
          <w:lang w:val="da-DK"/>
        </w:rPr>
        <w:t xml:space="preserve"> 4.4).</w:t>
      </w:r>
    </w:p>
    <w:p w14:paraId="1AF51728" w14:textId="77777777" w:rsidR="007E1C88" w:rsidRDefault="007E1C88" w:rsidP="007E1C88">
      <w:pPr>
        <w:pStyle w:val="ammannexetitre2bis"/>
        <w:widowControl w:val="0"/>
        <w:spacing w:before="0" w:beforeAutospacing="0" w:after="0" w:afterAutospacing="0"/>
        <w:ind w:left="851"/>
        <w:rPr>
          <w:rFonts w:ascii="Times New Roman" w:hAnsi="Times New Roman" w:cs="Times New Roman"/>
          <w:b w:val="0"/>
          <w:bCs w:val="0"/>
          <w:i w:val="0"/>
          <w:iCs w:val="0"/>
          <w:color w:val="000000"/>
          <w:u w:val="single"/>
          <w:lang w:val="da-DK"/>
        </w:rPr>
      </w:pPr>
    </w:p>
    <w:p w14:paraId="478619AB" w14:textId="77777777" w:rsidR="007E1C88" w:rsidRPr="00096AFC" w:rsidRDefault="007E1C88" w:rsidP="007E1C88">
      <w:pPr>
        <w:pStyle w:val="ammannexetitre2bis"/>
        <w:widowControl w:val="0"/>
        <w:spacing w:before="0" w:beforeAutospacing="0" w:after="0" w:afterAutospacing="0"/>
        <w:ind w:left="851"/>
        <w:rPr>
          <w:rFonts w:ascii="Times New Roman" w:hAnsi="Times New Roman" w:cs="Times New Roman"/>
          <w:b w:val="0"/>
          <w:bCs w:val="0"/>
          <w:i w:val="0"/>
          <w:iCs w:val="0"/>
          <w:color w:val="000000"/>
          <w:u w:val="single"/>
          <w:lang w:val="da-DK"/>
        </w:rPr>
      </w:pPr>
      <w:r w:rsidRPr="00096AFC">
        <w:rPr>
          <w:rFonts w:ascii="Times New Roman" w:hAnsi="Times New Roman" w:cs="Times New Roman"/>
          <w:b w:val="0"/>
          <w:bCs w:val="0"/>
          <w:i w:val="0"/>
          <w:iCs w:val="0"/>
          <w:color w:val="000000"/>
          <w:u w:val="single"/>
          <w:lang w:val="da-DK"/>
        </w:rPr>
        <w:t>Virkninger på laboratorieundersøgelser</w:t>
      </w:r>
    </w:p>
    <w:p w14:paraId="7E93A18A" w14:textId="77777777" w:rsidR="007E1C88" w:rsidRPr="00096AFC" w:rsidRDefault="007E1C88" w:rsidP="007E1C88">
      <w:pPr>
        <w:pStyle w:val="ammcorpstexte"/>
        <w:widowControl w:val="0"/>
        <w:ind w:left="851"/>
        <w:rPr>
          <w:rFonts w:ascii="Times New Roman" w:hAnsi="Times New Roman" w:cs="Times New Roman"/>
          <w:lang w:val="da-DK"/>
        </w:rPr>
      </w:pPr>
      <w:r w:rsidRPr="00096AFC">
        <w:rPr>
          <w:rFonts w:ascii="Times New Roman" w:hAnsi="Times New Roman" w:cs="Times New Roman"/>
          <w:lang w:val="da-DK"/>
        </w:rPr>
        <w:t xml:space="preserve">Indtagelse af paracetamol kan påvirke test for urinsyre ved brug af fosforwolframsyre og blodsukkertest ved brug af </w:t>
      </w:r>
      <w:proofErr w:type="spellStart"/>
      <w:r w:rsidRPr="00096AFC">
        <w:rPr>
          <w:rFonts w:ascii="Times New Roman" w:hAnsi="Times New Roman" w:cs="Times New Roman"/>
          <w:lang w:val="da-DK"/>
        </w:rPr>
        <w:t>glucose</w:t>
      </w:r>
      <w:proofErr w:type="spellEnd"/>
      <w:r w:rsidRPr="00096AFC">
        <w:rPr>
          <w:rFonts w:ascii="Times New Roman" w:hAnsi="Times New Roman" w:cs="Times New Roman"/>
          <w:lang w:val="da-DK"/>
        </w:rPr>
        <w:t>-oxidase-</w:t>
      </w:r>
      <w:proofErr w:type="spellStart"/>
      <w:r w:rsidRPr="00096AFC">
        <w:rPr>
          <w:rFonts w:ascii="Times New Roman" w:hAnsi="Times New Roman" w:cs="Times New Roman"/>
          <w:lang w:val="da-DK"/>
        </w:rPr>
        <w:t>peroxidase</w:t>
      </w:r>
      <w:proofErr w:type="spellEnd"/>
      <w:r w:rsidRPr="00096AFC">
        <w:rPr>
          <w:rFonts w:ascii="Times New Roman" w:hAnsi="Times New Roman" w:cs="Times New Roman"/>
          <w:lang w:val="da-DK"/>
        </w:rPr>
        <w:t>.</w:t>
      </w:r>
    </w:p>
    <w:p w14:paraId="00A924F8" w14:textId="77777777" w:rsidR="007E1C88" w:rsidRPr="00096AFC" w:rsidRDefault="007E1C88" w:rsidP="007E1C88">
      <w:pPr>
        <w:autoSpaceDE w:val="0"/>
        <w:autoSpaceDN w:val="0"/>
        <w:adjustRightInd w:val="0"/>
        <w:ind w:left="851" w:hanging="851"/>
        <w:rPr>
          <w:sz w:val="24"/>
          <w:szCs w:val="24"/>
        </w:rPr>
      </w:pPr>
    </w:p>
    <w:p w14:paraId="73FBFF0E" w14:textId="77777777" w:rsidR="007E1C88" w:rsidRPr="00096AFC" w:rsidRDefault="007E1C88" w:rsidP="007E1C88">
      <w:pPr>
        <w:autoSpaceDE w:val="0"/>
        <w:autoSpaceDN w:val="0"/>
        <w:adjustRightInd w:val="0"/>
        <w:ind w:left="851"/>
        <w:rPr>
          <w:sz w:val="24"/>
          <w:szCs w:val="24"/>
        </w:rPr>
      </w:pPr>
      <w:r w:rsidRPr="00096AFC">
        <w:rPr>
          <w:sz w:val="24"/>
          <w:szCs w:val="24"/>
          <w:u w:val="single"/>
        </w:rPr>
        <w:t>Pædiatrisk population</w:t>
      </w:r>
    </w:p>
    <w:p w14:paraId="2574A86F" w14:textId="77777777" w:rsidR="007E1C88" w:rsidRPr="00096AFC" w:rsidRDefault="007E1C88" w:rsidP="007E1C88">
      <w:pPr>
        <w:autoSpaceDE w:val="0"/>
        <w:autoSpaceDN w:val="0"/>
        <w:adjustRightInd w:val="0"/>
        <w:ind w:left="851"/>
        <w:rPr>
          <w:sz w:val="24"/>
          <w:szCs w:val="24"/>
        </w:rPr>
      </w:pPr>
      <w:r w:rsidRPr="00096AFC">
        <w:rPr>
          <w:sz w:val="24"/>
          <w:szCs w:val="24"/>
        </w:rPr>
        <w:t>Der er kun udført interaktionsundersøgelser på voksne.</w:t>
      </w:r>
    </w:p>
    <w:p w14:paraId="076E825E" w14:textId="77777777" w:rsidR="007E1C88" w:rsidRPr="00096AFC" w:rsidRDefault="007E1C88" w:rsidP="007E1C88">
      <w:pPr>
        <w:ind w:left="851" w:hanging="851"/>
        <w:rPr>
          <w:sz w:val="24"/>
          <w:szCs w:val="24"/>
        </w:rPr>
      </w:pPr>
    </w:p>
    <w:p w14:paraId="358C1409" w14:textId="77777777" w:rsidR="007E1C88" w:rsidRPr="00CF4A5C" w:rsidRDefault="007E1C88" w:rsidP="00CF4A5C">
      <w:pPr>
        <w:ind w:left="851" w:hanging="851"/>
        <w:rPr>
          <w:b/>
          <w:sz w:val="24"/>
          <w:szCs w:val="24"/>
        </w:rPr>
      </w:pPr>
      <w:r w:rsidRPr="00096AFC">
        <w:rPr>
          <w:b/>
          <w:sz w:val="24"/>
          <w:szCs w:val="24"/>
        </w:rPr>
        <w:t>4.6</w:t>
      </w:r>
      <w:r w:rsidRPr="00096AFC">
        <w:rPr>
          <w:b/>
          <w:sz w:val="24"/>
          <w:szCs w:val="24"/>
        </w:rPr>
        <w:tab/>
      </w:r>
      <w:r w:rsidR="002A714D">
        <w:rPr>
          <w:b/>
          <w:sz w:val="24"/>
          <w:szCs w:val="24"/>
        </w:rPr>
        <w:t>Fertilitet, g</w:t>
      </w:r>
      <w:r w:rsidRPr="00096AFC">
        <w:rPr>
          <w:b/>
          <w:sz w:val="24"/>
          <w:szCs w:val="24"/>
        </w:rPr>
        <w:t>raviditet og amning</w:t>
      </w:r>
    </w:p>
    <w:p w14:paraId="207773E3" w14:textId="77777777" w:rsidR="00054D1F" w:rsidRDefault="00054D1F" w:rsidP="00A072C1">
      <w:pPr>
        <w:autoSpaceDE w:val="0"/>
        <w:autoSpaceDN w:val="0"/>
        <w:adjustRightInd w:val="0"/>
        <w:ind w:left="851"/>
        <w:rPr>
          <w:sz w:val="24"/>
          <w:szCs w:val="24"/>
          <w:u w:val="single"/>
        </w:rPr>
      </w:pPr>
    </w:p>
    <w:p w14:paraId="59E96679" w14:textId="1B08176D" w:rsidR="00A072C1" w:rsidRPr="00096AFC" w:rsidRDefault="00A072C1" w:rsidP="00A072C1">
      <w:pPr>
        <w:autoSpaceDE w:val="0"/>
        <w:autoSpaceDN w:val="0"/>
        <w:adjustRightInd w:val="0"/>
        <w:ind w:left="851"/>
        <w:rPr>
          <w:sz w:val="24"/>
          <w:szCs w:val="24"/>
          <w:u w:val="single"/>
        </w:rPr>
      </w:pPr>
      <w:r w:rsidRPr="00096AFC">
        <w:rPr>
          <w:sz w:val="24"/>
          <w:szCs w:val="24"/>
          <w:u w:val="single"/>
        </w:rPr>
        <w:t>Fertilitet</w:t>
      </w:r>
    </w:p>
    <w:p w14:paraId="6A0D1B8D" w14:textId="77777777" w:rsidR="00A072C1" w:rsidRPr="00096AFC" w:rsidRDefault="00A072C1" w:rsidP="00A072C1">
      <w:pPr>
        <w:suppressAutoHyphens/>
        <w:ind w:left="851"/>
        <w:rPr>
          <w:sz w:val="24"/>
          <w:szCs w:val="24"/>
        </w:rPr>
      </w:pPr>
      <w:r w:rsidRPr="00096AFC">
        <w:rPr>
          <w:sz w:val="24"/>
          <w:szCs w:val="24"/>
        </w:rPr>
        <w:t xml:space="preserve">Anvendelse af produktet kan forringe den kvindelige fertilitet, og det frarådes til kvinder, der forsøger at blive gravide. Hos kvinder, der har svært ved at blive gravide, eller som er under udredning for </w:t>
      </w:r>
      <w:proofErr w:type="spellStart"/>
      <w:r w:rsidRPr="00096AFC">
        <w:rPr>
          <w:sz w:val="24"/>
          <w:szCs w:val="24"/>
        </w:rPr>
        <w:t>infertilitet</w:t>
      </w:r>
      <w:proofErr w:type="spellEnd"/>
      <w:r w:rsidRPr="00096AFC">
        <w:rPr>
          <w:sz w:val="24"/>
          <w:szCs w:val="24"/>
        </w:rPr>
        <w:t xml:space="preserve">, bør </w:t>
      </w:r>
      <w:proofErr w:type="spellStart"/>
      <w:r w:rsidRPr="00096AFC">
        <w:rPr>
          <w:sz w:val="24"/>
          <w:szCs w:val="24"/>
        </w:rPr>
        <w:t>seponering</w:t>
      </w:r>
      <w:proofErr w:type="spellEnd"/>
      <w:r w:rsidRPr="00096AFC">
        <w:rPr>
          <w:sz w:val="24"/>
          <w:szCs w:val="24"/>
        </w:rPr>
        <w:t xml:space="preserve"> af produktet overvejes.</w:t>
      </w:r>
    </w:p>
    <w:p w14:paraId="13E6EA22" w14:textId="77777777" w:rsidR="00A072C1" w:rsidRDefault="00A072C1" w:rsidP="00A072C1">
      <w:pPr>
        <w:autoSpaceDE w:val="0"/>
        <w:autoSpaceDN w:val="0"/>
        <w:adjustRightInd w:val="0"/>
        <w:ind w:left="851" w:hanging="851"/>
        <w:rPr>
          <w:sz w:val="24"/>
          <w:szCs w:val="24"/>
        </w:rPr>
      </w:pPr>
    </w:p>
    <w:p w14:paraId="1CB0E223" w14:textId="77777777" w:rsidR="00A072C1" w:rsidRPr="00096AFC" w:rsidRDefault="00A072C1" w:rsidP="00A072C1">
      <w:pPr>
        <w:autoSpaceDE w:val="0"/>
        <w:autoSpaceDN w:val="0"/>
        <w:adjustRightInd w:val="0"/>
        <w:ind w:left="851" w:hanging="851"/>
        <w:rPr>
          <w:sz w:val="24"/>
          <w:szCs w:val="24"/>
        </w:rPr>
      </w:pPr>
      <w:r w:rsidRPr="00096AFC">
        <w:rPr>
          <w:sz w:val="24"/>
          <w:szCs w:val="24"/>
        </w:rPr>
        <w:tab/>
      </w:r>
      <w:r w:rsidRPr="00096AFC">
        <w:rPr>
          <w:sz w:val="24"/>
          <w:szCs w:val="24"/>
          <w:u w:val="single"/>
        </w:rPr>
        <w:t>Graviditet</w:t>
      </w:r>
    </w:p>
    <w:p w14:paraId="48E00CA4" w14:textId="77777777" w:rsidR="00A072C1" w:rsidRPr="00096AFC" w:rsidRDefault="00A072C1" w:rsidP="00A072C1">
      <w:pPr>
        <w:ind w:left="851"/>
        <w:rPr>
          <w:i/>
          <w:iCs/>
          <w:sz w:val="24"/>
          <w:szCs w:val="24"/>
        </w:rPr>
      </w:pPr>
      <w:r w:rsidRPr="00096AFC">
        <w:rPr>
          <w:i/>
          <w:iCs/>
          <w:sz w:val="24"/>
          <w:szCs w:val="24"/>
        </w:rPr>
        <w:t>For ibuprofen</w:t>
      </w:r>
    </w:p>
    <w:p w14:paraId="5651C4B2" w14:textId="2DE10F9F" w:rsidR="00540B5A" w:rsidRPr="00B6637D" w:rsidRDefault="00A072C1" w:rsidP="00540B5A">
      <w:pPr>
        <w:ind w:left="851"/>
      </w:pPr>
      <w:r w:rsidRPr="00096AFC">
        <w:rPr>
          <w:sz w:val="24"/>
          <w:szCs w:val="24"/>
        </w:rPr>
        <w:t xml:space="preserve">Hæmning af </w:t>
      </w:r>
      <w:proofErr w:type="spellStart"/>
      <w:r w:rsidRPr="00096AFC">
        <w:rPr>
          <w:sz w:val="24"/>
          <w:szCs w:val="24"/>
        </w:rPr>
        <w:t>prostaglandinsyntesen</w:t>
      </w:r>
      <w:proofErr w:type="spellEnd"/>
      <w:r w:rsidRPr="00096AFC">
        <w:rPr>
          <w:sz w:val="24"/>
          <w:szCs w:val="24"/>
        </w:rPr>
        <w:t xml:space="preserve"> kan have negative virkninger på graviditeten og/eller den </w:t>
      </w:r>
      <w:proofErr w:type="spellStart"/>
      <w:r w:rsidRPr="00096AFC">
        <w:rPr>
          <w:sz w:val="24"/>
          <w:szCs w:val="24"/>
        </w:rPr>
        <w:t>embryoføtale</w:t>
      </w:r>
      <w:proofErr w:type="spellEnd"/>
      <w:r w:rsidRPr="00096AFC">
        <w:rPr>
          <w:sz w:val="24"/>
          <w:szCs w:val="24"/>
        </w:rPr>
        <w:t xml:space="preserve"> udvikling. Data fra epidemiologiske studier tyder på en forhøjet risiko for abort og for hjertemisdannelse og gastroschisis efter brug af en </w:t>
      </w:r>
      <w:proofErr w:type="spellStart"/>
      <w:r w:rsidRPr="00096AFC">
        <w:rPr>
          <w:sz w:val="24"/>
          <w:szCs w:val="24"/>
        </w:rPr>
        <w:t>prostaglandin</w:t>
      </w:r>
      <w:r>
        <w:rPr>
          <w:sz w:val="24"/>
          <w:szCs w:val="24"/>
        </w:rPr>
        <w:softHyphen/>
      </w:r>
      <w:r w:rsidRPr="00096AFC">
        <w:rPr>
          <w:sz w:val="24"/>
          <w:szCs w:val="24"/>
        </w:rPr>
        <w:t>syntesehæmmer</w:t>
      </w:r>
      <w:proofErr w:type="spellEnd"/>
      <w:r w:rsidRPr="00096AFC">
        <w:rPr>
          <w:sz w:val="24"/>
          <w:szCs w:val="24"/>
        </w:rPr>
        <w:t xml:space="preserve"> tidligt i graviditeten. Den absolutte risiko for </w:t>
      </w:r>
      <w:proofErr w:type="spellStart"/>
      <w:r w:rsidRPr="00096AFC">
        <w:rPr>
          <w:sz w:val="24"/>
          <w:szCs w:val="24"/>
        </w:rPr>
        <w:t>kardiovaskulære</w:t>
      </w:r>
      <w:proofErr w:type="spellEnd"/>
      <w:r w:rsidRPr="00096AFC">
        <w:rPr>
          <w:sz w:val="24"/>
          <w:szCs w:val="24"/>
        </w:rPr>
        <w:t xml:space="preserve"> misdannelser steg fra under 1 % op til ca. 1,5 %. Risikoen menes at stige med dosis og behandlingsvarighed. Hos dyr er det påvist, at administration af en </w:t>
      </w:r>
      <w:proofErr w:type="spellStart"/>
      <w:r w:rsidRPr="00096AFC">
        <w:rPr>
          <w:sz w:val="24"/>
          <w:szCs w:val="24"/>
        </w:rPr>
        <w:t>prostaglandin</w:t>
      </w:r>
      <w:r>
        <w:rPr>
          <w:sz w:val="24"/>
          <w:szCs w:val="24"/>
        </w:rPr>
        <w:softHyphen/>
      </w:r>
      <w:r w:rsidRPr="00096AFC">
        <w:rPr>
          <w:sz w:val="24"/>
          <w:szCs w:val="24"/>
        </w:rPr>
        <w:t>syntesehæmmer</w:t>
      </w:r>
      <w:proofErr w:type="spellEnd"/>
      <w:r w:rsidRPr="00096AFC">
        <w:rPr>
          <w:sz w:val="24"/>
          <w:szCs w:val="24"/>
        </w:rPr>
        <w:t xml:space="preserve"> medfører en stigning i tab før og efter implantation og i </w:t>
      </w:r>
      <w:proofErr w:type="spellStart"/>
      <w:r w:rsidRPr="00096AFC">
        <w:rPr>
          <w:sz w:val="24"/>
          <w:szCs w:val="24"/>
        </w:rPr>
        <w:t>embryoføtal</w:t>
      </w:r>
      <w:proofErr w:type="spellEnd"/>
      <w:r w:rsidRPr="00096AFC">
        <w:rPr>
          <w:sz w:val="24"/>
          <w:szCs w:val="24"/>
        </w:rPr>
        <w:t xml:space="preserve"> dødelighed.  Der er desuden blevet indberettet øgede forekomster af forskellige misdannelser, herunder </w:t>
      </w:r>
      <w:proofErr w:type="spellStart"/>
      <w:r w:rsidRPr="00096AFC">
        <w:rPr>
          <w:sz w:val="24"/>
          <w:szCs w:val="24"/>
        </w:rPr>
        <w:t>kardiovaskulære</w:t>
      </w:r>
      <w:proofErr w:type="spellEnd"/>
      <w:r w:rsidRPr="00096AFC">
        <w:rPr>
          <w:sz w:val="24"/>
          <w:szCs w:val="24"/>
        </w:rPr>
        <w:t xml:space="preserve">, hos dyr, der fik en </w:t>
      </w:r>
      <w:proofErr w:type="spellStart"/>
      <w:r w:rsidRPr="00096AFC">
        <w:rPr>
          <w:sz w:val="24"/>
          <w:szCs w:val="24"/>
        </w:rPr>
        <w:t>prostaglandinsyntesehæmmer</w:t>
      </w:r>
      <w:proofErr w:type="spellEnd"/>
      <w:r w:rsidRPr="00096AFC">
        <w:rPr>
          <w:sz w:val="24"/>
          <w:szCs w:val="24"/>
        </w:rPr>
        <w:t xml:space="preserve"> i løbet af den </w:t>
      </w:r>
      <w:proofErr w:type="spellStart"/>
      <w:r w:rsidRPr="00096AFC">
        <w:rPr>
          <w:sz w:val="24"/>
          <w:szCs w:val="24"/>
        </w:rPr>
        <w:t>organogenetiske</w:t>
      </w:r>
      <w:proofErr w:type="spellEnd"/>
      <w:r w:rsidRPr="00096AFC">
        <w:rPr>
          <w:sz w:val="24"/>
          <w:szCs w:val="24"/>
        </w:rPr>
        <w:t xml:space="preserve"> periode. </w:t>
      </w:r>
      <w:r w:rsidR="00540B5A" w:rsidRPr="00854A5A">
        <w:t xml:space="preserve">Fra og med 20. graviditetsuge kan brug af ibuprofen forårsage </w:t>
      </w:r>
      <w:proofErr w:type="spellStart"/>
      <w:r w:rsidR="00540B5A" w:rsidRPr="00854A5A">
        <w:t>oligohydramnios</w:t>
      </w:r>
      <w:proofErr w:type="spellEnd"/>
      <w:r w:rsidR="00540B5A" w:rsidRPr="00854A5A">
        <w:t xml:space="preserve"> som følge af </w:t>
      </w:r>
      <w:r w:rsidR="00540B5A">
        <w:t>nedsat nyrefunktion i fosteret</w:t>
      </w:r>
      <w:r w:rsidR="00540B5A" w:rsidRPr="00854A5A">
        <w:t>. Dette kan forekomme kort efter</w:t>
      </w:r>
      <w:r w:rsidR="00540B5A">
        <w:t xml:space="preserve"> start af</w:t>
      </w:r>
      <w:r w:rsidR="00540B5A" w:rsidRPr="00854A5A">
        <w:t xml:space="preserve"> behandling og er normalt reversibelt ved </w:t>
      </w:r>
      <w:r w:rsidR="00540B5A">
        <w:t>behandlingsstop</w:t>
      </w:r>
      <w:r w:rsidR="00540B5A" w:rsidRPr="00854A5A">
        <w:t xml:space="preserve">. Derudover har der været rapporter om </w:t>
      </w:r>
      <w:proofErr w:type="spellStart"/>
      <w:r w:rsidR="00540B5A" w:rsidRPr="00854A5A">
        <w:t>ductus</w:t>
      </w:r>
      <w:proofErr w:type="spellEnd"/>
      <w:r w:rsidR="00540B5A" w:rsidRPr="00854A5A">
        <w:t xml:space="preserve"> </w:t>
      </w:r>
      <w:proofErr w:type="spellStart"/>
      <w:r w:rsidR="00540B5A" w:rsidRPr="00854A5A">
        <w:t>arteriosus</w:t>
      </w:r>
      <w:proofErr w:type="spellEnd"/>
      <w:r w:rsidR="00540B5A" w:rsidRPr="00854A5A">
        <w:t xml:space="preserve"> konstriktion efter behandling i andet trimester, hvoraf de fleste forsvandt efter behandlings</w:t>
      </w:r>
      <w:r w:rsidR="00540B5A">
        <w:t>stop</w:t>
      </w:r>
      <w:r w:rsidR="00540B5A" w:rsidRPr="00854A5A">
        <w:t>. Derfor,</w:t>
      </w:r>
      <w:r w:rsidR="00540B5A">
        <w:t xml:space="preserve"> </w:t>
      </w:r>
      <w:r w:rsidR="00540B5A">
        <w:rPr>
          <w:sz w:val="24"/>
          <w:szCs w:val="24"/>
        </w:rPr>
        <w:t>u</w:t>
      </w:r>
      <w:r w:rsidR="00540B5A" w:rsidRPr="00096AFC">
        <w:rPr>
          <w:sz w:val="24"/>
          <w:szCs w:val="24"/>
        </w:rPr>
        <w:t xml:space="preserve">nder graviditetens første og andet trimester bør der ikke gives ibuprofen, medmindre det er tvingende nødvendigt. Hvis ibuprofen anvendes af en kvinde, der forsøger at blive gravid, eller under graviditetens første og andet trimester, skal dosis holdes så lav som muligt og behandlingsvarigheden så kort som muligt. </w:t>
      </w:r>
      <w:r w:rsidR="00540B5A">
        <w:rPr>
          <w:sz w:val="24"/>
          <w:szCs w:val="24"/>
        </w:rPr>
        <w:t>Prænatal</w:t>
      </w:r>
      <w:r w:rsidR="00540B5A" w:rsidRPr="0052573D">
        <w:rPr>
          <w:sz w:val="24"/>
          <w:szCs w:val="24"/>
        </w:rPr>
        <w:t xml:space="preserve"> monitorering for </w:t>
      </w:r>
      <w:proofErr w:type="spellStart"/>
      <w:r w:rsidR="00540B5A" w:rsidRPr="0052573D">
        <w:rPr>
          <w:sz w:val="24"/>
          <w:szCs w:val="24"/>
        </w:rPr>
        <w:t>oligohydramnios</w:t>
      </w:r>
      <w:proofErr w:type="spellEnd"/>
      <w:r w:rsidR="00540B5A" w:rsidRPr="0052573D">
        <w:rPr>
          <w:sz w:val="24"/>
          <w:szCs w:val="24"/>
        </w:rPr>
        <w:t xml:space="preserve"> og </w:t>
      </w:r>
      <w:proofErr w:type="spellStart"/>
      <w:r w:rsidR="00540B5A" w:rsidRPr="0052573D">
        <w:rPr>
          <w:sz w:val="24"/>
          <w:szCs w:val="24"/>
        </w:rPr>
        <w:t>ductus</w:t>
      </w:r>
      <w:proofErr w:type="spellEnd"/>
      <w:r w:rsidR="00540B5A" w:rsidRPr="0052573D">
        <w:rPr>
          <w:sz w:val="24"/>
          <w:szCs w:val="24"/>
        </w:rPr>
        <w:t xml:space="preserve"> </w:t>
      </w:r>
      <w:proofErr w:type="spellStart"/>
      <w:r w:rsidR="00540B5A" w:rsidRPr="0052573D">
        <w:rPr>
          <w:sz w:val="24"/>
          <w:szCs w:val="24"/>
        </w:rPr>
        <w:t>arteriosus</w:t>
      </w:r>
      <w:proofErr w:type="spellEnd"/>
      <w:r w:rsidR="00540B5A" w:rsidRPr="0052573D">
        <w:rPr>
          <w:sz w:val="24"/>
          <w:szCs w:val="24"/>
        </w:rPr>
        <w:t xml:space="preserve"> konstriktion bør overvejes efter eksponering for ibuprofen i flere dage fra graviditetsuge 20 og fremefter. Brug af Ibuprofen bør stoppes, hvis der konstateres </w:t>
      </w:r>
      <w:proofErr w:type="spellStart"/>
      <w:r w:rsidR="00540B5A" w:rsidRPr="0052573D">
        <w:rPr>
          <w:sz w:val="24"/>
          <w:szCs w:val="24"/>
        </w:rPr>
        <w:t>oligohydramnios</w:t>
      </w:r>
      <w:proofErr w:type="spellEnd"/>
      <w:r w:rsidR="00540B5A" w:rsidRPr="0052573D">
        <w:rPr>
          <w:sz w:val="24"/>
          <w:szCs w:val="24"/>
        </w:rPr>
        <w:t xml:space="preserve"> eller </w:t>
      </w:r>
      <w:proofErr w:type="spellStart"/>
      <w:r w:rsidR="00540B5A" w:rsidRPr="0052573D">
        <w:rPr>
          <w:sz w:val="24"/>
          <w:szCs w:val="24"/>
        </w:rPr>
        <w:t>ductus</w:t>
      </w:r>
      <w:proofErr w:type="spellEnd"/>
      <w:r w:rsidR="00540B5A" w:rsidRPr="0052573D">
        <w:rPr>
          <w:sz w:val="24"/>
          <w:szCs w:val="24"/>
        </w:rPr>
        <w:t xml:space="preserve"> </w:t>
      </w:r>
      <w:proofErr w:type="spellStart"/>
      <w:r w:rsidR="00540B5A" w:rsidRPr="0052573D">
        <w:rPr>
          <w:sz w:val="24"/>
          <w:szCs w:val="24"/>
        </w:rPr>
        <w:t>arteriosus</w:t>
      </w:r>
      <w:proofErr w:type="spellEnd"/>
      <w:r w:rsidR="00540B5A" w:rsidRPr="0052573D">
        <w:rPr>
          <w:sz w:val="24"/>
          <w:szCs w:val="24"/>
        </w:rPr>
        <w:t xml:space="preserve"> konstriktion.</w:t>
      </w:r>
    </w:p>
    <w:p w14:paraId="19F3C7B1" w14:textId="77777777" w:rsidR="00540B5A" w:rsidRPr="00096AFC" w:rsidRDefault="00540B5A" w:rsidP="00540B5A">
      <w:pPr>
        <w:rPr>
          <w:sz w:val="24"/>
          <w:szCs w:val="24"/>
        </w:rPr>
      </w:pPr>
    </w:p>
    <w:p w14:paraId="3840A1C6" w14:textId="77777777" w:rsidR="00540B5A" w:rsidRPr="00096AFC" w:rsidRDefault="00540B5A" w:rsidP="00540B5A">
      <w:pPr>
        <w:ind w:left="851"/>
        <w:rPr>
          <w:sz w:val="24"/>
          <w:szCs w:val="24"/>
        </w:rPr>
      </w:pPr>
      <w:r w:rsidRPr="00096AFC">
        <w:rPr>
          <w:sz w:val="24"/>
          <w:szCs w:val="24"/>
        </w:rPr>
        <w:t xml:space="preserve">Under graviditetens tredje trimester kan alle </w:t>
      </w:r>
      <w:proofErr w:type="spellStart"/>
      <w:r w:rsidRPr="00096AFC">
        <w:rPr>
          <w:sz w:val="24"/>
          <w:szCs w:val="24"/>
        </w:rPr>
        <w:t>prostaglandinsyntesehæmmere</w:t>
      </w:r>
      <w:proofErr w:type="spellEnd"/>
      <w:r w:rsidRPr="00096AFC">
        <w:rPr>
          <w:sz w:val="24"/>
          <w:szCs w:val="24"/>
        </w:rPr>
        <w:t xml:space="preserve"> udsætte fosteret for: </w:t>
      </w:r>
    </w:p>
    <w:p w14:paraId="228B05EB" w14:textId="77777777" w:rsidR="00540B5A" w:rsidRPr="00096AFC" w:rsidRDefault="00540B5A" w:rsidP="00540B5A">
      <w:pPr>
        <w:pStyle w:val="Listeafsnit"/>
        <w:numPr>
          <w:ilvl w:val="0"/>
          <w:numId w:val="5"/>
        </w:numPr>
        <w:spacing w:after="0" w:line="240" w:lineRule="auto"/>
        <w:ind w:left="1276" w:hanging="425"/>
        <w:rPr>
          <w:rFonts w:ascii="Times New Roman" w:hAnsi="Times New Roman"/>
          <w:sz w:val="24"/>
          <w:szCs w:val="24"/>
          <w:lang w:val="da-DK"/>
        </w:rPr>
      </w:pPr>
      <w:proofErr w:type="spellStart"/>
      <w:r w:rsidRPr="00096AFC">
        <w:rPr>
          <w:rFonts w:ascii="Times New Roman" w:hAnsi="Times New Roman"/>
          <w:sz w:val="24"/>
          <w:szCs w:val="24"/>
          <w:lang w:val="da-DK"/>
        </w:rPr>
        <w:t>kardiovaskulær</w:t>
      </w:r>
      <w:proofErr w:type="spellEnd"/>
      <w:r w:rsidRPr="00096AFC">
        <w:rPr>
          <w:rFonts w:ascii="Times New Roman" w:hAnsi="Times New Roman"/>
          <w:sz w:val="24"/>
          <w:szCs w:val="24"/>
          <w:lang w:val="da-DK"/>
        </w:rPr>
        <w:t xml:space="preserve"> toksicitet (præmatur </w:t>
      </w:r>
      <w:r>
        <w:rPr>
          <w:rFonts w:ascii="Times New Roman" w:hAnsi="Times New Roman"/>
          <w:sz w:val="24"/>
          <w:szCs w:val="24"/>
          <w:lang w:val="da-DK"/>
        </w:rPr>
        <w:t>konstriktion/</w:t>
      </w:r>
      <w:r w:rsidRPr="00096AFC">
        <w:rPr>
          <w:rFonts w:ascii="Times New Roman" w:hAnsi="Times New Roman"/>
          <w:sz w:val="24"/>
          <w:szCs w:val="24"/>
          <w:lang w:val="da-DK"/>
        </w:rPr>
        <w:t xml:space="preserve">lukning af </w:t>
      </w:r>
      <w:proofErr w:type="spellStart"/>
      <w:r w:rsidRPr="00096AFC">
        <w:rPr>
          <w:rFonts w:ascii="Times New Roman" w:hAnsi="Times New Roman"/>
          <w:sz w:val="24"/>
          <w:szCs w:val="24"/>
          <w:lang w:val="da-DK"/>
        </w:rPr>
        <w:t>ductus</w:t>
      </w:r>
      <w:proofErr w:type="spellEnd"/>
      <w:r w:rsidRPr="00096AFC">
        <w:rPr>
          <w:rFonts w:ascii="Times New Roman" w:hAnsi="Times New Roman"/>
          <w:sz w:val="24"/>
          <w:szCs w:val="24"/>
          <w:lang w:val="da-DK"/>
        </w:rPr>
        <w:t xml:space="preserve"> </w:t>
      </w:r>
      <w:proofErr w:type="spellStart"/>
      <w:r w:rsidRPr="00096AFC">
        <w:rPr>
          <w:rFonts w:ascii="Times New Roman" w:hAnsi="Times New Roman"/>
          <w:sz w:val="24"/>
          <w:szCs w:val="24"/>
          <w:lang w:val="da-DK"/>
        </w:rPr>
        <w:t>arteriosus</w:t>
      </w:r>
      <w:proofErr w:type="spellEnd"/>
      <w:r w:rsidRPr="00096AFC">
        <w:rPr>
          <w:rFonts w:ascii="Times New Roman" w:hAnsi="Times New Roman"/>
          <w:sz w:val="24"/>
          <w:szCs w:val="24"/>
          <w:lang w:val="da-DK"/>
        </w:rPr>
        <w:t xml:space="preserve"> og </w:t>
      </w:r>
      <w:proofErr w:type="spellStart"/>
      <w:r w:rsidRPr="00096AFC">
        <w:rPr>
          <w:rFonts w:ascii="Times New Roman" w:hAnsi="Times New Roman"/>
          <w:sz w:val="24"/>
          <w:szCs w:val="24"/>
          <w:lang w:val="da-DK"/>
        </w:rPr>
        <w:t>pulmonal</w:t>
      </w:r>
      <w:proofErr w:type="spellEnd"/>
      <w:r w:rsidRPr="00096AFC">
        <w:rPr>
          <w:rFonts w:ascii="Times New Roman" w:hAnsi="Times New Roman"/>
          <w:sz w:val="24"/>
          <w:szCs w:val="24"/>
          <w:lang w:val="da-DK"/>
        </w:rPr>
        <w:t xml:space="preserve"> hypertension);</w:t>
      </w:r>
    </w:p>
    <w:p w14:paraId="4A6ECBCE" w14:textId="21A5834A" w:rsidR="00540B5A" w:rsidRDefault="00540B5A" w:rsidP="00540B5A">
      <w:pPr>
        <w:pStyle w:val="Listeafsnit"/>
        <w:numPr>
          <w:ilvl w:val="0"/>
          <w:numId w:val="5"/>
        </w:numPr>
        <w:spacing w:after="0" w:line="240" w:lineRule="auto"/>
        <w:ind w:left="1276" w:hanging="425"/>
        <w:rPr>
          <w:rFonts w:ascii="Times New Roman" w:hAnsi="Times New Roman"/>
          <w:sz w:val="24"/>
          <w:szCs w:val="24"/>
          <w:lang w:val="da-DK"/>
        </w:rPr>
      </w:pPr>
      <w:r w:rsidRPr="00096AFC">
        <w:rPr>
          <w:rFonts w:ascii="Times New Roman" w:hAnsi="Times New Roman"/>
          <w:sz w:val="24"/>
          <w:szCs w:val="24"/>
          <w:lang w:val="da-DK"/>
        </w:rPr>
        <w:t>nyredysfunktion</w:t>
      </w:r>
      <w:r w:rsidRPr="00B33006">
        <w:rPr>
          <w:rFonts w:ascii="Times New Roman" w:hAnsi="Times New Roman"/>
          <w:sz w:val="24"/>
          <w:szCs w:val="24"/>
          <w:lang w:val="da-DK"/>
        </w:rPr>
        <w:t xml:space="preserve"> </w:t>
      </w:r>
      <w:r>
        <w:rPr>
          <w:rFonts w:ascii="Times New Roman" w:hAnsi="Times New Roman"/>
          <w:sz w:val="24"/>
          <w:szCs w:val="24"/>
          <w:lang w:val="da-DK"/>
        </w:rPr>
        <w:t>(se ovenfor)</w:t>
      </w:r>
      <w:r w:rsidRPr="00096AFC">
        <w:rPr>
          <w:rFonts w:ascii="Times New Roman" w:hAnsi="Times New Roman"/>
          <w:sz w:val="24"/>
          <w:szCs w:val="24"/>
          <w:lang w:val="da-DK"/>
        </w:rPr>
        <w:t xml:space="preserve">; </w:t>
      </w:r>
    </w:p>
    <w:p w14:paraId="178D89F6" w14:textId="77777777" w:rsidR="00540B5A" w:rsidRDefault="00540B5A" w:rsidP="00540B5A">
      <w:pPr>
        <w:ind w:left="851"/>
        <w:rPr>
          <w:sz w:val="24"/>
          <w:szCs w:val="24"/>
        </w:rPr>
      </w:pPr>
    </w:p>
    <w:p w14:paraId="2BF259F7" w14:textId="77777777" w:rsidR="00540B5A" w:rsidRPr="00B6637D" w:rsidRDefault="00540B5A" w:rsidP="00540B5A">
      <w:pPr>
        <w:ind w:left="851"/>
        <w:rPr>
          <w:sz w:val="24"/>
          <w:szCs w:val="24"/>
        </w:rPr>
      </w:pPr>
      <w:r w:rsidRPr="00B6637D">
        <w:rPr>
          <w:sz w:val="24"/>
          <w:szCs w:val="24"/>
        </w:rPr>
        <w:t xml:space="preserve">moderen og den nyfødte efter endt graviditet for: </w:t>
      </w:r>
    </w:p>
    <w:p w14:paraId="0B722A08" w14:textId="77777777" w:rsidR="00540B5A" w:rsidRPr="00096AFC" w:rsidRDefault="00540B5A" w:rsidP="00540B5A">
      <w:pPr>
        <w:pStyle w:val="Listeafsnit"/>
        <w:numPr>
          <w:ilvl w:val="0"/>
          <w:numId w:val="6"/>
        </w:numPr>
        <w:spacing w:after="0" w:line="240" w:lineRule="auto"/>
        <w:ind w:left="1276" w:hanging="425"/>
        <w:rPr>
          <w:rFonts w:ascii="Times New Roman" w:hAnsi="Times New Roman"/>
          <w:sz w:val="24"/>
          <w:szCs w:val="24"/>
          <w:lang w:val="da-DK"/>
        </w:rPr>
      </w:pPr>
      <w:r w:rsidRPr="00096AFC">
        <w:rPr>
          <w:rFonts w:ascii="Times New Roman" w:hAnsi="Times New Roman"/>
          <w:sz w:val="24"/>
          <w:szCs w:val="24"/>
          <w:lang w:val="da-DK"/>
        </w:rPr>
        <w:t>mulig forlængelse af blødningstiden, en antiaggregerende virkning, som kan forekomme selv ved lave doser.</w:t>
      </w:r>
    </w:p>
    <w:p w14:paraId="35C32B74" w14:textId="77777777" w:rsidR="00540B5A" w:rsidRPr="00096AFC" w:rsidRDefault="00540B5A" w:rsidP="00540B5A">
      <w:pPr>
        <w:pStyle w:val="Listeafsnit"/>
        <w:numPr>
          <w:ilvl w:val="0"/>
          <w:numId w:val="6"/>
        </w:numPr>
        <w:spacing w:after="0" w:line="240" w:lineRule="auto"/>
        <w:ind w:left="1276" w:hanging="425"/>
        <w:rPr>
          <w:rFonts w:ascii="Times New Roman" w:hAnsi="Times New Roman"/>
          <w:sz w:val="24"/>
          <w:szCs w:val="24"/>
          <w:lang w:val="da-DK"/>
        </w:rPr>
      </w:pPr>
      <w:r w:rsidRPr="00096AFC">
        <w:rPr>
          <w:rFonts w:ascii="Times New Roman" w:hAnsi="Times New Roman"/>
          <w:sz w:val="24"/>
          <w:szCs w:val="24"/>
          <w:lang w:val="da-DK"/>
        </w:rPr>
        <w:t xml:space="preserve">hæmning af den </w:t>
      </w:r>
      <w:proofErr w:type="spellStart"/>
      <w:r w:rsidRPr="00096AFC">
        <w:rPr>
          <w:rFonts w:ascii="Times New Roman" w:hAnsi="Times New Roman"/>
          <w:sz w:val="24"/>
          <w:szCs w:val="24"/>
          <w:lang w:val="da-DK"/>
        </w:rPr>
        <w:t>uterine</w:t>
      </w:r>
      <w:proofErr w:type="spellEnd"/>
      <w:r w:rsidRPr="00096AFC">
        <w:rPr>
          <w:rFonts w:ascii="Times New Roman" w:hAnsi="Times New Roman"/>
          <w:sz w:val="24"/>
          <w:szCs w:val="24"/>
          <w:lang w:val="da-DK"/>
        </w:rPr>
        <w:t xml:space="preserve"> kontraktion og dermed forsinkede eller langvarige veer. </w:t>
      </w:r>
    </w:p>
    <w:p w14:paraId="1B66E3F9" w14:textId="77777777" w:rsidR="00540B5A" w:rsidRPr="00096AFC" w:rsidRDefault="00540B5A" w:rsidP="00540B5A">
      <w:pPr>
        <w:ind w:left="851" w:hanging="851"/>
        <w:rPr>
          <w:sz w:val="24"/>
          <w:szCs w:val="24"/>
        </w:rPr>
      </w:pPr>
    </w:p>
    <w:p w14:paraId="55449156" w14:textId="77777777" w:rsidR="00540B5A" w:rsidRPr="00096AFC" w:rsidRDefault="00540B5A" w:rsidP="00540B5A">
      <w:pPr>
        <w:ind w:left="851"/>
        <w:rPr>
          <w:sz w:val="24"/>
          <w:szCs w:val="24"/>
        </w:rPr>
      </w:pPr>
      <w:r w:rsidRPr="00096AFC">
        <w:rPr>
          <w:sz w:val="24"/>
          <w:szCs w:val="24"/>
        </w:rPr>
        <w:t>Som følge deraf er ibuprofen kontraindiceret under graviditetens tredje trimester</w:t>
      </w:r>
      <w:r w:rsidRPr="00B33006">
        <w:rPr>
          <w:sz w:val="24"/>
          <w:szCs w:val="24"/>
        </w:rPr>
        <w:t xml:space="preserve"> </w:t>
      </w:r>
      <w:r>
        <w:rPr>
          <w:sz w:val="24"/>
          <w:szCs w:val="24"/>
        </w:rPr>
        <w:t>(se sektion 4.3)</w:t>
      </w:r>
      <w:r w:rsidRPr="00096AFC">
        <w:rPr>
          <w:sz w:val="24"/>
          <w:szCs w:val="24"/>
        </w:rPr>
        <w:t>.</w:t>
      </w:r>
    </w:p>
    <w:p w14:paraId="42886DD4" w14:textId="77777777" w:rsidR="00A072C1" w:rsidRPr="00096AFC" w:rsidRDefault="00A072C1" w:rsidP="00540B5A">
      <w:pPr>
        <w:ind w:left="851"/>
        <w:rPr>
          <w:sz w:val="24"/>
          <w:szCs w:val="24"/>
        </w:rPr>
      </w:pPr>
    </w:p>
    <w:p w14:paraId="06EA32D7" w14:textId="77777777" w:rsidR="00A072C1" w:rsidRPr="00096AFC" w:rsidRDefault="00A072C1" w:rsidP="00A072C1">
      <w:pPr>
        <w:ind w:left="851"/>
        <w:rPr>
          <w:i/>
          <w:iCs/>
          <w:sz w:val="24"/>
          <w:szCs w:val="24"/>
        </w:rPr>
      </w:pPr>
      <w:r w:rsidRPr="00096AFC">
        <w:rPr>
          <w:i/>
          <w:iCs/>
          <w:sz w:val="24"/>
          <w:szCs w:val="24"/>
        </w:rPr>
        <w:t>For paracetamol</w:t>
      </w:r>
    </w:p>
    <w:p w14:paraId="61AD06E5" w14:textId="77777777" w:rsidR="001B530E" w:rsidRDefault="001B530E" w:rsidP="001B530E">
      <w:pPr>
        <w:ind w:left="851"/>
        <w:rPr>
          <w:sz w:val="24"/>
          <w:szCs w:val="24"/>
        </w:rPr>
      </w:pPr>
      <w:r>
        <w:rPr>
          <w:sz w:val="24"/>
          <w:szCs w:val="24"/>
        </w:rPr>
        <w:t xml:space="preserve">En stor mængde data for gravide kvinder peger hverken på risiko for misdannelser eller toksicitet hos fosteret/den nyfødte. Epidemiologiske studier af den neurologiske udvikling hos børn, der eksponeres for paracetamol i uterus, viser </w:t>
      </w:r>
      <w:proofErr w:type="spellStart"/>
      <w:r>
        <w:rPr>
          <w:sz w:val="24"/>
          <w:szCs w:val="24"/>
        </w:rPr>
        <w:t>inkonklusive</w:t>
      </w:r>
      <w:proofErr w:type="spellEnd"/>
      <w:r>
        <w:rPr>
          <w:sz w:val="24"/>
          <w:szCs w:val="24"/>
        </w:rPr>
        <w:t xml:space="preserve"> resultater. Paracetamol kan anvendes under graviditeten, hvis der er et klinisk indiceret, men bør tages i den laveste effektive dosis, i så kort tid som muligt og med lavest mulige hyppighed.</w:t>
      </w:r>
    </w:p>
    <w:p w14:paraId="45EE6026" w14:textId="77777777" w:rsidR="00A072C1" w:rsidRPr="00096AFC" w:rsidRDefault="00A072C1" w:rsidP="00A072C1">
      <w:pPr>
        <w:autoSpaceDE w:val="0"/>
        <w:autoSpaceDN w:val="0"/>
        <w:adjustRightInd w:val="0"/>
        <w:ind w:left="851" w:hanging="851"/>
        <w:rPr>
          <w:sz w:val="24"/>
          <w:szCs w:val="24"/>
        </w:rPr>
      </w:pPr>
    </w:p>
    <w:p w14:paraId="64EB6D4A" w14:textId="77777777" w:rsidR="00A072C1" w:rsidRPr="00096AFC" w:rsidRDefault="00A072C1" w:rsidP="00A072C1">
      <w:pPr>
        <w:autoSpaceDE w:val="0"/>
        <w:autoSpaceDN w:val="0"/>
        <w:adjustRightInd w:val="0"/>
        <w:ind w:left="851"/>
        <w:rPr>
          <w:sz w:val="24"/>
          <w:szCs w:val="24"/>
        </w:rPr>
      </w:pPr>
      <w:r w:rsidRPr="00096AFC">
        <w:rPr>
          <w:sz w:val="24"/>
          <w:szCs w:val="24"/>
          <w:u w:val="single"/>
        </w:rPr>
        <w:t>Amning</w:t>
      </w:r>
    </w:p>
    <w:p w14:paraId="36CCA7C5" w14:textId="77777777" w:rsidR="00A072C1" w:rsidRPr="00096AFC" w:rsidRDefault="00A072C1" w:rsidP="00A072C1">
      <w:pPr>
        <w:suppressAutoHyphens/>
        <w:ind w:left="851"/>
        <w:rPr>
          <w:sz w:val="24"/>
          <w:szCs w:val="24"/>
        </w:rPr>
      </w:pPr>
      <w:r w:rsidRPr="00096AFC">
        <w:rPr>
          <w:sz w:val="24"/>
          <w:szCs w:val="24"/>
        </w:rPr>
        <w:t>Paracetamol udskilles i modermælk, men ikke i klinisk betydende mængder, og de tilgængelige publicerede data kontraindicerer ikke amning.</w:t>
      </w:r>
    </w:p>
    <w:p w14:paraId="644CFC04" w14:textId="77777777" w:rsidR="00A072C1" w:rsidRPr="00096AFC" w:rsidRDefault="00A072C1" w:rsidP="00A072C1">
      <w:pPr>
        <w:suppressAutoHyphens/>
        <w:ind w:left="851"/>
        <w:rPr>
          <w:sz w:val="24"/>
          <w:szCs w:val="24"/>
        </w:rPr>
      </w:pPr>
      <w:r w:rsidRPr="00096AFC">
        <w:rPr>
          <w:sz w:val="24"/>
          <w:szCs w:val="24"/>
        </w:rPr>
        <w:t xml:space="preserve">Ibuprofen og dets metabolitter kan passere over i modermælk i meget små mængder. Der er ingen kendte skadevirkninger for barnet. </w:t>
      </w:r>
    </w:p>
    <w:p w14:paraId="786D2248" w14:textId="77777777" w:rsidR="007E1C88" w:rsidRPr="00096AFC" w:rsidRDefault="00A072C1" w:rsidP="00A072C1">
      <w:pPr>
        <w:suppressAutoHyphens/>
        <w:ind w:left="851"/>
        <w:rPr>
          <w:sz w:val="24"/>
          <w:szCs w:val="24"/>
        </w:rPr>
      </w:pPr>
      <w:r w:rsidRPr="00096AFC">
        <w:rPr>
          <w:sz w:val="24"/>
          <w:szCs w:val="24"/>
        </w:rPr>
        <w:t>Set i lyset af ovenstående evidens er det ikke nødvendigt at afbryde amningen for kortvarig behandling med den anbefalede dosis af dette produkt.</w:t>
      </w:r>
    </w:p>
    <w:p w14:paraId="0DC91587" w14:textId="77777777" w:rsidR="007E1C88" w:rsidRPr="00096AFC" w:rsidRDefault="007E1C88" w:rsidP="007E1C88">
      <w:pPr>
        <w:autoSpaceDE w:val="0"/>
        <w:autoSpaceDN w:val="0"/>
        <w:adjustRightInd w:val="0"/>
        <w:ind w:left="851" w:hanging="851"/>
        <w:rPr>
          <w:sz w:val="24"/>
          <w:szCs w:val="24"/>
        </w:rPr>
      </w:pPr>
    </w:p>
    <w:p w14:paraId="764B88C6" w14:textId="77777777" w:rsidR="007E1C88" w:rsidRPr="00096AFC" w:rsidRDefault="007E1C88" w:rsidP="007E1C88">
      <w:pPr>
        <w:ind w:left="851" w:hanging="851"/>
        <w:rPr>
          <w:b/>
          <w:sz w:val="24"/>
          <w:szCs w:val="24"/>
        </w:rPr>
      </w:pPr>
      <w:r w:rsidRPr="00096AFC">
        <w:rPr>
          <w:b/>
          <w:sz w:val="24"/>
          <w:szCs w:val="24"/>
        </w:rPr>
        <w:t>4.7</w:t>
      </w:r>
      <w:r w:rsidRPr="00096AFC">
        <w:rPr>
          <w:b/>
          <w:sz w:val="24"/>
          <w:szCs w:val="24"/>
        </w:rPr>
        <w:tab/>
        <w:t xml:space="preserve">Virkning på evnen til at føre motorkøretøj </w:t>
      </w:r>
      <w:r w:rsidR="002A714D">
        <w:rPr>
          <w:b/>
          <w:sz w:val="24"/>
          <w:szCs w:val="24"/>
        </w:rPr>
        <w:t>og</w:t>
      </w:r>
      <w:r w:rsidRPr="00096AFC">
        <w:rPr>
          <w:b/>
          <w:sz w:val="24"/>
          <w:szCs w:val="24"/>
        </w:rPr>
        <w:t xml:space="preserve"> betjene maskiner</w:t>
      </w:r>
    </w:p>
    <w:p w14:paraId="4ACAFEA1" w14:textId="77777777" w:rsidR="007E1C88" w:rsidRDefault="007E1C88" w:rsidP="007E1C88">
      <w:pPr>
        <w:suppressAutoHyphens/>
        <w:ind w:left="851" w:hanging="851"/>
        <w:rPr>
          <w:sz w:val="24"/>
          <w:szCs w:val="24"/>
        </w:rPr>
      </w:pPr>
      <w:r w:rsidRPr="00096AFC">
        <w:rPr>
          <w:sz w:val="24"/>
          <w:szCs w:val="24"/>
        </w:rPr>
        <w:tab/>
      </w:r>
      <w:r>
        <w:rPr>
          <w:sz w:val="24"/>
          <w:szCs w:val="24"/>
        </w:rPr>
        <w:t>Ikke mærkning.</w:t>
      </w:r>
    </w:p>
    <w:p w14:paraId="68973323" w14:textId="77777777" w:rsidR="007E1C88" w:rsidRPr="00096AFC" w:rsidRDefault="007E1C88" w:rsidP="007E1C88">
      <w:pPr>
        <w:suppressAutoHyphens/>
        <w:ind w:left="851"/>
        <w:rPr>
          <w:sz w:val="24"/>
          <w:szCs w:val="24"/>
        </w:rPr>
      </w:pPr>
      <w:r w:rsidRPr="00096AFC">
        <w:rPr>
          <w:sz w:val="24"/>
          <w:szCs w:val="24"/>
        </w:rPr>
        <w:t>Generelt har ibuprofen ingen negativ virkning på evnen til at føre motorkøretøj eller betjene maskiner. Men fordi det i høje doser kan give bivirkninger såsom svimmelhed (indberettet som almindelig) og synsforstyrrelser (indberettet som ikke almindelig), kan evnen til at føre motorkøretøj og betjene maskiner være forringet hos nogle patienter.</w:t>
      </w:r>
    </w:p>
    <w:p w14:paraId="0B91BEF4" w14:textId="77777777" w:rsidR="007E1C88" w:rsidRPr="00096AFC" w:rsidRDefault="007E1C88" w:rsidP="007E1C88">
      <w:pPr>
        <w:ind w:left="851" w:hanging="851"/>
        <w:rPr>
          <w:sz w:val="24"/>
          <w:szCs w:val="24"/>
        </w:rPr>
      </w:pPr>
    </w:p>
    <w:p w14:paraId="71574611" w14:textId="77777777" w:rsidR="007E1C88" w:rsidRPr="00096AFC" w:rsidRDefault="007E1C88" w:rsidP="007E1C88">
      <w:pPr>
        <w:ind w:left="851" w:hanging="851"/>
        <w:rPr>
          <w:b/>
          <w:sz w:val="24"/>
          <w:szCs w:val="24"/>
        </w:rPr>
      </w:pPr>
      <w:r w:rsidRPr="00096AFC">
        <w:rPr>
          <w:b/>
          <w:sz w:val="24"/>
          <w:szCs w:val="24"/>
        </w:rPr>
        <w:t>4.8</w:t>
      </w:r>
      <w:r w:rsidRPr="00096AFC">
        <w:rPr>
          <w:b/>
          <w:sz w:val="24"/>
          <w:szCs w:val="24"/>
        </w:rPr>
        <w:tab/>
        <w:t>Bivirkninger</w:t>
      </w:r>
    </w:p>
    <w:p w14:paraId="3C27F98E" w14:textId="77777777" w:rsidR="007E1C88" w:rsidRDefault="007E1C88" w:rsidP="007E1C88">
      <w:pPr>
        <w:autoSpaceDE w:val="0"/>
        <w:autoSpaceDN w:val="0"/>
        <w:adjustRightInd w:val="0"/>
        <w:ind w:left="851" w:hanging="851"/>
        <w:rPr>
          <w:sz w:val="24"/>
          <w:szCs w:val="24"/>
        </w:rPr>
      </w:pPr>
      <w:r w:rsidRPr="00096AFC">
        <w:rPr>
          <w:sz w:val="24"/>
          <w:szCs w:val="24"/>
        </w:rPr>
        <w:tab/>
      </w:r>
      <w:r>
        <w:rPr>
          <w:sz w:val="24"/>
          <w:szCs w:val="24"/>
        </w:rPr>
        <w:t xml:space="preserve">Kliniske forsøg med </w:t>
      </w:r>
      <w:proofErr w:type="spellStart"/>
      <w:r>
        <w:rPr>
          <w:sz w:val="24"/>
          <w:szCs w:val="24"/>
        </w:rPr>
        <w:t>Doleron</w:t>
      </w:r>
      <w:proofErr w:type="spellEnd"/>
      <w:r>
        <w:rPr>
          <w:sz w:val="24"/>
          <w:szCs w:val="24"/>
        </w:rPr>
        <w:t xml:space="preserve"> har ikke indikeret nogen andre uønskede virkninger end dem for paracetamol alene og ibuprofen alene.</w:t>
      </w:r>
    </w:p>
    <w:p w14:paraId="649D8E55" w14:textId="77777777" w:rsidR="007E1C88" w:rsidRDefault="007E1C88" w:rsidP="007E1C88">
      <w:pPr>
        <w:autoSpaceDE w:val="0"/>
        <w:autoSpaceDN w:val="0"/>
        <w:adjustRightInd w:val="0"/>
        <w:ind w:left="851" w:hanging="851"/>
        <w:rPr>
          <w:sz w:val="24"/>
          <w:szCs w:val="24"/>
        </w:rPr>
      </w:pPr>
    </w:p>
    <w:p w14:paraId="0B6A333D" w14:textId="77777777" w:rsidR="007E1C88" w:rsidRDefault="007E1C88" w:rsidP="007E1C88">
      <w:pPr>
        <w:autoSpaceDE w:val="0"/>
        <w:autoSpaceDN w:val="0"/>
        <w:adjustRightInd w:val="0"/>
        <w:ind w:left="851"/>
        <w:rPr>
          <w:sz w:val="24"/>
          <w:szCs w:val="24"/>
        </w:rPr>
      </w:pPr>
      <w:r>
        <w:rPr>
          <w:sz w:val="24"/>
          <w:szCs w:val="24"/>
          <w:lang w:eastAsia="da-DK"/>
        </w:rPr>
        <w:t xml:space="preserve">Bivirkningerne er angivet nedenfor med foretrukken </w:t>
      </w:r>
      <w:proofErr w:type="spellStart"/>
      <w:r>
        <w:rPr>
          <w:sz w:val="24"/>
          <w:szCs w:val="24"/>
          <w:lang w:eastAsia="da-DK"/>
        </w:rPr>
        <w:t>MedDRA</w:t>
      </w:r>
      <w:proofErr w:type="spellEnd"/>
      <w:r>
        <w:rPr>
          <w:sz w:val="24"/>
          <w:szCs w:val="24"/>
          <w:lang w:eastAsia="da-DK"/>
        </w:rPr>
        <w:t>-terminologi efter systemorganklasse og absolut frekvens.</w:t>
      </w:r>
    </w:p>
    <w:p w14:paraId="043C7545" w14:textId="77777777" w:rsidR="007E1C88" w:rsidRDefault="007E1C88" w:rsidP="007E1C88">
      <w:pPr>
        <w:autoSpaceDE w:val="0"/>
        <w:autoSpaceDN w:val="0"/>
        <w:adjustRightInd w:val="0"/>
        <w:ind w:left="851"/>
        <w:rPr>
          <w:sz w:val="24"/>
          <w:szCs w:val="24"/>
        </w:rPr>
      </w:pPr>
    </w:p>
    <w:p w14:paraId="1E6B7DD5" w14:textId="77777777" w:rsidR="007E1C88" w:rsidRDefault="007E1C88" w:rsidP="007E1C88">
      <w:pPr>
        <w:autoSpaceDE w:val="0"/>
        <w:autoSpaceDN w:val="0"/>
        <w:adjustRightInd w:val="0"/>
        <w:ind w:left="851"/>
        <w:rPr>
          <w:sz w:val="24"/>
          <w:szCs w:val="24"/>
        </w:rPr>
      </w:pPr>
      <w:r>
        <w:rPr>
          <w:sz w:val="24"/>
          <w:szCs w:val="24"/>
        </w:rPr>
        <w:t>Meget almindelig (≥ 1/10);</w:t>
      </w:r>
    </w:p>
    <w:p w14:paraId="1CC71CD6" w14:textId="77777777" w:rsidR="007E1C88" w:rsidRDefault="007E1C88" w:rsidP="007E1C88">
      <w:pPr>
        <w:autoSpaceDE w:val="0"/>
        <w:autoSpaceDN w:val="0"/>
        <w:adjustRightInd w:val="0"/>
        <w:ind w:left="851"/>
        <w:rPr>
          <w:sz w:val="24"/>
          <w:szCs w:val="24"/>
        </w:rPr>
      </w:pPr>
      <w:r>
        <w:rPr>
          <w:sz w:val="24"/>
          <w:szCs w:val="24"/>
        </w:rPr>
        <w:t>Almindelig (≥1/100 til &lt;1/10);</w:t>
      </w:r>
    </w:p>
    <w:p w14:paraId="1DAA0A06" w14:textId="77777777" w:rsidR="007E1C88" w:rsidRDefault="007E1C88" w:rsidP="007E1C88">
      <w:pPr>
        <w:autoSpaceDE w:val="0"/>
        <w:autoSpaceDN w:val="0"/>
        <w:adjustRightInd w:val="0"/>
        <w:ind w:left="851"/>
        <w:rPr>
          <w:sz w:val="24"/>
          <w:szCs w:val="24"/>
        </w:rPr>
      </w:pPr>
      <w:r>
        <w:rPr>
          <w:sz w:val="24"/>
          <w:szCs w:val="24"/>
        </w:rPr>
        <w:t>Ikke almindelig (≥1/1.000 til &lt;1/100);</w:t>
      </w:r>
    </w:p>
    <w:p w14:paraId="1F4F3836" w14:textId="77777777" w:rsidR="007E1C88" w:rsidRDefault="007E1C88" w:rsidP="007E1C88">
      <w:pPr>
        <w:autoSpaceDE w:val="0"/>
        <w:autoSpaceDN w:val="0"/>
        <w:adjustRightInd w:val="0"/>
        <w:ind w:left="851"/>
        <w:rPr>
          <w:sz w:val="24"/>
          <w:szCs w:val="24"/>
        </w:rPr>
      </w:pPr>
      <w:r>
        <w:rPr>
          <w:sz w:val="24"/>
          <w:szCs w:val="24"/>
        </w:rPr>
        <w:t>Sjælden (≥1/10.000 til &lt;1/1.000);</w:t>
      </w:r>
    </w:p>
    <w:p w14:paraId="3D2C33A7" w14:textId="77777777" w:rsidR="007E1C88" w:rsidRDefault="007E1C88" w:rsidP="007E1C88">
      <w:pPr>
        <w:autoSpaceDE w:val="0"/>
        <w:autoSpaceDN w:val="0"/>
        <w:adjustRightInd w:val="0"/>
        <w:ind w:left="851"/>
        <w:rPr>
          <w:sz w:val="24"/>
          <w:szCs w:val="24"/>
        </w:rPr>
      </w:pPr>
      <w:r>
        <w:rPr>
          <w:sz w:val="24"/>
          <w:szCs w:val="24"/>
        </w:rPr>
        <w:t>Meget sjælden (&lt;1/10.000);</w:t>
      </w:r>
    </w:p>
    <w:p w14:paraId="63C664CF" w14:textId="77777777" w:rsidR="007E1C88" w:rsidRDefault="007E1C88" w:rsidP="007E1C88">
      <w:pPr>
        <w:autoSpaceDE w:val="0"/>
        <w:autoSpaceDN w:val="0"/>
        <w:adjustRightInd w:val="0"/>
        <w:ind w:left="851"/>
        <w:rPr>
          <w:sz w:val="24"/>
          <w:szCs w:val="24"/>
        </w:rPr>
      </w:pPr>
      <w:r>
        <w:rPr>
          <w:sz w:val="24"/>
          <w:szCs w:val="24"/>
        </w:rPr>
        <w:t xml:space="preserve">Ikke kendt (kan ikke estimeres ud fra forhåndenværende data). </w:t>
      </w:r>
    </w:p>
    <w:p w14:paraId="4D163C8E" w14:textId="77777777" w:rsidR="007E1C88" w:rsidRDefault="007E1C88" w:rsidP="007E1C88">
      <w:pPr>
        <w:autoSpaceDE w:val="0"/>
        <w:autoSpaceDN w:val="0"/>
        <w:adjustRightInd w:val="0"/>
        <w:ind w:left="851" w:hanging="851"/>
        <w:rPr>
          <w:sz w:val="24"/>
          <w:szCs w:val="24"/>
        </w:rPr>
      </w:pPr>
    </w:p>
    <w:p w14:paraId="691DE7E1" w14:textId="77777777" w:rsidR="007E1C88" w:rsidRDefault="007E1C88" w:rsidP="007E1C88">
      <w:pPr>
        <w:autoSpaceDE w:val="0"/>
        <w:autoSpaceDN w:val="0"/>
        <w:adjustRightInd w:val="0"/>
        <w:ind w:left="851"/>
        <w:rPr>
          <w:sz w:val="24"/>
          <w:szCs w:val="24"/>
        </w:rPr>
      </w:pPr>
      <w:r>
        <w:rPr>
          <w:sz w:val="24"/>
          <w:szCs w:val="24"/>
        </w:rPr>
        <w:t>Der er indberettet meget sjældne tilfælde af alvorlige hudreaktioner.</w:t>
      </w:r>
    </w:p>
    <w:p w14:paraId="3B5589D7" w14:textId="77777777" w:rsidR="007E1C88" w:rsidRDefault="007E1C88" w:rsidP="007E1C88">
      <w:pPr>
        <w:autoSpaceDE w:val="0"/>
        <w:autoSpaceDN w:val="0"/>
        <w:adjustRightInd w:val="0"/>
        <w:ind w:left="851"/>
        <w:rPr>
          <w:sz w:val="24"/>
          <w:szCs w:val="24"/>
        </w:rPr>
      </w:pPr>
    </w:p>
    <w:p w14:paraId="5B95D48C" w14:textId="77777777" w:rsidR="007E1C88" w:rsidRDefault="007E1C88" w:rsidP="007E1C88">
      <w:pPr>
        <w:autoSpaceDE w:val="0"/>
        <w:autoSpaceDN w:val="0"/>
        <w:adjustRightInd w:val="0"/>
        <w:ind w:left="851"/>
        <w:rPr>
          <w:sz w:val="24"/>
          <w:szCs w:val="24"/>
        </w:rPr>
      </w:pPr>
      <w:r>
        <w:rPr>
          <w:sz w:val="24"/>
          <w:szCs w:val="24"/>
        </w:rPr>
        <w:t>Kliniske undersøgelser tyder på, at brug af ibuprofen, særligt ved især høje doser (2400 mg dagligt), kan være forbundet med en lille forøget risiko for arterielle tromboser (f.eks. myokardieinfarkt eller slagtilfælde) (se pkt. 4.4).</w:t>
      </w:r>
    </w:p>
    <w:p w14:paraId="1E07D7BA" w14:textId="77777777" w:rsidR="007E1C88" w:rsidRDefault="007E1C88" w:rsidP="007E1C88">
      <w:pPr>
        <w:autoSpaceDE w:val="0"/>
        <w:autoSpaceDN w:val="0"/>
        <w:adjustRightInd w:val="0"/>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6899"/>
      </w:tblGrid>
      <w:tr w:rsidR="007E1C88" w14:paraId="2EA14E0A" w14:textId="77777777" w:rsidTr="00540B5A">
        <w:tc>
          <w:tcPr>
            <w:tcW w:w="1417" w:type="pct"/>
            <w:tcBorders>
              <w:top w:val="single" w:sz="4" w:space="0" w:color="auto"/>
              <w:left w:val="single" w:sz="4" w:space="0" w:color="auto"/>
              <w:bottom w:val="single" w:sz="4" w:space="0" w:color="auto"/>
              <w:right w:val="single" w:sz="4" w:space="0" w:color="auto"/>
            </w:tcBorders>
            <w:hideMark/>
          </w:tcPr>
          <w:p w14:paraId="2DEBBE62" w14:textId="77777777" w:rsidR="007E1C88" w:rsidRDefault="007E1C88" w:rsidP="00540B5A">
            <w:pPr>
              <w:rPr>
                <w:b/>
                <w:sz w:val="24"/>
                <w:szCs w:val="24"/>
              </w:rPr>
            </w:pPr>
            <w:r>
              <w:rPr>
                <w:b/>
                <w:sz w:val="24"/>
                <w:szCs w:val="24"/>
              </w:rPr>
              <w:t>Blod og lymfesystem</w:t>
            </w:r>
          </w:p>
        </w:tc>
        <w:tc>
          <w:tcPr>
            <w:tcW w:w="3583" w:type="pct"/>
            <w:tcBorders>
              <w:top w:val="single" w:sz="4" w:space="0" w:color="auto"/>
              <w:left w:val="single" w:sz="4" w:space="0" w:color="auto"/>
              <w:bottom w:val="single" w:sz="4" w:space="0" w:color="auto"/>
              <w:right w:val="single" w:sz="4" w:space="0" w:color="auto"/>
            </w:tcBorders>
          </w:tcPr>
          <w:p w14:paraId="47F377D7" w14:textId="77777777" w:rsidR="007E1C88" w:rsidRDefault="007E1C88" w:rsidP="00540B5A">
            <w:pPr>
              <w:rPr>
                <w:sz w:val="24"/>
                <w:szCs w:val="24"/>
              </w:rPr>
            </w:pPr>
            <w:r>
              <w:rPr>
                <w:b/>
                <w:sz w:val="24"/>
                <w:szCs w:val="24"/>
              </w:rPr>
              <w:t>Ikke almindelig</w:t>
            </w:r>
            <w:r>
              <w:rPr>
                <w:sz w:val="24"/>
                <w:szCs w:val="24"/>
              </w:rPr>
              <w:t xml:space="preserve">: </w:t>
            </w:r>
            <w:proofErr w:type="spellStart"/>
            <w:r>
              <w:rPr>
                <w:sz w:val="24"/>
                <w:szCs w:val="24"/>
              </w:rPr>
              <w:t>Neutropeni</w:t>
            </w:r>
            <w:proofErr w:type="spellEnd"/>
            <w:r>
              <w:rPr>
                <w:sz w:val="24"/>
                <w:szCs w:val="24"/>
              </w:rPr>
              <w:t xml:space="preserve">, </w:t>
            </w:r>
            <w:proofErr w:type="spellStart"/>
            <w:r>
              <w:rPr>
                <w:sz w:val="24"/>
                <w:szCs w:val="24"/>
              </w:rPr>
              <w:t>agranulocytose</w:t>
            </w:r>
            <w:proofErr w:type="spellEnd"/>
            <w:r>
              <w:rPr>
                <w:sz w:val="24"/>
                <w:szCs w:val="24"/>
              </w:rPr>
              <w:t xml:space="preserve">, </w:t>
            </w:r>
            <w:proofErr w:type="spellStart"/>
            <w:r>
              <w:rPr>
                <w:sz w:val="24"/>
                <w:szCs w:val="24"/>
              </w:rPr>
              <w:t>aplastisk</w:t>
            </w:r>
            <w:proofErr w:type="spellEnd"/>
            <w:r>
              <w:rPr>
                <w:sz w:val="24"/>
                <w:szCs w:val="24"/>
              </w:rPr>
              <w:t xml:space="preserve"> anæmi, </w:t>
            </w:r>
            <w:proofErr w:type="spellStart"/>
            <w:r>
              <w:rPr>
                <w:sz w:val="24"/>
                <w:szCs w:val="24"/>
              </w:rPr>
              <w:t>hæmolytisk</w:t>
            </w:r>
            <w:proofErr w:type="spellEnd"/>
            <w:r>
              <w:rPr>
                <w:sz w:val="24"/>
                <w:szCs w:val="24"/>
              </w:rPr>
              <w:t xml:space="preserve"> anæmi (sommetider </w:t>
            </w:r>
            <w:proofErr w:type="spellStart"/>
            <w:r>
              <w:rPr>
                <w:sz w:val="24"/>
                <w:szCs w:val="24"/>
              </w:rPr>
              <w:t>Coombs</w:t>
            </w:r>
            <w:proofErr w:type="spellEnd"/>
            <w:r>
              <w:rPr>
                <w:sz w:val="24"/>
                <w:szCs w:val="24"/>
              </w:rPr>
              <w:t xml:space="preserve">-positiv), </w:t>
            </w:r>
            <w:proofErr w:type="spellStart"/>
            <w:r>
              <w:rPr>
                <w:sz w:val="24"/>
                <w:szCs w:val="24"/>
              </w:rPr>
              <w:t>trombocytopeni</w:t>
            </w:r>
            <w:proofErr w:type="spellEnd"/>
            <w:r>
              <w:rPr>
                <w:sz w:val="24"/>
                <w:szCs w:val="24"/>
              </w:rPr>
              <w:t xml:space="preserve"> med eller uden </w:t>
            </w:r>
            <w:proofErr w:type="spellStart"/>
            <w:r>
              <w:rPr>
                <w:sz w:val="24"/>
                <w:szCs w:val="24"/>
              </w:rPr>
              <w:t>purpura</w:t>
            </w:r>
            <w:proofErr w:type="spellEnd"/>
            <w:r>
              <w:rPr>
                <w:sz w:val="24"/>
                <w:szCs w:val="24"/>
              </w:rPr>
              <w:t xml:space="preserve">, </w:t>
            </w:r>
            <w:proofErr w:type="spellStart"/>
            <w:r>
              <w:rPr>
                <w:sz w:val="24"/>
                <w:szCs w:val="24"/>
              </w:rPr>
              <w:t>leukopeni</w:t>
            </w:r>
            <w:proofErr w:type="spellEnd"/>
            <w:r>
              <w:rPr>
                <w:sz w:val="24"/>
                <w:szCs w:val="24"/>
              </w:rPr>
              <w:t xml:space="preserve">, </w:t>
            </w:r>
            <w:proofErr w:type="spellStart"/>
            <w:r>
              <w:rPr>
                <w:sz w:val="24"/>
                <w:szCs w:val="24"/>
              </w:rPr>
              <w:t>pancytopeni</w:t>
            </w:r>
            <w:proofErr w:type="spellEnd"/>
            <w:r>
              <w:rPr>
                <w:sz w:val="24"/>
                <w:szCs w:val="24"/>
              </w:rPr>
              <w:t xml:space="preserve">, </w:t>
            </w:r>
            <w:proofErr w:type="spellStart"/>
            <w:r>
              <w:rPr>
                <w:sz w:val="24"/>
                <w:szCs w:val="24"/>
              </w:rPr>
              <w:t>eosinofili</w:t>
            </w:r>
            <w:proofErr w:type="spellEnd"/>
            <w:r>
              <w:rPr>
                <w:sz w:val="24"/>
                <w:szCs w:val="24"/>
              </w:rPr>
              <w:t xml:space="preserve"> og fald i hæmoglobin og hæmatokrit, </w:t>
            </w:r>
            <w:proofErr w:type="spellStart"/>
            <w:r>
              <w:rPr>
                <w:sz w:val="24"/>
                <w:szCs w:val="24"/>
              </w:rPr>
              <w:t>epistaxis</w:t>
            </w:r>
            <w:proofErr w:type="spellEnd"/>
            <w:r>
              <w:rPr>
                <w:sz w:val="24"/>
                <w:szCs w:val="24"/>
              </w:rPr>
              <w:t xml:space="preserve">, </w:t>
            </w:r>
            <w:proofErr w:type="spellStart"/>
            <w:r>
              <w:rPr>
                <w:sz w:val="24"/>
                <w:szCs w:val="24"/>
              </w:rPr>
              <w:t>menorrhagia</w:t>
            </w:r>
            <w:proofErr w:type="spellEnd"/>
            <w:r>
              <w:rPr>
                <w:sz w:val="24"/>
                <w:szCs w:val="24"/>
              </w:rPr>
              <w:t>.</w:t>
            </w:r>
          </w:p>
          <w:p w14:paraId="62493C75" w14:textId="77777777" w:rsidR="007E1C88" w:rsidRDefault="007E1C88" w:rsidP="00540B5A">
            <w:pPr>
              <w:rPr>
                <w:sz w:val="24"/>
                <w:szCs w:val="24"/>
              </w:rPr>
            </w:pPr>
          </w:p>
        </w:tc>
      </w:tr>
      <w:tr w:rsidR="007E1C88" w14:paraId="3082D9F0" w14:textId="77777777" w:rsidTr="00540B5A">
        <w:tc>
          <w:tcPr>
            <w:tcW w:w="1417" w:type="pct"/>
            <w:tcBorders>
              <w:top w:val="single" w:sz="4" w:space="0" w:color="auto"/>
              <w:left w:val="single" w:sz="4" w:space="0" w:color="auto"/>
              <w:bottom w:val="single" w:sz="4" w:space="0" w:color="auto"/>
              <w:right w:val="single" w:sz="4" w:space="0" w:color="auto"/>
            </w:tcBorders>
            <w:hideMark/>
          </w:tcPr>
          <w:p w14:paraId="7D3BA0EF" w14:textId="77777777" w:rsidR="007E1C88" w:rsidRDefault="007E1C88" w:rsidP="00540B5A">
            <w:pPr>
              <w:rPr>
                <w:b/>
                <w:sz w:val="24"/>
                <w:szCs w:val="24"/>
              </w:rPr>
            </w:pPr>
            <w:r>
              <w:rPr>
                <w:b/>
                <w:sz w:val="24"/>
                <w:szCs w:val="24"/>
              </w:rPr>
              <w:t>Immunsystemet</w:t>
            </w:r>
          </w:p>
        </w:tc>
        <w:tc>
          <w:tcPr>
            <w:tcW w:w="3583" w:type="pct"/>
            <w:tcBorders>
              <w:top w:val="single" w:sz="4" w:space="0" w:color="auto"/>
              <w:left w:val="single" w:sz="4" w:space="0" w:color="auto"/>
              <w:bottom w:val="single" w:sz="4" w:space="0" w:color="auto"/>
              <w:right w:val="single" w:sz="4" w:space="0" w:color="auto"/>
            </w:tcBorders>
          </w:tcPr>
          <w:p w14:paraId="7399DFB7" w14:textId="77777777" w:rsidR="007E1C88" w:rsidRDefault="007E1C88" w:rsidP="00540B5A">
            <w:pPr>
              <w:rPr>
                <w:sz w:val="24"/>
                <w:szCs w:val="24"/>
              </w:rPr>
            </w:pPr>
            <w:r>
              <w:rPr>
                <w:b/>
                <w:sz w:val="24"/>
                <w:szCs w:val="24"/>
              </w:rPr>
              <w:t>Ikke almindelig</w:t>
            </w:r>
            <w:r>
              <w:rPr>
                <w:sz w:val="24"/>
                <w:szCs w:val="24"/>
              </w:rPr>
              <w:t xml:space="preserve">: Allergiske reaktioner: Syndrom med </w:t>
            </w:r>
            <w:proofErr w:type="spellStart"/>
            <w:r>
              <w:rPr>
                <w:sz w:val="24"/>
                <w:szCs w:val="24"/>
              </w:rPr>
              <w:t>abdominalsmerte</w:t>
            </w:r>
            <w:proofErr w:type="spellEnd"/>
            <w:r>
              <w:rPr>
                <w:sz w:val="24"/>
                <w:szCs w:val="24"/>
              </w:rPr>
              <w:t xml:space="preserve">, feber, kulderystelser, kvalme og opkastning, anafylaksi, </w:t>
            </w:r>
            <w:proofErr w:type="spellStart"/>
            <w:r>
              <w:rPr>
                <w:sz w:val="24"/>
                <w:szCs w:val="24"/>
              </w:rPr>
              <w:t>bronkospasme</w:t>
            </w:r>
            <w:proofErr w:type="spellEnd"/>
            <w:r>
              <w:rPr>
                <w:sz w:val="24"/>
                <w:szCs w:val="24"/>
              </w:rPr>
              <w:t xml:space="preserve">. Serumsyge, lupus </w:t>
            </w:r>
            <w:proofErr w:type="spellStart"/>
            <w:r>
              <w:rPr>
                <w:sz w:val="24"/>
                <w:szCs w:val="24"/>
              </w:rPr>
              <w:t>erythematosus</w:t>
            </w:r>
            <w:proofErr w:type="spellEnd"/>
            <w:r>
              <w:rPr>
                <w:sz w:val="24"/>
                <w:szCs w:val="24"/>
              </w:rPr>
              <w:t xml:space="preserve">-syndrom, </w:t>
            </w:r>
            <w:proofErr w:type="spellStart"/>
            <w:r>
              <w:rPr>
                <w:sz w:val="24"/>
                <w:szCs w:val="24"/>
              </w:rPr>
              <w:t>Henoch-Schönlein-vaskulitis</w:t>
            </w:r>
            <w:proofErr w:type="spellEnd"/>
            <w:r>
              <w:rPr>
                <w:sz w:val="24"/>
                <w:szCs w:val="24"/>
              </w:rPr>
              <w:t xml:space="preserve">, </w:t>
            </w:r>
            <w:proofErr w:type="spellStart"/>
            <w:r>
              <w:rPr>
                <w:sz w:val="24"/>
                <w:szCs w:val="24"/>
              </w:rPr>
              <w:t>angioødem</w:t>
            </w:r>
            <w:proofErr w:type="spellEnd"/>
            <w:r>
              <w:rPr>
                <w:sz w:val="24"/>
                <w:szCs w:val="24"/>
              </w:rPr>
              <w:t>.</w:t>
            </w:r>
          </w:p>
          <w:p w14:paraId="71286916" w14:textId="77777777" w:rsidR="007E1C88" w:rsidRDefault="007E1C88" w:rsidP="00540B5A">
            <w:pPr>
              <w:rPr>
                <w:sz w:val="24"/>
                <w:szCs w:val="24"/>
              </w:rPr>
            </w:pPr>
          </w:p>
          <w:p w14:paraId="365469B4" w14:textId="77777777" w:rsidR="007E1C88" w:rsidRDefault="007E1C88" w:rsidP="00540B5A">
            <w:pPr>
              <w:rPr>
                <w:sz w:val="24"/>
                <w:szCs w:val="24"/>
              </w:rPr>
            </w:pPr>
            <w:r>
              <w:rPr>
                <w:b/>
                <w:sz w:val="24"/>
                <w:szCs w:val="24"/>
              </w:rPr>
              <w:t>Meget sjælden</w:t>
            </w:r>
            <w:r>
              <w:rPr>
                <w:sz w:val="24"/>
                <w:szCs w:val="24"/>
              </w:rPr>
              <w:t xml:space="preserve">: Overfølsomhedsreaktioner, hududslæt og krydssensitivitet med </w:t>
            </w:r>
            <w:proofErr w:type="spellStart"/>
            <w:r>
              <w:rPr>
                <w:sz w:val="24"/>
                <w:szCs w:val="24"/>
              </w:rPr>
              <w:t>sympatomimetika</w:t>
            </w:r>
            <w:proofErr w:type="spellEnd"/>
            <w:r>
              <w:rPr>
                <w:sz w:val="24"/>
                <w:szCs w:val="24"/>
              </w:rPr>
              <w:t>.</w:t>
            </w:r>
          </w:p>
          <w:p w14:paraId="5F67E9D8" w14:textId="77777777" w:rsidR="007E1C88" w:rsidRDefault="007E1C88" w:rsidP="00540B5A">
            <w:pPr>
              <w:rPr>
                <w:sz w:val="24"/>
                <w:szCs w:val="24"/>
              </w:rPr>
            </w:pPr>
          </w:p>
        </w:tc>
      </w:tr>
      <w:tr w:rsidR="007E1C88" w14:paraId="07D00E17" w14:textId="77777777" w:rsidTr="00540B5A">
        <w:tc>
          <w:tcPr>
            <w:tcW w:w="1417" w:type="pct"/>
            <w:tcBorders>
              <w:top w:val="single" w:sz="4" w:space="0" w:color="auto"/>
              <w:left w:val="single" w:sz="4" w:space="0" w:color="auto"/>
              <w:bottom w:val="single" w:sz="4" w:space="0" w:color="auto"/>
              <w:right w:val="single" w:sz="4" w:space="0" w:color="auto"/>
            </w:tcBorders>
            <w:hideMark/>
          </w:tcPr>
          <w:p w14:paraId="26EF9731" w14:textId="77777777" w:rsidR="007E1C88" w:rsidRDefault="007E1C88" w:rsidP="00540B5A">
            <w:pPr>
              <w:rPr>
                <w:b/>
                <w:sz w:val="24"/>
                <w:szCs w:val="24"/>
              </w:rPr>
            </w:pPr>
            <w:r>
              <w:rPr>
                <w:b/>
                <w:sz w:val="24"/>
                <w:szCs w:val="24"/>
              </w:rPr>
              <w:t>Metabolisme og ernæring</w:t>
            </w:r>
          </w:p>
        </w:tc>
        <w:tc>
          <w:tcPr>
            <w:tcW w:w="3583" w:type="pct"/>
            <w:tcBorders>
              <w:top w:val="single" w:sz="4" w:space="0" w:color="auto"/>
              <w:left w:val="single" w:sz="4" w:space="0" w:color="auto"/>
              <w:bottom w:val="single" w:sz="4" w:space="0" w:color="auto"/>
              <w:right w:val="single" w:sz="4" w:space="0" w:color="auto"/>
            </w:tcBorders>
          </w:tcPr>
          <w:p w14:paraId="508805D2" w14:textId="77777777" w:rsidR="007E1C88" w:rsidRDefault="007E1C88" w:rsidP="00540B5A">
            <w:pPr>
              <w:rPr>
                <w:sz w:val="24"/>
                <w:szCs w:val="24"/>
              </w:rPr>
            </w:pPr>
            <w:r>
              <w:rPr>
                <w:b/>
                <w:sz w:val="24"/>
                <w:szCs w:val="24"/>
              </w:rPr>
              <w:t>Meget sjælden</w:t>
            </w:r>
            <w:r>
              <w:rPr>
                <w:sz w:val="24"/>
                <w:szCs w:val="24"/>
              </w:rPr>
              <w:t xml:space="preserve">: Metabolisk </w:t>
            </w:r>
            <w:proofErr w:type="spellStart"/>
            <w:r>
              <w:rPr>
                <w:sz w:val="24"/>
                <w:szCs w:val="24"/>
              </w:rPr>
              <w:t>acidose</w:t>
            </w:r>
            <w:proofErr w:type="spellEnd"/>
            <w:r>
              <w:rPr>
                <w:sz w:val="24"/>
                <w:szCs w:val="24"/>
              </w:rPr>
              <w:t xml:space="preserve">, </w:t>
            </w:r>
            <w:proofErr w:type="spellStart"/>
            <w:r>
              <w:rPr>
                <w:sz w:val="24"/>
                <w:szCs w:val="24"/>
              </w:rPr>
              <w:t>hypokaliæmi</w:t>
            </w:r>
            <w:proofErr w:type="spellEnd"/>
            <w:r>
              <w:rPr>
                <w:sz w:val="24"/>
                <w:szCs w:val="24"/>
              </w:rPr>
              <w:t xml:space="preserve">. </w:t>
            </w:r>
          </w:p>
          <w:p w14:paraId="0D542D06" w14:textId="77777777" w:rsidR="007E1C88" w:rsidRDefault="007E1C88" w:rsidP="00540B5A">
            <w:pPr>
              <w:rPr>
                <w:sz w:val="24"/>
                <w:szCs w:val="24"/>
              </w:rPr>
            </w:pPr>
          </w:p>
          <w:p w14:paraId="714FE996" w14:textId="77777777" w:rsidR="007E1C88" w:rsidRDefault="007E1C88" w:rsidP="00540B5A">
            <w:pPr>
              <w:rPr>
                <w:sz w:val="24"/>
                <w:szCs w:val="24"/>
              </w:rPr>
            </w:pPr>
            <w:r>
              <w:rPr>
                <w:b/>
                <w:sz w:val="24"/>
                <w:szCs w:val="24"/>
              </w:rPr>
              <w:t>Ikke almindelig</w:t>
            </w:r>
            <w:r>
              <w:rPr>
                <w:sz w:val="24"/>
                <w:szCs w:val="24"/>
              </w:rPr>
              <w:t xml:space="preserve">: </w:t>
            </w:r>
            <w:proofErr w:type="spellStart"/>
            <w:r>
              <w:rPr>
                <w:sz w:val="24"/>
                <w:szCs w:val="24"/>
              </w:rPr>
              <w:t>Gynækomasti</w:t>
            </w:r>
            <w:proofErr w:type="spellEnd"/>
            <w:r>
              <w:rPr>
                <w:sz w:val="24"/>
                <w:szCs w:val="24"/>
              </w:rPr>
              <w:t xml:space="preserve">, </w:t>
            </w:r>
            <w:proofErr w:type="spellStart"/>
            <w:r>
              <w:rPr>
                <w:sz w:val="24"/>
                <w:szCs w:val="24"/>
              </w:rPr>
              <w:t>hypoglykæmisk</w:t>
            </w:r>
            <w:proofErr w:type="spellEnd"/>
            <w:r>
              <w:rPr>
                <w:sz w:val="24"/>
                <w:szCs w:val="24"/>
              </w:rPr>
              <w:t xml:space="preserve"> reaktion.</w:t>
            </w:r>
          </w:p>
          <w:p w14:paraId="21C1185B" w14:textId="77777777" w:rsidR="007E1C88" w:rsidRDefault="007E1C88" w:rsidP="00540B5A">
            <w:pPr>
              <w:rPr>
                <w:sz w:val="24"/>
                <w:szCs w:val="24"/>
              </w:rPr>
            </w:pPr>
          </w:p>
        </w:tc>
      </w:tr>
      <w:tr w:rsidR="007E1C88" w14:paraId="7CE43F55" w14:textId="77777777" w:rsidTr="00540B5A">
        <w:tc>
          <w:tcPr>
            <w:tcW w:w="1417" w:type="pct"/>
            <w:tcBorders>
              <w:top w:val="single" w:sz="4" w:space="0" w:color="auto"/>
              <w:left w:val="single" w:sz="4" w:space="0" w:color="auto"/>
              <w:bottom w:val="single" w:sz="4" w:space="0" w:color="auto"/>
              <w:right w:val="single" w:sz="4" w:space="0" w:color="auto"/>
            </w:tcBorders>
            <w:hideMark/>
          </w:tcPr>
          <w:p w14:paraId="53B93037" w14:textId="77777777" w:rsidR="007E1C88" w:rsidRDefault="007E1C88" w:rsidP="00540B5A">
            <w:pPr>
              <w:rPr>
                <w:b/>
                <w:sz w:val="24"/>
                <w:szCs w:val="24"/>
              </w:rPr>
            </w:pPr>
            <w:r>
              <w:rPr>
                <w:b/>
                <w:sz w:val="24"/>
                <w:szCs w:val="24"/>
              </w:rPr>
              <w:t>Psykiske forstyrrelser</w:t>
            </w:r>
          </w:p>
        </w:tc>
        <w:tc>
          <w:tcPr>
            <w:tcW w:w="3583" w:type="pct"/>
            <w:tcBorders>
              <w:top w:val="single" w:sz="4" w:space="0" w:color="auto"/>
              <w:left w:val="single" w:sz="4" w:space="0" w:color="auto"/>
              <w:bottom w:val="single" w:sz="4" w:space="0" w:color="auto"/>
              <w:right w:val="single" w:sz="4" w:space="0" w:color="auto"/>
            </w:tcBorders>
          </w:tcPr>
          <w:p w14:paraId="027BA01A" w14:textId="77777777" w:rsidR="007E1C88" w:rsidRDefault="007E1C88" w:rsidP="00540B5A">
            <w:pPr>
              <w:rPr>
                <w:sz w:val="24"/>
                <w:szCs w:val="24"/>
              </w:rPr>
            </w:pPr>
            <w:r>
              <w:rPr>
                <w:b/>
                <w:sz w:val="24"/>
                <w:szCs w:val="24"/>
              </w:rPr>
              <w:t>Meget sjælden</w:t>
            </w:r>
            <w:r>
              <w:rPr>
                <w:sz w:val="24"/>
                <w:szCs w:val="24"/>
              </w:rPr>
              <w:t>: Konfusion, depression, søvnforstyrrelser, irritabilitet, angst, rastløshed, pirrelighed.</w:t>
            </w:r>
          </w:p>
          <w:p w14:paraId="5BB9AB0F" w14:textId="77777777" w:rsidR="007E1C88" w:rsidRDefault="007E1C88" w:rsidP="00540B5A">
            <w:pPr>
              <w:rPr>
                <w:sz w:val="24"/>
                <w:szCs w:val="24"/>
              </w:rPr>
            </w:pPr>
          </w:p>
        </w:tc>
      </w:tr>
      <w:tr w:rsidR="007E1C88" w14:paraId="0BB68B33" w14:textId="77777777" w:rsidTr="00540B5A">
        <w:tc>
          <w:tcPr>
            <w:tcW w:w="1417" w:type="pct"/>
            <w:tcBorders>
              <w:top w:val="single" w:sz="4" w:space="0" w:color="auto"/>
              <w:left w:val="single" w:sz="4" w:space="0" w:color="auto"/>
              <w:bottom w:val="single" w:sz="4" w:space="0" w:color="auto"/>
              <w:right w:val="single" w:sz="4" w:space="0" w:color="auto"/>
            </w:tcBorders>
            <w:hideMark/>
          </w:tcPr>
          <w:p w14:paraId="5B5E8B66" w14:textId="77777777" w:rsidR="007E1C88" w:rsidRDefault="007E1C88" w:rsidP="00540B5A">
            <w:pPr>
              <w:rPr>
                <w:b/>
                <w:sz w:val="24"/>
                <w:szCs w:val="24"/>
              </w:rPr>
            </w:pPr>
            <w:r>
              <w:rPr>
                <w:b/>
                <w:sz w:val="24"/>
                <w:szCs w:val="24"/>
              </w:rPr>
              <w:t>Nervesystemet</w:t>
            </w:r>
          </w:p>
        </w:tc>
        <w:tc>
          <w:tcPr>
            <w:tcW w:w="3583" w:type="pct"/>
            <w:tcBorders>
              <w:top w:val="single" w:sz="4" w:space="0" w:color="auto"/>
              <w:left w:val="single" w:sz="4" w:space="0" w:color="auto"/>
              <w:bottom w:val="single" w:sz="4" w:space="0" w:color="auto"/>
              <w:right w:val="single" w:sz="4" w:space="0" w:color="auto"/>
            </w:tcBorders>
          </w:tcPr>
          <w:p w14:paraId="5516BB12" w14:textId="77777777" w:rsidR="007E1C88" w:rsidRDefault="007E1C88" w:rsidP="00540B5A">
            <w:pPr>
              <w:rPr>
                <w:sz w:val="24"/>
                <w:szCs w:val="24"/>
              </w:rPr>
            </w:pPr>
            <w:r>
              <w:rPr>
                <w:b/>
                <w:sz w:val="24"/>
                <w:szCs w:val="24"/>
              </w:rPr>
              <w:t>Almindelig</w:t>
            </w:r>
            <w:r>
              <w:rPr>
                <w:sz w:val="24"/>
                <w:szCs w:val="24"/>
              </w:rPr>
              <w:t>: Svimmelhed, hovedpine, nervøsitet, svimmelhed, træthed, uro, irritabilitet</w:t>
            </w:r>
          </w:p>
          <w:p w14:paraId="64137468" w14:textId="77777777" w:rsidR="007E1C88" w:rsidRDefault="007E1C88" w:rsidP="00540B5A">
            <w:pPr>
              <w:rPr>
                <w:sz w:val="24"/>
                <w:szCs w:val="24"/>
              </w:rPr>
            </w:pPr>
          </w:p>
          <w:p w14:paraId="5965B5F0" w14:textId="77777777" w:rsidR="007E1C88" w:rsidRDefault="007E1C88" w:rsidP="00540B5A">
            <w:pPr>
              <w:rPr>
                <w:sz w:val="24"/>
                <w:szCs w:val="24"/>
              </w:rPr>
            </w:pPr>
            <w:r>
              <w:rPr>
                <w:b/>
                <w:sz w:val="24"/>
                <w:szCs w:val="24"/>
              </w:rPr>
              <w:t>Ikke almindelig</w:t>
            </w:r>
            <w:r>
              <w:rPr>
                <w:sz w:val="24"/>
                <w:szCs w:val="24"/>
              </w:rPr>
              <w:t xml:space="preserve">: Depression, søvnløshed, konfusion, emotionel labilitet, </w:t>
            </w:r>
            <w:proofErr w:type="spellStart"/>
            <w:r>
              <w:rPr>
                <w:sz w:val="24"/>
                <w:szCs w:val="24"/>
              </w:rPr>
              <w:t>somnolens</w:t>
            </w:r>
            <w:proofErr w:type="spellEnd"/>
            <w:r>
              <w:rPr>
                <w:sz w:val="24"/>
                <w:szCs w:val="24"/>
              </w:rPr>
              <w:t xml:space="preserve">, </w:t>
            </w:r>
          </w:p>
          <w:p w14:paraId="2E019134" w14:textId="77777777" w:rsidR="007E1C88" w:rsidRDefault="007E1C88" w:rsidP="00540B5A">
            <w:pPr>
              <w:rPr>
                <w:sz w:val="24"/>
                <w:szCs w:val="24"/>
              </w:rPr>
            </w:pPr>
          </w:p>
          <w:p w14:paraId="0D2C49A4" w14:textId="77777777" w:rsidR="007E1C88" w:rsidRDefault="007E1C88" w:rsidP="00540B5A">
            <w:pPr>
              <w:rPr>
                <w:sz w:val="24"/>
                <w:szCs w:val="24"/>
              </w:rPr>
            </w:pPr>
            <w:r>
              <w:rPr>
                <w:b/>
                <w:sz w:val="24"/>
                <w:szCs w:val="24"/>
              </w:rPr>
              <w:t>Sjælden</w:t>
            </w:r>
            <w:r>
              <w:rPr>
                <w:sz w:val="24"/>
                <w:szCs w:val="24"/>
              </w:rPr>
              <w:t xml:space="preserve">: </w:t>
            </w:r>
            <w:proofErr w:type="spellStart"/>
            <w:r>
              <w:rPr>
                <w:sz w:val="24"/>
                <w:szCs w:val="24"/>
              </w:rPr>
              <w:t>Paræstesier</w:t>
            </w:r>
            <w:proofErr w:type="spellEnd"/>
            <w:r>
              <w:rPr>
                <w:sz w:val="24"/>
                <w:szCs w:val="24"/>
              </w:rPr>
              <w:t>, hallucinationer, unormale drømme</w:t>
            </w:r>
          </w:p>
          <w:p w14:paraId="7711D292" w14:textId="77777777" w:rsidR="007E1C88" w:rsidRDefault="007E1C88" w:rsidP="00540B5A">
            <w:pPr>
              <w:rPr>
                <w:sz w:val="24"/>
                <w:szCs w:val="24"/>
              </w:rPr>
            </w:pPr>
          </w:p>
          <w:p w14:paraId="01C81B83" w14:textId="77777777" w:rsidR="007E1C88" w:rsidRDefault="007E1C88" w:rsidP="00540B5A">
            <w:pPr>
              <w:rPr>
                <w:sz w:val="24"/>
                <w:szCs w:val="24"/>
              </w:rPr>
            </w:pPr>
            <w:r>
              <w:rPr>
                <w:b/>
                <w:sz w:val="24"/>
                <w:szCs w:val="24"/>
              </w:rPr>
              <w:t>Meget sjælden</w:t>
            </w:r>
            <w:r>
              <w:rPr>
                <w:sz w:val="24"/>
                <w:szCs w:val="24"/>
              </w:rPr>
              <w:t xml:space="preserve">: Paradoksal stimulation, optisk </w:t>
            </w:r>
            <w:proofErr w:type="spellStart"/>
            <w:r>
              <w:rPr>
                <w:sz w:val="24"/>
                <w:szCs w:val="24"/>
              </w:rPr>
              <w:t>neuritis</w:t>
            </w:r>
            <w:proofErr w:type="spellEnd"/>
            <w:r>
              <w:rPr>
                <w:sz w:val="24"/>
                <w:szCs w:val="24"/>
              </w:rPr>
              <w:t xml:space="preserve">, </w:t>
            </w:r>
            <w:proofErr w:type="spellStart"/>
            <w:r>
              <w:rPr>
                <w:sz w:val="24"/>
                <w:szCs w:val="24"/>
              </w:rPr>
              <w:t>psykomotorisk</w:t>
            </w:r>
            <w:proofErr w:type="spellEnd"/>
            <w:r>
              <w:rPr>
                <w:sz w:val="24"/>
                <w:szCs w:val="24"/>
              </w:rPr>
              <w:t xml:space="preserve"> forringelse, ekstrapyramidale virkninger, </w:t>
            </w:r>
            <w:proofErr w:type="spellStart"/>
            <w:r>
              <w:rPr>
                <w:sz w:val="24"/>
                <w:szCs w:val="24"/>
              </w:rPr>
              <w:t>tremor</w:t>
            </w:r>
            <w:proofErr w:type="spellEnd"/>
            <w:r>
              <w:rPr>
                <w:sz w:val="24"/>
                <w:szCs w:val="24"/>
              </w:rPr>
              <w:t xml:space="preserve"> og konvulsioner.</w:t>
            </w:r>
          </w:p>
          <w:p w14:paraId="74D4166D" w14:textId="77777777" w:rsidR="007E1C88" w:rsidRDefault="007E1C88" w:rsidP="00540B5A">
            <w:pPr>
              <w:rPr>
                <w:sz w:val="24"/>
                <w:szCs w:val="24"/>
              </w:rPr>
            </w:pPr>
          </w:p>
          <w:p w14:paraId="076D4964" w14:textId="77777777" w:rsidR="007E1C88" w:rsidRDefault="007E1C88" w:rsidP="00540B5A">
            <w:pPr>
              <w:rPr>
                <w:sz w:val="24"/>
                <w:szCs w:val="24"/>
              </w:rPr>
            </w:pPr>
            <w:r>
              <w:rPr>
                <w:sz w:val="24"/>
                <w:szCs w:val="24"/>
              </w:rPr>
              <w:t>Ikke kendt: Aseptisk meningitis.</w:t>
            </w:r>
          </w:p>
          <w:p w14:paraId="06A53A34" w14:textId="77777777" w:rsidR="007E1C88" w:rsidRDefault="007E1C88" w:rsidP="00540B5A">
            <w:pPr>
              <w:rPr>
                <w:sz w:val="24"/>
                <w:szCs w:val="24"/>
              </w:rPr>
            </w:pPr>
          </w:p>
        </w:tc>
      </w:tr>
      <w:tr w:rsidR="007E1C88" w14:paraId="65DBF0FA" w14:textId="77777777" w:rsidTr="00540B5A">
        <w:tc>
          <w:tcPr>
            <w:tcW w:w="1417" w:type="pct"/>
            <w:tcBorders>
              <w:top w:val="single" w:sz="4" w:space="0" w:color="auto"/>
              <w:left w:val="single" w:sz="4" w:space="0" w:color="auto"/>
              <w:bottom w:val="single" w:sz="4" w:space="0" w:color="auto"/>
              <w:right w:val="single" w:sz="4" w:space="0" w:color="auto"/>
            </w:tcBorders>
            <w:hideMark/>
          </w:tcPr>
          <w:p w14:paraId="7506E0BE" w14:textId="77777777" w:rsidR="007E1C88" w:rsidRDefault="007E1C88" w:rsidP="00540B5A">
            <w:pPr>
              <w:rPr>
                <w:b/>
                <w:sz w:val="24"/>
                <w:szCs w:val="24"/>
              </w:rPr>
            </w:pPr>
            <w:r>
              <w:rPr>
                <w:b/>
                <w:sz w:val="24"/>
                <w:szCs w:val="24"/>
              </w:rPr>
              <w:t>Øjne</w:t>
            </w:r>
          </w:p>
        </w:tc>
        <w:tc>
          <w:tcPr>
            <w:tcW w:w="3583" w:type="pct"/>
            <w:tcBorders>
              <w:top w:val="single" w:sz="4" w:space="0" w:color="auto"/>
              <w:left w:val="single" w:sz="4" w:space="0" w:color="auto"/>
              <w:bottom w:val="single" w:sz="4" w:space="0" w:color="auto"/>
              <w:right w:val="single" w:sz="4" w:space="0" w:color="auto"/>
            </w:tcBorders>
          </w:tcPr>
          <w:p w14:paraId="23E8C23A" w14:textId="77777777" w:rsidR="007E1C88" w:rsidRDefault="007E1C88" w:rsidP="00540B5A">
            <w:pPr>
              <w:rPr>
                <w:sz w:val="24"/>
                <w:szCs w:val="24"/>
              </w:rPr>
            </w:pPr>
            <w:r>
              <w:rPr>
                <w:b/>
                <w:sz w:val="24"/>
                <w:szCs w:val="24"/>
              </w:rPr>
              <w:t>Ikke almindelig</w:t>
            </w:r>
            <w:r>
              <w:rPr>
                <w:sz w:val="24"/>
                <w:szCs w:val="24"/>
              </w:rPr>
              <w:t xml:space="preserve">: </w:t>
            </w:r>
            <w:proofErr w:type="spellStart"/>
            <w:r>
              <w:rPr>
                <w:sz w:val="24"/>
                <w:szCs w:val="24"/>
              </w:rPr>
              <w:t>Amblyopi</w:t>
            </w:r>
            <w:proofErr w:type="spellEnd"/>
            <w:r>
              <w:rPr>
                <w:sz w:val="24"/>
                <w:szCs w:val="24"/>
              </w:rPr>
              <w:t xml:space="preserve"> (sløret og/eller nedsat syn, skotomer og/eller forandringer i farvesyn) som regel reversibelt ved behandlingsophør.</w:t>
            </w:r>
          </w:p>
          <w:p w14:paraId="336FDF72" w14:textId="77777777" w:rsidR="007E1C88" w:rsidRDefault="007E1C88" w:rsidP="00540B5A">
            <w:pPr>
              <w:rPr>
                <w:sz w:val="24"/>
                <w:szCs w:val="24"/>
              </w:rPr>
            </w:pPr>
          </w:p>
        </w:tc>
      </w:tr>
      <w:tr w:rsidR="007E1C88" w14:paraId="574EEF7D" w14:textId="77777777" w:rsidTr="00540B5A">
        <w:tc>
          <w:tcPr>
            <w:tcW w:w="1417" w:type="pct"/>
            <w:tcBorders>
              <w:top w:val="single" w:sz="4" w:space="0" w:color="auto"/>
              <w:left w:val="single" w:sz="4" w:space="0" w:color="auto"/>
              <w:bottom w:val="single" w:sz="4" w:space="0" w:color="auto"/>
              <w:right w:val="single" w:sz="4" w:space="0" w:color="auto"/>
            </w:tcBorders>
            <w:hideMark/>
          </w:tcPr>
          <w:p w14:paraId="41B89B7C" w14:textId="77777777" w:rsidR="007E1C88" w:rsidRDefault="007E1C88" w:rsidP="00540B5A">
            <w:pPr>
              <w:rPr>
                <w:b/>
                <w:sz w:val="24"/>
                <w:szCs w:val="24"/>
              </w:rPr>
            </w:pPr>
            <w:r>
              <w:rPr>
                <w:b/>
                <w:sz w:val="24"/>
                <w:szCs w:val="24"/>
              </w:rPr>
              <w:t>Øre og labyrint</w:t>
            </w:r>
          </w:p>
        </w:tc>
        <w:tc>
          <w:tcPr>
            <w:tcW w:w="3583" w:type="pct"/>
            <w:tcBorders>
              <w:top w:val="single" w:sz="4" w:space="0" w:color="auto"/>
              <w:left w:val="single" w:sz="4" w:space="0" w:color="auto"/>
              <w:bottom w:val="single" w:sz="4" w:space="0" w:color="auto"/>
              <w:right w:val="single" w:sz="4" w:space="0" w:color="auto"/>
            </w:tcBorders>
          </w:tcPr>
          <w:p w14:paraId="6231B6C4" w14:textId="77777777" w:rsidR="007E1C88" w:rsidRDefault="007E1C88" w:rsidP="00540B5A">
            <w:pPr>
              <w:rPr>
                <w:sz w:val="24"/>
                <w:szCs w:val="24"/>
              </w:rPr>
            </w:pPr>
            <w:r>
              <w:rPr>
                <w:b/>
                <w:sz w:val="24"/>
                <w:szCs w:val="24"/>
              </w:rPr>
              <w:t>Almindelig</w:t>
            </w:r>
            <w:r>
              <w:rPr>
                <w:sz w:val="24"/>
                <w:szCs w:val="24"/>
              </w:rPr>
              <w:t>: Tinnitus.</w:t>
            </w:r>
          </w:p>
          <w:p w14:paraId="283D6B6D" w14:textId="77777777" w:rsidR="007E1C88" w:rsidRDefault="007E1C88" w:rsidP="00540B5A">
            <w:pPr>
              <w:rPr>
                <w:sz w:val="24"/>
                <w:szCs w:val="24"/>
              </w:rPr>
            </w:pPr>
          </w:p>
        </w:tc>
      </w:tr>
      <w:tr w:rsidR="007E1C88" w14:paraId="52029E5C" w14:textId="77777777" w:rsidTr="00540B5A">
        <w:tc>
          <w:tcPr>
            <w:tcW w:w="1417" w:type="pct"/>
            <w:tcBorders>
              <w:top w:val="single" w:sz="4" w:space="0" w:color="auto"/>
              <w:left w:val="single" w:sz="4" w:space="0" w:color="auto"/>
              <w:bottom w:val="single" w:sz="4" w:space="0" w:color="auto"/>
              <w:right w:val="single" w:sz="4" w:space="0" w:color="auto"/>
            </w:tcBorders>
            <w:hideMark/>
          </w:tcPr>
          <w:p w14:paraId="0A4685C6" w14:textId="77777777" w:rsidR="007E1C88" w:rsidRDefault="007E1C88" w:rsidP="00540B5A">
            <w:pPr>
              <w:rPr>
                <w:b/>
                <w:sz w:val="24"/>
                <w:szCs w:val="24"/>
              </w:rPr>
            </w:pPr>
            <w:r>
              <w:rPr>
                <w:b/>
                <w:sz w:val="24"/>
                <w:szCs w:val="24"/>
              </w:rPr>
              <w:t>Hjerte</w:t>
            </w:r>
          </w:p>
        </w:tc>
        <w:tc>
          <w:tcPr>
            <w:tcW w:w="3583" w:type="pct"/>
            <w:tcBorders>
              <w:top w:val="single" w:sz="4" w:space="0" w:color="auto"/>
              <w:left w:val="single" w:sz="4" w:space="0" w:color="auto"/>
              <w:bottom w:val="single" w:sz="4" w:space="0" w:color="auto"/>
              <w:right w:val="single" w:sz="4" w:space="0" w:color="auto"/>
            </w:tcBorders>
          </w:tcPr>
          <w:p w14:paraId="4E86BDF8" w14:textId="77777777" w:rsidR="007E1C88" w:rsidRDefault="007E1C88" w:rsidP="00540B5A">
            <w:pPr>
              <w:rPr>
                <w:sz w:val="24"/>
                <w:szCs w:val="24"/>
              </w:rPr>
            </w:pPr>
            <w:r>
              <w:rPr>
                <w:b/>
                <w:sz w:val="24"/>
                <w:szCs w:val="24"/>
              </w:rPr>
              <w:t>Almindelig</w:t>
            </w:r>
            <w:r>
              <w:rPr>
                <w:sz w:val="24"/>
                <w:szCs w:val="24"/>
              </w:rPr>
              <w:t xml:space="preserve">: Ødem, væskeretention (som regel reversibel ved </w:t>
            </w:r>
            <w:proofErr w:type="spellStart"/>
            <w:r>
              <w:rPr>
                <w:sz w:val="24"/>
                <w:szCs w:val="24"/>
              </w:rPr>
              <w:t>seponering</w:t>
            </w:r>
            <w:proofErr w:type="spellEnd"/>
            <w:r>
              <w:rPr>
                <w:sz w:val="24"/>
                <w:szCs w:val="24"/>
              </w:rPr>
              <w:t xml:space="preserve">). </w:t>
            </w:r>
          </w:p>
          <w:p w14:paraId="2232A00C" w14:textId="77777777" w:rsidR="007E1C88" w:rsidRDefault="007E1C88" w:rsidP="00540B5A">
            <w:pPr>
              <w:rPr>
                <w:sz w:val="24"/>
                <w:szCs w:val="24"/>
              </w:rPr>
            </w:pPr>
          </w:p>
          <w:p w14:paraId="0B32B4BE" w14:textId="77777777" w:rsidR="007E1C88" w:rsidRDefault="007E1C88" w:rsidP="00540B5A">
            <w:pPr>
              <w:rPr>
                <w:sz w:val="24"/>
                <w:szCs w:val="24"/>
              </w:rPr>
            </w:pPr>
            <w:r>
              <w:rPr>
                <w:b/>
                <w:sz w:val="24"/>
                <w:szCs w:val="24"/>
              </w:rPr>
              <w:lastRenderedPageBreak/>
              <w:t>Ikke almindelig</w:t>
            </w:r>
            <w:r>
              <w:rPr>
                <w:sz w:val="24"/>
                <w:szCs w:val="24"/>
              </w:rPr>
              <w:t xml:space="preserve">: </w:t>
            </w:r>
            <w:proofErr w:type="spellStart"/>
            <w:r>
              <w:rPr>
                <w:sz w:val="24"/>
                <w:szCs w:val="24"/>
              </w:rPr>
              <w:t>arytmier</w:t>
            </w:r>
            <w:proofErr w:type="spellEnd"/>
            <w:r>
              <w:rPr>
                <w:sz w:val="24"/>
                <w:szCs w:val="24"/>
              </w:rPr>
              <w:t xml:space="preserve"> (</w:t>
            </w:r>
            <w:proofErr w:type="spellStart"/>
            <w:r>
              <w:rPr>
                <w:sz w:val="24"/>
                <w:szCs w:val="24"/>
              </w:rPr>
              <w:t>sinustakykardi</w:t>
            </w:r>
            <w:proofErr w:type="spellEnd"/>
            <w:r>
              <w:rPr>
                <w:sz w:val="24"/>
                <w:szCs w:val="24"/>
              </w:rPr>
              <w:t>, sinusbradykardi)</w:t>
            </w:r>
          </w:p>
          <w:p w14:paraId="334CA255" w14:textId="77777777" w:rsidR="007E1C88" w:rsidRDefault="007E1C88" w:rsidP="00540B5A">
            <w:pPr>
              <w:rPr>
                <w:sz w:val="24"/>
                <w:szCs w:val="24"/>
              </w:rPr>
            </w:pPr>
          </w:p>
          <w:p w14:paraId="1DFC7165" w14:textId="77777777" w:rsidR="007E1C88" w:rsidRDefault="007E1C88" w:rsidP="00540B5A">
            <w:pPr>
              <w:rPr>
                <w:sz w:val="24"/>
                <w:szCs w:val="24"/>
              </w:rPr>
            </w:pPr>
            <w:r>
              <w:rPr>
                <w:b/>
                <w:sz w:val="24"/>
                <w:szCs w:val="24"/>
              </w:rPr>
              <w:t>Meget sjælden</w:t>
            </w:r>
            <w:r>
              <w:rPr>
                <w:sz w:val="24"/>
                <w:szCs w:val="24"/>
              </w:rPr>
              <w:t xml:space="preserve">: </w:t>
            </w:r>
            <w:proofErr w:type="spellStart"/>
            <w:r>
              <w:rPr>
                <w:sz w:val="24"/>
                <w:szCs w:val="24"/>
              </w:rPr>
              <w:t>palpitationer</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arytmier</w:t>
            </w:r>
            <w:proofErr w:type="spellEnd"/>
            <w:r>
              <w:rPr>
                <w:sz w:val="24"/>
                <w:szCs w:val="24"/>
              </w:rPr>
              <w:t xml:space="preserve"> og andre </w:t>
            </w:r>
            <w:proofErr w:type="spellStart"/>
            <w:r>
              <w:rPr>
                <w:sz w:val="24"/>
                <w:szCs w:val="24"/>
              </w:rPr>
              <w:t>hjertedysrytmier</w:t>
            </w:r>
            <w:proofErr w:type="spellEnd"/>
            <w:r>
              <w:rPr>
                <w:sz w:val="24"/>
                <w:szCs w:val="24"/>
              </w:rPr>
              <w:t>. Hypertension og hjerteinsufficiens, hypotension.</w:t>
            </w:r>
          </w:p>
          <w:p w14:paraId="7896F359" w14:textId="77777777" w:rsidR="007E1C88" w:rsidRDefault="007E1C88" w:rsidP="00540B5A">
            <w:pPr>
              <w:rPr>
                <w:sz w:val="24"/>
                <w:szCs w:val="24"/>
              </w:rPr>
            </w:pPr>
          </w:p>
        </w:tc>
      </w:tr>
      <w:tr w:rsidR="007E1C88" w14:paraId="2CF18223" w14:textId="77777777" w:rsidTr="00540B5A">
        <w:tc>
          <w:tcPr>
            <w:tcW w:w="1417" w:type="pct"/>
            <w:tcBorders>
              <w:top w:val="single" w:sz="4" w:space="0" w:color="auto"/>
              <w:left w:val="single" w:sz="4" w:space="0" w:color="auto"/>
              <w:bottom w:val="single" w:sz="4" w:space="0" w:color="auto"/>
              <w:right w:val="single" w:sz="4" w:space="0" w:color="auto"/>
            </w:tcBorders>
            <w:hideMark/>
          </w:tcPr>
          <w:p w14:paraId="4982012B" w14:textId="77777777" w:rsidR="007E1C88" w:rsidRDefault="007E1C88" w:rsidP="00540B5A">
            <w:pPr>
              <w:rPr>
                <w:b/>
                <w:sz w:val="24"/>
                <w:szCs w:val="24"/>
              </w:rPr>
            </w:pPr>
            <w:r>
              <w:rPr>
                <w:b/>
                <w:sz w:val="24"/>
                <w:szCs w:val="24"/>
              </w:rPr>
              <w:lastRenderedPageBreak/>
              <w:t xml:space="preserve">Luftveje, thorax og </w:t>
            </w:r>
            <w:proofErr w:type="spellStart"/>
            <w:r>
              <w:rPr>
                <w:b/>
                <w:sz w:val="24"/>
                <w:szCs w:val="24"/>
              </w:rPr>
              <w:t>mediastinum</w:t>
            </w:r>
            <w:proofErr w:type="spellEnd"/>
          </w:p>
        </w:tc>
        <w:tc>
          <w:tcPr>
            <w:tcW w:w="3583" w:type="pct"/>
            <w:tcBorders>
              <w:top w:val="single" w:sz="4" w:space="0" w:color="auto"/>
              <w:left w:val="single" w:sz="4" w:space="0" w:color="auto"/>
              <w:bottom w:val="single" w:sz="4" w:space="0" w:color="auto"/>
              <w:right w:val="single" w:sz="4" w:space="0" w:color="auto"/>
            </w:tcBorders>
          </w:tcPr>
          <w:p w14:paraId="1B73AEFB" w14:textId="77777777" w:rsidR="007E1C88" w:rsidRDefault="007E1C88" w:rsidP="00540B5A">
            <w:pPr>
              <w:rPr>
                <w:sz w:val="24"/>
                <w:szCs w:val="24"/>
              </w:rPr>
            </w:pPr>
            <w:r>
              <w:rPr>
                <w:b/>
                <w:sz w:val="24"/>
                <w:szCs w:val="24"/>
              </w:rPr>
              <w:t>Ikke almindelig</w:t>
            </w:r>
            <w:r>
              <w:rPr>
                <w:sz w:val="24"/>
                <w:szCs w:val="24"/>
              </w:rPr>
              <w:t>: Fortykket luftvejssekret</w:t>
            </w:r>
          </w:p>
          <w:p w14:paraId="400C9D4A" w14:textId="77777777" w:rsidR="007E1C88" w:rsidRDefault="007E1C88" w:rsidP="00540B5A">
            <w:pPr>
              <w:rPr>
                <w:sz w:val="24"/>
                <w:szCs w:val="24"/>
              </w:rPr>
            </w:pPr>
          </w:p>
          <w:p w14:paraId="3EFAEC03" w14:textId="77777777" w:rsidR="007E1C88" w:rsidRDefault="007E1C88" w:rsidP="00540B5A">
            <w:pPr>
              <w:rPr>
                <w:sz w:val="24"/>
                <w:szCs w:val="24"/>
              </w:rPr>
            </w:pPr>
            <w:r>
              <w:rPr>
                <w:b/>
                <w:sz w:val="24"/>
                <w:szCs w:val="24"/>
              </w:rPr>
              <w:t>Meget sjælden</w:t>
            </w:r>
            <w:r>
              <w:rPr>
                <w:sz w:val="24"/>
                <w:szCs w:val="24"/>
              </w:rPr>
              <w:t xml:space="preserve">: Astma, forværring af astma, </w:t>
            </w:r>
            <w:proofErr w:type="spellStart"/>
            <w:r>
              <w:rPr>
                <w:sz w:val="24"/>
                <w:szCs w:val="24"/>
              </w:rPr>
              <w:t>bronkospasme</w:t>
            </w:r>
            <w:proofErr w:type="spellEnd"/>
            <w:r>
              <w:rPr>
                <w:sz w:val="24"/>
                <w:szCs w:val="24"/>
              </w:rPr>
              <w:t xml:space="preserve"> og dyspnø.</w:t>
            </w:r>
          </w:p>
          <w:p w14:paraId="3B3CF78C" w14:textId="77777777" w:rsidR="007E1C88" w:rsidRDefault="007E1C88" w:rsidP="00540B5A">
            <w:pPr>
              <w:rPr>
                <w:sz w:val="24"/>
                <w:szCs w:val="24"/>
              </w:rPr>
            </w:pPr>
          </w:p>
        </w:tc>
      </w:tr>
      <w:tr w:rsidR="007E1C88" w14:paraId="1A846483" w14:textId="77777777" w:rsidTr="00540B5A">
        <w:tc>
          <w:tcPr>
            <w:tcW w:w="1417" w:type="pct"/>
            <w:tcBorders>
              <w:top w:val="single" w:sz="4" w:space="0" w:color="auto"/>
              <w:left w:val="single" w:sz="4" w:space="0" w:color="auto"/>
              <w:bottom w:val="single" w:sz="4" w:space="0" w:color="auto"/>
              <w:right w:val="single" w:sz="4" w:space="0" w:color="auto"/>
            </w:tcBorders>
            <w:hideMark/>
          </w:tcPr>
          <w:p w14:paraId="481A4F1B" w14:textId="77777777" w:rsidR="007E1C88" w:rsidRDefault="007E1C88" w:rsidP="00540B5A">
            <w:pPr>
              <w:rPr>
                <w:b/>
                <w:sz w:val="24"/>
                <w:szCs w:val="24"/>
              </w:rPr>
            </w:pPr>
            <w:r>
              <w:rPr>
                <w:b/>
                <w:sz w:val="24"/>
                <w:szCs w:val="24"/>
              </w:rPr>
              <w:t>Mave-tarm-kanalen</w:t>
            </w:r>
          </w:p>
        </w:tc>
        <w:tc>
          <w:tcPr>
            <w:tcW w:w="3583" w:type="pct"/>
            <w:tcBorders>
              <w:top w:val="single" w:sz="4" w:space="0" w:color="auto"/>
              <w:left w:val="single" w:sz="4" w:space="0" w:color="auto"/>
              <w:bottom w:val="single" w:sz="4" w:space="0" w:color="auto"/>
              <w:right w:val="single" w:sz="4" w:space="0" w:color="auto"/>
            </w:tcBorders>
          </w:tcPr>
          <w:p w14:paraId="3459A935" w14:textId="77777777" w:rsidR="007E1C88" w:rsidRDefault="007E1C88" w:rsidP="00540B5A">
            <w:pPr>
              <w:rPr>
                <w:sz w:val="24"/>
                <w:szCs w:val="24"/>
              </w:rPr>
            </w:pPr>
            <w:r>
              <w:rPr>
                <w:b/>
                <w:sz w:val="24"/>
                <w:szCs w:val="24"/>
              </w:rPr>
              <w:t>Almindelig</w:t>
            </w:r>
            <w:r>
              <w:rPr>
                <w:sz w:val="24"/>
                <w:szCs w:val="24"/>
              </w:rPr>
              <w:t xml:space="preserve">: </w:t>
            </w:r>
            <w:proofErr w:type="spellStart"/>
            <w:r>
              <w:rPr>
                <w:sz w:val="24"/>
                <w:szCs w:val="24"/>
              </w:rPr>
              <w:t>Abdominalsmerte</w:t>
            </w:r>
            <w:proofErr w:type="spellEnd"/>
            <w:r>
              <w:rPr>
                <w:sz w:val="24"/>
                <w:szCs w:val="24"/>
              </w:rPr>
              <w:t xml:space="preserve">, diarré, dyspepsi, kvalme, maveubehag. Opkastning, konstipation, </w:t>
            </w:r>
            <w:proofErr w:type="spellStart"/>
            <w:r>
              <w:rPr>
                <w:sz w:val="24"/>
                <w:szCs w:val="24"/>
              </w:rPr>
              <w:t>abdominalkramper</w:t>
            </w:r>
            <w:proofErr w:type="spellEnd"/>
            <w:r>
              <w:rPr>
                <w:sz w:val="24"/>
                <w:szCs w:val="24"/>
              </w:rPr>
              <w:t xml:space="preserve"> eller -smerter, fylde i </w:t>
            </w:r>
            <w:proofErr w:type="spellStart"/>
            <w:r>
              <w:rPr>
                <w:sz w:val="24"/>
                <w:szCs w:val="24"/>
              </w:rPr>
              <w:t>mave-tarmkanalen</w:t>
            </w:r>
            <w:proofErr w:type="spellEnd"/>
            <w:r>
              <w:rPr>
                <w:sz w:val="24"/>
                <w:szCs w:val="24"/>
              </w:rPr>
              <w:t xml:space="preserve"> (oppustethed og </w:t>
            </w:r>
            <w:proofErr w:type="spellStart"/>
            <w:r>
              <w:rPr>
                <w:sz w:val="24"/>
                <w:szCs w:val="24"/>
              </w:rPr>
              <w:t>flatulens</w:t>
            </w:r>
            <w:proofErr w:type="spellEnd"/>
            <w:r>
              <w:rPr>
                <w:sz w:val="24"/>
                <w:szCs w:val="24"/>
              </w:rPr>
              <w:t xml:space="preserve">). </w:t>
            </w:r>
          </w:p>
          <w:p w14:paraId="6EBD2D65" w14:textId="77777777" w:rsidR="007E1C88" w:rsidRDefault="007E1C88" w:rsidP="00540B5A">
            <w:pPr>
              <w:rPr>
                <w:sz w:val="24"/>
                <w:szCs w:val="24"/>
              </w:rPr>
            </w:pPr>
          </w:p>
          <w:p w14:paraId="6A835F0B" w14:textId="77777777" w:rsidR="007E1C88" w:rsidRDefault="007E1C88" w:rsidP="00540B5A">
            <w:pPr>
              <w:rPr>
                <w:sz w:val="24"/>
                <w:szCs w:val="24"/>
              </w:rPr>
            </w:pPr>
            <w:r>
              <w:rPr>
                <w:b/>
                <w:sz w:val="24"/>
                <w:szCs w:val="24"/>
              </w:rPr>
              <w:t>Ikke almindelig</w:t>
            </w:r>
            <w:r>
              <w:rPr>
                <w:sz w:val="24"/>
                <w:szCs w:val="24"/>
              </w:rPr>
              <w:t xml:space="preserve">: Ulcus </w:t>
            </w:r>
            <w:proofErr w:type="spellStart"/>
            <w:r>
              <w:rPr>
                <w:sz w:val="24"/>
                <w:szCs w:val="24"/>
              </w:rPr>
              <w:t>pepticum</w:t>
            </w:r>
            <w:proofErr w:type="spellEnd"/>
            <w:r>
              <w:rPr>
                <w:sz w:val="24"/>
                <w:szCs w:val="24"/>
              </w:rPr>
              <w:t xml:space="preserve">, perforation eller </w:t>
            </w:r>
            <w:proofErr w:type="spellStart"/>
            <w:r>
              <w:rPr>
                <w:sz w:val="24"/>
                <w:szCs w:val="24"/>
              </w:rPr>
              <w:t>gastrointestinal</w:t>
            </w:r>
            <w:proofErr w:type="spellEnd"/>
            <w:r>
              <w:rPr>
                <w:sz w:val="24"/>
                <w:szCs w:val="24"/>
              </w:rPr>
              <w:t xml:space="preserve"> blødning, </w:t>
            </w:r>
            <w:proofErr w:type="spellStart"/>
            <w:r>
              <w:rPr>
                <w:sz w:val="24"/>
                <w:szCs w:val="24"/>
              </w:rPr>
              <w:t>melæna</w:t>
            </w:r>
            <w:proofErr w:type="spellEnd"/>
            <w:r>
              <w:rPr>
                <w:sz w:val="24"/>
                <w:szCs w:val="24"/>
              </w:rPr>
              <w:t xml:space="preserve">, </w:t>
            </w:r>
            <w:proofErr w:type="spellStart"/>
            <w:r>
              <w:rPr>
                <w:sz w:val="24"/>
                <w:szCs w:val="24"/>
              </w:rPr>
              <w:t>hæmatemesis</w:t>
            </w:r>
            <w:proofErr w:type="spellEnd"/>
            <w:r>
              <w:rPr>
                <w:sz w:val="24"/>
                <w:szCs w:val="24"/>
              </w:rPr>
              <w:t xml:space="preserve"> undertiden fatal, særlig hos ældre. </w:t>
            </w:r>
            <w:proofErr w:type="spellStart"/>
            <w:r>
              <w:rPr>
                <w:sz w:val="24"/>
                <w:szCs w:val="24"/>
              </w:rPr>
              <w:t>Ulcerativ</w:t>
            </w:r>
            <w:proofErr w:type="spellEnd"/>
            <w:r>
              <w:rPr>
                <w:sz w:val="24"/>
                <w:szCs w:val="24"/>
              </w:rPr>
              <w:t xml:space="preserve"> </w:t>
            </w:r>
            <w:proofErr w:type="spellStart"/>
            <w:r>
              <w:rPr>
                <w:sz w:val="24"/>
                <w:szCs w:val="24"/>
              </w:rPr>
              <w:t>stomatitis</w:t>
            </w:r>
            <w:proofErr w:type="spellEnd"/>
            <w:r>
              <w:rPr>
                <w:sz w:val="24"/>
                <w:szCs w:val="24"/>
              </w:rPr>
              <w:t xml:space="preserve"> og forværring af </w:t>
            </w:r>
            <w:proofErr w:type="spellStart"/>
            <w:r>
              <w:rPr>
                <w:sz w:val="24"/>
                <w:szCs w:val="24"/>
              </w:rPr>
              <w:t>ulcerativ</w:t>
            </w:r>
            <w:proofErr w:type="spellEnd"/>
            <w:r>
              <w:rPr>
                <w:sz w:val="24"/>
                <w:szCs w:val="24"/>
              </w:rPr>
              <w:t xml:space="preserve"> colitis og </w:t>
            </w:r>
            <w:proofErr w:type="spellStart"/>
            <w:r>
              <w:rPr>
                <w:sz w:val="24"/>
                <w:szCs w:val="24"/>
              </w:rPr>
              <w:t>Crohns</w:t>
            </w:r>
            <w:proofErr w:type="spellEnd"/>
            <w:r>
              <w:rPr>
                <w:sz w:val="24"/>
                <w:szCs w:val="24"/>
              </w:rPr>
              <w:t xml:space="preserve"> sygdom. Gastritis, </w:t>
            </w:r>
            <w:proofErr w:type="spellStart"/>
            <w:r>
              <w:rPr>
                <w:sz w:val="24"/>
                <w:szCs w:val="24"/>
              </w:rPr>
              <w:t>pancreatitis</w:t>
            </w:r>
            <w:proofErr w:type="spellEnd"/>
            <w:r>
              <w:rPr>
                <w:sz w:val="24"/>
                <w:szCs w:val="24"/>
              </w:rPr>
              <w:t>.</w:t>
            </w:r>
          </w:p>
          <w:p w14:paraId="4CE223CE" w14:textId="77777777" w:rsidR="007E1C88" w:rsidRDefault="007E1C88" w:rsidP="00540B5A">
            <w:pPr>
              <w:rPr>
                <w:sz w:val="24"/>
                <w:szCs w:val="24"/>
              </w:rPr>
            </w:pPr>
          </w:p>
        </w:tc>
      </w:tr>
      <w:tr w:rsidR="007E1C88" w14:paraId="37E4BC08" w14:textId="77777777" w:rsidTr="00540B5A">
        <w:tc>
          <w:tcPr>
            <w:tcW w:w="1417" w:type="pct"/>
            <w:tcBorders>
              <w:top w:val="single" w:sz="4" w:space="0" w:color="auto"/>
              <w:left w:val="single" w:sz="4" w:space="0" w:color="auto"/>
              <w:bottom w:val="single" w:sz="4" w:space="0" w:color="auto"/>
              <w:right w:val="single" w:sz="4" w:space="0" w:color="auto"/>
            </w:tcBorders>
            <w:hideMark/>
          </w:tcPr>
          <w:p w14:paraId="6410C4CA" w14:textId="77777777" w:rsidR="007E1C88" w:rsidRDefault="007E1C88" w:rsidP="00540B5A">
            <w:pPr>
              <w:rPr>
                <w:b/>
                <w:sz w:val="24"/>
                <w:szCs w:val="24"/>
              </w:rPr>
            </w:pPr>
            <w:r>
              <w:rPr>
                <w:b/>
                <w:sz w:val="24"/>
                <w:szCs w:val="24"/>
              </w:rPr>
              <w:t>Lever og galdeveje</w:t>
            </w:r>
          </w:p>
        </w:tc>
        <w:tc>
          <w:tcPr>
            <w:tcW w:w="3583" w:type="pct"/>
            <w:tcBorders>
              <w:top w:val="single" w:sz="4" w:space="0" w:color="auto"/>
              <w:left w:val="single" w:sz="4" w:space="0" w:color="auto"/>
              <w:bottom w:val="single" w:sz="4" w:space="0" w:color="auto"/>
              <w:right w:val="single" w:sz="4" w:space="0" w:color="auto"/>
            </w:tcBorders>
          </w:tcPr>
          <w:p w14:paraId="725A52FF" w14:textId="77777777" w:rsidR="007E1C88" w:rsidRDefault="007E1C88" w:rsidP="00540B5A">
            <w:pPr>
              <w:rPr>
                <w:sz w:val="24"/>
                <w:szCs w:val="24"/>
              </w:rPr>
            </w:pPr>
            <w:r>
              <w:rPr>
                <w:b/>
                <w:sz w:val="24"/>
                <w:szCs w:val="24"/>
              </w:rPr>
              <w:t>Meget sjælden</w:t>
            </w:r>
            <w:r>
              <w:rPr>
                <w:sz w:val="24"/>
                <w:szCs w:val="24"/>
              </w:rPr>
              <w:t xml:space="preserve">: Abnorm leverfunktion, hepatitis og gulsot. Leverinsufficiens, </w:t>
            </w:r>
            <w:proofErr w:type="spellStart"/>
            <w:r>
              <w:rPr>
                <w:sz w:val="24"/>
                <w:szCs w:val="24"/>
              </w:rPr>
              <w:t>hepatisk</w:t>
            </w:r>
            <w:proofErr w:type="spellEnd"/>
            <w:r>
              <w:rPr>
                <w:sz w:val="24"/>
                <w:szCs w:val="24"/>
              </w:rPr>
              <w:t xml:space="preserve"> nekrose og leverskade.</w:t>
            </w:r>
          </w:p>
          <w:p w14:paraId="0E2EE3C5" w14:textId="77777777" w:rsidR="007E1C88" w:rsidRDefault="007E1C88" w:rsidP="00540B5A">
            <w:pPr>
              <w:rPr>
                <w:sz w:val="24"/>
                <w:szCs w:val="24"/>
              </w:rPr>
            </w:pPr>
          </w:p>
        </w:tc>
      </w:tr>
      <w:tr w:rsidR="007E1C88" w14:paraId="3D003E85" w14:textId="77777777" w:rsidTr="00540B5A">
        <w:tc>
          <w:tcPr>
            <w:tcW w:w="1417" w:type="pct"/>
            <w:tcBorders>
              <w:top w:val="single" w:sz="4" w:space="0" w:color="auto"/>
              <w:left w:val="single" w:sz="4" w:space="0" w:color="auto"/>
              <w:bottom w:val="single" w:sz="4" w:space="0" w:color="auto"/>
              <w:right w:val="single" w:sz="4" w:space="0" w:color="auto"/>
            </w:tcBorders>
            <w:hideMark/>
          </w:tcPr>
          <w:p w14:paraId="5D0E52F9" w14:textId="77777777" w:rsidR="007E1C88" w:rsidRDefault="007E1C88" w:rsidP="00540B5A">
            <w:pPr>
              <w:rPr>
                <w:b/>
                <w:sz w:val="24"/>
                <w:szCs w:val="24"/>
              </w:rPr>
            </w:pPr>
            <w:r>
              <w:rPr>
                <w:b/>
                <w:sz w:val="24"/>
                <w:szCs w:val="24"/>
              </w:rPr>
              <w:t>Hud og subkutane væv</w:t>
            </w:r>
          </w:p>
        </w:tc>
        <w:tc>
          <w:tcPr>
            <w:tcW w:w="3583" w:type="pct"/>
            <w:tcBorders>
              <w:top w:val="single" w:sz="4" w:space="0" w:color="auto"/>
              <w:left w:val="single" w:sz="4" w:space="0" w:color="auto"/>
              <w:bottom w:val="single" w:sz="4" w:space="0" w:color="auto"/>
              <w:right w:val="single" w:sz="4" w:space="0" w:color="auto"/>
            </w:tcBorders>
          </w:tcPr>
          <w:p w14:paraId="09921305" w14:textId="77777777" w:rsidR="007E1C88" w:rsidRDefault="007E1C88" w:rsidP="00540B5A">
            <w:pPr>
              <w:rPr>
                <w:sz w:val="24"/>
                <w:szCs w:val="24"/>
              </w:rPr>
            </w:pPr>
            <w:r>
              <w:rPr>
                <w:b/>
                <w:sz w:val="24"/>
                <w:szCs w:val="24"/>
              </w:rPr>
              <w:t>Almindelig</w:t>
            </w:r>
            <w:r>
              <w:rPr>
                <w:sz w:val="24"/>
                <w:szCs w:val="24"/>
              </w:rPr>
              <w:t xml:space="preserve">: Udslæt (også </w:t>
            </w:r>
            <w:proofErr w:type="spellStart"/>
            <w:r>
              <w:rPr>
                <w:sz w:val="24"/>
                <w:szCs w:val="24"/>
              </w:rPr>
              <w:t>makulopapulært</w:t>
            </w:r>
            <w:proofErr w:type="spellEnd"/>
            <w:r>
              <w:rPr>
                <w:sz w:val="24"/>
                <w:szCs w:val="24"/>
              </w:rPr>
              <w:t xml:space="preserve">), </w:t>
            </w:r>
            <w:proofErr w:type="spellStart"/>
            <w:r>
              <w:rPr>
                <w:sz w:val="24"/>
                <w:szCs w:val="24"/>
              </w:rPr>
              <w:t>pruritus</w:t>
            </w:r>
            <w:proofErr w:type="spellEnd"/>
            <w:r>
              <w:rPr>
                <w:sz w:val="24"/>
                <w:szCs w:val="24"/>
              </w:rPr>
              <w:t xml:space="preserve">, </w:t>
            </w:r>
            <w:proofErr w:type="spellStart"/>
            <w:r>
              <w:rPr>
                <w:sz w:val="24"/>
                <w:szCs w:val="24"/>
              </w:rPr>
              <w:t>angioødem</w:t>
            </w:r>
            <w:proofErr w:type="spellEnd"/>
            <w:r>
              <w:rPr>
                <w:sz w:val="24"/>
                <w:szCs w:val="24"/>
              </w:rPr>
              <w:t xml:space="preserve"> og ansigtshævelse. </w:t>
            </w:r>
          </w:p>
          <w:p w14:paraId="43F06442" w14:textId="77777777" w:rsidR="007E1C88" w:rsidRDefault="007E1C88" w:rsidP="00540B5A">
            <w:pPr>
              <w:rPr>
                <w:sz w:val="24"/>
                <w:szCs w:val="24"/>
              </w:rPr>
            </w:pPr>
          </w:p>
          <w:p w14:paraId="78430FB7" w14:textId="77777777" w:rsidR="007E1C88" w:rsidRDefault="007E1C88" w:rsidP="00540B5A">
            <w:pPr>
              <w:rPr>
                <w:sz w:val="24"/>
                <w:szCs w:val="24"/>
              </w:rPr>
            </w:pPr>
            <w:r>
              <w:rPr>
                <w:b/>
                <w:sz w:val="24"/>
                <w:szCs w:val="24"/>
              </w:rPr>
              <w:t>Ikke almindelig</w:t>
            </w:r>
            <w:r>
              <w:rPr>
                <w:sz w:val="24"/>
                <w:szCs w:val="24"/>
              </w:rPr>
              <w:t>: Blæredannende/</w:t>
            </w:r>
            <w:proofErr w:type="spellStart"/>
            <w:r>
              <w:rPr>
                <w:sz w:val="24"/>
                <w:szCs w:val="24"/>
              </w:rPr>
              <w:t>bulløst</w:t>
            </w:r>
            <w:proofErr w:type="spellEnd"/>
            <w:r>
              <w:rPr>
                <w:sz w:val="24"/>
                <w:szCs w:val="24"/>
              </w:rPr>
              <w:t xml:space="preserve"> udslæt, </w:t>
            </w:r>
            <w:proofErr w:type="spellStart"/>
            <w:r>
              <w:rPr>
                <w:sz w:val="24"/>
                <w:szCs w:val="24"/>
              </w:rPr>
              <w:t>urticaria</w:t>
            </w:r>
            <w:proofErr w:type="spellEnd"/>
            <w:r>
              <w:rPr>
                <w:sz w:val="24"/>
                <w:szCs w:val="24"/>
              </w:rPr>
              <w:t xml:space="preserve">, </w:t>
            </w:r>
            <w:proofErr w:type="spellStart"/>
            <w:r>
              <w:rPr>
                <w:sz w:val="24"/>
                <w:szCs w:val="24"/>
              </w:rPr>
              <w:t>erythema</w:t>
            </w:r>
            <w:proofErr w:type="spellEnd"/>
            <w:r>
              <w:rPr>
                <w:sz w:val="24"/>
                <w:szCs w:val="24"/>
              </w:rPr>
              <w:t xml:space="preserve"> multiforme, </w:t>
            </w:r>
            <w:proofErr w:type="spellStart"/>
            <w:r>
              <w:rPr>
                <w:sz w:val="24"/>
                <w:szCs w:val="24"/>
              </w:rPr>
              <w:t>alopeci</w:t>
            </w:r>
            <w:proofErr w:type="spellEnd"/>
            <w:r>
              <w:rPr>
                <w:sz w:val="24"/>
                <w:szCs w:val="24"/>
              </w:rPr>
              <w:t>, fotoallergiske hudreaktioner</w:t>
            </w:r>
          </w:p>
          <w:p w14:paraId="3FBED438" w14:textId="77777777" w:rsidR="007E1C88" w:rsidRDefault="007E1C88" w:rsidP="00540B5A">
            <w:pPr>
              <w:rPr>
                <w:sz w:val="24"/>
                <w:szCs w:val="24"/>
              </w:rPr>
            </w:pPr>
          </w:p>
          <w:p w14:paraId="16E04230" w14:textId="77777777" w:rsidR="007E1C88" w:rsidRDefault="007E1C88" w:rsidP="00540B5A">
            <w:pPr>
              <w:rPr>
                <w:sz w:val="24"/>
                <w:szCs w:val="24"/>
              </w:rPr>
            </w:pPr>
            <w:r>
              <w:rPr>
                <w:b/>
                <w:sz w:val="24"/>
                <w:szCs w:val="24"/>
              </w:rPr>
              <w:t>Meget sjælden</w:t>
            </w:r>
            <w:r>
              <w:rPr>
                <w:sz w:val="24"/>
                <w:szCs w:val="24"/>
              </w:rPr>
              <w:t xml:space="preserve">: </w:t>
            </w:r>
            <w:proofErr w:type="spellStart"/>
            <w:r>
              <w:rPr>
                <w:sz w:val="24"/>
                <w:szCs w:val="24"/>
              </w:rPr>
              <w:t>Hyperhidrosis</w:t>
            </w:r>
            <w:proofErr w:type="spellEnd"/>
            <w:r>
              <w:rPr>
                <w:sz w:val="24"/>
                <w:szCs w:val="24"/>
              </w:rPr>
              <w:t xml:space="preserve">, </w:t>
            </w:r>
            <w:proofErr w:type="spellStart"/>
            <w:r>
              <w:rPr>
                <w:sz w:val="24"/>
                <w:szCs w:val="24"/>
              </w:rPr>
              <w:t>Exfoliative</w:t>
            </w:r>
            <w:proofErr w:type="spellEnd"/>
            <w:r>
              <w:rPr>
                <w:sz w:val="24"/>
                <w:szCs w:val="24"/>
              </w:rPr>
              <w:t xml:space="preserve"> </w:t>
            </w:r>
            <w:proofErr w:type="spellStart"/>
            <w:r>
              <w:rPr>
                <w:sz w:val="24"/>
                <w:szCs w:val="24"/>
              </w:rPr>
              <w:t>dermatoser</w:t>
            </w:r>
            <w:proofErr w:type="spellEnd"/>
            <w:r>
              <w:rPr>
                <w:sz w:val="24"/>
                <w:szCs w:val="24"/>
              </w:rPr>
              <w:t xml:space="preserve">, </w:t>
            </w:r>
            <w:proofErr w:type="spellStart"/>
            <w:r>
              <w:rPr>
                <w:sz w:val="24"/>
                <w:szCs w:val="24"/>
              </w:rPr>
              <w:t>nekrotiserende</w:t>
            </w:r>
            <w:proofErr w:type="spellEnd"/>
            <w:r>
              <w:rPr>
                <w:sz w:val="24"/>
                <w:szCs w:val="24"/>
              </w:rPr>
              <w:t xml:space="preserve"> </w:t>
            </w:r>
            <w:proofErr w:type="spellStart"/>
            <w:r>
              <w:rPr>
                <w:sz w:val="24"/>
                <w:szCs w:val="24"/>
              </w:rPr>
              <w:t>fasciitis</w:t>
            </w:r>
            <w:proofErr w:type="spellEnd"/>
            <w:r>
              <w:rPr>
                <w:sz w:val="24"/>
                <w:szCs w:val="24"/>
              </w:rPr>
              <w:t xml:space="preserve">. </w:t>
            </w:r>
            <w:proofErr w:type="spellStart"/>
            <w:r>
              <w:rPr>
                <w:sz w:val="24"/>
                <w:szCs w:val="24"/>
              </w:rPr>
              <w:t>Bulløse</w:t>
            </w:r>
            <w:proofErr w:type="spellEnd"/>
            <w:r>
              <w:rPr>
                <w:sz w:val="24"/>
                <w:szCs w:val="24"/>
              </w:rPr>
              <w:t xml:space="preserve"> reaktioner, herunder </w:t>
            </w:r>
            <w:proofErr w:type="spellStart"/>
            <w:r>
              <w:rPr>
                <w:sz w:val="24"/>
                <w:szCs w:val="24"/>
              </w:rPr>
              <w:t>erythema</w:t>
            </w:r>
            <w:proofErr w:type="spellEnd"/>
            <w:r>
              <w:rPr>
                <w:sz w:val="24"/>
                <w:szCs w:val="24"/>
              </w:rPr>
              <w:t xml:space="preserve"> multiforme. Stevens-Johnsons syndrom og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p>
          <w:p w14:paraId="3457D6BF" w14:textId="77777777" w:rsidR="007E1C88" w:rsidRDefault="007E1C88" w:rsidP="00540B5A">
            <w:pPr>
              <w:rPr>
                <w:sz w:val="24"/>
                <w:szCs w:val="24"/>
              </w:rPr>
            </w:pPr>
          </w:p>
          <w:p w14:paraId="28D636C7" w14:textId="77777777" w:rsidR="007E1C88" w:rsidRDefault="001B530E" w:rsidP="00540B5A">
            <w:pPr>
              <w:rPr>
                <w:sz w:val="24"/>
                <w:szCs w:val="24"/>
              </w:rPr>
            </w:pPr>
            <w:r>
              <w:rPr>
                <w:b/>
                <w:sz w:val="24"/>
                <w:szCs w:val="24"/>
              </w:rPr>
              <w:t>Ikke kendt:</w:t>
            </w:r>
            <w:r>
              <w:rPr>
                <w:sz w:val="24"/>
                <w:szCs w:val="24"/>
              </w:rPr>
              <w:t xml:space="preserve"> Lægemiddelreaktion med </w:t>
            </w:r>
            <w:proofErr w:type="spellStart"/>
            <w:r>
              <w:rPr>
                <w:sz w:val="24"/>
                <w:szCs w:val="24"/>
              </w:rPr>
              <w:t>eosinofili</w:t>
            </w:r>
            <w:proofErr w:type="spellEnd"/>
            <w:r>
              <w:rPr>
                <w:sz w:val="24"/>
                <w:szCs w:val="24"/>
              </w:rPr>
              <w:t xml:space="preserve"> og systemiske symptomer (DRESS).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w:t>
            </w:r>
          </w:p>
        </w:tc>
      </w:tr>
      <w:tr w:rsidR="007E1C88" w14:paraId="732F8D9F" w14:textId="77777777" w:rsidTr="00540B5A">
        <w:tc>
          <w:tcPr>
            <w:tcW w:w="1417" w:type="pct"/>
            <w:tcBorders>
              <w:top w:val="single" w:sz="4" w:space="0" w:color="auto"/>
              <w:left w:val="single" w:sz="4" w:space="0" w:color="auto"/>
              <w:bottom w:val="single" w:sz="4" w:space="0" w:color="auto"/>
              <w:right w:val="single" w:sz="4" w:space="0" w:color="auto"/>
            </w:tcBorders>
            <w:hideMark/>
          </w:tcPr>
          <w:p w14:paraId="4D6B4012" w14:textId="77777777" w:rsidR="007E1C88" w:rsidRDefault="007E1C88" w:rsidP="00540B5A">
            <w:pPr>
              <w:rPr>
                <w:b/>
                <w:sz w:val="24"/>
                <w:szCs w:val="24"/>
              </w:rPr>
            </w:pPr>
            <w:r>
              <w:rPr>
                <w:b/>
                <w:sz w:val="24"/>
                <w:szCs w:val="24"/>
              </w:rPr>
              <w:t>Nyrer og urinveje</w:t>
            </w:r>
          </w:p>
        </w:tc>
        <w:tc>
          <w:tcPr>
            <w:tcW w:w="3583" w:type="pct"/>
            <w:tcBorders>
              <w:top w:val="single" w:sz="4" w:space="0" w:color="auto"/>
              <w:left w:val="single" w:sz="4" w:space="0" w:color="auto"/>
              <w:bottom w:val="single" w:sz="4" w:space="0" w:color="auto"/>
              <w:right w:val="single" w:sz="4" w:space="0" w:color="auto"/>
            </w:tcBorders>
          </w:tcPr>
          <w:p w14:paraId="2685BE85" w14:textId="77777777" w:rsidR="007E1C88" w:rsidRDefault="007E1C88" w:rsidP="00540B5A">
            <w:pPr>
              <w:rPr>
                <w:sz w:val="24"/>
                <w:szCs w:val="24"/>
              </w:rPr>
            </w:pPr>
            <w:r>
              <w:rPr>
                <w:b/>
                <w:sz w:val="24"/>
                <w:szCs w:val="24"/>
              </w:rPr>
              <w:t>Ikke almindelig</w:t>
            </w:r>
            <w:r>
              <w:rPr>
                <w:sz w:val="24"/>
                <w:szCs w:val="24"/>
              </w:rPr>
              <w:t xml:space="preserve">: Urinretention, ødem, </w:t>
            </w:r>
            <w:proofErr w:type="spellStart"/>
            <w:r>
              <w:rPr>
                <w:sz w:val="24"/>
                <w:szCs w:val="24"/>
              </w:rPr>
              <w:t>nefrotisk</w:t>
            </w:r>
            <w:proofErr w:type="spellEnd"/>
            <w:r>
              <w:rPr>
                <w:sz w:val="24"/>
                <w:szCs w:val="24"/>
              </w:rPr>
              <w:t xml:space="preserve"> syndrom, </w:t>
            </w:r>
            <w:proofErr w:type="spellStart"/>
            <w:r>
              <w:rPr>
                <w:sz w:val="24"/>
                <w:szCs w:val="24"/>
              </w:rPr>
              <w:t>interstitiel</w:t>
            </w:r>
            <w:proofErr w:type="spellEnd"/>
            <w:r>
              <w:rPr>
                <w:sz w:val="24"/>
                <w:szCs w:val="24"/>
              </w:rPr>
              <w:t xml:space="preserve"> </w:t>
            </w:r>
            <w:proofErr w:type="spellStart"/>
            <w:r>
              <w:rPr>
                <w:sz w:val="24"/>
                <w:szCs w:val="24"/>
              </w:rPr>
              <w:t>nefritis</w:t>
            </w:r>
            <w:proofErr w:type="spellEnd"/>
            <w:r>
              <w:rPr>
                <w:sz w:val="24"/>
                <w:szCs w:val="24"/>
              </w:rPr>
              <w:t>.</w:t>
            </w:r>
          </w:p>
          <w:p w14:paraId="73EAAED5" w14:textId="77777777" w:rsidR="007E1C88" w:rsidRDefault="007E1C88" w:rsidP="00540B5A">
            <w:pPr>
              <w:rPr>
                <w:sz w:val="24"/>
                <w:szCs w:val="24"/>
              </w:rPr>
            </w:pPr>
          </w:p>
          <w:p w14:paraId="0D421C44" w14:textId="77777777" w:rsidR="007E1C88" w:rsidRDefault="007E1C88" w:rsidP="00540B5A">
            <w:pPr>
              <w:rPr>
                <w:sz w:val="24"/>
                <w:szCs w:val="24"/>
              </w:rPr>
            </w:pPr>
            <w:r>
              <w:rPr>
                <w:b/>
                <w:sz w:val="24"/>
                <w:szCs w:val="24"/>
              </w:rPr>
              <w:t>Meget sjælden</w:t>
            </w:r>
            <w:r>
              <w:rPr>
                <w:sz w:val="24"/>
                <w:szCs w:val="24"/>
              </w:rPr>
              <w:t xml:space="preserve">: </w:t>
            </w:r>
            <w:proofErr w:type="spellStart"/>
            <w:r>
              <w:rPr>
                <w:sz w:val="24"/>
                <w:szCs w:val="24"/>
              </w:rPr>
              <w:t>Nefrotoksicitet</w:t>
            </w:r>
            <w:proofErr w:type="spellEnd"/>
            <w:r>
              <w:rPr>
                <w:sz w:val="24"/>
                <w:szCs w:val="24"/>
              </w:rPr>
              <w:t xml:space="preserve"> og akut og kronisk nyreinsufficiens. Akut </w:t>
            </w:r>
            <w:proofErr w:type="spellStart"/>
            <w:r>
              <w:rPr>
                <w:sz w:val="24"/>
                <w:szCs w:val="24"/>
              </w:rPr>
              <w:t>tubulær</w:t>
            </w:r>
            <w:proofErr w:type="spellEnd"/>
            <w:r>
              <w:rPr>
                <w:sz w:val="24"/>
                <w:szCs w:val="24"/>
              </w:rPr>
              <w:t xml:space="preserve"> nekrose.</w:t>
            </w:r>
          </w:p>
          <w:p w14:paraId="3C430BFC" w14:textId="77777777" w:rsidR="007E1C88" w:rsidRDefault="007E1C88" w:rsidP="00540B5A">
            <w:pPr>
              <w:rPr>
                <w:sz w:val="24"/>
                <w:szCs w:val="24"/>
              </w:rPr>
            </w:pPr>
          </w:p>
        </w:tc>
      </w:tr>
      <w:tr w:rsidR="007E1C88" w14:paraId="359FBC97" w14:textId="77777777" w:rsidTr="00540B5A">
        <w:tc>
          <w:tcPr>
            <w:tcW w:w="1417" w:type="pct"/>
            <w:tcBorders>
              <w:top w:val="single" w:sz="4" w:space="0" w:color="auto"/>
              <w:left w:val="single" w:sz="4" w:space="0" w:color="auto"/>
              <w:bottom w:val="single" w:sz="4" w:space="0" w:color="auto"/>
              <w:right w:val="single" w:sz="4" w:space="0" w:color="auto"/>
            </w:tcBorders>
            <w:hideMark/>
          </w:tcPr>
          <w:p w14:paraId="02590D1E" w14:textId="77777777" w:rsidR="007E1C88" w:rsidRDefault="007E1C88" w:rsidP="00540B5A">
            <w:pPr>
              <w:rPr>
                <w:b/>
                <w:sz w:val="24"/>
                <w:szCs w:val="24"/>
              </w:rPr>
            </w:pPr>
            <w:r>
              <w:rPr>
                <w:b/>
                <w:sz w:val="24"/>
                <w:szCs w:val="24"/>
              </w:rPr>
              <w:t>Almene symptomer og reaktioner på administrationsstedet</w:t>
            </w:r>
          </w:p>
        </w:tc>
        <w:tc>
          <w:tcPr>
            <w:tcW w:w="3583" w:type="pct"/>
            <w:tcBorders>
              <w:top w:val="single" w:sz="4" w:space="0" w:color="auto"/>
              <w:left w:val="single" w:sz="4" w:space="0" w:color="auto"/>
              <w:bottom w:val="single" w:sz="4" w:space="0" w:color="auto"/>
              <w:right w:val="single" w:sz="4" w:space="0" w:color="auto"/>
            </w:tcBorders>
            <w:hideMark/>
          </w:tcPr>
          <w:p w14:paraId="2D58F138" w14:textId="77777777" w:rsidR="007E1C88" w:rsidRDefault="007E1C88" w:rsidP="00540B5A">
            <w:pPr>
              <w:rPr>
                <w:sz w:val="24"/>
                <w:szCs w:val="24"/>
              </w:rPr>
            </w:pPr>
            <w:r>
              <w:rPr>
                <w:b/>
                <w:sz w:val="24"/>
                <w:szCs w:val="24"/>
              </w:rPr>
              <w:t>Meget sjælden</w:t>
            </w:r>
            <w:r>
              <w:rPr>
                <w:sz w:val="24"/>
                <w:szCs w:val="24"/>
              </w:rPr>
              <w:t xml:space="preserve">: Træthed og </w:t>
            </w:r>
            <w:proofErr w:type="spellStart"/>
            <w:r>
              <w:rPr>
                <w:sz w:val="24"/>
                <w:szCs w:val="24"/>
              </w:rPr>
              <w:t>malaise</w:t>
            </w:r>
            <w:proofErr w:type="spellEnd"/>
            <w:r>
              <w:rPr>
                <w:sz w:val="24"/>
                <w:szCs w:val="24"/>
              </w:rPr>
              <w:t>.</w:t>
            </w:r>
          </w:p>
          <w:p w14:paraId="482AC976" w14:textId="77777777" w:rsidR="00540B5A" w:rsidRDefault="00540B5A" w:rsidP="00540B5A">
            <w:pPr>
              <w:rPr>
                <w:sz w:val="24"/>
                <w:szCs w:val="24"/>
              </w:rPr>
            </w:pPr>
          </w:p>
          <w:p w14:paraId="2C7F95BA" w14:textId="77777777" w:rsidR="00540B5A" w:rsidRDefault="00540B5A" w:rsidP="00540B5A">
            <w:pPr>
              <w:rPr>
                <w:sz w:val="24"/>
                <w:szCs w:val="24"/>
              </w:rPr>
            </w:pPr>
            <w:r w:rsidRPr="003B2E37">
              <w:rPr>
                <w:b/>
                <w:sz w:val="24"/>
                <w:szCs w:val="24"/>
              </w:rPr>
              <w:t>Ikke kendt</w:t>
            </w:r>
            <w:r>
              <w:rPr>
                <w:b/>
                <w:sz w:val="24"/>
                <w:szCs w:val="24"/>
              </w:rPr>
              <w:t xml:space="preserve">: </w:t>
            </w:r>
            <w:proofErr w:type="spellStart"/>
            <w:r w:rsidRPr="00000229">
              <w:rPr>
                <w:bCs/>
                <w:sz w:val="24"/>
                <w:szCs w:val="24"/>
              </w:rPr>
              <w:t>H</w:t>
            </w:r>
            <w:r w:rsidRPr="00460FBD">
              <w:rPr>
                <w:bCs/>
                <w:sz w:val="24"/>
                <w:szCs w:val="24"/>
              </w:rPr>
              <w:t>ypotermi</w:t>
            </w:r>
            <w:proofErr w:type="spellEnd"/>
          </w:p>
        </w:tc>
      </w:tr>
      <w:tr w:rsidR="007E1C88" w14:paraId="74203F72" w14:textId="77777777" w:rsidTr="00540B5A">
        <w:tc>
          <w:tcPr>
            <w:tcW w:w="1417" w:type="pct"/>
            <w:tcBorders>
              <w:top w:val="single" w:sz="4" w:space="0" w:color="auto"/>
              <w:left w:val="single" w:sz="4" w:space="0" w:color="auto"/>
              <w:bottom w:val="single" w:sz="4" w:space="0" w:color="auto"/>
              <w:right w:val="single" w:sz="4" w:space="0" w:color="auto"/>
            </w:tcBorders>
            <w:hideMark/>
          </w:tcPr>
          <w:p w14:paraId="4C12B34A" w14:textId="77777777" w:rsidR="007E1C88" w:rsidRDefault="007E1C88" w:rsidP="00540B5A">
            <w:pPr>
              <w:rPr>
                <w:b/>
                <w:sz w:val="24"/>
                <w:szCs w:val="24"/>
              </w:rPr>
            </w:pPr>
            <w:r>
              <w:rPr>
                <w:b/>
                <w:sz w:val="24"/>
                <w:szCs w:val="24"/>
              </w:rPr>
              <w:t>Undersøgelser</w:t>
            </w:r>
          </w:p>
        </w:tc>
        <w:tc>
          <w:tcPr>
            <w:tcW w:w="3583" w:type="pct"/>
            <w:tcBorders>
              <w:top w:val="single" w:sz="4" w:space="0" w:color="auto"/>
              <w:left w:val="single" w:sz="4" w:space="0" w:color="auto"/>
              <w:bottom w:val="single" w:sz="4" w:space="0" w:color="auto"/>
              <w:right w:val="single" w:sz="4" w:space="0" w:color="auto"/>
            </w:tcBorders>
          </w:tcPr>
          <w:p w14:paraId="0474EDD6" w14:textId="77777777" w:rsidR="007E1C88" w:rsidRDefault="007E1C88" w:rsidP="00540B5A">
            <w:pPr>
              <w:rPr>
                <w:sz w:val="24"/>
                <w:szCs w:val="24"/>
              </w:rPr>
            </w:pPr>
            <w:r>
              <w:rPr>
                <w:b/>
                <w:sz w:val="24"/>
                <w:szCs w:val="24"/>
              </w:rPr>
              <w:t>Almindelig</w:t>
            </w:r>
            <w:r>
              <w:rPr>
                <w:sz w:val="24"/>
                <w:szCs w:val="24"/>
              </w:rPr>
              <w:t xml:space="preserve">: </w:t>
            </w:r>
            <w:proofErr w:type="spellStart"/>
            <w:r>
              <w:rPr>
                <w:sz w:val="24"/>
                <w:szCs w:val="24"/>
              </w:rPr>
              <w:t>Alaninaminotransferase</w:t>
            </w:r>
            <w:proofErr w:type="spellEnd"/>
            <w:r>
              <w:rPr>
                <w:sz w:val="24"/>
                <w:szCs w:val="24"/>
              </w:rPr>
              <w:t xml:space="preserve"> forhøjet, gamma-</w:t>
            </w:r>
            <w:proofErr w:type="spellStart"/>
            <w:r>
              <w:rPr>
                <w:sz w:val="24"/>
                <w:szCs w:val="24"/>
              </w:rPr>
              <w:t>glutamyltransferase</w:t>
            </w:r>
            <w:proofErr w:type="spellEnd"/>
            <w:r>
              <w:rPr>
                <w:sz w:val="24"/>
                <w:szCs w:val="24"/>
              </w:rPr>
              <w:t xml:space="preserve"> forhøjet og leverfunktionstest abnorme.  </w:t>
            </w:r>
            <w:proofErr w:type="spellStart"/>
            <w:r>
              <w:rPr>
                <w:sz w:val="24"/>
                <w:szCs w:val="24"/>
              </w:rPr>
              <w:t>Blodkreatinin</w:t>
            </w:r>
            <w:proofErr w:type="spellEnd"/>
            <w:r>
              <w:rPr>
                <w:sz w:val="24"/>
                <w:szCs w:val="24"/>
              </w:rPr>
              <w:t xml:space="preserve"> forhøjet og </w:t>
            </w:r>
            <w:proofErr w:type="spellStart"/>
            <w:r>
              <w:rPr>
                <w:sz w:val="24"/>
                <w:szCs w:val="24"/>
              </w:rPr>
              <w:t>blodurea</w:t>
            </w:r>
            <w:proofErr w:type="spellEnd"/>
            <w:r>
              <w:rPr>
                <w:sz w:val="24"/>
                <w:szCs w:val="24"/>
              </w:rPr>
              <w:t xml:space="preserve"> forhøjet. </w:t>
            </w:r>
          </w:p>
          <w:p w14:paraId="14D4D6F4" w14:textId="77777777" w:rsidR="007E1C88" w:rsidRDefault="007E1C88" w:rsidP="00540B5A">
            <w:pPr>
              <w:rPr>
                <w:sz w:val="24"/>
                <w:szCs w:val="24"/>
              </w:rPr>
            </w:pPr>
          </w:p>
          <w:p w14:paraId="4447088F" w14:textId="77777777" w:rsidR="007E1C88" w:rsidRDefault="007E1C88" w:rsidP="00540B5A">
            <w:pPr>
              <w:rPr>
                <w:sz w:val="24"/>
                <w:szCs w:val="24"/>
              </w:rPr>
            </w:pPr>
            <w:r>
              <w:rPr>
                <w:b/>
                <w:sz w:val="24"/>
                <w:szCs w:val="24"/>
              </w:rPr>
              <w:lastRenderedPageBreak/>
              <w:t>Ikke almindelig</w:t>
            </w:r>
            <w:r>
              <w:rPr>
                <w:sz w:val="24"/>
                <w:szCs w:val="24"/>
              </w:rPr>
              <w:t xml:space="preserve">: </w:t>
            </w:r>
            <w:proofErr w:type="spellStart"/>
            <w:r>
              <w:rPr>
                <w:sz w:val="24"/>
                <w:szCs w:val="24"/>
              </w:rPr>
              <w:t>Aspartataminotransferase</w:t>
            </w:r>
            <w:proofErr w:type="spellEnd"/>
            <w:r>
              <w:rPr>
                <w:sz w:val="24"/>
                <w:szCs w:val="24"/>
              </w:rPr>
              <w:t xml:space="preserve"> forhøjet, alkalisk fosfatase i blod forhøjet, </w:t>
            </w:r>
            <w:proofErr w:type="spellStart"/>
            <w:r>
              <w:rPr>
                <w:sz w:val="24"/>
                <w:szCs w:val="24"/>
              </w:rPr>
              <w:t>kreatinfosfokinase</w:t>
            </w:r>
            <w:proofErr w:type="spellEnd"/>
            <w:r>
              <w:rPr>
                <w:sz w:val="24"/>
                <w:szCs w:val="24"/>
              </w:rPr>
              <w:t xml:space="preserve"> i blod forhøjet, hæmoglobin nedsat og </w:t>
            </w:r>
            <w:proofErr w:type="spellStart"/>
            <w:r>
              <w:rPr>
                <w:sz w:val="24"/>
                <w:szCs w:val="24"/>
              </w:rPr>
              <w:t>trombocyttal</w:t>
            </w:r>
            <w:proofErr w:type="spellEnd"/>
            <w:r>
              <w:rPr>
                <w:sz w:val="24"/>
                <w:szCs w:val="24"/>
              </w:rPr>
              <w:t xml:space="preserve"> nedsat.</w:t>
            </w:r>
          </w:p>
        </w:tc>
      </w:tr>
    </w:tbl>
    <w:p w14:paraId="142EEF07" w14:textId="77777777" w:rsidR="007E1C88" w:rsidRDefault="007E1C88" w:rsidP="007E1C88">
      <w:pPr>
        <w:autoSpaceDE w:val="0"/>
        <w:autoSpaceDN w:val="0"/>
        <w:adjustRightInd w:val="0"/>
        <w:ind w:left="851" w:hanging="851"/>
        <w:rPr>
          <w:sz w:val="24"/>
          <w:szCs w:val="24"/>
        </w:rPr>
      </w:pPr>
    </w:p>
    <w:p w14:paraId="6794A7B2" w14:textId="77777777" w:rsidR="007E1C88" w:rsidRDefault="007E1C88" w:rsidP="007E1C88">
      <w:pPr>
        <w:autoSpaceDE w:val="0"/>
        <w:autoSpaceDN w:val="0"/>
        <w:ind w:left="851"/>
        <w:rPr>
          <w:sz w:val="24"/>
          <w:szCs w:val="24"/>
          <w:u w:val="single"/>
        </w:rPr>
      </w:pPr>
      <w:r>
        <w:rPr>
          <w:sz w:val="24"/>
          <w:szCs w:val="24"/>
          <w:u w:val="single"/>
        </w:rPr>
        <w:t>Indberetning af formodede bivirkninger</w:t>
      </w:r>
    </w:p>
    <w:p w14:paraId="4CF254CB" w14:textId="77777777" w:rsidR="007E1C88" w:rsidRDefault="007E1C88" w:rsidP="007E1C88">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1B530E">
        <w:rPr>
          <w:sz w:val="24"/>
          <w:szCs w:val="24"/>
        </w:rPr>
        <w:t>S</w:t>
      </w:r>
      <w:r>
        <w:rPr>
          <w:sz w:val="24"/>
          <w:szCs w:val="24"/>
        </w:rPr>
        <w:t>undhedsperson</w:t>
      </w:r>
      <w:r w:rsidR="001B530E">
        <w:rPr>
          <w:sz w:val="24"/>
          <w:szCs w:val="24"/>
        </w:rPr>
        <w:t>er</w:t>
      </w:r>
      <w:r>
        <w:rPr>
          <w:sz w:val="24"/>
          <w:szCs w:val="24"/>
        </w:rPr>
        <w:t xml:space="preserve"> anmodes om at indberette alle formodede bivirkninger via:</w:t>
      </w:r>
    </w:p>
    <w:p w14:paraId="07ABD6A0" w14:textId="77777777" w:rsidR="007E1C88" w:rsidRDefault="007E1C88" w:rsidP="007E1C88">
      <w:pPr>
        <w:ind w:left="851"/>
        <w:rPr>
          <w:sz w:val="24"/>
          <w:szCs w:val="24"/>
        </w:rPr>
      </w:pPr>
    </w:p>
    <w:p w14:paraId="66557AA9" w14:textId="77777777" w:rsidR="007E1C88" w:rsidRDefault="007E1C88" w:rsidP="007E1C88">
      <w:pPr>
        <w:ind w:left="851"/>
        <w:rPr>
          <w:sz w:val="24"/>
          <w:szCs w:val="24"/>
        </w:rPr>
      </w:pPr>
      <w:r>
        <w:rPr>
          <w:sz w:val="24"/>
          <w:szCs w:val="24"/>
        </w:rPr>
        <w:t>Lægemiddelstyrelsen</w:t>
      </w:r>
    </w:p>
    <w:p w14:paraId="784F8A9F" w14:textId="77777777" w:rsidR="007E1C88" w:rsidRDefault="007E1C88" w:rsidP="007E1C88">
      <w:pPr>
        <w:ind w:left="851"/>
        <w:rPr>
          <w:sz w:val="24"/>
          <w:szCs w:val="24"/>
        </w:rPr>
      </w:pPr>
      <w:r>
        <w:rPr>
          <w:sz w:val="24"/>
          <w:szCs w:val="24"/>
        </w:rPr>
        <w:t>Axel Heides Gade 1</w:t>
      </w:r>
    </w:p>
    <w:p w14:paraId="1E85DED0" w14:textId="77777777" w:rsidR="007E1C88" w:rsidRDefault="007E1C88" w:rsidP="007E1C88">
      <w:pPr>
        <w:ind w:left="851"/>
        <w:rPr>
          <w:sz w:val="24"/>
          <w:szCs w:val="24"/>
        </w:rPr>
      </w:pPr>
      <w:r>
        <w:rPr>
          <w:sz w:val="24"/>
          <w:szCs w:val="24"/>
        </w:rPr>
        <w:t>DK-2300 København S</w:t>
      </w:r>
    </w:p>
    <w:p w14:paraId="10C19E84" w14:textId="77777777" w:rsidR="007E1C88" w:rsidRPr="00927B24" w:rsidRDefault="007E1C88" w:rsidP="007E1C88">
      <w:pPr>
        <w:ind w:left="851"/>
        <w:rPr>
          <w:sz w:val="24"/>
          <w:szCs w:val="24"/>
        </w:rPr>
      </w:pPr>
      <w:r w:rsidRPr="00927B24">
        <w:rPr>
          <w:sz w:val="24"/>
          <w:szCs w:val="24"/>
        </w:rPr>
        <w:t xml:space="preserve">Websted: </w:t>
      </w:r>
      <w:hyperlink r:id="rId8" w:history="1">
        <w:r w:rsidRPr="00927B24">
          <w:rPr>
            <w:rStyle w:val="Hyperlink"/>
            <w:sz w:val="24"/>
          </w:rPr>
          <w:t>www.meldenbivirkning.dk</w:t>
        </w:r>
      </w:hyperlink>
    </w:p>
    <w:p w14:paraId="6EEAF655" w14:textId="77777777" w:rsidR="007E1C88" w:rsidRPr="00927B24" w:rsidRDefault="007E1C88" w:rsidP="007E1C88">
      <w:pPr>
        <w:autoSpaceDE w:val="0"/>
        <w:autoSpaceDN w:val="0"/>
        <w:adjustRightInd w:val="0"/>
        <w:ind w:left="851" w:hanging="851"/>
        <w:rPr>
          <w:szCs w:val="24"/>
        </w:rPr>
      </w:pPr>
    </w:p>
    <w:p w14:paraId="46F9068D" w14:textId="77777777" w:rsidR="007E1C88" w:rsidRPr="00927B24" w:rsidRDefault="007E1C88" w:rsidP="00CF4A5C">
      <w:pPr>
        <w:ind w:left="851" w:hanging="851"/>
        <w:rPr>
          <w:b/>
          <w:sz w:val="24"/>
          <w:szCs w:val="24"/>
        </w:rPr>
      </w:pPr>
      <w:r w:rsidRPr="00927B24">
        <w:rPr>
          <w:b/>
          <w:sz w:val="24"/>
          <w:szCs w:val="24"/>
        </w:rPr>
        <w:t>4.9</w:t>
      </w:r>
      <w:r w:rsidRPr="00927B24">
        <w:rPr>
          <w:b/>
          <w:sz w:val="24"/>
          <w:szCs w:val="24"/>
        </w:rPr>
        <w:tab/>
        <w:t>Overdosering</w:t>
      </w:r>
    </w:p>
    <w:p w14:paraId="564022C1" w14:textId="77777777" w:rsidR="00054D1F" w:rsidRDefault="00054D1F" w:rsidP="007E1C88">
      <w:pPr>
        <w:ind w:firstLine="851"/>
        <w:rPr>
          <w:sz w:val="24"/>
          <w:szCs w:val="24"/>
          <w:u w:val="single"/>
        </w:rPr>
      </w:pPr>
    </w:p>
    <w:p w14:paraId="5A7D29CF" w14:textId="65AA6DB8" w:rsidR="007E1C88" w:rsidRPr="00927B24" w:rsidRDefault="007E1C88" w:rsidP="007E1C88">
      <w:pPr>
        <w:ind w:firstLine="851"/>
        <w:rPr>
          <w:sz w:val="24"/>
          <w:szCs w:val="24"/>
          <w:u w:val="single"/>
        </w:rPr>
      </w:pPr>
      <w:r w:rsidRPr="00927B24">
        <w:rPr>
          <w:sz w:val="24"/>
          <w:szCs w:val="24"/>
          <w:u w:val="single"/>
        </w:rPr>
        <w:t>Paracetamol</w:t>
      </w:r>
    </w:p>
    <w:p w14:paraId="0EB9DB32" w14:textId="77777777" w:rsidR="007E1C88" w:rsidRPr="00927B24" w:rsidRDefault="007E1C88" w:rsidP="007E1C88">
      <w:pPr>
        <w:ind w:left="851" w:hanging="851"/>
        <w:rPr>
          <w:color w:val="000000"/>
          <w:sz w:val="24"/>
          <w:szCs w:val="24"/>
        </w:rPr>
      </w:pPr>
    </w:p>
    <w:p w14:paraId="0B1ABD59" w14:textId="77777777" w:rsidR="007E1C88" w:rsidRPr="00096AFC" w:rsidRDefault="007E1C88" w:rsidP="007E1C88">
      <w:pPr>
        <w:ind w:left="851"/>
        <w:rPr>
          <w:color w:val="000000"/>
          <w:sz w:val="24"/>
          <w:szCs w:val="24"/>
        </w:rPr>
      </w:pPr>
      <w:r w:rsidRPr="00096AFC">
        <w:rPr>
          <w:color w:val="000000"/>
          <w:sz w:val="24"/>
          <w:szCs w:val="24"/>
        </w:rPr>
        <w:t xml:space="preserve">Symptomer </w:t>
      </w:r>
    </w:p>
    <w:p w14:paraId="1BDEAAF1" w14:textId="77777777" w:rsidR="007E1C88" w:rsidRPr="00096AFC" w:rsidRDefault="007E1C88" w:rsidP="007E1C88">
      <w:pPr>
        <w:ind w:left="851"/>
        <w:rPr>
          <w:color w:val="000000"/>
          <w:sz w:val="24"/>
          <w:szCs w:val="24"/>
        </w:rPr>
      </w:pPr>
      <w:r w:rsidRPr="00096AFC">
        <w:rPr>
          <w:color w:val="000000"/>
          <w:sz w:val="24"/>
          <w:szCs w:val="24"/>
        </w:rPr>
        <w:t xml:space="preserve">I mange tilfælde af overdosering med paracetamol er der ingen tidlige symptomer. Bleghed, kvalme, opkastning, anoreksi og </w:t>
      </w:r>
      <w:proofErr w:type="spellStart"/>
      <w:r w:rsidRPr="00096AFC">
        <w:rPr>
          <w:color w:val="000000"/>
          <w:sz w:val="24"/>
          <w:szCs w:val="24"/>
        </w:rPr>
        <w:t>abdominalsmerte</w:t>
      </w:r>
      <w:proofErr w:type="spellEnd"/>
      <w:r w:rsidRPr="00096AFC">
        <w:rPr>
          <w:color w:val="000000"/>
          <w:sz w:val="24"/>
          <w:szCs w:val="24"/>
        </w:rPr>
        <w:t xml:space="preserve"> er tidlige tegn på overdosering med paracetamol. Leverskade kan vise sig 12 til 48 timer efter indtagelsen. Abnormiteter i </w:t>
      </w:r>
      <w:proofErr w:type="spellStart"/>
      <w:r w:rsidRPr="00096AFC">
        <w:rPr>
          <w:color w:val="000000"/>
          <w:sz w:val="24"/>
          <w:szCs w:val="24"/>
        </w:rPr>
        <w:t>glu</w:t>
      </w:r>
      <w:r>
        <w:rPr>
          <w:color w:val="000000"/>
          <w:sz w:val="24"/>
          <w:szCs w:val="24"/>
        </w:rPr>
        <w:t>c</w:t>
      </w:r>
      <w:r w:rsidRPr="00096AFC">
        <w:rPr>
          <w:color w:val="000000"/>
          <w:sz w:val="24"/>
          <w:szCs w:val="24"/>
        </w:rPr>
        <w:t>osemetabolismen</w:t>
      </w:r>
      <w:proofErr w:type="spellEnd"/>
      <w:r w:rsidRPr="00096AFC">
        <w:rPr>
          <w:color w:val="000000"/>
          <w:sz w:val="24"/>
          <w:szCs w:val="24"/>
        </w:rPr>
        <w:t xml:space="preserve"> og metabolisk </w:t>
      </w:r>
      <w:proofErr w:type="spellStart"/>
      <w:r w:rsidRPr="00096AFC">
        <w:rPr>
          <w:color w:val="000000"/>
          <w:sz w:val="24"/>
          <w:szCs w:val="24"/>
        </w:rPr>
        <w:t>acidose</w:t>
      </w:r>
      <w:proofErr w:type="spellEnd"/>
      <w:r w:rsidRPr="00096AFC">
        <w:rPr>
          <w:color w:val="000000"/>
          <w:sz w:val="24"/>
          <w:szCs w:val="24"/>
        </w:rPr>
        <w:t xml:space="preserve"> kan forekomme. Ved svær forgiftning kan leverinsufficiens progrediere til encefalopati, </w:t>
      </w:r>
      <w:proofErr w:type="spellStart"/>
      <w:r w:rsidRPr="00096AFC">
        <w:rPr>
          <w:color w:val="000000"/>
          <w:sz w:val="24"/>
          <w:szCs w:val="24"/>
        </w:rPr>
        <w:t>hæmoragi</w:t>
      </w:r>
      <w:proofErr w:type="spellEnd"/>
      <w:r w:rsidRPr="00096AFC">
        <w:rPr>
          <w:color w:val="000000"/>
          <w:sz w:val="24"/>
          <w:szCs w:val="24"/>
        </w:rPr>
        <w:t xml:space="preserve">, hypoglykæmi, hjerneødem og død. Akut nyreinsufficiens med akut </w:t>
      </w:r>
      <w:proofErr w:type="spellStart"/>
      <w:r w:rsidRPr="00096AFC">
        <w:rPr>
          <w:color w:val="000000"/>
          <w:sz w:val="24"/>
          <w:szCs w:val="24"/>
        </w:rPr>
        <w:t>tubulær</w:t>
      </w:r>
      <w:proofErr w:type="spellEnd"/>
      <w:r w:rsidRPr="00096AFC">
        <w:rPr>
          <w:color w:val="000000"/>
          <w:sz w:val="24"/>
          <w:szCs w:val="24"/>
        </w:rPr>
        <w:t xml:space="preserve"> nekrose, hvor lændesmerte, hæmaturi og </w:t>
      </w:r>
      <w:proofErr w:type="spellStart"/>
      <w:r w:rsidRPr="00096AFC">
        <w:rPr>
          <w:color w:val="000000"/>
          <w:sz w:val="24"/>
          <w:szCs w:val="24"/>
        </w:rPr>
        <w:t>proteinuri</w:t>
      </w:r>
      <w:proofErr w:type="spellEnd"/>
      <w:r w:rsidRPr="00096AFC">
        <w:rPr>
          <w:color w:val="000000"/>
          <w:sz w:val="24"/>
          <w:szCs w:val="24"/>
        </w:rPr>
        <w:t xml:space="preserve"> er stærke indikatorer, kan udvikles, selv i fravær af svær leverskade. Der er indberettet </w:t>
      </w:r>
      <w:proofErr w:type="spellStart"/>
      <w:r w:rsidRPr="00096AFC">
        <w:rPr>
          <w:color w:val="000000"/>
          <w:sz w:val="24"/>
          <w:szCs w:val="24"/>
        </w:rPr>
        <w:t>hjertearytmier</w:t>
      </w:r>
      <w:proofErr w:type="spellEnd"/>
      <w:r w:rsidRPr="00096AFC">
        <w:rPr>
          <w:color w:val="000000"/>
          <w:sz w:val="24"/>
          <w:szCs w:val="24"/>
        </w:rPr>
        <w:t xml:space="preserve"> og </w:t>
      </w:r>
      <w:proofErr w:type="spellStart"/>
      <w:r w:rsidRPr="00096AFC">
        <w:rPr>
          <w:color w:val="000000"/>
          <w:sz w:val="24"/>
          <w:szCs w:val="24"/>
        </w:rPr>
        <w:t>pancreatitis</w:t>
      </w:r>
      <w:proofErr w:type="spellEnd"/>
      <w:r w:rsidRPr="00096AFC">
        <w:rPr>
          <w:color w:val="000000"/>
          <w:sz w:val="24"/>
          <w:szCs w:val="24"/>
        </w:rPr>
        <w:t xml:space="preserve">. </w:t>
      </w:r>
    </w:p>
    <w:p w14:paraId="4850AE73" w14:textId="77777777" w:rsidR="007E1C88" w:rsidRPr="00096AFC" w:rsidRDefault="007E1C88" w:rsidP="007E1C88">
      <w:pPr>
        <w:ind w:left="851" w:hanging="851"/>
        <w:rPr>
          <w:color w:val="000000"/>
          <w:sz w:val="24"/>
          <w:szCs w:val="24"/>
        </w:rPr>
      </w:pPr>
    </w:p>
    <w:p w14:paraId="5A4155E1" w14:textId="77777777" w:rsidR="007E1C88" w:rsidRPr="00096AFC" w:rsidRDefault="007E1C88" w:rsidP="007E1C88">
      <w:pPr>
        <w:ind w:left="851"/>
        <w:rPr>
          <w:color w:val="000000"/>
          <w:sz w:val="24"/>
          <w:szCs w:val="24"/>
        </w:rPr>
      </w:pPr>
      <w:r w:rsidRPr="00096AFC">
        <w:rPr>
          <w:color w:val="000000"/>
          <w:sz w:val="24"/>
          <w:szCs w:val="24"/>
        </w:rPr>
        <w:t xml:space="preserve">Håndtering </w:t>
      </w:r>
    </w:p>
    <w:p w14:paraId="17888C5B" w14:textId="77777777" w:rsidR="007E1C88" w:rsidRPr="00096AFC" w:rsidRDefault="007E1C88" w:rsidP="007E1C88">
      <w:pPr>
        <w:ind w:left="851"/>
        <w:rPr>
          <w:color w:val="000000"/>
          <w:sz w:val="24"/>
          <w:szCs w:val="24"/>
        </w:rPr>
      </w:pPr>
      <w:r w:rsidRPr="00096AFC">
        <w:rPr>
          <w:color w:val="000000"/>
          <w:sz w:val="24"/>
          <w:szCs w:val="24"/>
        </w:rPr>
        <w:t>På grund af forskelle i retningslinjerne for håndtering af overdosering med paracetamol i de forskellige medlemslande samt løbende opdatering af behandlingsanbefalingerne bør den nationale giftinformation rådspørges med hensyn til de mest opdaterede behandlingsanbefalinger for behandling af overdosering med paracetamol.</w:t>
      </w:r>
    </w:p>
    <w:p w14:paraId="6C7D3CF2" w14:textId="77777777" w:rsidR="007E1C88" w:rsidRPr="00096AFC" w:rsidRDefault="007E1C88" w:rsidP="007E1C88">
      <w:pPr>
        <w:ind w:left="851" w:hanging="851"/>
        <w:rPr>
          <w:color w:val="000000"/>
          <w:sz w:val="24"/>
          <w:szCs w:val="24"/>
        </w:rPr>
      </w:pPr>
    </w:p>
    <w:p w14:paraId="1B981178" w14:textId="77777777" w:rsidR="007E1C88" w:rsidRPr="00096AFC" w:rsidRDefault="007E1C88" w:rsidP="007E1C88">
      <w:pPr>
        <w:ind w:left="851"/>
        <w:rPr>
          <w:color w:val="000000"/>
          <w:sz w:val="24"/>
          <w:szCs w:val="24"/>
        </w:rPr>
      </w:pPr>
      <w:r w:rsidRPr="00096AFC">
        <w:rPr>
          <w:color w:val="000000"/>
          <w:sz w:val="24"/>
          <w:szCs w:val="24"/>
        </w:rPr>
        <w:t xml:space="preserve">Omgående behandling er afgørende i håndteringen af en overdosis paracetamol. På trods af manglende væsentlige tidlige symptomer bør patienter henvises akut til hospitalet med henblik på omgående lægehjælp. </w:t>
      </w:r>
    </w:p>
    <w:p w14:paraId="33E2DE52" w14:textId="77777777" w:rsidR="007E1C88" w:rsidRPr="00096AFC" w:rsidRDefault="007E1C88" w:rsidP="007E1C88">
      <w:pPr>
        <w:ind w:left="851" w:hanging="851"/>
        <w:rPr>
          <w:color w:val="000000"/>
          <w:sz w:val="24"/>
          <w:szCs w:val="24"/>
        </w:rPr>
      </w:pPr>
    </w:p>
    <w:p w14:paraId="2177AC55" w14:textId="77777777" w:rsidR="007E1C88" w:rsidRPr="00096AFC" w:rsidRDefault="007E1C88" w:rsidP="007E1C88">
      <w:pPr>
        <w:ind w:left="851"/>
        <w:rPr>
          <w:color w:val="000000"/>
          <w:sz w:val="24"/>
          <w:szCs w:val="24"/>
        </w:rPr>
      </w:pPr>
      <w:r w:rsidRPr="00096AFC">
        <w:rPr>
          <w:color w:val="000000"/>
          <w:sz w:val="24"/>
          <w:szCs w:val="24"/>
        </w:rPr>
        <w:t>Ved mistanke om akut overdosering med paracetamol eller spredt overdosering med paracetamol bør behandling med N-</w:t>
      </w:r>
      <w:proofErr w:type="spellStart"/>
      <w:r w:rsidRPr="00096AFC">
        <w:rPr>
          <w:color w:val="000000"/>
          <w:sz w:val="24"/>
          <w:szCs w:val="24"/>
        </w:rPr>
        <w:t>acetylcystein</w:t>
      </w:r>
      <w:proofErr w:type="spellEnd"/>
      <w:r w:rsidRPr="00096AFC">
        <w:rPr>
          <w:color w:val="000000"/>
          <w:sz w:val="24"/>
          <w:szCs w:val="24"/>
        </w:rPr>
        <w:t xml:space="preserve"> straks påbegyndes. </w:t>
      </w:r>
    </w:p>
    <w:p w14:paraId="071B09BB" w14:textId="77777777" w:rsidR="007E1C88" w:rsidRPr="00096AFC" w:rsidRDefault="007E1C88" w:rsidP="007E1C88">
      <w:pPr>
        <w:ind w:left="851" w:hanging="851"/>
        <w:rPr>
          <w:color w:val="000000"/>
          <w:sz w:val="24"/>
          <w:szCs w:val="24"/>
        </w:rPr>
      </w:pPr>
    </w:p>
    <w:p w14:paraId="3350FE09" w14:textId="77777777" w:rsidR="007E1C88" w:rsidRPr="00096AFC" w:rsidRDefault="007E1C88" w:rsidP="007E1C88">
      <w:pPr>
        <w:ind w:left="851"/>
        <w:rPr>
          <w:color w:val="000000"/>
          <w:sz w:val="24"/>
          <w:szCs w:val="24"/>
        </w:rPr>
      </w:pPr>
      <w:r w:rsidRPr="00096AFC">
        <w:rPr>
          <w:color w:val="000000"/>
          <w:sz w:val="24"/>
          <w:szCs w:val="24"/>
        </w:rPr>
        <w:t xml:space="preserve">Behandling med aktivt kul bør overvejes, hvis overdoseringen har fundet sted inden for 1 time. </w:t>
      </w:r>
    </w:p>
    <w:p w14:paraId="452E7477" w14:textId="77777777" w:rsidR="007E1C88" w:rsidRPr="00096AFC" w:rsidRDefault="007E1C88" w:rsidP="007E1C88">
      <w:pPr>
        <w:ind w:left="851" w:hanging="851"/>
        <w:rPr>
          <w:color w:val="000000"/>
          <w:sz w:val="24"/>
          <w:szCs w:val="24"/>
        </w:rPr>
      </w:pPr>
    </w:p>
    <w:p w14:paraId="2236C0DD" w14:textId="77777777" w:rsidR="007E1C88" w:rsidRPr="00096AFC" w:rsidRDefault="007E1C88" w:rsidP="007E1C88">
      <w:pPr>
        <w:ind w:left="851"/>
        <w:rPr>
          <w:color w:val="000000"/>
          <w:sz w:val="24"/>
          <w:szCs w:val="24"/>
        </w:rPr>
      </w:pPr>
      <w:r w:rsidRPr="00096AFC">
        <w:rPr>
          <w:color w:val="000000"/>
          <w:sz w:val="24"/>
          <w:szCs w:val="24"/>
        </w:rPr>
        <w:t>N-</w:t>
      </w:r>
      <w:proofErr w:type="spellStart"/>
      <w:r w:rsidRPr="00096AFC">
        <w:rPr>
          <w:color w:val="000000"/>
          <w:sz w:val="24"/>
          <w:szCs w:val="24"/>
        </w:rPr>
        <w:t>acetylcystein</w:t>
      </w:r>
      <w:proofErr w:type="spellEnd"/>
      <w:r w:rsidRPr="00096AFC">
        <w:rPr>
          <w:color w:val="000000"/>
          <w:sz w:val="24"/>
          <w:szCs w:val="24"/>
        </w:rPr>
        <w:t xml:space="preserve"> skal doseres ud fra vægtbaserede doseringstabeller for </w:t>
      </w:r>
      <w:proofErr w:type="spellStart"/>
      <w:r w:rsidRPr="00096AFC">
        <w:rPr>
          <w:color w:val="000000"/>
          <w:sz w:val="24"/>
          <w:szCs w:val="24"/>
        </w:rPr>
        <w:t>acetylcystein</w:t>
      </w:r>
      <w:proofErr w:type="spellEnd"/>
      <w:r w:rsidRPr="00096AFC">
        <w:rPr>
          <w:color w:val="000000"/>
          <w:sz w:val="24"/>
          <w:szCs w:val="24"/>
        </w:rPr>
        <w:t xml:space="preserve"> for voksne og børn, som findes i produktresumeet for N-</w:t>
      </w:r>
      <w:proofErr w:type="spellStart"/>
      <w:r w:rsidRPr="00096AFC">
        <w:rPr>
          <w:color w:val="000000"/>
          <w:sz w:val="24"/>
          <w:szCs w:val="24"/>
        </w:rPr>
        <w:t>acetylcystein</w:t>
      </w:r>
      <w:proofErr w:type="spellEnd"/>
      <w:r w:rsidRPr="00096AFC">
        <w:rPr>
          <w:color w:val="000000"/>
          <w:sz w:val="24"/>
          <w:szCs w:val="24"/>
        </w:rPr>
        <w:t xml:space="preserve"> eller i de nationale behandlingsretningslinjer. </w:t>
      </w:r>
    </w:p>
    <w:p w14:paraId="2991AAA4" w14:textId="77777777" w:rsidR="007E1C88" w:rsidRPr="00096AFC" w:rsidRDefault="007E1C88" w:rsidP="007E1C88">
      <w:pPr>
        <w:ind w:left="851" w:hanging="851"/>
        <w:rPr>
          <w:color w:val="000000"/>
          <w:sz w:val="24"/>
          <w:szCs w:val="24"/>
        </w:rPr>
      </w:pPr>
    </w:p>
    <w:p w14:paraId="544C0C93" w14:textId="77777777" w:rsidR="007E1C88" w:rsidRPr="00096AFC" w:rsidRDefault="007E1C88" w:rsidP="007E1C88">
      <w:pPr>
        <w:ind w:left="851"/>
        <w:rPr>
          <w:color w:val="000000"/>
          <w:sz w:val="24"/>
          <w:szCs w:val="24"/>
        </w:rPr>
      </w:pPr>
      <w:r w:rsidRPr="00096AFC">
        <w:rPr>
          <w:color w:val="000000"/>
          <w:sz w:val="24"/>
          <w:szCs w:val="24"/>
        </w:rPr>
        <w:t>Varigheden af behandlingen med N-</w:t>
      </w:r>
      <w:proofErr w:type="spellStart"/>
      <w:r w:rsidRPr="00096AFC">
        <w:rPr>
          <w:color w:val="000000"/>
          <w:sz w:val="24"/>
          <w:szCs w:val="24"/>
        </w:rPr>
        <w:t>acetylcystein</w:t>
      </w:r>
      <w:proofErr w:type="spellEnd"/>
      <w:r w:rsidRPr="00096AFC">
        <w:rPr>
          <w:color w:val="000000"/>
          <w:sz w:val="24"/>
          <w:szCs w:val="24"/>
        </w:rPr>
        <w:t xml:space="preserve"> afhænger af graden af leverskade og bør følge de nationale retningslinjers anbefalinger.</w:t>
      </w:r>
    </w:p>
    <w:p w14:paraId="048B49AF" w14:textId="77777777" w:rsidR="007E1C88" w:rsidRPr="00096AFC" w:rsidRDefault="007E1C88" w:rsidP="007E1C88">
      <w:pPr>
        <w:ind w:left="851" w:hanging="851"/>
        <w:rPr>
          <w:color w:val="000000"/>
          <w:sz w:val="24"/>
          <w:szCs w:val="24"/>
        </w:rPr>
      </w:pPr>
    </w:p>
    <w:p w14:paraId="6E966FBA" w14:textId="77777777" w:rsidR="007E1C88" w:rsidRPr="00096AFC" w:rsidRDefault="007E1C88" w:rsidP="007E1C88">
      <w:pPr>
        <w:ind w:left="851"/>
        <w:rPr>
          <w:sz w:val="24"/>
          <w:szCs w:val="24"/>
        </w:rPr>
      </w:pPr>
      <w:r w:rsidRPr="00096AFC">
        <w:rPr>
          <w:sz w:val="24"/>
          <w:szCs w:val="24"/>
        </w:rPr>
        <w:lastRenderedPageBreak/>
        <w:t>Der bør tages kontakt til en leverenhed</w:t>
      </w:r>
    </w:p>
    <w:p w14:paraId="1C491268" w14:textId="77777777" w:rsidR="007E1C88" w:rsidRPr="00096AFC" w:rsidRDefault="007E1C88" w:rsidP="007E1C88">
      <w:pPr>
        <w:numPr>
          <w:ilvl w:val="0"/>
          <w:numId w:val="7"/>
        </w:numPr>
        <w:ind w:left="1276" w:hanging="425"/>
        <w:rPr>
          <w:sz w:val="24"/>
          <w:szCs w:val="24"/>
        </w:rPr>
      </w:pPr>
      <w:r w:rsidRPr="00096AFC">
        <w:rPr>
          <w:sz w:val="24"/>
          <w:szCs w:val="24"/>
        </w:rPr>
        <w:t xml:space="preserve">Ved tegn på </w:t>
      </w:r>
      <w:proofErr w:type="spellStart"/>
      <w:r w:rsidRPr="00096AFC">
        <w:rPr>
          <w:sz w:val="24"/>
          <w:szCs w:val="24"/>
        </w:rPr>
        <w:t>hepatocellulær</w:t>
      </w:r>
      <w:proofErr w:type="spellEnd"/>
      <w:r w:rsidRPr="00096AFC">
        <w:rPr>
          <w:sz w:val="24"/>
          <w:szCs w:val="24"/>
        </w:rPr>
        <w:t xml:space="preserve"> skade (forhøjet ALAT) og kritisk påvirkede koagulationsparametre (INR &gt; 1,6); </w:t>
      </w:r>
    </w:p>
    <w:p w14:paraId="3A53DF8C" w14:textId="77777777" w:rsidR="007E1C88" w:rsidRPr="00096AFC" w:rsidRDefault="007E1C88" w:rsidP="007E1C88">
      <w:pPr>
        <w:numPr>
          <w:ilvl w:val="0"/>
          <w:numId w:val="7"/>
        </w:numPr>
        <w:ind w:left="1276" w:hanging="425"/>
        <w:rPr>
          <w:sz w:val="24"/>
          <w:szCs w:val="24"/>
        </w:rPr>
      </w:pPr>
      <w:proofErr w:type="spellStart"/>
      <w:r w:rsidRPr="00096AFC">
        <w:rPr>
          <w:sz w:val="24"/>
          <w:szCs w:val="24"/>
        </w:rPr>
        <w:t>Renal</w:t>
      </w:r>
      <w:proofErr w:type="spellEnd"/>
      <w:r w:rsidRPr="00096AFC">
        <w:rPr>
          <w:sz w:val="24"/>
          <w:szCs w:val="24"/>
        </w:rPr>
        <w:t xml:space="preserve"> dysfunktion og/eller metabolisk </w:t>
      </w:r>
      <w:proofErr w:type="spellStart"/>
      <w:r w:rsidRPr="00096AFC">
        <w:rPr>
          <w:sz w:val="24"/>
          <w:szCs w:val="24"/>
        </w:rPr>
        <w:t>acidose</w:t>
      </w:r>
      <w:proofErr w:type="spellEnd"/>
      <w:r w:rsidRPr="00096AFC">
        <w:rPr>
          <w:sz w:val="24"/>
          <w:szCs w:val="24"/>
        </w:rPr>
        <w:t xml:space="preserve">, der ikke kan korrigeres med væske; </w:t>
      </w:r>
    </w:p>
    <w:p w14:paraId="3EB3C770" w14:textId="77777777" w:rsidR="007E1C88" w:rsidRPr="00096AFC" w:rsidRDefault="007E1C88" w:rsidP="007E1C88">
      <w:pPr>
        <w:numPr>
          <w:ilvl w:val="0"/>
          <w:numId w:val="7"/>
        </w:numPr>
        <w:ind w:left="1276" w:hanging="425"/>
        <w:rPr>
          <w:sz w:val="24"/>
          <w:szCs w:val="24"/>
        </w:rPr>
      </w:pPr>
      <w:r w:rsidRPr="00096AFC">
        <w:rPr>
          <w:sz w:val="24"/>
          <w:szCs w:val="24"/>
        </w:rPr>
        <w:t>Encefalopati</w:t>
      </w:r>
    </w:p>
    <w:p w14:paraId="11F6FBC4" w14:textId="77777777" w:rsidR="007E1C88" w:rsidRPr="00096AFC" w:rsidRDefault="007E1C88" w:rsidP="007E1C88">
      <w:pPr>
        <w:ind w:left="851" w:hanging="851"/>
        <w:rPr>
          <w:color w:val="000000"/>
          <w:sz w:val="24"/>
          <w:szCs w:val="24"/>
        </w:rPr>
      </w:pPr>
    </w:p>
    <w:p w14:paraId="4B254D24" w14:textId="77777777" w:rsidR="007E1C88" w:rsidRPr="00096AFC" w:rsidRDefault="007E1C88" w:rsidP="007E1C88">
      <w:pPr>
        <w:ind w:left="851"/>
        <w:rPr>
          <w:sz w:val="24"/>
          <w:szCs w:val="24"/>
          <w:u w:val="single"/>
        </w:rPr>
      </w:pPr>
      <w:r w:rsidRPr="00096AFC">
        <w:rPr>
          <w:sz w:val="24"/>
          <w:szCs w:val="24"/>
          <w:u w:val="single"/>
        </w:rPr>
        <w:t>Ibuprofen</w:t>
      </w:r>
    </w:p>
    <w:p w14:paraId="710D4E18" w14:textId="77777777" w:rsidR="007E1C88" w:rsidRPr="00096AFC" w:rsidRDefault="007E1C88" w:rsidP="007E1C88">
      <w:pPr>
        <w:ind w:left="851" w:hanging="851"/>
        <w:rPr>
          <w:sz w:val="24"/>
          <w:szCs w:val="24"/>
        </w:rPr>
      </w:pPr>
    </w:p>
    <w:p w14:paraId="2679DDC4" w14:textId="77777777" w:rsidR="007E1C88" w:rsidRPr="00096AFC" w:rsidRDefault="007E1C88" w:rsidP="007E1C88">
      <w:pPr>
        <w:shd w:val="clear" w:color="auto" w:fill="FFFFFF"/>
        <w:ind w:left="851"/>
        <w:rPr>
          <w:color w:val="000000"/>
          <w:sz w:val="24"/>
          <w:szCs w:val="24"/>
        </w:rPr>
      </w:pPr>
      <w:r w:rsidRPr="00096AFC">
        <w:rPr>
          <w:color w:val="000000"/>
          <w:sz w:val="24"/>
          <w:szCs w:val="24"/>
        </w:rPr>
        <w:t>Hos børn kan indtagelse af mere end 400 mg/kg forårsage symptomer. Hos voksne er dosisresponseffekten mindre klar. Halveringstiden ved overdosering er 1,5-3 timer.</w:t>
      </w:r>
    </w:p>
    <w:p w14:paraId="2C3D632C" w14:textId="77777777" w:rsidR="007E1C88" w:rsidRPr="00096AFC" w:rsidRDefault="007E1C88" w:rsidP="007E1C88">
      <w:pPr>
        <w:shd w:val="clear" w:color="auto" w:fill="FFFFFF"/>
        <w:ind w:left="851" w:hanging="851"/>
        <w:rPr>
          <w:color w:val="000000"/>
          <w:sz w:val="24"/>
          <w:szCs w:val="24"/>
        </w:rPr>
      </w:pPr>
    </w:p>
    <w:p w14:paraId="43807DA9" w14:textId="77777777" w:rsidR="00453E1A" w:rsidRDefault="00453E1A" w:rsidP="00453E1A">
      <w:pPr>
        <w:shd w:val="clear" w:color="auto" w:fill="FFFFFF"/>
        <w:ind w:left="851"/>
        <w:rPr>
          <w:color w:val="000000"/>
          <w:sz w:val="24"/>
          <w:szCs w:val="24"/>
        </w:rPr>
      </w:pPr>
      <w:r>
        <w:rPr>
          <w:color w:val="000000"/>
          <w:sz w:val="24"/>
          <w:szCs w:val="24"/>
        </w:rPr>
        <w:t>Symptomer</w:t>
      </w:r>
    </w:p>
    <w:p w14:paraId="33619BB4" w14:textId="77777777" w:rsidR="00453E1A" w:rsidRDefault="00453E1A" w:rsidP="00453E1A">
      <w:pPr>
        <w:shd w:val="clear" w:color="auto" w:fill="FFFFFF"/>
        <w:ind w:left="851"/>
        <w:rPr>
          <w:color w:val="000000"/>
          <w:sz w:val="24"/>
          <w:szCs w:val="24"/>
        </w:rPr>
      </w:pPr>
      <w:r>
        <w:rPr>
          <w:color w:val="000000"/>
          <w:sz w:val="24"/>
          <w:szCs w:val="24"/>
        </w:rPr>
        <w:t xml:space="preserve">De fleste patienter, der har indtaget klinisk betydende mængder NSAID, vil ikke udvikle andet end kvalme, opkastning, </w:t>
      </w:r>
      <w:proofErr w:type="spellStart"/>
      <w:r>
        <w:rPr>
          <w:color w:val="000000"/>
          <w:sz w:val="24"/>
          <w:szCs w:val="24"/>
        </w:rPr>
        <w:t>epigastrisk</w:t>
      </w:r>
      <w:proofErr w:type="spellEnd"/>
      <w:r>
        <w:rPr>
          <w:color w:val="000000"/>
          <w:sz w:val="24"/>
          <w:szCs w:val="24"/>
        </w:rPr>
        <w:t xml:space="preserve"> smerte eller i sjældnere tilfælde diarré. Tinnitus, hovedpine og </w:t>
      </w:r>
      <w:proofErr w:type="spellStart"/>
      <w:r>
        <w:rPr>
          <w:color w:val="000000"/>
          <w:sz w:val="24"/>
          <w:szCs w:val="24"/>
        </w:rPr>
        <w:t>gastrointestinal</w:t>
      </w:r>
      <w:proofErr w:type="spellEnd"/>
      <w:r>
        <w:rPr>
          <w:color w:val="000000"/>
          <w:sz w:val="24"/>
          <w:szCs w:val="24"/>
        </w:rPr>
        <w:t xml:space="preserve"> blødning er også muligt. Ved mere alvorlig forgiftning ses der toksicitet i centralnervesystemet, der manifesterer sig som døsighed, undertiden pirrelighed og desorientering eller koma. Patienter udvikler undertiden konvulsioner. Ved alvorlig forgiftning kan metabolisk </w:t>
      </w:r>
      <w:proofErr w:type="spellStart"/>
      <w:r>
        <w:rPr>
          <w:color w:val="000000"/>
          <w:sz w:val="24"/>
          <w:szCs w:val="24"/>
        </w:rPr>
        <w:t>acidose</w:t>
      </w:r>
      <w:proofErr w:type="spellEnd"/>
      <w:r>
        <w:rPr>
          <w:color w:val="000000"/>
          <w:sz w:val="24"/>
          <w:szCs w:val="24"/>
        </w:rPr>
        <w:t xml:space="preserve"> forekomme, og </w:t>
      </w:r>
      <w:proofErr w:type="spellStart"/>
      <w:r>
        <w:rPr>
          <w:color w:val="000000"/>
          <w:sz w:val="24"/>
          <w:szCs w:val="24"/>
        </w:rPr>
        <w:t>protrombintiden</w:t>
      </w:r>
      <w:proofErr w:type="spellEnd"/>
      <w:r>
        <w:rPr>
          <w:color w:val="000000"/>
          <w:sz w:val="24"/>
          <w:szCs w:val="24"/>
        </w:rPr>
        <w:t xml:space="preserve">/INR kan være </w:t>
      </w:r>
      <w:proofErr w:type="spellStart"/>
      <w:r w:rsidRPr="0034562D">
        <w:rPr>
          <w:color w:val="000000"/>
          <w:sz w:val="24"/>
          <w:szCs w:val="24"/>
        </w:rPr>
        <w:t>Hypotermi</w:t>
      </w:r>
      <w:proofErr w:type="spellEnd"/>
      <w:r w:rsidRPr="0034562D">
        <w:rPr>
          <w:color w:val="000000"/>
          <w:sz w:val="24"/>
          <w:szCs w:val="24"/>
        </w:rPr>
        <w:t xml:space="preserve"> er blevet rapporteret efter administration af ibuprofen i både toksiske og terapeutiske doser.</w:t>
      </w:r>
      <w:r>
        <w:rPr>
          <w:color w:val="000000"/>
          <w:sz w:val="24"/>
          <w:szCs w:val="24"/>
        </w:rPr>
        <w:t xml:space="preserve"> forlænget, sandsynligvis pga. interferens med cirkulerende størkningsfaktorers virkninger. Der kan forekomme akut nyreinsufficiens og leverskade. Forværring af astma er muligt hos astmatikere.</w:t>
      </w:r>
    </w:p>
    <w:p w14:paraId="429F2407" w14:textId="77777777" w:rsidR="00453E1A" w:rsidRDefault="00453E1A" w:rsidP="00453E1A">
      <w:pPr>
        <w:shd w:val="clear" w:color="auto" w:fill="FFFFFF"/>
        <w:ind w:left="851" w:hanging="851"/>
        <w:rPr>
          <w:color w:val="000000"/>
          <w:sz w:val="24"/>
          <w:szCs w:val="24"/>
        </w:rPr>
      </w:pPr>
    </w:p>
    <w:p w14:paraId="6E360000" w14:textId="77777777" w:rsidR="00453E1A" w:rsidRPr="00C11E46" w:rsidRDefault="00453E1A" w:rsidP="00453E1A">
      <w:pPr>
        <w:ind w:left="851"/>
        <w:rPr>
          <w:sz w:val="22"/>
          <w:szCs w:val="18"/>
        </w:rPr>
      </w:pPr>
      <w:r w:rsidRPr="00C11E46">
        <w:rPr>
          <w:sz w:val="22"/>
          <w:szCs w:val="22"/>
        </w:rPr>
        <w:t xml:space="preserve">Længerevarende brug ved højere doser end de anbefalede eller overdosis kan resultere i </w:t>
      </w:r>
      <w:proofErr w:type="spellStart"/>
      <w:r w:rsidRPr="00C11E46">
        <w:rPr>
          <w:sz w:val="22"/>
          <w:szCs w:val="22"/>
        </w:rPr>
        <w:t>renal</w:t>
      </w:r>
      <w:proofErr w:type="spellEnd"/>
      <w:r w:rsidRPr="00C11E46">
        <w:rPr>
          <w:sz w:val="22"/>
          <w:szCs w:val="22"/>
        </w:rPr>
        <w:t xml:space="preserve"> </w:t>
      </w:r>
      <w:proofErr w:type="spellStart"/>
      <w:r w:rsidRPr="00C11E46">
        <w:rPr>
          <w:sz w:val="22"/>
          <w:szCs w:val="22"/>
        </w:rPr>
        <w:t>tubulær</w:t>
      </w:r>
      <w:proofErr w:type="spellEnd"/>
      <w:r w:rsidRPr="00C11E46">
        <w:rPr>
          <w:sz w:val="22"/>
          <w:szCs w:val="22"/>
        </w:rPr>
        <w:t xml:space="preserve"> </w:t>
      </w:r>
      <w:proofErr w:type="spellStart"/>
      <w:r w:rsidRPr="00C11E46">
        <w:rPr>
          <w:sz w:val="22"/>
          <w:szCs w:val="22"/>
        </w:rPr>
        <w:t>acidose</w:t>
      </w:r>
      <w:proofErr w:type="spellEnd"/>
      <w:r w:rsidRPr="00C11E46">
        <w:rPr>
          <w:sz w:val="22"/>
          <w:szCs w:val="22"/>
        </w:rPr>
        <w:t xml:space="preserve"> og </w:t>
      </w:r>
      <w:proofErr w:type="spellStart"/>
      <w:r w:rsidRPr="00C11E46">
        <w:rPr>
          <w:sz w:val="22"/>
          <w:szCs w:val="22"/>
        </w:rPr>
        <w:t>hypokaliæmi</w:t>
      </w:r>
      <w:proofErr w:type="spellEnd"/>
      <w:r w:rsidRPr="00C11E46">
        <w:rPr>
          <w:sz w:val="22"/>
          <w:szCs w:val="22"/>
        </w:rPr>
        <w:t>.</w:t>
      </w:r>
    </w:p>
    <w:p w14:paraId="25394A47" w14:textId="77777777" w:rsidR="007E1C88" w:rsidRPr="00096AFC" w:rsidRDefault="007E1C88" w:rsidP="007E1C88">
      <w:pPr>
        <w:shd w:val="clear" w:color="auto" w:fill="FFFFFF"/>
        <w:ind w:left="851" w:hanging="851"/>
        <w:rPr>
          <w:color w:val="000000"/>
          <w:sz w:val="24"/>
          <w:szCs w:val="24"/>
        </w:rPr>
      </w:pPr>
    </w:p>
    <w:p w14:paraId="21E34AA7" w14:textId="77777777" w:rsidR="007E1C88" w:rsidRPr="00096AFC" w:rsidRDefault="007E1C88" w:rsidP="007E1C88">
      <w:pPr>
        <w:shd w:val="clear" w:color="auto" w:fill="FFFFFF"/>
        <w:ind w:left="851"/>
        <w:rPr>
          <w:color w:val="000000"/>
          <w:sz w:val="24"/>
          <w:szCs w:val="24"/>
        </w:rPr>
      </w:pPr>
      <w:r w:rsidRPr="00096AFC">
        <w:rPr>
          <w:color w:val="000000"/>
          <w:sz w:val="24"/>
          <w:szCs w:val="24"/>
        </w:rPr>
        <w:t>Håndtering</w:t>
      </w:r>
    </w:p>
    <w:p w14:paraId="27B3BFBD" w14:textId="77777777" w:rsidR="007E1C88" w:rsidRDefault="007E1C88" w:rsidP="007E1C88">
      <w:pPr>
        <w:shd w:val="clear" w:color="auto" w:fill="FFFFFF"/>
        <w:ind w:left="851"/>
        <w:rPr>
          <w:color w:val="000000"/>
          <w:sz w:val="24"/>
          <w:szCs w:val="24"/>
        </w:rPr>
      </w:pPr>
      <w:r w:rsidRPr="00096AFC">
        <w:rPr>
          <w:color w:val="000000"/>
          <w:sz w:val="24"/>
          <w:szCs w:val="24"/>
        </w:rPr>
        <w:t xml:space="preserve">Behandlingen skal være symptomatisk og understøttende og omfatte opretholdelse af frie luftveje og monitorering af hjerte og vitale værdier, indtil patienten er stabil. Overvej oral administration af aktivt kul, hvis patienten præsenterer inden for 1 time efter indtagelse af en potentielt toksisk mængde. Hvis de er hyppige eller langvarige, skal konvulsioner behandles med intravenøs </w:t>
      </w:r>
      <w:proofErr w:type="spellStart"/>
      <w:r w:rsidRPr="00096AFC">
        <w:rPr>
          <w:color w:val="000000"/>
          <w:sz w:val="24"/>
          <w:szCs w:val="24"/>
        </w:rPr>
        <w:t>diazepam</w:t>
      </w:r>
      <w:proofErr w:type="spellEnd"/>
      <w:r w:rsidRPr="00096AFC">
        <w:rPr>
          <w:color w:val="000000"/>
          <w:sz w:val="24"/>
          <w:szCs w:val="24"/>
        </w:rPr>
        <w:t xml:space="preserve"> eller </w:t>
      </w:r>
      <w:proofErr w:type="spellStart"/>
      <w:r w:rsidRPr="00096AFC">
        <w:rPr>
          <w:color w:val="000000"/>
          <w:sz w:val="24"/>
          <w:szCs w:val="24"/>
        </w:rPr>
        <w:t>lorazepam</w:t>
      </w:r>
      <w:proofErr w:type="spellEnd"/>
      <w:r w:rsidRPr="00096AFC">
        <w:rPr>
          <w:color w:val="000000"/>
          <w:sz w:val="24"/>
          <w:szCs w:val="24"/>
        </w:rPr>
        <w:t xml:space="preserve">. Giv </w:t>
      </w:r>
      <w:proofErr w:type="spellStart"/>
      <w:r w:rsidRPr="00096AFC">
        <w:rPr>
          <w:color w:val="000000"/>
          <w:sz w:val="24"/>
          <w:szCs w:val="24"/>
        </w:rPr>
        <w:t>bronkodilatorer</w:t>
      </w:r>
      <w:proofErr w:type="spellEnd"/>
      <w:r w:rsidRPr="00096AFC">
        <w:rPr>
          <w:color w:val="000000"/>
          <w:sz w:val="24"/>
          <w:szCs w:val="24"/>
        </w:rPr>
        <w:t xml:space="preserve"> for astma.</w:t>
      </w:r>
    </w:p>
    <w:p w14:paraId="35CF6BAF" w14:textId="77777777" w:rsidR="00540B5A" w:rsidRPr="00096AFC" w:rsidRDefault="00540B5A" w:rsidP="00540B5A">
      <w:pPr>
        <w:shd w:val="clear" w:color="auto" w:fill="FFFFFF"/>
        <w:ind w:left="851"/>
        <w:rPr>
          <w:color w:val="000000"/>
          <w:sz w:val="24"/>
          <w:szCs w:val="24"/>
        </w:rPr>
      </w:pPr>
      <w:r w:rsidRPr="0034562D">
        <w:rPr>
          <w:color w:val="000000"/>
          <w:sz w:val="24"/>
          <w:szCs w:val="24"/>
        </w:rPr>
        <w:t xml:space="preserve">Genopvarmning i tilfælde af </w:t>
      </w:r>
      <w:proofErr w:type="spellStart"/>
      <w:r w:rsidRPr="0034562D">
        <w:rPr>
          <w:color w:val="000000"/>
          <w:sz w:val="24"/>
          <w:szCs w:val="24"/>
        </w:rPr>
        <w:t>hypotermi</w:t>
      </w:r>
      <w:proofErr w:type="spellEnd"/>
      <w:r w:rsidRPr="0034562D">
        <w:rPr>
          <w:color w:val="000000"/>
          <w:sz w:val="24"/>
          <w:szCs w:val="24"/>
        </w:rPr>
        <w:t>.</w:t>
      </w:r>
    </w:p>
    <w:p w14:paraId="7162F0FD" w14:textId="77777777" w:rsidR="007E1C88" w:rsidRPr="00096AFC" w:rsidRDefault="007E1C88" w:rsidP="007E1C88">
      <w:pPr>
        <w:ind w:left="851" w:hanging="851"/>
        <w:rPr>
          <w:sz w:val="24"/>
          <w:szCs w:val="24"/>
        </w:rPr>
      </w:pPr>
    </w:p>
    <w:p w14:paraId="7BC400A2" w14:textId="77777777" w:rsidR="007E1C88" w:rsidRPr="00096AFC" w:rsidRDefault="007E1C88" w:rsidP="007E1C88">
      <w:pPr>
        <w:ind w:left="851" w:hanging="851"/>
        <w:rPr>
          <w:b/>
          <w:sz w:val="24"/>
          <w:szCs w:val="24"/>
        </w:rPr>
      </w:pPr>
      <w:r w:rsidRPr="00096AFC">
        <w:rPr>
          <w:b/>
          <w:sz w:val="24"/>
          <w:szCs w:val="24"/>
        </w:rPr>
        <w:t>4.10</w:t>
      </w:r>
      <w:r w:rsidRPr="00096AFC">
        <w:rPr>
          <w:b/>
          <w:sz w:val="24"/>
          <w:szCs w:val="24"/>
        </w:rPr>
        <w:tab/>
        <w:t>Udlevering</w:t>
      </w:r>
    </w:p>
    <w:p w14:paraId="29594841" w14:textId="77777777" w:rsidR="007E1C88" w:rsidRPr="00096AFC" w:rsidRDefault="007E1C88" w:rsidP="007E1C88">
      <w:pPr>
        <w:ind w:left="851" w:hanging="851"/>
        <w:rPr>
          <w:sz w:val="24"/>
          <w:szCs w:val="24"/>
        </w:rPr>
      </w:pPr>
      <w:r w:rsidRPr="00096AFC">
        <w:rPr>
          <w:sz w:val="24"/>
          <w:szCs w:val="24"/>
        </w:rPr>
        <w:tab/>
        <w:t>B</w:t>
      </w:r>
    </w:p>
    <w:p w14:paraId="6135B3C3" w14:textId="77777777" w:rsidR="007E1C88" w:rsidRPr="00096AFC" w:rsidRDefault="007E1C88" w:rsidP="007E1C88">
      <w:pPr>
        <w:ind w:left="851" w:hanging="851"/>
        <w:rPr>
          <w:sz w:val="24"/>
          <w:szCs w:val="24"/>
        </w:rPr>
      </w:pPr>
    </w:p>
    <w:p w14:paraId="643E2AFC" w14:textId="77777777" w:rsidR="007E1C88" w:rsidRPr="00096AFC" w:rsidRDefault="007E1C88" w:rsidP="007E1C88">
      <w:pPr>
        <w:ind w:left="851" w:hanging="851"/>
        <w:rPr>
          <w:sz w:val="24"/>
          <w:szCs w:val="24"/>
        </w:rPr>
      </w:pPr>
    </w:p>
    <w:p w14:paraId="4003FC02" w14:textId="77777777" w:rsidR="007E1C88" w:rsidRPr="00096AFC" w:rsidRDefault="007E1C88" w:rsidP="007E1C88">
      <w:pPr>
        <w:ind w:left="851" w:hanging="851"/>
        <w:rPr>
          <w:b/>
          <w:sz w:val="24"/>
          <w:szCs w:val="24"/>
        </w:rPr>
      </w:pPr>
      <w:r w:rsidRPr="00096AFC">
        <w:rPr>
          <w:b/>
          <w:sz w:val="24"/>
          <w:szCs w:val="24"/>
        </w:rPr>
        <w:t>5.</w:t>
      </w:r>
      <w:r w:rsidRPr="00096AFC">
        <w:rPr>
          <w:b/>
          <w:sz w:val="24"/>
          <w:szCs w:val="24"/>
        </w:rPr>
        <w:tab/>
        <w:t>FARMAKOLOGISKE EGENSKABER</w:t>
      </w:r>
    </w:p>
    <w:p w14:paraId="73E7B93B" w14:textId="77777777" w:rsidR="007E1C88" w:rsidRPr="00096AFC" w:rsidRDefault="007E1C88" w:rsidP="007E1C88">
      <w:pPr>
        <w:ind w:left="851" w:hanging="851"/>
        <w:rPr>
          <w:sz w:val="24"/>
          <w:szCs w:val="24"/>
        </w:rPr>
      </w:pPr>
    </w:p>
    <w:p w14:paraId="1BBA0AD7" w14:textId="77777777" w:rsidR="007E1C88" w:rsidRPr="00CF4A5C" w:rsidRDefault="007E1C88" w:rsidP="00CF4A5C">
      <w:pPr>
        <w:ind w:left="851" w:hanging="851"/>
        <w:rPr>
          <w:b/>
          <w:sz w:val="24"/>
          <w:szCs w:val="24"/>
        </w:rPr>
      </w:pPr>
      <w:r w:rsidRPr="00096AFC">
        <w:rPr>
          <w:b/>
          <w:sz w:val="24"/>
          <w:szCs w:val="24"/>
        </w:rPr>
        <w:t>5.1</w:t>
      </w:r>
      <w:r w:rsidRPr="00096AFC">
        <w:rPr>
          <w:b/>
          <w:sz w:val="24"/>
          <w:szCs w:val="24"/>
        </w:rPr>
        <w:tab/>
      </w:r>
      <w:proofErr w:type="spellStart"/>
      <w:r w:rsidRPr="00096AFC">
        <w:rPr>
          <w:b/>
          <w:sz w:val="24"/>
          <w:szCs w:val="24"/>
        </w:rPr>
        <w:t>Farmakodynamiske</w:t>
      </w:r>
      <w:proofErr w:type="spellEnd"/>
      <w:r w:rsidRPr="00096AFC">
        <w:rPr>
          <w:b/>
          <w:sz w:val="24"/>
          <w:szCs w:val="24"/>
        </w:rPr>
        <w:t xml:space="preserve"> egenskaber</w:t>
      </w:r>
    </w:p>
    <w:p w14:paraId="3C42C259" w14:textId="657BF3B4" w:rsidR="002A714D" w:rsidRPr="002A714D" w:rsidRDefault="002A714D" w:rsidP="007E1C88">
      <w:pPr>
        <w:autoSpaceDE w:val="0"/>
        <w:autoSpaceDN w:val="0"/>
        <w:adjustRightInd w:val="0"/>
        <w:ind w:left="851"/>
        <w:rPr>
          <w:sz w:val="24"/>
          <w:szCs w:val="24"/>
        </w:rPr>
      </w:pPr>
      <w:proofErr w:type="spellStart"/>
      <w:r>
        <w:rPr>
          <w:sz w:val="24"/>
          <w:szCs w:val="24"/>
        </w:rPr>
        <w:t>Farmakoterapeutisk</w:t>
      </w:r>
      <w:proofErr w:type="spellEnd"/>
      <w:r>
        <w:rPr>
          <w:sz w:val="24"/>
          <w:szCs w:val="24"/>
        </w:rPr>
        <w:t xml:space="preserve"> klassifikation: </w:t>
      </w:r>
      <w:r w:rsidR="00802112" w:rsidRPr="00AF7206">
        <w:rPr>
          <w:sz w:val="24"/>
          <w:szCs w:val="24"/>
        </w:rPr>
        <w:t xml:space="preserve">Paracetamol, kombinationer </w:t>
      </w:r>
      <w:proofErr w:type="spellStart"/>
      <w:r w:rsidR="00802112" w:rsidRPr="00AF7206">
        <w:rPr>
          <w:sz w:val="24"/>
          <w:szCs w:val="24"/>
        </w:rPr>
        <w:t>excl</w:t>
      </w:r>
      <w:proofErr w:type="spellEnd"/>
      <w:r w:rsidR="00802112" w:rsidRPr="00AF7206">
        <w:rPr>
          <w:sz w:val="24"/>
          <w:szCs w:val="24"/>
        </w:rPr>
        <w:t xml:space="preserve">. </w:t>
      </w:r>
      <w:proofErr w:type="spellStart"/>
      <w:r w:rsidR="00802112" w:rsidRPr="00AF7206">
        <w:rPr>
          <w:sz w:val="24"/>
          <w:szCs w:val="24"/>
        </w:rPr>
        <w:t>psycholeptica</w:t>
      </w:r>
      <w:proofErr w:type="spellEnd"/>
      <w:r w:rsidR="00054D1F">
        <w:rPr>
          <w:sz w:val="24"/>
          <w:szCs w:val="24"/>
        </w:rPr>
        <w:t xml:space="preserve">, </w:t>
      </w:r>
      <w:r w:rsidRPr="00096AFC">
        <w:rPr>
          <w:sz w:val="24"/>
          <w:szCs w:val="24"/>
        </w:rPr>
        <w:t xml:space="preserve">ATC-kode: </w:t>
      </w:r>
      <w:r w:rsidR="00802112">
        <w:rPr>
          <w:sz w:val="24"/>
          <w:szCs w:val="24"/>
        </w:rPr>
        <w:t>N02BE51.</w:t>
      </w:r>
    </w:p>
    <w:p w14:paraId="6826B7CE" w14:textId="77777777" w:rsidR="002A714D" w:rsidRDefault="002A714D" w:rsidP="007E1C88">
      <w:pPr>
        <w:autoSpaceDE w:val="0"/>
        <w:autoSpaceDN w:val="0"/>
        <w:adjustRightInd w:val="0"/>
        <w:ind w:left="851"/>
        <w:rPr>
          <w:sz w:val="24"/>
          <w:szCs w:val="24"/>
          <w:u w:val="single"/>
        </w:rPr>
      </w:pPr>
    </w:p>
    <w:p w14:paraId="3066541F" w14:textId="77777777" w:rsidR="007E1C88" w:rsidRPr="00096AFC" w:rsidRDefault="007E1C88" w:rsidP="007E1C88">
      <w:pPr>
        <w:autoSpaceDE w:val="0"/>
        <w:autoSpaceDN w:val="0"/>
        <w:adjustRightInd w:val="0"/>
        <w:ind w:left="851"/>
        <w:rPr>
          <w:sz w:val="24"/>
          <w:szCs w:val="24"/>
        </w:rPr>
      </w:pPr>
      <w:r w:rsidRPr="00096AFC">
        <w:rPr>
          <w:sz w:val="24"/>
          <w:szCs w:val="24"/>
          <w:u w:val="single"/>
        </w:rPr>
        <w:t>Virkningsmekanisme</w:t>
      </w:r>
    </w:p>
    <w:p w14:paraId="60B5ED85" w14:textId="77777777" w:rsidR="007E1C88" w:rsidRPr="00096AFC" w:rsidRDefault="007E1C88" w:rsidP="007E1C88">
      <w:pPr>
        <w:autoSpaceDE w:val="0"/>
        <w:autoSpaceDN w:val="0"/>
        <w:adjustRightInd w:val="0"/>
        <w:ind w:left="851" w:hanging="851"/>
        <w:rPr>
          <w:sz w:val="24"/>
          <w:szCs w:val="24"/>
        </w:rPr>
      </w:pPr>
    </w:p>
    <w:p w14:paraId="3E65F35D" w14:textId="77777777" w:rsidR="007E1C88" w:rsidRPr="00096AFC" w:rsidRDefault="007E1C88" w:rsidP="007E1C88">
      <w:pPr>
        <w:autoSpaceDE w:val="0"/>
        <w:autoSpaceDN w:val="0"/>
        <w:adjustRightInd w:val="0"/>
        <w:ind w:left="851"/>
        <w:rPr>
          <w:sz w:val="24"/>
          <w:szCs w:val="24"/>
        </w:rPr>
      </w:pPr>
      <w:r w:rsidRPr="00096AFC">
        <w:rPr>
          <w:sz w:val="24"/>
          <w:szCs w:val="24"/>
        </w:rPr>
        <w:t>Selvom den præcise placering og mekanisme for paracetamols analgetiske virkning ikke er klart defineret, inducerer det tilsyneladende analgesi ved at forhøje smertetærsklen. Den potentielle mekanisme kan omfatte hæmning af nitrogenoxid-signalvejen medieret af flere forskellige neurotransmitterreceptorer, herunder N-</w:t>
      </w:r>
      <w:proofErr w:type="spellStart"/>
      <w:r w:rsidRPr="00096AFC">
        <w:rPr>
          <w:sz w:val="24"/>
          <w:szCs w:val="24"/>
        </w:rPr>
        <w:t>methyl</w:t>
      </w:r>
      <w:proofErr w:type="spellEnd"/>
      <w:r w:rsidRPr="00096AFC">
        <w:rPr>
          <w:sz w:val="24"/>
          <w:szCs w:val="24"/>
        </w:rPr>
        <w:t>-D-</w:t>
      </w:r>
      <w:proofErr w:type="spellStart"/>
      <w:r w:rsidRPr="00096AFC">
        <w:rPr>
          <w:sz w:val="24"/>
          <w:szCs w:val="24"/>
        </w:rPr>
        <w:t>aspartat</w:t>
      </w:r>
      <w:proofErr w:type="spellEnd"/>
      <w:r w:rsidRPr="00096AFC">
        <w:rPr>
          <w:sz w:val="24"/>
          <w:szCs w:val="24"/>
        </w:rPr>
        <w:t xml:space="preserve"> og substans P.</w:t>
      </w:r>
    </w:p>
    <w:p w14:paraId="68360DC6" w14:textId="77777777" w:rsidR="007E1C88" w:rsidRPr="00096AFC" w:rsidRDefault="007E1C88" w:rsidP="007E1C88">
      <w:pPr>
        <w:autoSpaceDE w:val="0"/>
        <w:autoSpaceDN w:val="0"/>
        <w:adjustRightInd w:val="0"/>
        <w:ind w:left="851" w:hanging="851"/>
        <w:rPr>
          <w:sz w:val="24"/>
          <w:szCs w:val="24"/>
        </w:rPr>
      </w:pPr>
    </w:p>
    <w:p w14:paraId="7CBB60B5" w14:textId="77777777" w:rsidR="007E1C88" w:rsidRPr="00096AFC" w:rsidRDefault="007E1C88" w:rsidP="007E1C88">
      <w:pPr>
        <w:autoSpaceDE w:val="0"/>
        <w:autoSpaceDN w:val="0"/>
        <w:adjustRightInd w:val="0"/>
        <w:ind w:left="851"/>
        <w:rPr>
          <w:sz w:val="24"/>
          <w:szCs w:val="24"/>
        </w:rPr>
      </w:pPr>
      <w:r w:rsidRPr="00096AFC">
        <w:rPr>
          <w:sz w:val="24"/>
          <w:szCs w:val="24"/>
        </w:rPr>
        <w:lastRenderedPageBreak/>
        <w:t xml:space="preserve">Ibuprofen er et </w:t>
      </w:r>
      <w:proofErr w:type="spellStart"/>
      <w:r w:rsidRPr="00096AFC">
        <w:rPr>
          <w:sz w:val="24"/>
          <w:szCs w:val="24"/>
        </w:rPr>
        <w:t>propionsyre</w:t>
      </w:r>
      <w:proofErr w:type="spellEnd"/>
      <w:r w:rsidRPr="00096AFC">
        <w:rPr>
          <w:sz w:val="24"/>
          <w:szCs w:val="24"/>
        </w:rPr>
        <w:t xml:space="preserve">-derivat med analgetisk, anti-inflammatorisk og </w:t>
      </w:r>
      <w:proofErr w:type="spellStart"/>
      <w:r w:rsidRPr="00096AFC">
        <w:rPr>
          <w:sz w:val="24"/>
          <w:szCs w:val="24"/>
        </w:rPr>
        <w:t>anti-pyretisk</w:t>
      </w:r>
      <w:proofErr w:type="spellEnd"/>
      <w:r w:rsidRPr="00096AFC">
        <w:rPr>
          <w:sz w:val="24"/>
          <w:szCs w:val="24"/>
        </w:rPr>
        <w:t xml:space="preserve"> aktivitet. Lægemidlets terapeutiske virkninger som NSAID er et resultat af dets hæmmende virkning på enzymet </w:t>
      </w:r>
      <w:proofErr w:type="spellStart"/>
      <w:r w:rsidRPr="00096AFC">
        <w:rPr>
          <w:sz w:val="24"/>
          <w:szCs w:val="24"/>
        </w:rPr>
        <w:t>cyklooxygenase</w:t>
      </w:r>
      <w:proofErr w:type="spellEnd"/>
      <w:r w:rsidRPr="00096AFC">
        <w:rPr>
          <w:sz w:val="24"/>
          <w:szCs w:val="24"/>
        </w:rPr>
        <w:t xml:space="preserve">, som medfører et fald i </w:t>
      </w:r>
      <w:proofErr w:type="spellStart"/>
      <w:r w:rsidRPr="00096AFC">
        <w:rPr>
          <w:sz w:val="24"/>
          <w:szCs w:val="24"/>
        </w:rPr>
        <w:t>prostaglandinsyntesen</w:t>
      </w:r>
      <w:proofErr w:type="spellEnd"/>
      <w:r w:rsidRPr="00096AFC">
        <w:rPr>
          <w:sz w:val="24"/>
          <w:szCs w:val="24"/>
        </w:rPr>
        <w:t>.</w:t>
      </w:r>
    </w:p>
    <w:p w14:paraId="3B7A02A7" w14:textId="77777777" w:rsidR="007E1C88" w:rsidRPr="00096AFC" w:rsidRDefault="007E1C88" w:rsidP="007E1C88">
      <w:pPr>
        <w:autoSpaceDE w:val="0"/>
        <w:autoSpaceDN w:val="0"/>
        <w:adjustRightInd w:val="0"/>
        <w:ind w:left="851" w:hanging="851"/>
        <w:rPr>
          <w:sz w:val="24"/>
          <w:szCs w:val="24"/>
        </w:rPr>
      </w:pPr>
    </w:p>
    <w:p w14:paraId="52C4A718" w14:textId="77777777" w:rsidR="007E1C88" w:rsidRPr="00096AFC" w:rsidRDefault="007E1C88" w:rsidP="007E1C88">
      <w:pPr>
        <w:autoSpaceDE w:val="0"/>
        <w:autoSpaceDN w:val="0"/>
        <w:adjustRightInd w:val="0"/>
        <w:ind w:left="851"/>
        <w:rPr>
          <w:sz w:val="24"/>
          <w:szCs w:val="24"/>
        </w:rPr>
      </w:pPr>
      <w:r w:rsidRPr="00096AFC">
        <w:rPr>
          <w:sz w:val="24"/>
          <w:szCs w:val="24"/>
        </w:rPr>
        <w:t xml:space="preserve">Ibuprofens præcise virkningsmekanisme menes at være gennem perifer hæmning af </w:t>
      </w:r>
      <w:proofErr w:type="spellStart"/>
      <w:r w:rsidRPr="00096AFC">
        <w:rPr>
          <w:sz w:val="24"/>
          <w:szCs w:val="24"/>
        </w:rPr>
        <w:t>cyklooxygenaser</w:t>
      </w:r>
      <w:proofErr w:type="spellEnd"/>
      <w:r w:rsidRPr="00096AFC">
        <w:rPr>
          <w:sz w:val="24"/>
          <w:szCs w:val="24"/>
        </w:rPr>
        <w:t xml:space="preserve"> og efterfølgende hæmning af </w:t>
      </w:r>
      <w:proofErr w:type="spellStart"/>
      <w:r w:rsidRPr="00096AFC">
        <w:rPr>
          <w:sz w:val="24"/>
          <w:szCs w:val="24"/>
        </w:rPr>
        <w:t>prostaglandinsyntesen</w:t>
      </w:r>
      <w:proofErr w:type="spellEnd"/>
      <w:r w:rsidRPr="00096AFC">
        <w:rPr>
          <w:sz w:val="24"/>
          <w:szCs w:val="24"/>
        </w:rPr>
        <w:t>.</w:t>
      </w:r>
    </w:p>
    <w:p w14:paraId="5D4B292C" w14:textId="77777777" w:rsidR="007E1C88" w:rsidRPr="00096AFC" w:rsidRDefault="007E1C88" w:rsidP="007E1C88">
      <w:pPr>
        <w:autoSpaceDE w:val="0"/>
        <w:autoSpaceDN w:val="0"/>
        <w:adjustRightInd w:val="0"/>
        <w:ind w:left="851" w:hanging="851"/>
        <w:rPr>
          <w:sz w:val="24"/>
          <w:szCs w:val="24"/>
        </w:rPr>
      </w:pPr>
    </w:p>
    <w:p w14:paraId="27775494" w14:textId="77777777" w:rsidR="007E1C88" w:rsidRPr="00096AFC" w:rsidRDefault="007E1C88" w:rsidP="007E1C88">
      <w:pPr>
        <w:autoSpaceDE w:val="0"/>
        <w:autoSpaceDN w:val="0"/>
        <w:adjustRightInd w:val="0"/>
        <w:ind w:left="851"/>
        <w:rPr>
          <w:sz w:val="24"/>
          <w:szCs w:val="24"/>
        </w:rPr>
      </w:pPr>
      <w:r w:rsidRPr="00096AFC">
        <w:rPr>
          <w:sz w:val="24"/>
          <w:szCs w:val="24"/>
          <w:u w:val="single"/>
        </w:rPr>
        <w:t>Klinisk virkning og sikkerhed</w:t>
      </w:r>
    </w:p>
    <w:p w14:paraId="27F47235" w14:textId="77777777" w:rsidR="007E1C88" w:rsidRPr="00096AFC" w:rsidRDefault="007E1C88" w:rsidP="007E1C88">
      <w:pPr>
        <w:autoSpaceDE w:val="0"/>
        <w:autoSpaceDN w:val="0"/>
        <w:adjustRightInd w:val="0"/>
        <w:ind w:left="851" w:hanging="851"/>
        <w:rPr>
          <w:sz w:val="24"/>
          <w:szCs w:val="24"/>
        </w:rPr>
      </w:pPr>
    </w:p>
    <w:p w14:paraId="67CE16D2" w14:textId="77777777" w:rsidR="007E1C88" w:rsidRPr="00096AFC" w:rsidRDefault="007E1C88" w:rsidP="007E1C88">
      <w:pPr>
        <w:ind w:left="851"/>
        <w:rPr>
          <w:sz w:val="24"/>
          <w:szCs w:val="24"/>
        </w:rPr>
      </w:pPr>
      <w:r w:rsidRPr="00096AFC">
        <w:rPr>
          <w:sz w:val="24"/>
          <w:szCs w:val="24"/>
        </w:rPr>
        <w:t>Der er udført randomiserede, dobbeltblindede studier med kombinationen med postoperativ smerte som akut tandsmertemodel. Studierne viste, at:</w:t>
      </w:r>
    </w:p>
    <w:p w14:paraId="684E5FA3" w14:textId="77777777" w:rsidR="007E1C88" w:rsidRPr="00096AFC" w:rsidRDefault="007E1C88" w:rsidP="007E1C88">
      <w:pPr>
        <w:ind w:left="851" w:hanging="851"/>
        <w:jc w:val="both"/>
        <w:rPr>
          <w:sz w:val="24"/>
          <w:szCs w:val="24"/>
        </w:rPr>
      </w:pPr>
    </w:p>
    <w:p w14:paraId="21B7D8E4" w14:textId="30038D9B" w:rsidR="007E1C88" w:rsidRDefault="007E1C88" w:rsidP="007E1C88">
      <w:pPr>
        <w:numPr>
          <w:ilvl w:val="0"/>
          <w:numId w:val="8"/>
        </w:numPr>
        <w:suppressAutoHyphens/>
        <w:ind w:left="1276" w:hanging="425"/>
        <w:rPr>
          <w:sz w:val="24"/>
          <w:szCs w:val="24"/>
        </w:rPr>
      </w:pPr>
      <w:r>
        <w:rPr>
          <w:sz w:val="24"/>
          <w:szCs w:val="24"/>
        </w:rPr>
        <w:t>O</w:t>
      </w:r>
      <w:r w:rsidRPr="00096AFC">
        <w:rPr>
          <w:sz w:val="24"/>
          <w:szCs w:val="24"/>
        </w:rPr>
        <w:t xml:space="preserve">ver </w:t>
      </w:r>
      <w:r>
        <w:rPr>
          <w:sz w:val="24"/>
          <w:szCs w:val="24"/>
        </w:rPr>
        <w:t>4</w:t>
      </w:r>
      <w:r w:rsidRPr="00096AFC">
        <w:rPr>
          <w:sz w:val="24"/>
          <w:szCs w:val="24"/>
        </w:rPr>
        <w:t xml:space="preserve">8 timer havde </w:t>
      </w:r>
      <w:r>
        <w:rPr>
          <w:sz w:val="24"/>
          <w:szCs w:val="24"/>
        </w:rPr>
        <w:t xml:space="preserve">dette produkt </w:t>
      </w:r>
      <w:r w:rsidRPr="00096AFC">
        <w:rPr>
          <w:sz w:val="24"/>
          <w:szCs w:val="24"/>
        </w:rPr>
        <w:t xml:space="preserve">en hurtigere indsættende virkning end begge dets to </w:t>
      </w:r>
      <w:r>
        <w:rPr>
          <w:sz w:val="24"/>
          <w:szCs w:val="24"/>
        </w:rPr>
        <w:t xml:space="preserve">aktive </w:t>
      </w:r>
      <w:r w:rsidRPr="00096AFC">
        <w:rPr>
          <w:sz w:val="24"/>
          <w:szCs w:val="24"/>
        </w:rPr>
        <w:t>indholdsstoffer og fremkaldte overlegen analgesi sammenlignet med den samme daglige dosis paracetamol (i hvile: p=0,007, 90 % CI [mm]: -20,04; -4,10, ved aktivitet, p=0,006, 90 % CI [mm]: -21,54; -4,58) og ibuprofen (i hvile p=0,003, 90 % CI [mm]: -21,54; -4,58, ved aktivitet, p=0,007, 90 % CI [mm]:-22,09; 4,56).</w:t>
      </w:r>
    </w:p>
    <w:p w14:paraId="135C5278" w14:textId="77777777" w:rsidR="00054D1F" w:rsidRPr="00096AFC" w:rsidRDefault="00054D1F" w:rsidP="00054D1F">
      <w:pPr>
        <w:suppressAutoHyphens/>
        <w:ind w:left="1276"/>
        <w:rPr>
          <w:sz w:val="24"/>
          <w:szCs w:val="24"/>
        </w:rPr>
      </w:pPr>
    </w:p>
    <w:p w14:paraId="25087327" w14:textId="77777777" w:rsidR="007E1C88" w:rsidRPr="00096AFC" w:rsidRDefault="007E1C88" w:rsidP="00054D1F">
      <w:pPr>
        <w:keepNext/>
        <w:ind w:left="851"/>
        <w:rPr>
          <w:b/>
          <w:sz w:val="24"/>
          <w:szCs w:val="24"/>
        </w:rPr>
      </w:pPr>
      <w:r w:rsidRPr="00096AFC">
        <w:rPr>
          <w:b/>
          <w:sz w:val="24"/>
          <w:szCs w:val="24"/>
        </w:rPr>
        <w:t xml:space="preserve">Plot over smertescorer—De givne scorer er dem, der er bedømt for hver 4-timers periode postoperativt </w:t>
      </w:r>
    </w:p>
    <w:p w14:paraId="50366E37" w14:textId="77777777" w:rsidR="007E1C88" w:rsidRPr="00096AFC" w:rsidRDefault="007E1C88" w:rsidP="00054D1F">
      <w:pPr>
        <w:keepNext/>
        <w:suppressAutoHyphens/>
        <w:ind w:left="851" w:hanging="851"/>
        <w:jc w:val="both"/>
        <w:rPr>
          <w:sz w:val="24"/>
          <w:szCs w:val="24"/>
        </w:rPr>
      </w:pPr>
    </w:p>
    <w:p w14:paraId="532F2605" w14:textId="77777777" w:rsidR="007E1C88" w:rsidRPr="00096AFC" w:rsidRDefault="007E1C88" w:rsidP="00054D1F">
      <w:pPr>
        <w:keepNext/>
        <w:ind w:left="851"/>
        <w:rPr>
          <w:sz w:val="24"/>
          <w:szCs w:val="24"/>
        </w:rPr>
      </w:pPr>
      <w:r>
        <w:rPr>
          <w:noProof/>
          <w:sz w:val="24"/>
          <w:szCs w:val="24"/>
          <w:lang w:eastAsia="da-DK"/>
        </w:rPr>
        <w:drawing>
          <wp:anchor distT="0" distB="0" distL="114300" distR="114300" simplePos="0" relativeHeight="251659264" behindDoc="0" locked="0" layoutInCell="1" allowOverlap="1" wp14:anchorId="2D44BDCC" wp14:editId="4131F39B">
            <wp:simplePos x="0" y="0"/>
            <wp:positionH relativeFrom="column">
              <wp:posOffset>4518660</wp:posOffset>
            </wp:positionH>
            <wp:positionV relativeFrom="paragraph">
              <wp:posOffset>986155</wp:posOffset>
            </wp:positionV>
            <wp:extent cx="1219200" cy="1133475"/>
            <wp:effectExtent l="0" t="0" r="0" b="9525"/>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133475"/>
                    </a:xfrm>
                    <a:prstGeom prst="rect">
                      <a:avLst/>
                    </a:prstGeom>
                    <a:noFill/>
                    <a:ln>
                      <a:noFill/>
                    </a:ln>
                  </pic:spPr>
                </pic:pic>
              </a:graphicData>
            </a:graphic>
          </wp:anchor>
        </w:drawing>
      </w:r>
      <w:r>
        <w:rPr>
          <w:noProof/>
          <w:sz w:val="24"/>
          <w:szCs w:val="24"/>
          <w:lang w:eastAsia="da-DK"/>
        </w:rPr>
        <w:drawing>
          <wp:inline distT="0" distB="0" distL="0" distR="0" wp14:anchorId="345B5980" wp14:editId="2F855553">
            <wp:extent cx="5290820" cy="3070860"/>
            <wp:effectExtent l="0" t="0" r="5080" b="15240"/>
            <wp:docPr id="2" name="Billed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D27930" w14:textId="77777777" w:rsidR="007E1C88" w:rsidRPr="00096AFC" w:rsidRDefault="007E1C88" w:rsidP="007E1C88">
      <w:pPr>
        <w:ind w:left="851" w:hanging="851"/>
        <w:jc w:val="both"/>
        <w:rPr>
          <w:sz w:val="24"/>
          <w:szCs w:val="24"/>
        </w:rPr>
      </w:pPr>
    </w:p>
    <w:p w14:paraId="6F800B70" w14:textId="77777777" w:rsidR="007E1C88" w:rsidRPr="001D1376" w:rsidRDefault="007E1C88" w:rsidP="004E015F">
      <w:pPr>
        <w:numPr>
          <w:ilvl w:val="0"/>
          <w:numId w:val="8"/>
        </w:numPr>
        <w:suppressAutoHyphens/>
        <w:autoSpaceDE w:val="0"/>
        <w:autoSpaceDN w:val="0"/>
        <w:adjustRightInd w:val="0"/>
        <w:ind w:left="1418" w:hanging="567"/>
        <w:rPr>
          <w:b/>
          <w:sz w:val="24"/>
          <w:szCs w:val="24"/>
        </w:rPr>
      </w:pPr>
      <w:r w:rsidRPr="001D1376">
        <w:rPr>
          <w:sz w:val="24"/>
          <w:szCs w:val="24"/>
        </w:rPr>
        <w:t>Alle tre evaluerede doser (halv tablet eller én tablet eller to tabletter) var effektive sammenlignet med placebo (to tabletter: p=0,004, 95 % CI [mm/hr]:-23,32; -4,66; én tablet: p=0,002, 90 % CI [mm/hr]:-20,78; -4,84; halv tablet: p=0,002, 95 % CI [mm/hr]:-20,73; -4,51), og den højeste dosis [to tabletter] havde den største responsrate (50 %, p=0,003), laveste maksimum VAS-smertescorer (p=0,009, 95 % CI [mm]: -17,73; -2,41), længste tid til nødmedicinering (p=0,001, 95 % CI [t]: 2,27; 12,41) og laveste % patienter med behov for nødmedicinering (53,3 %, p=0,007). Alle disse mål var signifikant forskellige fra placebo (p&lt;0,05).</w:t>
      </w:r>
    </w:p>
    <w:p w14:paraId="1E43C233" w14:textId="77777777" w:rsidR="007E1C88" w:rsidRDefault="007E1C88" w:rsidP="007E1C88">
      <w:pPr>
        <w:suppressAutoHyphens/>
        <w:autoSpaceDE w:val="0"/>
        <w:autoSpaceDN w:val="0"/>
        <w:adjustRightInd w:val="0"/>
        <w:rPr>
          <w:b/>
          <w:sz w:val="24"/>
          <w:szCs w:val="24"/>
        </w:rPr>
      </w:pPr>
    </w:p>
    <w:p w14:paraId="287DD168" w14:textId="77777777" w:rsidR="007E1C88" w:rsidRPr="001D1376" w:rsidRDefault="007E1C88" w:rsidP="00054D1F">
      <w:pPr>
        <w:keepNext/>
        <w:suppressAutoHyphens/>
        <w:autoSpaceDE w:val="0"/>
        <w:autoSpaceDN w:val="0"/>
        <w:adjustRightInd w:val="0"/>
        <w:ind w:left="851"/>
        <w:rPr>
          <w:b/>
          <w:sz w:val="24"/>
          <w:szCs w:val="24"/>
        </w:rPr>
      </w:pPr>
      <w:r w:rsidRPr="001D1376">
        <w:rPr>
          <w:b/>
          <w:sz w:val="24"/>
          <w:szCs w:val="24"/>
        </w:rPr>
        <w:lastRenderedPageBreak/>
        <w:t>Forskelle i smerteintensitet efter behandlingsgruppe de første seks timer efter første dosis</w:t>
      </w:r>
    </w:p>
    <w:p w14:paraId="7DD74311" w14:textId="77777777" w:rsidR="007E1C88" w:rsidRPr="00096AFC" w:rsidRDefault="007E1C88" w:rsidP="00054D1F">
      <w:pPr>
        <w:keepNext/>
        <w:autoSpaceDE w:val="0"/>
        <w:autoSpaceDN w:val="0"/>
        <w:adjustRightInd w:val="0"/>
        <w:ind w:left="851" w:hanging="851"/>
        <w:rPr>
          <w:sz w:val="24"/>
          <w:szCs w:val="24"/>
        </w:rPr>
      </w:pPr>
    </w:p>
    <w:p w14:paraId="4634DD89" w14:textId="77777777" w:rsidR="007E1C88" w:rsidRPr="00096AFC" w:rsidRDefault="007E1C88" w:rsidP="00054D1F">
      <w:pPr>
        <w:keepNext/>
        <w:autoSpaceDE w:val="0"/>
        <w:autoSpaceDN w:val="0"/>
        <w:adjustRightInd w:val="0"/>
        <w:ind w:left="851"/>
        <w:rPr>
          <w:sz w:val="24"/>
          <w:szCs w:val="24"/>
        </w:rPr>
      </w:pPr>
      <w:r>
        <w:rPr>
          <w:noProof/>
          <w:sz w:val="24"/>
          <w:szCs w:val="24"/>
          <w:lang w:eastAsia="da-DK"/>
        </w:rPr>
        <w:drawing>
          <wp:inline distT="0" distB="0" distL="0" distR="0" wp14:anchorId="2927121E" wp14:editId="5AEECEE1">
            <wp:extent cx="4572000" cy="2769870"/>
            <wp:effectExtent l="0" t="0" r="0" b="11430"/>
            <wp:docPr id="3" name="Billed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239C12" w14:textId="77777777" w:rsidR="007E1C88" w:rsidRPr="00096AFC" w:rsidRDefault="007E1C88" w:rsidP="007E1C88">
      <w:pPr>
        <w:autoSpaceDE w:val="0"/>
        <w:autoSpaceDN w:val="0"/>
        <w:adjustRightInd w:val="0"/>
        <w:ind w:left="851" w:hanging="851"/>
        <w:rPr>
          <w:sz w:val="24"/>
          <w:szCs w:val="24"/>
        </w:rPr>
      </w:pPr>
    </w:p>
    <w:p w14:paraId="72274D6E" w14:textId="77777777" w:rsidR="007E1C88" w:rsidRDefault="007E1C88" w:rsidP="007E1C88">
      <w:pPr>
        <w:pStyle w:val="Text"/>
        <w:ind w:left="851"/>
        <w:jc w:val="left"/>
        <w:rPr>
          <w:szCs w:val="24"/>
          <w:lang w:val="da-DK"/>
        </w:rPr>
      </w:pPr>
      <w:r>
        <w:rPr>
          <w:szCs w:val="24"/>
          <w:lang w:val="da-DK"/>
        </w:rPr>
        <w:t xml:space="preserve">Eksperimentelle data tyder på, at ibuprofen muligvis </w:t>
      </w:r>
      <w:proofErr w:type="spellStart"/>
      <w:r>
        <w:rPr>
          <w:szCs w:val="24"/>
          <w:lang w:val="da-DK"/>
        </w:rPr>
        <w:t>kompetitivt</w:t>
      </w:r>
      <w:proofErr w:type="spellEnd"/>
      <w:r>
        <w:rPr>
          <w:szCs w:val="24"/>
          <w:lang w:val="da-DK"/>
        </w:rPr>
        <w:t xml:space="preserve"> hæmmer virkningen af lavdosis acetylsalicylsyre på </w:t>
      </w:r>
      <w:proofErr w:type="spellStart"/>
      <w:r>
        <w:rPr>
          <w:szCs w:val="24"/>
          <w:lang w:val="da-DK"/>
        </w:rPr>
        <w:t>trombocytaggregation</w:t>
      </w:r>
      <w:proofErr w:type="spellEnd"/>
      <w:r>
        <w:rPr>
          <w:szCs w:val="24"/>
          <w:lang w:val="da-DK"/>
        </w:rPr>
        <w:t xml:space="preserve"> ved samtidig administration. Nogle </w:t>
      </w:r>
      <w:proofErr w:type="spellStart"/>
      <w:r>
        <w:rPr>
          <w:szCs w:val="24"/>
          <w:lang w:val="da-DK"/>
        </w:rPr>
        <w:t>farmakodynamiske</w:t>
      </w:r>
      <w:proofErr w:type="spellEnd"/>
      <w:r>
        <w:rPr>
          <w:szCs w:val="24"/>
          <w:lang w:val="da-DK"/>
        </w:rPr>
        <w:t xml:space="preserve"> studier viser, acetylsalicylsyres virkning på dannelse af </w:t>
      </w:r>
      <w:proofErr w:type="spellStart"/>
      <w:r>
        <w:rPr>
          <w:szCs w:val="24"/>
          <w:lang w:val="da-DK"/>
        </w:rPr>
        <w:t>tromboxan</w:t>
      </w:r>
      <w:proofErr w:type="spellEnd"/>
      <w:r>
        <w:rPr>
          <w:szCs w:val="24"/>
          <w:lang w:val="da-DK"/>
        </w:rPr>
        <w:t xml:space="preserve"> eller </w:t>
      </w:r>
      <w:proofErr w:type="spellStart"/>
      <w:r>
        <w:rPr>
          <w:szCs w:val="24"/>
          <w:lang w:val="da-DK"/>
        </w:rPr>
        <w:t>trombocytaggregation</w:t>
      </w:r>
      <w:proofErr w:type="spellEnd"/>
      <w:r>
        <w:rPr>
          <w:szCs w:val="24"/>
          <w:lang w:val="da-DK"/>
        </w:rPr>
        <w:t xml:space="preserve"> blev nedsat ved administration af enkeltdoser af ibuprofen på 400 mg inden for 8 timer før eller 30 minutter efter en dosis acetylsalicylsyre (81 mg) med umiddelbar udløsning. Selvom der er er usikkerhed vedrørende ekstrapolation af disse data til den kliniske situation, kan muligheden for, at regelmæssig langvarig behandling med ibuprofen kan nedsætte den </w:t>
      </w:r>
      <w:proofErr w:type="spellStart"/>
      <w:r>
        <w:rPr>
          <w:szCs w:val="24"/>
          <w:lang w:val="da-DK"/>
        </w:rPr>
        <w:t>kardioprotektive</w:t>
      </w:r>
      <w:proofErr w:type="spellEnd"/>
      <w:r>
        <w:rPr>
          <w:szCs w:val="24"/>
          <w:lang w:val="da-DK"/>
        </w:rPr>
        <w:t xml:space="preserve"> virkning af lavdosis acetylsalicylsyre, ikke udelukkes. En klinisk relevant virkning ved lejlighedsvis brug af ibuprofen anses ikke for at være sandsynlig (se pkt. 4.5).</w:t>
      </w:r>
    </w:p>
    <w:p w14:paraId="68D26E91" w14:textId="77777777" w:rsidR="007E1C88" w:rsidRPr="00096AFC" w:rsidRDefault="007E1C88" w:rsidP="007E1C88">
      <w:pPr>
        <w:ind w:left="851" w:hanging="851"/>
        <w:rPr>
          <w:sz w:val="24"/>
          <w:szCs w:val="24"/>
        </w:rPr>
      </w:pPr>
    </w:p>
    <w:p w14:paraId="6BE8A962" w14:textId="77777777" w:rsidR="007E1C88" w:rsidRPr="00CF4A5C" w:rsidRDefault="007E1C88" w:rsidP="00CF4A5C">
      <w:pPr>
        <w:ind w:left="851" w:hanging="851"/>
        <w:rPr>
          <w:b/>
          <w:sz w:val="24"/>
          <w:szCs w:val="24"/>
        </w:rPr>
      </w:pPr>
      <w:r w:rsidRPr="00096AFC">
        <w:rPr>
          <w:b/>
          <w:sz w:val="24"/>
          <w:szCs w:val="24"/>
        </w:rPr>
        <w:t>5.2</w:t>
      </w:r>
      <w:r w:rsidRPr="00096AFC">
        <w:rPr>
          <w:b/>
          <w:sz w:val="24"/>
          <w:szCs w:val="24"/>
        </w:rPr>
        <w:tab/>
      </w:r>
      <w:proofErr w:type="spellStart"/>
      <w:r w:rsidRPr="00096AFC">
        <w:rPr>
          <w:b/>
          <w:sz w:val="24"/>
          <w:szCs w:val="24"/>
        </w:rPr>
        <w:t>Farmakokinetiske</w:t>
      </w:r>
      <w:proofErr w:type="spellEnd"/>
      <w:r w:rsidRPr="00096AFC">
        <w:rPr>
          <w:b/>
          <w:sz w:val="24"/>
          <w:szCs w:val="24"/>
        </w:rPr>
        <w:t xml:space="preserve"> egenskaber</w:t>
      </w:r>
    </w:p>
    <w:p w14:paraId="6892E689" w14:textId="77777777" w:rsidR="00054D1F" w:rsidRDefault="00054D1F" w:rsidP="007E1C88">
      <w:pPr>
        <w:autoSpaceDE w:val="0"/>
        <w:autoSpaceDN w:val="0"/>
        <w:adjustRightInd w:val="0"/>
        <w:ind w:left="851"/>
        <w:rPr>
          <w:sz w:val="24"/>
          <w:szCs w:val="24"/>
          <w:u w:val="single"/>
        </w:rPr>
      </w:pPr>
    </w:p>
    <w:p w14:paraId="57B70657" w14:textId="7512AD65" w:rsidR="007E1C88" w:rsidRPr="00096AFC" w:rsidRDefault="007E1C88" w:rsidP="007E1C88">
      <w:pPr>
        <w:autoSpaceDE w:val="0"/>
        <w:autoSpaceDN w:val="0"/>
        <w:adjustRightInd w:val="0"/>
        <w:ind w:left="851"/>
        <w:rPr>
          <w:sz w:val="24"/>
          <w:szCs w:val="24"/>
        </w:rPr>
      </w:pPr>
      <w:r w:rsidRPr="00096AFC">
        <w:rPr>
          <w:sz w:val="24"/>
          <w:szCs w:val="24"/>
          <w:u w:val="single"/>
        </w:rPr>
        <w:t>Absorption</w:t>
      </w:r>
    </w:p>
    <w:p w14:paraId="237B2D9F" w14:textId="77777777" w:rsidR="007E1C88" w:rsidRPr="00096AFC" w:rsidRDefault="007E1C88" w:rsidP="007E1C88">
      <w:pPr>
        <w:autoSpaceDE w:val="0"/>
        <w:autoSpaceDN w:val="0"/>
        <w:adjustRightInd w:val="0"/>
        <w:ind w:left="851"/>
        <w:rPr>
          <w:sz w:val="24"/>
          <w:szCs w:val="24"/>
        </w:rPr>
      </w:pPr>
      <w:r w:rsidRPr="00096AFC">
        <w:rPr>
          <w:sz w:val="24"/>
          <w:szCs w:val="24"/>
        </w:rPr>
        <w:t xml:space="preserve">Både paracetamol og ibuprofen absorberes let fra </w:t>
      </w:r>
      <w:proofErr w:type="spellStart"/>
      <w:r w:rsidRPr="00096AFC">
        <w:rPr>
          <w:sz w:val="24"/>
          <w:szCs w:val="24"/>
        </w:rPr>
        <w:t>mave-tarmkanalen</w:t>
      </w:r>
      <w:proofErr w:type="spellEnd"/>
      <w:r w:rsidRPr="00096AFC">
        <w:rPr>
          <w:sz w:val="24"/>
          <w:szCs w:val="24"/>
        </w:rPr>
        <w:t>, og peak-plasmakoncentrationen forekommer ca. 10 til 60 minutter efter oral administration.</w:t>
      </w:r>
    </w:p>
    <w:p w14:paraId="4791E376" w14:textId="77777777" w:rsidR="007E1C88" w:rsidRPr="00096AFC" w:rsidRDefault="007E1C88" w:rsidP="007E1C88">
      <w:pPr>
        <w:autoSpaceDE w:val="0"/>
        <w:autoSpaceDN w:val="0"/>
        <w:adjustRightInd w:val="0"/>
        <w:ind w:left="851" w:hanging="851"/>
        <w:rPr>
          <w:sz w:val="24"/>
          <w:szCs w:val="24"/>
        </w:rPr>
      </w:pPr>
    </w:p>
    <w:p w14:paraId="42CFF045" w14:textId="77777777" w:rsidR="007E1C88" w:rsidRPr="00096AFC" w:rsidRDefault="007E1C88" w:rsidP="007E1C88">
      <w:pPr>
        <w:autoSpaceDE w:val="0"/>
        <w:autoSpaceDN w:val="0"/>
        <w:adjustRightInd w:val="0"/>
        <w:ind w:left="851"/>
        <w:rPr>
          <w:sz w:val="24"/>
          <w:szCs w:val="24"/>
        </w:rPr>
      </w:pPr>
      <w:r w:rsidRPr="00096AFC">
        <w:rPr>
          <w:sz w:val="24"/>
          <w:szCs w:val="24"/>
          <w:u w:val="single"/>
        </w:rPr>
        <w:t>Distribution</w:t>
      </w:r>
    </w:p>
    <w:p w14:paraId="3E416F11" w14:textId="77777777" w:rsidR="007E1C88" w:rsidRPr="00096AFC" w:rsidRDefault="007E1C88" w:rsidP="007E1C88">
      <w:pPr>
        <w:autoSpaceDE w:val="0"/>
        <w:autoSpaceDN w:val="0"/>
        <w:adjustRightInd w:val="0"/>
        <w:ind w:left="851"/>
        <w:rPr>
          <w:sz w:val="24"/>
          <w:szCs w:val="24"/>
        </w:rPr>
      </w:pPr>
      <w:r w:rsidRPr="00096AFC">
        <w:rPr>
          <w:sz w:val="24"/>
          <w:szCs w:val="24"/>
        </w:rPr>
        <w:t xml:space="preserve">Ligesom alle andre produkter, der indeholder paracetamol, fordeles det til de fleste kropsvæv. </w:t>
      </w:r>
    </w:p>
    <w:p w14:paraId="6F4EBD82" w14:textId="77777777" w:rsidR="007E1C88" w:rsidRPr="00096AFC" w:rsidRDefault="007E1C88" w:rsidP="007E1C88">
      <w:pPr>
        <w:autoSpaceDE w:val="0"/>
        <w:autoSpaceDN w:val="0"/>
        <w:adjustRightInd w:val="0"/>
        <w:ind w:left="851" w:hanging="851"/>
        <w:rPr>
          <w:sz w:val="24"/>
          <w:szCs w:val="24"/>
        </w:rPr>
      </w:pPr>
    </w:p>
    <w:p w14:paraId="3AC9185E" w14:textId="77777777" w:rsidR="007E1C88" w:rsidRPr="00096AFC" w:rsidRDefault="007E1C88" w:rsidP="007E1C88">
      <w:pPr>
        <w:autoSpaceDE w:val="0"/>
        <w:autoSpaceDN w:val="0"/>
        <w:adjustRightInd w:val="0"/>
        <w:ind w:left="851"/>
        <w:rPr>
          <w:sz w:val="24"/>
          <w:szCs w:val="24"/>
        </w:rPr>
      </w:pPr>
      <w:r w:rsidRPr="00096AFC">
        <w:rPr>
          <w:sz w:val="24"/>
          <w:szCs w:val="24"/>
          <w:u w:val="single"/>
        </w:rPr>
        <w:t>Biotransformation</w:t>
      </w:r>
    </w:p>
    <w:p w14:paraId="4FB8969A" w14:textId="77777777" w:rsidR="007E1C88" w:rsidRPr="00096AFC" w:rsidRDefault="007E1C88" w:rsidP="007E1C88">
      <w:pPr>
        <w:autoSpaceDE w:val="0"/>
        <w:autoSpaceDN w:val="0"/>
        <w:adjustRightInd w:val="0"/>
        <w:ind w:left="851"/>
        <w:rPr>
          <w:sz w:val="24"/>
          <w:szCs w:val="24"/>
        </w:rPr>
      </w:pPr>
      <w:r w:rsidRPr="00096AFC">
        <w:rPr>
          <w:sz w:val="24"/>
          <w:szCs w:val="24"/>
        </w:rPr>
        <w:t xml:space="preserve">Paracetamol </w:t>
      </w:r>
      <w:proofErr w:type="spellStart"/>
      <w:r w:rsidRPr="00096AFC">
        <w:rPr>
          <w:sz w:val="24"/>
          <w:szCs w:val="24"/>
        </w:rPr>
        <w:t>metaboliseres</w:t>
      </w:r>
      <w:proofErr w:type="spellEnd"/>
      <w:r w:rsidRPr="00096AFC">
        <w:rPr>
          <w:sz w:val="24"/>
          <w:szCs w:val="24"/>
        </w:rPr>
        <w:t xml:space="preserve"> i udstrakt grad i leveren og udskilles i urinen, hovedsagelig som inaktive </w:t>
      </w:r>
      <w:proofErr w:type="spellStart"/>
      <w:r w:rsidRPr="00096AFC">
        <w:rPr>
          <w:sz w:val="24"/>
          <w:szCs w:val="24"/>
        </w:rPr>
        <w:t>glucuronider</w:t>
      </w:r>
      <w:proofErr w:type="spellEnd"/>
      <w:r w:rsidRPr="00096AFC">
        <w:rPr>
          <w:sz w:val="24"/>
          <w:szCs w:val="24"/>
        </w:rPr>
        <w:t xml:space="preserve"> og </w:t>
      </w:r>
      <w:proofErr w:type="spellStart"/>
      <w:r w:rsidRPr="00096AFC">
        <w:rPr>
          <w:sz w:val="24"/>
          <w:szCs w:val="24"/>
        </w:rPr>
        <w:t>sulfatkonjugater</w:t>
      </w:r>
      <w:proofErr w:type="spellEnd"/>
      <w:r w:rsidRPr="00096AFC">
        <w:rPr>
          <w:sz w:val="24"/>
          <w:szCs w:val="24"/>
        </w:rPr>
        <w:t xml:space="preserve">. Mindre end 5 % af det udskilles uforandret. Paracetamols metabolitter omfatter et mindre, </w:t>
      </w:r>
      <w:proofErr w:type="spellStart"/>
      <w:r w:rsidRPr="00096AFC">
        <w:rPr>
          <w:sz w:val="24"/>
          <w:szCs w:val="24"/>
        </w:rPr>
        <w:t>hydroxyleret</w:t>
      </w:r>
      <w:proofErr w:type="spellEnd"/>
      <w:r w:rsidRPr="00096AFC">
        <w:rPr>
          <w:sz w:val="24"/>
          <w:szCs w:val="24"/>
        </w:rPr>
        <w:t xml:space="preserve"> mellemprodukt, som har levertoksisk aktivitet. Dette aktive mellemprodukt </w:t>
      </w:r>
      <w:proofErr w:type="spellStart"/>
      <w:r w:rsidRPr="00096AFC">
        <w:rPr>
          <w:sz w:val="24"/>
          <w:szCs w:val="24"/>
        </w:rPr>
        <w:t>detoksificeres</w:t>
      </w:r>
      <w:proofErr w:type="spellEnd"/>
      <w:r w:rsidRPr="00096AFC">
        <w:rPr>
          <w:sz w:val="24"/>
          <w:szCs w:val="24"/>
        </w:rPr>
        <w:t xml:space="preserve"> ved konjugation med </w:t>
      </w:r>
      <w:proofErr w:type="spellStart"/>
      <w:r w:rsidRPr="00096AFC">
        <w:rPr>
          <w:sz w:val="24"/>
          <w:szCs w:val="24"/>
        </w:rPr>
        <w:t>glutathion</w:t>
      </w:r>
      <w:proofErr w:type="spellEnd"/>
      <w:r w:rsidRPr="00096AFC">
        <w:rPr>
          <w:sz w:val="24"/>
          <w:szCs w:val="24"/>
        </w:rPr>
        <w:t>. Det kan imidlertid akkumulere efter overdosering med paracetamol og kan, hvis denne ikke behandles, potentielt forårsage svær og endda permanent leverskade.</w:t>
      </w:r>
    </w:p>
    <w:p w14:paraId="77768495" w14:textId="77777777" w:rsidR="007E1C88" w:rsidRPr="00096AFC" w:rsidRDefault="007E1C88" w:rsidP="007E1C88">
      <w:pPr>
        <w:autoSpaceDE w:val="0"/>
        <w:autoSpaceDN w:val="0"/>
        <w:adjustRightInd w:val="0"/>
        <w:ind w:left="851"/>
        <w:rPr>
          <w:sz w:val="24"/>
          <w:szCs w:val="24"/>
        </w:rPr>
      </w:pPr>
      <w:r w:rsidRPr="00096AFC">
        <w:rPr>
          <w:sz w:val="24"/>
          <w:szCs w:val="24"/>
        </w:rPr>
        <w:t xml:space="preserve">Paracetamol </w:t>
      </w:r>
      <w:proofErr w:type="spellStart"/>
      <w:r w:rsidRPr="00096AFC">
        <w:rPr>
          <w:sz w:val="24"/>
          <w:szCs w:val="24"/>
        </w:rPr>
        <w:t>metaboliseres</w:t>
      </w:r>
      <w:proofErr w:type="spellEnd"/>
      <w:r w:rsidRPr="00096AFC">
        <w:rPr>
          <w:sz w:val="24"/>
          <w:szCs w:val="24"/>
        </w:rPr>
        <w:t xml:space="preserve"> på en anden måde hos præmature spædbørn, nyfødte og små børn end hos voksne, med </w:t>
      </w:r>
      <w:proofErr w:type="spellStart"/>
      <w:r w:rsidRPr="00096AFC">
        <w:rPr>
          <w:sz w:val="24"/>
          <w:szCs w:val="24"/>
        </w:rPr>
        <w:t>sulfatkongutatet</w:t>
      </w:r>
      <w:proofErr w:type="spellEnd"/>
      <w:r w:rsidRPr="00096AFC">
        <w:rPr>
          <w:sz w:val="24"/>
          <w:szCs w:val="24"/>
        </w:rPr>
        <w:t xml:space="preserve"> som mest dominerende.</w:t>
      </w:r>
    </w:p>
    <w:p w14:paraId="18C944E3" w14:textId="77777777" w:rsidR="007E1C88" w:rsidRPr="00096AFC" w:rsidRDefault="007E1C88" w:rsidP="007E1C88">
      <w:pPr>
        <w:autoSpaceDE w:val="0"/>
        <w:autoSpaceDN w:val="0"/>
        <w:adjustRightInd w:val="0"/>
        <w:ind w:left="851" w:hanging="851"/>
        <w:rPr>
          <w:sz w:val="24"/>
          <w:szCs w:val="24"/>
        </w:rPr>
      </w:pPr>
    </w:p>
    <w:p w14:paraId="7C647C92" w14:textId="77777777" w:rsidR="007E1C88" w:rsidRPr="00096AFC" w:rsidRDefault="007E1C88" w:rsidP="007E1C88">
      <w:pPr>
        <w:autoSpaceDE w:val="0"/>
        <w:autoSpaceDN w:val="0"/>
        <w:adjustRightInd w:val="0"/>
        <w:ind w:left="851"/>
        <w:rPr>
          <w:sz w:val="24"/>
          <w:szCs w:val="24"/>
        </w:rPr>
      </w:pPr>
      <w:r w:rsidRPr="00096AFC">
        <w:rPr>
          <w:sz w:val="24"/>
          <w:szCs w:val="24"/>
        </w:rPr>
        <w:t xml:space="preserve">Ibuprofen bindes i høj grad (90-99 %) til plasmaproteiner og </w:t>
      </w:r>
      <w:proofErr w:type="spellStart"/>
      <w:r w:rsidRPr="00096AFC">
        <w:rPr>
          <w:sz w:val="24"/>
          <w:szCs w:val="24"/>
        </w:rPr>
        <w:t>metaboliseres</w:t>
      </w:r>
      <w:proofErr w:type="spellEnd"/>
      <w:r w:rsidRPr="00096AFC">
        <w:rPr>
          <w:sz w:val="24"/>
          <w:szCs w:val="24"/>
        </w:rPr>
        <w:t xml:space="preserve"> i udstrakt grad til inaktive forbindelser i leveren, hovedsagelig ved </w:t>
      </w:r>
      <w:proofErr w:type="spellStart"/>
      <w:r w:rsidRPr="00096AFC">
        <w:rPr>
          <w:sz w:val="24"/>
          <w:szCs w:val="24"/>
        </w:rPr>
        <w:t>glucuronidering</w:t>
      </w:r>
      <w:proofErr w:type="spellEnd"/>
      <w:r w:rsidRPr="00096AFC">
        <w:rPr>
          <w:sz w:val="24"/>
          <w:szCs w:val="24"/>
        </w:rPr>
        <w:t>.</w:t>
      </w:r>
    </w:p>
    <w:p w14:paraId="360BF183" w14:textId="77777777" w:rsidR="007E1C88" w:rsidRPr="00096AFC" w:rsidRDefault="007E1C88" w:rsidP="007E1C88">
      <w:pPr>
        <w:autoSpaceDE w:val="0"/>
        <w:autoSpaceDN w:val="0"/>
        <w:adjustRightInd w:val="0"/>
        <w:ind w:left="851" w:hanging="851"/>
        <w:rPr>
          <w:sz w:val="24"/>
          <w:szCs w:val="24"/>
        </w:rPr>
      </w:pPr>
    </w:p>
    <w:p w14:paraId="033D0DD4" w14:textId="77777777" w:rsidR="007E1C88" w:rsidRPr="00096AFC" w:rsidRDefault="007E1C88" w:rsidP="007E1C88">
      <w:pPr>
        <w:autoSpaceDE w:val="0"/>
        <w:autoSpaceDN w:val="0"/>
        <w:adjustRightInd w:val="0"/>
        <w:ind w:left="851"/>
        <w:rPr>
          <w:sz w:val="24"/>
          <w:szCs w:val="24"/>
        </w:rPr>
      </w:pPr>
      <w:r w:rsidRPr="00096AFC">
        <w:rPr>
          <w:sz w:val="24"/>
          <w:szCs w:val="24"/>
        </w:rPr>
        <w:t>Paracetamols og ibuprofens metaboliske signalveje er helt forskellige, og der bør ikke være nogen lægemiddelinteraktioner, hvor det enes metabolisme påvirker det andets. Et formelt studie, hvor humane leverceller blev anvendt til at undersøge en sådan mulighed, fandt ingen potentielle lægemiddelinteraktioner i de metaboliske signalveje.</w:t>
      </w:r>
    </w:p>
    <w:p w14:paraId="58482C52" w14:textId="77777777" w:rsidR="007E1C88" w:rsidRPr="00096AFC" w:rsidRDefault="007E1C88" w:rsidP="007E1C88">
      <w:pPr>
        <w:autoSpaceDE w:val="0"/>
        <w:autoSpaceDN w:val="0"/>
        <w:adjustRightInd w:val="0"/>
        <w:ind w:left="851"/>
        <w:rPr>
          <w:sz w:val="24"/>
          <w:szCs w:val="24"/>
        </w:rPr>
      </w:pPr>
      <w:r w:rsidRPr="00096AFC">
        <w:rPr>
          <w:sz w:val="24"/>
          <w:szCs w:val="24"/>
        </w:rPr>
        <w:t xml:space="preserve">I et andet studie blev ibuprofens virkning på paracetamols </w:t>
      </w:r>
      <w:proofErr w:type="spellStart"/>
      <w:r w:rsidRPr="00096AFC">
        <w:rPr>
          <w:sz w:val="24"/>
          <w:szCs w:val="24"/>
        </w:rPr>
        <w:t>oxidative</w:t>
      </w:r>
      <w:proofErr w:type="spellEnd"/>
      <w:r w:rsidRPr="00096AFC">
        <w:rPr>
          <w:sz w:val="24"/>
          <w:szCs w:val="24"/>
        </w:rPr>
        <w:t xml:space="preserve"> metabolisme evalueret hos raske frivillige under faste. Resultaterne fra studiet viste, at ibuprofen ikke ændrede på mængden af paracetamol, der gennemgik </w:t>
      </w:r>
      <w:proofErr w:type="spellStart"/>
      <w:r w:rsidRPr="00096AFC">
        <w:rPr>
          <w:sz w:val="24"/>
          <w:szCs w:val="24"/>
        </w:rPr>
        <w:t>oxidativ</w:t>
      </w:r>
      <w:proofErr w:type="spellEnd"/>
      <w:r w:rsidRPr="00096AFC">
        <w:rPr>
          <w:sz w:val="24"/>
          <w:szCs w:val="24"/>
        </w:rPr>
        <w:t xml:space="preserve"> metabolisme, idet mængden af paracetamol og dets metabolitter (</w:t>
      </w:r>
      <w:proofErr w:type="spellStart"/>
      <w:r w:rsidRPr="00096AFC">
        <w:rPr>
          <w:sz w:val="24"/>
          <w:szCs w:val="24"/>
        </w:rPr>
        <w:t>glutathion</w:t>
      </w:r>
      <w:proofErr w:type="spellEnd"/>
      <w:r w:rsidRPr="00096AFC">
        <w:rPr>
          <w:sz w:val="24"/>
          <w:szCs w:val="24"/>
        </w:rPr>
        <w:t xml:space="preserve">-, </w:t>
      </w:r>
      <w:proofErr w:type="spellStart"/>
      <w:r w:rsidRPr="00096AFC">
        <w:rPr>
          <w:sz w:val="24"/>
          <w:szCs w:val="24"/>
        </w:rPr>
        <w:t>mercapturat</w:t>
      </w:r>
      <w:proofErr w:type="spellEnd"/>
      <w:r w:rsidRPr="00096AFC">
        <w:rPr>
          <w:sz w:val="24"/>
          <w:szCs w:val="24"/>
        </w:rPr>
        <w:t xml:space="preserve">-, </w:t>
      </w:r>
      <w:proofErr w:type="spellStart"/>
      <w:r w:rsidRPr="00096AFC">
        <w:rPr>
          <w:sz w:val="24"/>
          <w:szCs w:val="24"/>
        </w:rPr>
        <w:t>cystein</w:t>
      </w:r>
      <w:proofErr w:type="spellEnd"/>
      <w:r w:rsidRPr="00096AFC">
        <w:rPr>
          <w:sz w:val="24"/>
          <w:szCs w:val="24"/>
        </w:rPr>
        <w:t xml:space="preserve">-, </w:t>
      </w:r>
      <w:proofErr w:type="spellStart"/>
      <w:r w:rsidRPr="00096AFC">
        <w:rPr>
          <w:sz w:val="24"/>
          <w:szCs w:val="24"/>
        </w:rPr>
        <w:t>glucuronid</w:t>
      </w:r>
      <w:proofErr w:type="spellEnd"/>
      <w:r w:rsidRPr="00096AFC">
        <w:rPr>
          <w:sz w:val="24"/>
          <w:szCs w:val="24"/>
        </w:rPr>
        <w:t xml:space="preserve">- og sulfat-paracetamol) var den samme ved administration alene, som paracetamol, eller med samtidig administration af ibuprofen (som den faste kombination </w:t>
      </w:r>
      <w:proofErr w:type="spellStart"/>
      <w:r>
        <w:rPr>
          <w:sz w:val="24"/>
          <w:szCs w:val="24"/>
        </w:rPr>
        <w:t>Doleron</w:t>
      </w:r>
      <w:proofErr w:type="spellEnd"/>
      <w:r w:rsidRPr="00096AFC">
        <w:rPr>
          <w:sz w:val="24"/>
          <w:szCs w:val="24"/>
        </w:rPr>
        <w:t xml:space="preserve">). Dette studie udelukker eventuelle yderligere leverrisici fra den levertoksiske metabolit, NAPQI, af paracetamol ved administration sammen med </w:t>
      </w:r>
      <w:r>
        <w:rPr>
          <w:sz w:val="24"/>
          <w:szCs w:val="24"/>
        </w:rPr>
        <w:t>i</w:t>
      </w:r>
      <w:r w:rsidRPr="00096AFC">
        <w:rPr>
          <w:sz w:val="24"/>
          <w:szCs w:val="24"/>
        </w:rPr>
        <w:t>buprofen.</w:t>
      </w:r>
    </w:p>
    <w:p w14:paraId="63D9295F" w14:textId="77777777" w:rsidR="007E1C88" w:rsidRPr="00096AFC" w:rsidRDefault="007E1C88" w:rsidP="007E1C88">
      <w:pPr>
        <w:autoSpaceDE w:val="0"/>
        <w:autoSpaceDN w:val="0"/>
        <w:adjustRightInd w:val="0"/>
        <w:ind w:left="851" w:hanging="851"/>
        <w:rPr>
          <w:sz w:val="24"/>
          <w:szCs w:val="24"/>
        </w:rPr>
      </w:pPr>
    </w:p>
    <w:p w14:paraId="1D14FB5A" w14:textId="77777777" w:rsidR="007E1C88" w:rsidRPr="00096AFC" w:rsidRDefault="007E1C88" w:rsidP="007E1C88">
      <w:pPr>
        <w:autoSpaceDE w:val="0"/>
        <w:autoSpaceDN w:val="0"/>
        <w:adjustRightInd w:val="0"/>
        <w:ind w:left="851"/>
        <w:rPr>
          <w:sz w:val="24"/>
          <w:szCs w:val="24"/>
        </w:rPr>
      </w:pPr>
      <w:r w:rsidRPr="00096AFC">
        <w:rPr>
          <w:sz w:val="24"/>
          <w:szCs w:val="24"/>
          <w:u w:val="single"/>
        </w:rPr>
        <w:t>Elimination</w:t>
      </w:r>
    </w:p>
    <w:p w14:paraId="48FB7D5E" w14:textId="77777777" w:rsidR="007E1C88" w:rsidRPr="00096AFC" w:rsidRDefault="007E1C88" w:rsidP="007E1C88">
      <w:pPr>
        <w:autoSpaceDE w:val="0"/>
        <w:autoSpaceDN w:val="0"/>
        <w:adjustRightInd w:val="0"/>
        <w:ind w:left="851"/>
        <w:rPr>
          <w:sz w:val="24"/>
          <w:szCs w:val="24"/>
        </w:rPr>
      </w:pPr>
      <w:r w:rsidRPr="00096AFC">
        <w:rPr>
          <w:sz w:val="24"/>
          <w:szCs w:val="24"/>
        </w:rPr>
        <w:t>Paracetamols halveringstid varierer fra ca. 1 til 3 timer.</w:t>
      </w:r>
    </w:p>
    <w:p w14:paraId="73055889" w14:textId="77777777" w:rsidR="007E1C88" w:rsidRPr="00096AFC" w:rsidRDefault="007E1C88" w:rsidP="007E1C88">
      <w:pPr>
        <w:autoSpaceDE w:val="0"/>
        <w:autoSpaceDN w:val="0"/>
        <w:adjustRightInd w:val="0"/>
        <w:ind w:left="851" w:hanging="851"/>
        <w:rPr>
          <w:sz w:val="24"/>
          <w:szCs w:val="24"/>
        </w:rPr>
      </w:pPr>
    </w:p>
    <w:p w14:paraId="2F22745C" w14:textId="77777777" w:rsidR="007E1C88" w:rsidRPr="00096AFC" w:rsidRDefault="007E1C88" w:rsidP="007E1C88">
      <w:pPr>
        <w:autoSpaceDE w:val="0"/>
        <w:autoSpaceDN w:val="0"/>
        <w:adjustRightInd w:val="0"/>
        <w:ind w:left="851"/>
        <w:rPr>
          <w:sz w:val="24"/>
          <w:szCs w:val="24"/>
        </w:rPr>
      </w:pPr>
      <w:r w:rsidRPr="00096AFC">
        <w:rPr>
          <w:sz w:val="24"/>
          <w:szCs w:val="24"/>
        </w:rPr>
        <w:t>Både de inaktive metabolitter og en lille mængde uforandret ibuprofen udskilles hurtigt og fuldstændigt af nyrerne; 95 % af den administrerede dosis elimineres i urinen inden for fire timer efter indtagelse. Ibuprofens halveringstid ligger i området 1,9 til 2,2 timer.</w:t>
      </w:r>
    </w:p>
    <w:p w14:paraId="57D6B92C" w14:textId="77777777" w:rsidR="007E1C88" w:rsidRPr="00096AFC" w:rsidRDefault="007E1C88" w:rsidP="007E1C88">
      <w:pPr>
        <w:autoSpaceDE w:val="0"/>
        <w:autoSpaceDN w:val="0"/>
        <w:adjustRightInd w:val="0"/>
        <w:ind w:left="851" w:hanging="851"/>
        <w:rPr>
          <w:sz w:val="24"/>
          <w:szCs w:val="24"/>
        </w:rPr>
      </w:pPr>
    </w:p>
    <w:p w14:paraId="638ABF53" w14:textId="77777777" w:rsidR="007E1C88" w:rsidRPr="00096AFC" w:rsidRDefault="007E1C88" w:rsidP="007E1C88">
      <w:pPr>
        <w:autoSpaceDE w:val="0"/>
        <w:autoSpaceDN w:val="0"/>
        <w:adjustRightInd w:val="0"/>
        <w:ind w:left="851"/>
        <w:rPr>
          <w:sz w:val="24"/>
          <w:szCs w:val="24"/>
        </w:rPr>
      </w:pPr>
      <w:proofErr w:type="spellStart"/>
      <w:r w:rsidRPr="00096AFC">
        <w:rPr>
          <w:sz w:val="24"/>
          <w:szCs w:val="24"/>
          <w:u w:val="single"/>
        </w:rPr>
        <w:t>Farmakokinetiske</w:t>
      </w:r>
      <w:proofErr w:type="spellEnd"/>
      <w:r w:rsidRPr="00096AFC">
        <w:rPr>
          <w:sz w:val="24"/>
          <w:szCs w:val="24"/>
          <w:u w:val="single"/>
        </w:rPr>
        <w:t>/</w:t>
      </w:r>
      <w:proofErr w:type="spellStart"/>
      <w:r w:rsidRPr="00096AFC">
        <w:rPr>
          <w:sz w:val="24"/>
          <w:szCs w:val="24"/>
          <w:u w:val="single"/>
        </w:rPr>
        <w:t>farmakodynamiske</w:t>
      </w:r>
      <w:proofErr w:type="spellEnd"/>
      <w:r w:rsidRPr="00096AFC">
        <w:rPr>
          <w:sz w:val="24"/>
          <w:szCs w:val="24"/>
          <w:u w:val="single"/>
        </w:rPr>
        <w:t xml:space="preserve"> forhold</w:t>
      </w:r>
    </w:p>
    <w:p w14:paraId="5CDAB408" w14:textId="77777777" w:rsidR="007E1C88" w:rsidRPr="00096AFC" w:rsidRDefault="007E1C88" w:rsidP="007E1C88">
      <w:pPr>
        <w:autoSpaceDE w:val="0"/>
        <w:autoSpaceDN w:val="0"/>
        <w:adjustRightInd w:val="0"/>
        <w:ind w:left="851"/>
        <w:rPr>
          <w:sz w:val="24"/>
          <w:szCs w:val="24"/>
        </w:rPr>
      </w:pPr>
      <w:r w:rsidRPr="00096AFC">
        <w:rPr>
          <w:sz w:val="24"/>
          <w:szCs w:val="24"/>
        </w:rPr>
        <w:t>Et specifikt studie til undersøgelse af mulige virkninger fra paracetamol på ibuprofens plasma-</w:t>
      </w:r>
      <w:proofErr w:type="spellStart"/>
      <w:r w:rsidRPr="00096AFC">
        <w:rPr>
          <w:sz w:val="24"/>
          <w:szCs w:val="24"/>
        </w:rPr>
        <w:t>clearance</w:t>
      </w:r>
      <w:proofErr w:type="spellEnd"/>
      <w:r w:rsidRPr="00096AFC">
        <w:rPr>
          <w:sz w:val="24"/>
          <w:szCs w:val="24"/>
        </w:rPr>
        <w:t xml:space="preserve"> og </w:t>
      </w:r>
      <w:r w:rsidRPr="00096AFC">
        <w:rPr>
          <w:i/>
          <w:iCs/>
          <w:sz w:val="24"/>
          <w:szCs w:val="24"/>
        </w:rPr>
        <w:t>vice versa</w:t>
      </w:r>
      <w:r w:rsidRPr="00096AFC">
        <w:rPr>
          <w:sz w:val="24"/>
          <w:szCs w:val="24"/>
        </w:rPr>
        <w:t xml:space="preserve"> identificerede ingen lægemiddelinteraktioner.</w:t>
      </w:r>
    </w:p>
    <w:p w14:paraId="4D3991CA" w14:textId="77777777" w:rsidR="007E1C88" w:rsidRPr="00096AFC" w:rsidRDefault="007E1C88" w:rsidP="007E1C88">
      <w:pPr>
        <w:ind w:left="851" w:hanging="851"/>
        <w:rPr>
          <w:sz w:val="24"/>
          <w:szCs w:val="24"/>
        </w:rPr>
      </w:pPr>
    </w:p>
    <w:p w14:paraId="349AC807" w14:textId="77777777" w:rsidR="007E1C88" w:rsidRPr="00096AFC" w:rsidRDefault="007E1C88" w:rsidP="007E1C88">
      <w:pPr>
        <w:ind w:left="851" w:hanging="851"/>
        <w:rPr>
          <w:b/>
          <w:sz w:val="24"/>
          <w:szCs w:val="24"/>
        </w:rPr>
      </w:pPr>
      <w:r w:rsidRPr="00096AFC">
        <w:rPr>
          <w:b/>
          <w:sz w:val="24"/>
          <w:szCs w:val="24"/>
        </w:rPr>
        <w:t>5.3</w:t>
      </w:r>
      <w:r w:rsidRPr="00096AFC">
        <w:rPr>
          <w:b/>
          <w:sz w:val="24"/>
          <w:szCs w:val="24"/>
        </w:rPr>
        <w:tab/>
      </w:r>
      <w:r w:rsidR="002A714D">
        <w:rPr>
          <w:b/>
          <w:sz w:val="24"/>
          <w:szCs w:val="24"/>
        </w:rPr>
        <w:t>Non-</w:t>
      </w:r>
      <w:r w:rsidRPr="00096AFC">
        <w:rPr>
          <w:b/>
          <w:sz w:val="24"/>
          <w:szCs w:val="24"/>
        </w:rPr>
        <w:t>kliniske sikkerhedsdata</w:t>
      </w:r>
    </w:p>
    <w:p w14:paraId="30F87F9F" w14:textId="77777777" w:rsidR="007E1C88" w:rsidRPr="00096AFC" w:rsidRDefault="00EF49FA" w:rsidP="001B530E">
      <w:pPr>
        <w:ind w:left="851"/>
        <w:rPr>
          <w:sz w:val="24"/>
          <w:szCs w:val="24"/>
        </w:rPr>
      </w:pPr>
      <w:r>
        <w:rPr>
          <w:sz w:val="24"/>
          <w:szCs w:val="24"/>
        </w:rPr>
        <w:t xml:space="preserve">Der foreligger ikke konventionelle studier, hvor man har anvendt aktuelt anerkendte standarder for evaluering af reproduktions- og udviklingstoksicitet. </w:t>
      </w:r>
      <w:r w:rsidR="001B530E">
        <w:rPr>
          <w:sz w:val="24"/>
          <w:szCs w:val="24"/>
        </w:rPr>
        <w:t>Ibuprofens og paracetamols toksikologiske sikkerhedsprofiler er blevet fastlagt i dyreforsøg og hos mennesker gennem omfattende klinisk erfaring. Der er ingen nye relevante prækliniske data ud over de data, der allerede er blevet præsenteret i dette produktresumé.</w:t>
      </w:r>
      <w:r w:rsidR="001B530E">
        <w:rPr>
          <w:sz w:val="24"/>
          <w:szCs w:val="24"/>
          <w:lang w:eastAsia="da-DK"/>
        </w:rPr>
        <w:t xml:space="preserve"> </w:t>
      </w:r>
    </w:p>
    <w:p w14:paraId="4844D0C0" w14:textId="77777777" w:rsidR="007E1C88" w:rsidRPr="00096AFC" w:rsidRDefault="007E1C88" w:rsidP="007E1C88">
      <w:pPr>
        <w:ind w:left="851" w:hanging="851"/>
        <w:rPr>
          <w:sz w:val="24"/>
          <w:szCs w:val="24"/>
        </w:rPr>
      </w:pPr>
    </w:p>
    <w:p w14:paraId="1309355D" w14:textId="77777777" w:rsidR="007E1C88" w:rsidRPr="00096AFC" w:rsidRDefault="007E1C88" w:rsidP="007E1C88">
      <w:pPr>
        <w:ind w:left="851" w:hanging="851"/>
        <w:rPr>
          <w:sz w:val="24"/>
          <w:szCs w:val="24"/>
        </w:rPr>
      </w:pPr>
    </w:p>
    <w:p w14:paraId="6350DB91" w14:textId="77777777" w:rsidR="007E1C88" w:rsidRPr="00096AFC" w:rsidRDefault="007E1C88" w:rsidP="007E1C88">
      <w:pPr>
        <w:ind w:left="851" w:hanging="851"/>
        <w:rPr>
          <w:b/>
          <w:sz w:val="24"/>
          <w:szCs w:val="24"/>
        </w:rPr>
      </w:pPr>
      <w:r w:rsidRPr="00096AFC">
        <w:rPr>
          <w:b/>
          <w:sz w:val="24"/>
          <w:szCs w:val="24"/>
        </w:rPr>
        <w:t>6.</w:t>
      </w:r>
      <w:r w:rsidRPr="00096AFC">
        <w:rPr>
          <w:b/>
          <w:sz w:val="24"/>
          <w:szCs w:val="24"/>
        </w:rPr>
        <w:tab/>
        <w:t>FARMACEUTISKE OPLYSNINGER</w:t>
      </w:r>
    </w:p>
    <w:p w14:paraId="30043F04" w14:textId="77777777" w:rsidR="007E1C88" w:rsidRPr="00096AFC" w:rsidRDefault="007E1C88" w:rsidP="007E1C88">
      <w:pPr>
        <w:ind w:left="851" w:hanging="851"/>
        <w:rPr>
          <w:b/>
          <w:sz w:val="24"/>
          <w:szCs w:val="24"/>
        </w:rPr>
      </w:pPr>
    </w:p>
    <w:p w14:paraId="2DF2412A" w14:textId="77777777" w:rsidR="007E1C88" w:rsidRPr="00096AFC" w:rsidRDefault="007E1C88" w:rsidP="007E1C88">
      <w:pPr>
        <w:ind w:left="851" w:hanging="851"/>
        <w:rPr>
          <w:b/>
          <w:sz w:val="24"/>
          <w:szCs w:val="24"/>
        </w:rPr>
      </w:pPr>
      <w:r w:rsidRPr="00096AFC">
        <w:rPr>
          <w:b/>
          <w:sz w:val="24"/>
          <w:szCs w:val="24"/>
        </w:rPr>
        <w:t>6.1</w:t>
      </w:r>
      <w:r w:rsidRPr="00096AFC">
        <w:rPr>
          <w:b/>
          <w:sz w:val="24"/>
          <w:szCs w:val="24"/>
        </w:rPr>
        <w:tab/>
        <w:t>Hjælpestoffer</w:t>
      </w:r>
    </w:p>
    <w:p w14:paraId="41BAB163" w14:textId="77777777" w:rsidR="007E1C88" w:rsidRPr="00096AFC" w:rsidRDefault="007E1C88" w:rsidP="007E1C88">
      <w:pPr>
        <w:autoSpaceDE w:val="0"/>
        <w:autoSpaceDN w:val="0"/>
        <w:adjustRightInd w:val="0"/>
        <w:ind w:left="851" w:hanging="851"/>
        <w:rPr>
          <w:sz w:val="24"/>
          <w:szCs w:val="24"/>
        </w:rPr>
      </w:pPr>
      <w:r w:rsidRPr="00096AFC">
        <w:rPr>
          <w:sz w:val="24"/>
          <w:szCs w:val="24"/>
        </w:rPr>
        <w:tab/>
        <w:t>Prægelatiniseret majsstivelse</w:t>
      </w:r>
    </w:p>
    <w:p w14:paraId="32340798" w14:textId="77777777" w:rsidR="007E1C88" w:rsidRPr="00096AFC" w:rsidRDefault="007E1C88" w:rsidP="007E1C88">
      <w:pPr>
        <w:autoSpaceDE w:val="0"/>
        <w:autoSpaceDN w:val="0"/>
        <w:adjustRightInd w:val="0"/>
        <w:ind w:left="851"/>
        <w:rPr>
          <w:sz w:val="24"/>
          <w:szCs w:val="24"/>
        </w:rPr>
      </w:pPr>
      <w:r w:rsidRPr="00096AFC">
        <w:rPr>
          <w:sz w:val="24"/>
          <w:szCs w:val="24"/>
        </w:rPr>
        <w:t>Majsstivelse</w:t>
      </w:r>
    </w:p>
    <w:p w14:paraId="111429E3" w14:textId="77777777" w:rsidR="007E1C88" w:rsidRPr="00096AFC" w:rsidRDefault="007E1C88" w:rsidP="007E1C88">
      <w:pPr>
        <w:autoSpaceDE w:val="0"/>
        <w:autoSpaceDN w:val="0"/>
        <w:adjustRightInd w:val="0"/>
        <w:ind w:left="851"/>
        <w:rPr>
          <w:sz w:val="24"/>
          <w:szCs w:val="24"/>
        </w:rPr>
      </w:pPr>
      <w:r w:rsidRPr="00096AFC">
        <w:rPr>
          <w:sz w:val="24"/>
          <w:szCs w:val="24"/>
        </w:rPr>
        <w:t>Mikrokrystallinsk cellulose</w:t>
      </w:r>
    </w:p>
    <w:p w14:paraId="4D97B0DF" w14:textId="77777777" w:rsidR="007E1C88" w:rsidRPr="00096AFC" w:rsidRDefault="007E1C88" w:rsidP="007E1C88">
      <w:pPr>
        <w:autoSpaceDE w:val="0"/>
        <w:autoSpaceDN w:val="0"/>
        <w:adjustRightInd w:val="0"/>
        <w:ind w:left="851"/>
        <w:rPr>
          <w:sz w:val="24"/>
          <w:szCs w:val="24"/>
        </w:rPr>
      </w:pPr>
      <w:r w:rsidRPr="00096AFC">
        <w:rPr>
          <w:sz w:val="24"/>
          <w:szCs w:val="24"/>
        </w:rPr>
        <w:t xml:space="preserve">Tværbunden </w:t>
      </w:r>
      <w:proofErr w:type="spellStart"/>
      <w:r w:rsidRPr="00096AFC">
        <w:rPr>
          <w:sz w:val="24"/>
          <w:szCs w:val="24"/>
        </w:rPr>
        <w:t>natriumcarboxymethylcellulose</w:t>
      </w:r>
      <w:proofErr w:type="spellEnd"/>
    </w:p>
    <w:p w14:paraId="4F6938D2" w14:textId="77777777" w:rsidR="007E1C88" w:rsidRPr="00096AFC" w:rsidRDefault="007E1C88" w:rsidP="007E1C88">
      <w:pPr>
        <w:autoSpaceDE w:val="0"/>
        <w:autoSpaceDN w:val="0"/>
        <w:adjustRightInd w:val="0"/>
        <w:ind w:left="851"/>
        <w:rPr>
          <w:sz w:val="24"/>
          <w:szCs w:val="24"/>
        </w:rPr>
      </w:pPr>
      <w:proofErr w:type="spellStart"/>
      <w:r w:rsidRPr="00096AFC">
        <w:rPr>
          <w:sz w:val="24"/>
          <w:szCs w:val="24"/>
        </w:rPr>
        <w:t>Magnesiumstearat</w:t>
      </w:r>
      <w:proofErr w:type="spellEnd"/>
    </w:p>
    <w:p w14:paraId="12B5BA04" w14:textId="77777777" w:rsidR="007E1C88" w:rsidRDefault="007E1C88" w:rsidP="007E1C88">
      <w:pPr>
        <w:autoSpaceDE w:val="0"/>
        <w:autoSpaceDN w:val="0"/>
        <w:adjustRightInd w:val="0"/>
        <w:ind w:left="851"/>
        <w:rPr>
          <w:sz w:val="24"/>
          <w:szCs w:val="24"/>
        </w:rPr>
      </w:pPr>
    </w:p>
    <w:p w14:paraId="60ADEA3E" w14:textId="77777777" w:rsidR="007E1C88" w:rsidRDefault="007E1C88" w:rsidP="007E1C88">
      <w:pPr>
        <w:autoSpaceDE w:val="0"/>
        <w:autoSpaceDN w:val="0"/>
        <w:adjustRightInd w:val="0"/>
        <w:ind w:left="851"/>
        <w:rPr>
          <w:sz w:val="24"/>
          <w:szCs w:val="24"/>
        </w:rPr>
      </w:pPr>
      <w:r w:rsidRPr="00096AFC">
        <w:rPr>
          <w:sz w:val="24"/>
          <w:szCs w:val="24"/>
        </w:rPr>
        <w:t xml:space="preserve">Filmovertræk: </w:t>
      </w:r>
    </w:p>
    <w:p w14:paraId="0B002E9C" w14:textId="77777777" w:rsidR="007E1C88" w:rsidRDefault="007E1C88" w:rsidP="007E1C88">
      <w:pPr>
        <w:autoSpaceDE w:val="0"/>
        <w:autoSpaceDN w:val="0"/>
        <w:adjustRightInd w:val="0"/>
        <w:ind w:left="851"/>
        <w:rPr>
          <w:sz w:val="24"/>
          <w:szCs w:val="24"/>
        </w:rPr>
      </w:pPr>
      <w:r w:rsidRPr="00096AFC">
        <w:rPr>
          <w:sz w:val="24"/>
          <w:szCs w:val="24"/>
        </w:rPr>
        <w:t>HPMC 2910/</w:t>
      </w:r>
      <w:proofErr w:type="spellStart"/>
      <w:r w:rsidRPr="00096AFC">
        <w:rPr>
          <w:sz w:val="24"/>
          <w:szCs w:val="24"/>
        </w:rPr>
        <w:t>Hydroxypropylmethylcellulose</w:t>
      </w:r>
      <w:proofErr w:type="spellEnd"/>
      <w:r w:rsidRPr="00096AFC">
        <w:rPr>
          <w:sz w:val="24"/>
          <w:szCs w:val="24"/>
        </w:rPr>
        <w:t xml:space="preserve"> 15cP (E464)</w:t>
      </w:r>
    </w:p>
    <w:p w14:paraId="2108C13C" w14:textId="77777777" w:rsidR="007E1C88" w:rsidRDefault="007E1C88" w:rsidP="007E1C88">
      <w:pPr>
        <w:autoSpaceDE w:val="0"/>
        <w:autoSpaceDN w:val="0"/>
        <w:adjustRightInd w:val="0"/>
        <w:ind w:left="851"/>
        <w:rPr>
          <w:sz w:val="24"/>
          <w:szCs w:val="24"/>
        </w:rPr>
      </w:pPr>
      <w:proofErr w:type="spellStart"/>
      <w:r w:rsidRPr="00096AFC">
        <w:rPr>
          <w:sz w:val="24"/>
          <w:szCs w:val="24"/>
        </w:rPr>
        <w:t>La</w:t>
      </w:r>
      <w:r>
        <w:rPr>
          <w:sz w:val="24"/>
          <w:szCs w:val="24"/>
        </w:rPr>
        <w:t>c</w:t>
      </w:r>
      <w:r w:rsidRPr="00096AFC">
        <w:rPr>
          <w:sz w:val="24"/>
          <w:szCs w:val="24"/>
        </w:rPr>
        <w:t>tosemonohydrat</w:t>
      </w:r>
      <w:proofErr w:type="spellEnd"/>
    </w:p>
    <w:p w14:paraId="67E9D4DD" w14:textId="77777777" w:rsidR="007E1C88" w:rsidRDefault="007E1C88" w:rsidP="007E1C88">
      <w:pPr>
        <w:autoSpaceDE w:val="0"/>
        <w:autoSpaceDN w:val="0"/>
        <w:adjustRightInd w:val="0"/>
        <w:ind w:left="851"/>
        <w:rPr>
          <w:sz w:val="24"/>
          <w:szCs w:val="24"/>
        </w:rPr>
      </w:pPr>
      <w:r w:rsidRPr="00096AFC">
        <w:rPr>
          <w:sz w:val="24"/>
          <w:szCs w:val="24"/>
        </w:rPr>
        <w:t>Titandioxid (E171)</w:t>
      </w:r>
    </w:p>
    <w:p w14:paraId="109819B9" w14:textId="77777777" w:rsidR="007E1C88" w:rsidRDefault="007E1C88" w:rsidP="007E1C88">
      <w:pPr>
        <w:autoSpaceDE w:val="0"/>
        <w:autoSpaceDN w:val="0"/>
        <w:adjustRightInd w:val="0"/>
        <w:ind w:left="851"/>
        <w:rPr>
          <w:sz w:val="24"/>
          <w:szCs w:val="24"/>
        </w:rPr>
      </w:pPr>
      <w:proofErr w:type="spellStart"/>
      <w:r w:rsidRPr="00096AFC">
        <w:rPr>
          <w:sz w:val="24"/>
          <w:szCs w:val="24"/>
        </w:rPr>
        <w:t>Macrogol</w:t>
      </w:r>
      <w:proofErr w:type="spellEnd"/>
      <w:r w:rsidRPr="00096AFC">
        <w:rPr>
          <w:sz w:val="24"/>
          <w:szCs w:val="24"/>
        </w:rPr>
        <w:t>/PEG-4000</w:t>
      </w:r>
    </w:p>
    <w:p w14:paraId="361F9637" w14:textId="77777777" w:rsidR="007E1C88" w:rsidRPr="00096AFC" w:rsidRDefault="007E1C88" w:rsidP="007E1C88">
      <w:pPr>
        <w:autoSpaceDE w:val="0"/>
        <w:autoSpaceDN w:val="0"/>
        <w:adjustRightInd w:val="0"/>
        <w:ind w:left="851"/>
        <w:rPr>
          <w:sz w:val="24"/>
          <w:szCs w:val="24"/>
        </w:rPr>
      </w:pPr>
      <w:r w:rsidRPr="00096AFC">
        <w:rPr>
          <w:sz w:val="24"/>
          <w:szCs w:val="24"/>
        </w:rPr>
        <w:t>Natriumcitrat-</w:t>
      </w:r>
      <w:proofErr w:type="spellStart"/>
      <w:r w:rsidRPr="00096AFC">
        <w:rPr>
          <w:sz w:val="24"/>
          <w:szCs w:val="24"/>
        </w:rPr>
        <w:t>dihydrat</w:t>
      </w:r>
      <w:proofErr w:type="spellEnd"/>
      <w:r w:rsidRPr="00096AFC">
        <w:rPr>
          <w:sz w:val="24"/>
          <w:szCs w:val="24"/>
        </w:rPr>
        <w:t xml:space="preserve"> (E331)</w:t>
      </w:r>
    </w:p>
    <w:p w14:paraId="74D284CF" w14:textId="77777777" w:rsidR="007E1C88" w:rsidRPr="00096AFC" w:rsidRDefault="007E1C88" w:rsidP="007E1C88">
      <w:pPr>
        <w:autoSpaceDE w:val="0"/>
        <w:autoSpaceDN w:val="0"/>
        <w:adjustRightInd w:val="0"/>
        <w:ind w:left="851"/>
        <w:rPr>
          <w:sz w:val="24"/>
          <w:szCs w:val="24"/>
        </w:rPr>
      </w:pPr>
      <w:proofErr w:type="spellStart"/>
      <w:r w:rsidRPr="00096AFC">
        <w:rPr>
          <w:sz w:val="24"/>
          <w:szCs w:val="24"/>
        </w:rPr>
        <w:lastRenderedPageBreak/>
        <w:t>Talcum</w:t>
      </w:r>
      <w:proofErr w:type="spellEnd"/>
    </w:p>
    <w:p w14:paraId="4B3DE851" w14:textId="77777777" w:rsidR="007E1C88" w:rsidRPr="00096AFC" w:rsidRDefault="007E1C88" w:rsidP="007E1C88">
      <w:pPr>
        <w:ind w:left="851" w:hanging="851"/>
        <w:rPr>
          <w:sz w:val="24"/>
          <w:szCs w:val="24"/>
        </w:rPr>
      </w:pPr>
    </w:p>
    <w:p w14:paraId="210653A7" w14:textId="77777777" w:rsidR="007E1C88" w:rsidRPr="00096AFC" w:rsidRDefault="007E1C88" w:rsidP="007E1C88">
      <w:pPr>
        <w:ind w:left="851" w:hanging="851"/>
        <w:rPr>
          <w:b/>
          <w:sz w:val="24"/>
          <w:szCs w:val="24"/>
        </w:rPr>
      </w:pPr>
      <w:r w:rsidRPr="00096AFC">
        <w:rPr>
          <w:b/>
          <w:sz w:val="24"/>
          <w:szCs w:val="24"/>
        </w:rPr>
        <w:t>6.2</w:t>
      </w:r>
      <w:r w:rsidRPr="00096AFC">
        <w:rPr>
          <w:b/>
          <w:sz w:val="24"/>
          <w:szCs w:val="24"/>
        </w:rPr>
        <w:tab/>
        <w:t>Uforligeligheder</w:t>
      </w:r>
    </w:p>
    <w:p w14:paraId="0AC3FA8C" w14:textId="77777777" w:rsidR="007E1C88" w:rsidRPr="00096AFC" w:rsidRDefault="007E1C88" w:rsidP="007E1C88">
      <w:pPr>
        <w:autoSpaceDE w:val="0"/>
        <w:autoSpaceDN w:val="0"/>
        <w:adjustRightInd w:val="0"/>
        <w:ind w:left="851" w:hanging="851"/>
        <w:rPr>
          <w:sz w:val="24"/>
          <w:szCs w:val="24"/>
        </w:rPr>
      </w:pPr>
      <w:r w:rsidRPr="00096AFC">
        <w:rPr>
          <w:sz w:val="24"/>
          <w:szCs w:val="24"/>
        </w:rPr>
        <w:tab/>
        <w:t>Ikke relevant</w:t>
      </w:r>
      <w:r>
        <w:rPr>
          <w:sz w:val="24"/>
          <w:szCs w:val="24"/>
        </w:rPr>
        <w:t>.</w:t>
      </w:r>
    </w:p>
    <w:p w14:paraId="1B6F8E46" w14:textId="77777777" w:rsidR="007E1C88" w:rsidRPr="00096AFC" w:rsidRDefault="007E1C88" w:rsidP="007E1C88">
      <w:pPr>
        <w:ind w:left="851" w:hanging="851"/>
        <w:rPr>
          <w:sz w:val="24"/>
          <w:szCs w:val="24"/>
        </w:rPr>
      </w:pPr>
    </w:p>
    <w:p w14:paraId="21B1DCDD" w14:textId="77777777" w:rsidR="007E1C88" w:rsidRPr="00096AFC" w:rsidRDefault="007E1C88" w:rsidP="007E1C88">
      <w:pPr>
        <w:ind w:left="851" w:hanging="851"/>
        <w:rPr>
          <w:b/>
          <w:sz w:val="24"/>
          <w:szCs w:val="24"/>
        </w:rPr>
      </w:pPr>
      <w:r w:rsidRPr="00096AFC">
        <w:rPr>
          <w:b/>
          <w:sz w:val="24"/>
          <w:szCs w:val="24"/>
        </w:rPr>
        <w:t>6.3</w:t>
      </w:r>
      <w:r w:rsidRPr="00096AFC">
        <w:rPr>
          <w:b/>
          <w:sz w:val="24"/>
          <w:szCs w:val="24"/>
        </w:rPr>
        <w:tab/>
        <w:t>Opbevaringstid</w:t>
      </w:r>
    </w:p>
    <w:p w14:paraId="3F72BE10" w14:textId="77777777" w:rsidR="007E1C88" w:rsidRPr="00096AFC" w:rsidRDefault="007E1C88" w:rsidP="007E1C88">
      <w:pPr>
        <w:autoSpaceDE w:val="0"/>
        <w:autoSpaceDN w:val="0"/>
        <w:adjustRightInd w:val="0"/>
        <w:ind w:left="851" w:hanging="851"/>
        <w:rPr>
          <w:sz w:val="24"/>
          <w:szCs w:val="24"/>
        </w:rPr>
      </w:pPr>
      <w:r w:rsidRPr="00096AFC">
        <w:rPr>
          <w:sz w:val="24"/>
          <w:szCs w:val="24"/>
        </w:rPr>
        <w:tab/>
        <w:t>3 år</w:t>
      </w:r>
      <w:r>
        <w:rPr>
          <w:sz w:val="24"/>
          <w:szCs w:val="24"/>
        </w:rPr>
        <w:t>.</w:t>
      </w:r>
    </w:p>
    <w:p w14:paraId="2FF232FF" w14:textId="77777777" w:rsidR="007E1C88" w:rsidRPr="00096AFC" w:rsidRDefault="007E1C88" w:rsidP="007E1C88">
      <w:pPr>
        <w:ind w:left="851" w:hanging="851"/>
        <w:rPr>
          <w:sz w:val="24"/>
          <w:szCs w:val="24"/>
        </w:rPr>
      </w:pPr>
    </w:p>
    <w:p w14:paraId="799B298A" w14:textId="77777777" w:rsidR="007E1C88" w:rsidRPr="00096AFC" w:rsidRDefault="007E1C88" w:rsidP="007E1C88">
      <w:pPr>
        <w:ind w:left="851" w:hanging="851"/>
        <w:rPr>
          <w:b/>
          <w:sz w:val="24"/>
          <w:szCs w:val="24"/>
        </w:rPr>
      </w:pPr>
      <w:r w:rsidRPr="00096AFC">
        <w:rPr>
          <w:b/>
          <w:sz w:val="24"/>
          <w:szCs w:val="24"/>
        </w:rPr>
        <w:t>6.4</w:t>
      </w:r>
      <w:r w:rsidRPr="00096AFC">
        <w:rPr>
          <w:b/>
          <w:sz w:val="24"/>
          <w:szCs w:val="24"/>
        </w:rPr>
        <w:tab/>
        <w:t>Særlige opbevaringsforhold</w:t>
      </w:r>
    </w:p>
    <w:p w14:paraId="50958938" w14:textId="77777777" w:rsidR="007E1C88" w:rsidRPr="00096AFC" w:rsidRDefault="007E1C88" w:rsidP="007E1C88">
      <w:pPr>
        <w:autoSpaceDE w:val="0"/>
        <w:autoSpaceDN w:val="0"/>
        <w:adjustRightInd w:val="0"/>
        <w:ind w:left="851" w:hanging="851"/>
        <w:rPr>
          <w:sz w:val="24"/>
          <w:szCs w:val="24"/>
        </w:rPr>
      </w:pPr>
      <w:r w:rsidRPr="00096AFC">
        <w:rPr>
          <w:sz w:val="24"/>
          <w:szCs w:val="24"/>
        </w:rPr>
        <w:tab/>
        <w:t xml:space="preserve">Opbevares </w:t>
      </w:r>
      <w:r>
        <w:rPr>
          <w:sz w:val="24"/>
          <w:szCs w:val="24"/>
        </w:rPr>
        <w:t xml:space="preserve">ved temperaturer </w:t>
      </w:r>
      <w:r w:rsidRPr="00096AFC">
        <w:rPr>
          <w:sz w:val="24"/>
          <w:szCs w:val="24"/>
        </w:rPr>
        <w:t>under 30 °C</w:t>
      </w:r>
      <w:r>
        <w:rPr>
          <w:sz w:val="24"/>
          <w:szCs w:val="24"/>
        </w:rPr>
        <w:t>.</w:t>
      </w:r>
    </w:p>
    <w:p w14:paraId="13BE0D60" w14:textId="77777777" w:rsidR="007E1C88" w:rsidRPr="00096AFC" w:rsidRDefault="007E1C88" w:rsidP="007E1C88">
      <w:pPr>
        <w:autoSpaceDE w:val="0"/>
        <w:autoSpaceDN w:val="0"/>
        <w:adjustRightInd w:val="0"/>
        <w:ind w:left="851"/>
        <w:rPr>
          <w:sz w:val="24"/>
          <w:szCs w:val="24"/>
        </w:rPr>
      </w:pPr>
      <w:r w:rsidRPr="00096AFC">
        <w:rPr>
          <w:sz w:val="24"/>
          <w:szCs w:val="24"/>
        </w:rPr>
        <w:t>Opbevares i den originale yderpakning for at beskytte mod lys</w:t>
      </w:r>
      <w:r>
        <w:rPr>
          <w:sz w:val="24"/>
          <w:szCs w:val="24"/>
        </w:rPr>
        <w:t>.</w:t>
      </w:r>
    </w:p>
    <w:p w14:paraId="7D13E228" w14:textId="77777777" w:rsidR="007E1C88" w:rsidRPr="00096AFC" w:rsidRDefault="007E1C88" w:rsidP="007E1C88">
      <w:pPr>
        <w:ind w:left="851" w:hanging="851"/>
        <w:rPr>
          <w:sz w:val="24"/>
          <w:szCs w:val="24"/>
        </w:rPr>
      </w:pPr>
    </w:p>
    <w:p w14:paraId="7ED800E7" w14:textId="77777777" w:rsidR="007E1C88" w:rsidRPr="00096AFC" w:rsidRDefault="007E1C88" w:rsidP="007E1C88">
      <w:pPr>
        <w:ind w:left="851" w:hanging="851"/>
        <w:rPr>
          <w:b/>
          <w:sz w:val="24"/>
          <w:szCs w:val="24"/>
        </w:rPr>
      </w:pPr>
      <w:r w:rsidRPr="00096AFC">
        <w:rPr>
          <w:b/>
          <w:sz w:val="24"/>
          <w:szCs w:val="24"/>
        </w:rPr>
        <w:t>6.5</w:t>
      </w:r>
      <w:r w:rsidRPr="00096AFC">
        <w:rPr>
          <w:b/>
          <w:sz w:val="24"/>
          <w:szCs w:val="24"/>
        </w:rPr>
        <w:tab/>
        <w:t>Emballagetype og pakningsstørrelser</w:t>
      </w:r>
    </w:p>
    <w:p w14:paraId="3FA79F2B" w14:textId="77777777" w:rsidR="007E1C88" w:rsidRPr="00096AFC" w:rsidRDefault="007E1C88" w:rsidP="007E1C88">
      <w:pPr>
        <w:autoSpaceDE w:val="0"/>
        <w:autoSpaceDN w:val="0"/>
        <w:adjustRightInd w:val="0"/>
        <w:ind w:left="851" w:hanging="851"/>
        <w:rPr>
          <w:sz w:val="24"/>
          <w:szCs w:val="24"/>
        </w:rPr>
      </w:pPr>
      <w:r w:rsidRPr="00096AFC">
        <w:rPr>
          <w:sz w:val="24"/>
          <w:szCs w:val="24"/>
        </w:rPr>
        <w:tab/>
        <w:t>Pakningsstørrelser:</w:t>
      </w:r>
    </w:p>
    <w:p w14:paraId="1C921B33" w14:textId="77777777" w:rsidR="007E1C88" w:rsidRPr="00096AFC" w:rsidRDefault="007E1C88" w:rsidP="007E1C88">
      <w:pPr>
        <w:autoSpaceDE w:val="0"/>
        <w:autoSpaceDN w:val="0"/>
        <w:adjustRightInd w:val="0"/>
        <w:ind w:left="851"/>
        <w:rPr>
          <w:sz w:val="24"/>
          <w:szCs w:val="24"/>
        </w:rPr>
      </w:pPr>
      <w:r w:rsidRPr="00096AFC">
        <w:rPr>
          <w:sz w:val="24"/>
          <w:szCs w:val="24"/>
        </w:rPr>
        <w:t>PVC/Al-blistere indeholdende 8, 10, 12, 16, 20, 24, 30, 32, 50 eller 100 filmovertrukne tabletter.</w:t>
      </w:r>
    </w:p>
    <w:p w14:paraId="2C2A408E" w14:textId="77777777" w:rsidR="007E1C88" w:rsidRPr="00096AFC" w:rsidRDefault="007E1C88" w:rsidP="007E1C88">
      <w:pPr>
        <w:autoSpaceDE w:val="0"/>
        <w:autoSpaceDN w:val="0"/>
        <w:adjustRightInd w:val="0"/>
        <w:ind w:left="851"/>
        <w:rPr>
          <w:sz w:val="24"/>
          <w:szCs w:val="24"/>
        </w:rPr>
      </w:pPr>
      <w:r w:rsidRPr="00096AFC">
        <w:rPr>
          <w:sz w:val="24"/>
          <w:szCs w:val="24"/>
        </w:rPr>
        <w:t>Ikke alle pakningsstørrelser er nødvendigvis markedsført.</w:t>
      </w:r>
    </w:p>
    <w:p w14:paraId="6BFB56EF" w14:textId="77777777" w:rsidR="007E1C88" w:rsidRPr="00096AFC" w:rsidRDefault="007E1C88" w:rsidP="007E1C88">
      <w:pPr>
        <w:ind w:left="851" w:hanging="851"/>
        <w:rPr>
          <w:sz w:val="24"/>
          <w:szCs w:val="24"/>
        </w:rPr>
      </w:pPr>
    </w:p>
    <w:p w14:paraId="3F6EE85C" w14:textId="77777777" w:rsidR="00054D1F" w:rsidRPr="00C84483" w:rsidRDefault="00054D1F" w:rsidP="00054D1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37F29BEA" w14:textId="77777777" w:rsidR="007E1C88" w:rsidRPr="00096AFC" w:rsidRDefault="007E1C88" w:rsidP="007E1C88">
      <w:pPr>
        <w:autoSpaceDE w:val="0"/>
        <w:autoSpaceDN w:val="0"/>
        <w:adjustRightInd w:val="0"/>
        <w:ind w:left="851" w:hanging="851"/>
        <w:rPr>
          <w:sz w:val="24"/>
          <w:szCs w:val="24"/>
        </w:rPr>
      </w:pPr>
      <w:r w:rsidRPr="00096AFC">
        <w:rPr>
          <w:sz w:val="24"/>
          <w:szCs w:val="24"/>
        </w:rPr>
        <w:tab/>
        <w:t>Ingen særlige forholdsregler ved bortskaffelse</w:t>
      </w:r>
    </w:p>
    <w:p w14:paraId="71542E15" w14:textId="77777777" w:rsidR="007E1C88" w:rsidRPr="00096AFC" w:rsidRDefault="007E1C88" w:rsidP="007E1C88">
      <w:pPr>
        <w:autoSpaceDE w:val="0"/>
        <w:autoSpaceDN w:val="0"/>
        <w:adjustRightInd w:val="0"/>
        <w:ind w:left="851" w:hanging="851"/>
        <w:rPr>
          <w:sz w:val="24"/>
          <w:szCs w:val="24"/>
        </w:rPr>
      </w:pPr>
    </w:p>
    <w:p w14:paraId="4578BFCF" w14:textId="77777777" w:rsidR="007E1C88" w:rsidRPr="00096AFC" w:rsidRDefault="007E1C88" w:rsidP="007E1C88">
      <w:pPr>
        <w:autoSpaceDE w:val="0"/>
        <w:autoSpaceDN w:val="0"/>
        <w:adjustRightInd w:val="0"/>
        <w:ind w:left="851"/>
        <w:rPr>
          <w:sz w:val="24"/>
          <w:szCs w:val="24"/>
        </w:rPr>
      </w:pPr>
      <w:r w:rsidRPr="00096AFC">
        <w:rPr>
          <w:sz w:val="24"/>
          <w:szCs w:val="24"/>
        </w:rPr>
        <w:t>Ikke anvendt lægemiddel samt affald heraf skal bortskaffes i henhold til lokale retningslinjer.</w:t>
      </w:r>
    </w:p>
    <w:p w14:paraId="44633C7E" w14:textId="77777777" w:rsidR="007E1C88" w:rsidRPr="00096AFC" w:rsidRDefault="007E1C88" w:rsidP="007E1C88">
      <w:pPr>
        <w:ind w:left="851" w:hanging="851"/>
        <w:jc w:val="both"/>
        <w:rPr>
          <w:sz w:val="24"/>
          <w:szCs w:val="24"/>
        </w:rPr>
      </w:pPr>
    </w:p>
    <w:p w14:paraId="2E1494E0" w14:textId="77777777" w:rsidR="007E1C88" w:rsidRPr="00096AFC" w:rsidRDefault="007E1C88" w:rsidP="007E1C88">
      <w:pPr>
        <w:ind w:left="851" w:hanging="851"/>
        <w:rPr>
          <w:b/>
          <w:sz w:val="24"/>
          <w:szCs w:val="24"/>
        </w:rPr>
      </w:pPr>
      <w:r w:rsidRPr="00096AFC">
        <w:rPr>
          <w:b/>
          <w:sz w:val="24"/>
          <w:szCs w:val="24"/>
        </w:rPr>
        <w:t>7.</w:t>
      </w:r>
      <w:r w:rsidRPr="00096AFC">
        <w:rPr>
          <w:b/>
          <w:sz w:val="24"/>
          <w:szCs w:val="24"/>
        </w:rPr>
        <w:tab/>
        <w:t>INDEHAVER AF MARKEDSFØRINGSTILLADELSEN</w:t>
      </w:r>
    </w:p>
    <w:p w14:paraId="61582745" w14:textId="77777777" w:rsidR="00834AB0" w:rsidRPr="00B860C0" w:rsidRDefault="00834AB0" w:rsidP="00834AB0">
      <w:pPr>
        <w:ind w:left="851"/>
        <w:rPr>
          <w:sz w:val="24"/>
          <w:szCs w:val="24"/>
        </w:rPr>
      </w:pPr>
      <w:r w:rsidRPr="00B860C0">
        <w:rPr>
          <w:sz w:val="24"/>
          <w:szCs w:val="24"/>
        </w:rPr>
        <w:t>Vale Pharmaceuticals Limited</w:t>
      </w:r>
    </w:p>
    <w:p w14:paraId="0DE7674C" w14:textId="77777777" w:rsidR="00834AB0" w:rsidRPr="00834AB0" w:rsidRDefault="00834AB0" w:rsidP="00834AB0">
      <w:pPr>
        <w:ind w:left="851"/>
        <w:rPr>
          <w:sz w:val="24"/>
          <w:szCs w:val="24"/>
          <w:lang w:val="en-US"/>
        </w:rPr>
      </w:pPr>
      <w:r w:rsidRPr="00834AB0">
        <w:rPr>
          <w:sz w:val="24"/>
          <w:szCs w:val="24"/>
          <w:lang w:val="en-US"/>
        </w:rPr>
        <w:t xml:space="preserve">3 </w:t>
      </w:r>
      <w:proofErr w:type="spellStart"/>
      <w:r w:rsidRPr="00834AB0">
        <w:rPr>
          <w:sz w:val="24"/>
          <w:szCs w:val="24"/>
          <w:lang w:val="en-US"/>
        </w:rPr>
        <w:t>Anglesea</w:t>
      </w:r>
      <w:proofErr w:type="spellEnd"/>
      <w:r w:rsidRPr="00834AB0">
        <w:rPr>
          <w:sz w:val="24"/>
          <w:szCs w:val="24"/>
          <w:lang w:val="en-US"/>
        </w:rPr>
        <w:t xml:space="preserve"> Street</w:t>
      </w:r>
    </w:p>
    <w:p w14:paraId="0172914D" w14:textId="77777777" w:rsidR="00834AB0" w:rsidRPr="00834AB0" w:rsidRDefault="00834AB0" w:rsidP="00834AB0">
      <w:pPr>
        <w:ind w:left="851"/>
        <w:rPr>
          <w:sz w:val="24"/>
          <w:szCs w:val="24"/>
          <w:lang w:val="en-US"/>
        </w:rPr>
      </w:pPr>
      <w:r w:rsidRPr="00834AB0">
        <w:rPr>
          <w:sz w:val="24"/>
          <w:szCs w:val="24"/>
          <w:lang w:val="en-US"/>
        </w:rPr>
        <w:t xml:space="preserve">Clonmel </w:t>
      </w:r>
    </w:p>
    <w:p w14:paraId="233CDD6A" w14:textId="77777777" w:rsidR="00834AB0" w:rsidRPr="00834AB0" w:rsidRDefault="00834AB0" w:rsidP="00834AB0">
      <w:pPr>
        <w:ind w:left="851"/>
        <w:rPr>
          <w:sz w:val="24"/>
          <w:szCs w:val="24"/>
          <w:lang w:val="en-US"/>
        </w:rPr>
      </w:pPr>
      <w:r w:rsidRPr="00834AB0">
        <w:rPr>
          <w:sz w:val="24"/>
          <w:szCs w:val="24"/>
          <w:lang w:val="en-US"/>
        </w:rPr>
        <w:t xml:space="preserve">Co. </w:t>
      </w:r>
      <w:proofErr w:type="spellStart"/>
      <w:r w:rsidRPr="00834AB0">
        <w:rPr>
          <w:sz w:val="24"/>
          <w:szCs w:val="24"/>
          <w:lang w:val="en-US"/>
        </w:rPr>
        <w:t>Tipperary</w:t>
      </w:r>
      <w:proofErr w:type="spellEnd"/>
      <w:r w:rsidRPr="00834AB0">
        <w:rPr>
          <w:sz w:val="24"/>
          <w:szCs w:val="24"/>
          <w:lang w:val="en-US"/>
        </w:rPr>
        <w:t>, E91 D6C5</w:t>
      </w:r>
    </w:p>
    <w:p w14:paraId="10FC1930" w14:textId="20D636C9" w:rsidR="007E1C88" w:rsidRPr="00B860C0" w:rsidRDefault="00834AB0" w:rsidP="00834AB0">
      <w:pPr>
        <w:ind w:left="851"/>
        <w:rPr>
          <w:sz w:val="24"/>
          <w:szCs w:val="24"/>
        </w:rPr>
      </w:pPr>
      <w:r w:rsidRPr="00B860C0">
        <w:rPr>
          <w:sz w:val="24"/>
          <w:szCs w:val="24"/>
        </w:rPr>
        <w:t>Irland</w:t>
      </w:r>
      <w:r w:rsidR="007E1C88" w:rsidRPr="001951E0">
        <w:rPr>
          <w:lang w:val="nb-NO"/>
        </w:rPr>
        <w:br/>
      </w:r>
    </w:p>
    <w:p w14:paraId="325F0FCB" w14:textId="77777777" w:rsidR="007E1C88" w:rsidRPr="00096AFC" w:rsidRDefault="007E1C88" w:rsidP="007E1C88">
      <w:pPr>
        <w:ind w:left="851" w:hanging="851"/>
        <w:rPr>
          <w:b/>
          <w:sz w:val="24"/>
          <w:szCs w:val="24"/>
        </w:rPr>
      </w:pPr>
      <w:r w:rsidRPr="00096AFC">
        <w:rPr>
          <w:b/>
          <w:sz w:val="24"/>
          <w:szCs w:val="24"/>
        </w:rPr>
        <w:t>8.</w:t>
      </w:r>
      <w:r w:rsidRPr="00096AFC">
        <w:rPr>
          <w:b/>
          <w:sz w:val="24"/>
          <w:szCs w:val="24"/>
        </w:rPr>
        <w:tab/>
        <w:t>MARKEDSFØRINGSTILLADELSESNUMMER (</w:t>
      </w:r>
      <w:r w:rsidR="002A714D">
        <w:rPr>
          <w:b/>
          <w:sz w:val="24"/>
          <w:szCs w:val="24"/>
        </w:rPr>
        <w:t>-</w:t>
      </w:r>
      <w:r w:rsidRPr="00096AFC">
        <w:rPr>
          <w:b/>
          <w:sz w:val="24"/>
          <w:szCs w:val="24"/>
        </w:rPr>
        <w:t>NUMRE)</w:t>
      </w:r>
    </w:p>
    <w:p w14:paraId="03EDB1EC" w14:textId="77777777" w:rsidR="007E1C88" w:rsidRPr="00096AFC" w:rsidRDefault="007E1C88" w:rsidP="007E1C88">
      <w:pPr>
        <w:ind w:left="851" w:hanging="851"/>
        <w:rPr>
          <w:sz w:val="24"/>
          <w:szCs w:val="24"/>
        </w:rPr>
      </w:pPr>
      <w:r w:rsidRPr="00096AFC">
        <w:rPr>
          <w:sz w:val="24"/>
          <w:szCs w:val="24"/>
        </w:rPr>
        <w:tab/>
        <w:t>54929</w:t>
      </w:r>
    </w:p>
    <w:p w14:paraId="50CF4FAC" w14:textId="77777777" w:rsidR="007E1C88" w:rsidRPr="00096AFC" w:rsidRDefault="007E1C88" w:rsidP="007E1C88">
      <w:pPr>
        <w:ind w:left="851" w:hanging="851"/>
        <w:jc w:val="both"/>
        <w:rPr>
          <w:sz w:val="24"/>
          <w:szCs w:val="24"/>
        </w:rPr>
      </w:pPr>
    </w:p>
    <w:p w14:paraId="3C306861" w14:textId="77777777" w:rsidR="007E1C88" w:rsidRPr="00096AFC" w:rsidRDefault="007E1C88" w:rsidP="007E1C88">
      <w:pPr>
        <w:ind w:left="851" w:hanging="851"/>
        <w:rPr>
          <w:b/>
          <w:sz w:val="24"/>
          <w:szCs w:val="24"/>
        </w:rPr>
      </w:pPr>
      <w:r w:rsidRPr="00096AFC">
        <w:rPr>
          <w:b/>
          <w:sz w:val="24"/>
          <w:szCs w:val="24"/>
        </w:rPr>
        <w:t>9.</w:t>
      </w:r>
      <w:r w:rsidRPr="00096AFC">
        <w:rPr>
          <w:b/>
          <w:sz w:val="24"/>
          <w:szCs w:val="24"/>
        </w:rPr>
        <w:tab/>
        <w:t>DATO FOR FØRSTE MARKEDSFØRINGSTILLADELSE</w:t>
      </w:r>
    </w:p>
    <w:p w14:paraId="2821247C" w14:textId="77777777" w:rsidR="007E1C88" w:rsidRPr="00096AFC" w:rsidRDefault="007E1C88" w:rsidP="007E1C88">
      <w:pPr>
        <w:ind w:left="851" w:hanging="851"/>
        <w:rPr>
          <w:sz w:val="24"/>
          <w:szCs w:val="24"/>
        </w:rPr>
      </w:pPr>
      <w:r w:rsidRPr="00096AFC">
        <w:rPr>
          <w:sz w:val="24"/>
          <w:szCs w:val="24"/>
        </w:rPr>
        <w:tab/>
        <w:t>25. september 2015</w:t>
      </w:r>
    </w:p>
    <w:p w14:paraId="1A817B52" w14:textId="77777777" w:rsidR="007E1C88" w:rsidRPr="00096AFC" w:rsidRDefault="007E1C88" w:rsidP="007E1C88">
      <w:pPr>
        <w:ind w:left="851" w:hanging="851"/>
        <w:rPr>
          <w:sz w:val="24"/>
          <w:szCs w:val="24"/>
        </w:rPr>
      </w:pPr>
    </w:p>
    <w:p w14:paraId="7464BD32" w14:textId="77777777" w:rsidR="007E1C88" w:rsidRPr="00096AFC" w:rsidRDefault="007E1C88" w:rsidP="007E1C88">
      <w:pPr>
        <w:ind w:left="851" w:hanging="851"/>
        <w:rPr>
          <w:b/>
          <w:sz w:val="24"/>
          <w:szCs w:val="24"/>
        </w:rPr>
      </w:pPr>
      <w:r w:rsidRPr="00096AFC">
        <w:rPr>
          <w:b/>
          <w:sz w:val="24"/>
          <w:szCs w:val="24"/>
        </w:rPr>
        <w:t>10.</w:t>
      </w:r>
      <w:r w:rsidRPr="00096AFC">
        <w:rPr>
          <w:b/>
          <w:sz w:val="24"/>
          <w:szCs w:val="24"/>
        </w:rPr>
        <w:tab/>
        <w:t>DATO FOR ÆNDRING AF TEKSTEN</w:t>
      </w:r>
    </w:p>
    <w:p w14:paraId="582486C1" w14:textId="5BAD0D70" w:rsidR="0003527F" w:rsidRPr="007E1C88" w:rsidRDefault="007E1C88" w:rsidP="00054D1F">
      <w:pPr>
        <w:ind w:left="851" w:hanging="851"/>
      </w:pPr>
      <w:r w:rsidRPr="00096AFC">
        <w:rPr>
          <w:sz w:val="24"/>
          <w:szCs w:val="24"/>
        </w:rPr>
        <w:tab/>
      </w:r>
      <w:r w:rsidR="00453E1A">
        <w:rPr>
          <w:sz w:val="24"/>
          <w:szCs w:val="24"/>
        </w:rPr>
        <w:t>4. februar 2025</w:t>
      </w:r>
    </w:p>
    <w:sectPr w:rsidR="0003527F" w:rsidRPr="007E1C88" w:rsidSect="00C479BF">
      <w:headerReference w:type="default"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35DAC" w14:textId="77777777" w:rsidR="00AB1F89" w:rsidRDefault="00AB1F89">
      <w:r>
        <w:separator/>
      </w:r>
    </w:p>
  </w:endnote>
  <w:endnote w:type="continuationSeparator" w:id="0">
    <w:p w14:paraId="34B6BFF9" w14:textId="77777777" w:rsidR="00AB1F89" w:rsidRDefault="00AB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544E3" w14:textId="77777777" w:rsidR="00AB1F89" w:rsidRDefault="00AB1F89">
    <w:pPr>
      <w:pStyle w:val="Sidefod"/>
      <w:pBdr>
        <w:bottom w:val="single" w:sz="6" w:space="1" w:color="auto"/>
      </w:pBdr>
      <w:tabs>
        <w:tab w:val="clear" w:pos="4819"/>
        <w:tab w:val="left" w:pos="8647"/>
      </w:tabs>
      <w:rPr>
        <w:i/>
        <w:snapToGrid w:val="0"/>
        <w:sz w:val="18"/>
      </w:rPr>
    </w:pPr>
  </w:p>
  <w:p w14:paraId="0D70899E" w14:textId="77777777" w:rsidR="00AB1F89" w:rsidRDefault="00AB1F89">
    <w:pPr>
      <w:pStyle w:val="Sidefod"/>
      <w:tabs>
        <w:tab w:val="clear" w:pos="4819"/>
        <w:tab w:val="left" w:pos="8647"/>
      </w:tabs>
      <w:rPr>
        <w:i/>
        <w:snapToGrid w:val="0"/>
        <w:sz w:val="18"/>
      </w:rPr>
    </w:pPr>
  </w:p>
  <w:p w14:paraId="315C1B03" w14:textId="42061008" w:rsidR="00AB1F89" w:rsidRDefault="00AB1F8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54D1F">
      <w:rPr>
        <w:i/>
        <w:noProof/>
        <w:snapToGrid w:val="0"/>
        <w:sz w:val="18"/>
      </w:rPr>
      <w:t>Doleron, filmovertrukne tabletter 500+150 mg.docx</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5E11" w14:textId="77777777" w:rsidR="00AB1F89" w:rsidRDefault="00AB1F89">
    <w:pPr>
      <w:pStyle w:val="Sidefod"/>
      <w:pBdr>
        <w:bottom w:val="single" w:sz="6" w:space="1" w:color="auto"/>
      </w:pBdr>
      <w:tabs>
        <w:tab w:val="clear" w:pos="4819"/>
        <w:tab w:val="left" w:pos="8647"/>
      </w:tabs>
      <w:rPr>
        <w:i/>
        <w:snapToGrid w:val="0"/>
        <w:sz w:val="18"/>
      </w:rPr>
    </w:pPr>
  </w:p>
  <w:p w14:paraId="57CF9FF2" w14:textId="77777777" w:rsidR="00AB1F89" w:rsidRDefault="00AB1F89">
    <w:pPr>
      <w:pStyle w:val="Sidefod"/>
      <w:tabs>
        <w:tab w:val="clear" w:pos="4819"/>
        <w:tab w:val="left" w:pos="8647"/>
      </w:tabs>
      <w:rPr>
        <w:i/>
        <w:snapToGrid w:val="0"/>
        <w:sz w:val="18"/>
      </w:rPr>
    </w:pPr>
  </w:p>
  <w:p w14:paraId="5337E4B9" w14:textId="42FDBB52" w:rsidR="00AB1F89" w:rsidRDefault="00AB1F8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54D1F">
      <w:rPr>
        <w:i/>
        <w:noProof/>
        <w:snapToGrid w:val="0"/>
        <w:sz w:val="18"/>
      </w:rPr>
      <w:t>Doleron, filmovertrukne tabletter 500+150 mg.docx</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98799" w14:textId="77777777" w:rsidR="00AB1F89" w:rsidRDefault="00AB1F89">
      <w:r>
        <w:separator/>
      </w:r>
    </w:p>
  </w:footnote>
  <w:footnote w:type="continuationSeparator" w:id="0">
    <w:p w14:paraId="2EB2FD41" w14:textId="77777777" w:rsidR="00AB1F89" w:rsidRDefault="00AB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BCF8" w14:textId="77777777" w:rsidR="00AB1F89" w:rsidRDefault="00AB1F89">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AF9A" w14:textId="77777777" w:rsidR="00AB1F89" w:rsidRDefault="00AB1F89">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661BA"/>
    <w:multiLevelType w:val="hybridMultilevel"/>
    <w:tmpl w:val="3F0E8A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F5D48E4"/>
    <w:multiLevelType w:val="hybridMultilevel"/>
    <w:tmpl w:val="3564BA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4A24A92"/>
    <w:multiLevelType w:val="hybridMultilevel"/>
    <w:tmpl w:val="6FB4A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7A35A78"/>
    <w:multiLevelType w:val="hybridMultilevel"/>
    <w:tmpl w:val="92B84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43F2029"/>
    <w:multiLevelType w:val="hybridMultilevel"/>
    <w:tmpl w:val="E32A86B0"/>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88"/>
    <w:rsid w:val="00031F27"/>
    <w:rsid w:val="0003527F"/>
    <w:rsid w:val="000442E0"/>
    <w:rsid w:val="00054D1F"/>
    <w:rsid w:val="000607B8"/>
    <w:rsid w:val="00065C7D"/>
    <w:rsid w:val="00082381"/>
    <w:rsid w:val="00083C60"/>
    <w:rsid w:val="00090F32"/>
    <w:rsid w:val="000C6CD4"/>
    <w:rsid w:val="0012234B"/>
    <w:rsid w:val="001458BB"/>
    <w:rsid w:val="00145ECF"/>
    <w:rsid w:val="001577E4"/>
    <w:rsid w:val="001858CA"/>
    <w:rsid w:val="001A10C1"/>
    <w:rsid w:val="001A39C9"/>
    <w:rsid w:val="001A7631"/>
    <w:rsid w:val="001B530E"/>
    <w:rsid w:val="001C4AEF"/>
    <w:rsid w:val="001D3CC5"/>
    <w:rsid w:val="0023582A"/>
    <w:rsid w:val="00255A0B"/>
    <w:rsid w:val="002A714D"/>
    <w:rsid w:val="002D22D8"/>
    <w:rsid w:val="00306864"/>
    <w:rsid w:val="00322BDE"/>
    <w:rsid w:val="00331A74"/>
    <w:rsid w:val="003718A9"/>
    <w:rsid w:val="003F0FBB"/>
    <w:rsid w:val="003F4F73"/>
    <w:rsid w:val="00404760"/>
    <w:rsid w:val="00406EE7"/>
    <w:rsid w:val="00407013"/>
    <w:rsid w:val="004247A9"/>
    <w:rsid w:val="00453E1A"/>
    <w:rsid w:val="00454C52"/>
    <w:rsid w:val="00472DBB"/>
    <w:rsid w:val="004A62CC"/>
    <w:rsid w:val="004A6B09"/>
    <w:rsid w:val="004E015F"/>
    <w:rsid w:val="004F3E1A"/>
    <w:rsid w:val="004F5D17"/>
    <w:rsid w:val="004F74AA"/>
    <w:rsid w:val="00511B6A"/>
    <w:rsid w:val="00540B5A"/>
    <w:rsid w:val="0054382B"/>
    <w:rsid w:val="00565A74"/>
    <w:rsid w:val="00566362"/>
    <w:rsid w:val="00570CA6"/>
    <w:rsid w:val="005B0036"/>
    <w:rsid w:val="005F065E"/>
    <w:rsid w:val="005F466B"/>
    <w:rsid w:val="005F5831"/>
    <w:rsid w:val="006545E4"/>
    <w:rsid w:val="00662012"/>
    <w:rsid w:val="00666B01"/>
    <w:rsid w:val="006B1539"/>
    <w:rsid w:val="006B669C"/>
    <w:rsid w:val="006F5621"/>
    <w:rsid w:val="0072489B"/>
    <w:rsid w:val="00743F38"/>
    <w:rsid w:val="00785822"/>
    <w:rsid w:val="007947A5"/>
    <w:rsid w:val="007B17FB"/>
    <w:rsid w:val="007E1C88"/>
    <w:rsid w:val="007E2A00"/>
    <w:rsid w:val="008010F2"/>
    <w:rsid w:val="00802112"/>
    <w:rsid w:val="00834AB0"/>
    <w:rsid w:val="0088674B"/>
    <w:rsid w:val="008C575A"/>
    <w:rsid w:val="008F6A14"/>
    <w:rsid w:val="009202AE"/>
    <w:rsid w:val="00927B24"/>
    <w:rsid w:val="00991594"/>
    <w:rsid w:val="009D3D7B"/>
    <w:rsid w:val="009D66C6"/>
    <w:rsid w:val="00A072C1"/>
    <w:rsid w:val="00A075E0"/>
    <w:rsid w:val="00A33254"/>
    <w:rsid w:val="00A33BC7"/>
    <w:rsid w:val="00A739FE"/>
    <w:rsid w:val="00A96525"/>
    <w:rsid w:val="00AB1F89"/>
    <w:rsid w:val="00AB5B72"/>
    <w:rsid w:val="00AE29E5"/>
    <w:rsid w:val="00AE5757"/>
    <w:rsid w:val="00B25EB8"/>
    <w:rsid w:val="00B71D4C"/>
    <w:rsid w:val="00B83183"/>
    <w:rsid w:val="00B860C0"/>
    <w:rsid w:val="00BA1721"/>
    <w:rsid w:val="00BB1239"/>
    <w:rsid w:val="00BB222D"/>
    <w:rsid w:val="00BC634B"/>
    <w:rsid w:val="00BC7A0B"/>
    <w:rsid w:val="00BF2AE0"/>
    <w:rsid w:val="00C4149B"/>
    <w:rsid w:val="00C41819"/>
    <w:rsid w:val="00C479BF"/>
    <w:rsid w:val="00C73A09"/>
    <w:rsid w:val="00C84C5B"/>
    <w:rsid w:val="00CF4A5C"/>
    <w:rsid w:val="00CF6058"/>
    <w:rsid w:val="00D1646B"/>
    <w:rsid w:val="00D403D3"/>
    <w:rsid w:val="00D67ED6"/>
    <w:rsid w:val="00D8443F"/>
    <w:rsid w:val="00D8602C"/>
    <w:rsid w:val="00DA4B7C"/>
    <w:rsid w:val="00DD5980"/>
    <w:rsid w:val="00DD6D71"/>
    <w:rsid w:val="00DF316A"/>
    <w:rsid w:val="00DF32BE"/>
    <w:rsid w:val="00E125A7"/>
    <w:rsid w:val="00E14F0A"/>
    <w:rsid w:val="00E879C5"/>
    <w:rsid w:val="00E903CA"/>
    <w:rsid w:val="00EB5778"/>
    <w:rsid w:val="00EE5253"/>
    <w:rsid w:val="00EF49FA"/>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84CFD"/>
  <w15:chartTrackingRefBased/>
  <w15:docId w15:val="{A2BEDD7B-B069-49D3-BB53-0949BE63A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7E1C88"/>
    <w:pPr>
      <w:jc w:val="center"/>
    </w:pPr>
    <w:rPr>
      <w:b/>
      <w:sz w:val="24"/>
      <w:lang w:eastAsia="da-DK"/>
    </w:rPr>
  </w:style>
  <w:style w:type="character" w:customStyle="1" w:styleId="TitelTegn">
    <w:name w:val="Titel Tegn"/>
    <w:basedOn w:val="Standardskrifttypeiafsnit"/>
    <w:link w:val="Titel"/>
    <w:rsid w:val="007E1C88"/>
    <w:rPr>
      <w:b/>
      <w:sz w:val="24"/>
    </w:rPr>
  </w:style>
  <w:style w:type="character" w:customStyle="1" w:styleId="TextChar">
    <w:name w:val="Text Char"/>
    <w:link w:val="Text"/>
    <w:locked/>
    <w:rsid w:val="007E1C88"/>
    <w:rPr>
      <w:sz w:val="24"/>
      <w:lang w:val="en-US"/>
    </w:rPr>
  </w:style>
  <w:style w:type="paragraph" w:customStyle="1" w:styleId="Text">
    <w:name w:val="Text"/>
    <w:aliases w:val="Graphic"/>
    <w:basedOn w:val="Normal"/>
    <w:link w:val="TextChar"/>
    <w:rsid w:val="007E1C88"/>
    <w:pPr>
      <w:spacing w:before="120"/>
      <w:jc w:val="both"/>
    </w:pPr>
    <w:rPr>
      <w:sz w:val="24"/>
      <w:lang w:val="en-US" w:eastAsia="da-DK"/>
    </w:rPr>
  </w:style>
  <w:style w:type="paragraph" w:styleId="Listeafsnit">
    <w:name w:val="List Paragraph"/>
    <w:basedOn w:val="Normal"/>
    <w:uiPriority w:val="34"/>
    <w:qFormat/>
    <w:rsid w:val="007E1C88"/>
    <w:pPr>
      <w:spacing w:after="200" w:line="276" w:lineRule="auto"/>
      <w:ind w:left="720"/>
      <w:contextualSpacing/>
    </w:pPr>
    <w:rPr>
      <w:rFonts w:ascii="Calibri" w:eastAsia="Calibri" w:hAnsi="Calibri"/>
      <w:sz w:val="22"/>
      <w:szCs w:val="22"/>
      <w:lang w:val="en-GB"/>
    </w:rPr>
  </w:style>
  <w:style w:type="paragraph" w:customStyle="1" w:styleId="ammcorpstexte">
    <w:name w:val="ammcorpstexte"/>
    <w:basedOn w:val="Normal"/>
    <w:rsid w:val="007E1C88"/>
    <w:rPr>
      <w:rFonts w:ascii="Arial" w:hAnsi="Arial" w:cs="Arial"/>
      <w:color w:val="000000"/>
      <w:sz w:val="24"/>
      <w:szCs w:val="24"/>
      <w:lang w:val="en-GB" w:eastAsia="fr-FR"/>
    </w:rPr>
  </w:style>
  <w:style w:type="paragraph" w:customStyle="1" w:styleId="ammannexetitre2bis">
    <w:name w:val="ammannexetitre2bis"/>
    <w:basedOn w:val="Normal"/>
    <w:rsid w:val="007E1C88"/>
    <w:pPr>
      <w:spacing w:before="100" w:beforeAutospacing="1" w:after="100" w:afterAutospacing="1"/>
    </w:pPr>
    <w:rPr>
      <w:rFonts w:ascii="Arial" w:hAnsi="Arial" w:cs="Arial"/>
      <w:b/>
      <w:bCs/>
      <w:i/>
      <w:iCs/>
      <w:color w:val="0000A0"/>
      <w:sz w:val="24"/>
      <w:szCs w:val="24"/>
      <w:lang w:val="en-GB" w:eastAsia="fr-FR"/>
    </w:rPr>
  </w:style>
  <w:style w:type="character" w:styleId="Hyperlink">
    <w:name w:val="Hyperlink"/>
    <w:uiPriority w:val="99"/>
    <w:unhideWhenUsed/>
    <w:rsid w:val="007E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395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9592513">
      <w:bodyDiv w:val="1"/>
      <w:marLeft w:val="0"/>
      <w:marRight w:val="0"/>
      <w:marTop w:val="0"/>
      <w:marBottom w:val="0"/>
      <w:divBdr>
        <w:top w:val="none" w:sz="0" w:space="0" w:color="auto"/>
        <w:left w:val="none" w:sz="0" w:space="0" w:color="auto"/>
        <w:bottom w:val="none" w:sz="0" w:space="0" w:color="auto"/>
        <w:right w:val="none" w:sz="0" w:space="0" w:color="auto"/>
      </w:divBdr>
      <w:divsChild>
        <w:div w:id="1951665190">
          <w:marLeft w:val="0"/>
          <w:marRight w:val="0"/>
          <w:marTop w:val="0"/>
          <w:marBottom w:val="0"/>
          <w:divBdr>
            <w:top w:val="none" w:sz="0" w:space="0" w:color="auto"/>
            <w:left w:val="none" w:sz="0" w:space="0" w:color="auto"/>
            <w:bottom w:val="none" w:sz="0" w:space="0" w:color="auto"/>
            <w:right w:val="none" w:sz="0" w:space="0" w:color="auto"/>
          </w:divBdr>
          <w:divsChild>
            <w:div w:id="20206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sbragadottir\AppData\Local\Microsoft\Windows\Temporary%20Internet%20Files\Content.Outlook\EM8ID4G3\Plots%20AFT.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SRVDC3VC200V24\Pharmaceutical\PRODUCTS\Paracetamol_Ibuprofen\UK_H_5678%20tablets%20DK_FI_IS_NO_SE\MA\EoP\Graphs%20for%20SPC.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Arial"/>
                <a:ea typeface="Arial"/>
                <a:cs typeface="Arial"/>
              </a:defRPr>
            </a:pPr>
            <a:r>
              <a:rPr lang="en-GB"/>
              <a:t>Smertescorer (hvile)</a:t>
            </a:r>
          </a:p>
        </c:rich>
      </c:tx>
      <c:layout>
        <c:manualLayout>
          <c:xMode val="edge"/>
          <c:yMode val="edge"/>
          <c:x val="0.36936993686599984"/>
          <c:y val="3.4161490683229816E-2"/>
        </c:manualLayout>
      </c:layout>
      <c:overlay val="0"/>
      <c:spPr>
        <a:noFill/>
        <a:ln w="25400">
          <a:noFill/>
        </a:ln>
      </c:spPr>
    </c:title>
    <c:autoTitleDeleted val="0"/>
    <c:plotArea>
      <c:layout>
        <c:manualLayout>
          <c:layoutTarget val="inner"/>
          <c:xMode val="edge"/>
          <c:yMode val="edge"/>
          <c:x val="0.11711732319348817"/>
          <c:y val="0.21118044445792358"/>
          <c:w val="0.63063174027262858"/>
          <c:h val="0.57453503271640971"/>
        </c:manualLayout>
      </c:layout>
      <c:scatterChart>
        <c:scatterStyle val="lineMarker"/>
        <c:varyColors val="0"/>
        <c:ser>
          <c:idx val="0"/>
          <c:order val="0"/>
          <c:tx>
            <c:strRef>
              <c:f>'[Plots AFT.xls]MX-1'!$B$5</c:f>
              <c:strCache>
                <c:ptCount val="1"/>
                <c:pt idx="0">
                  <c:v>Maxigesic</c:v>
                </c:pt>
              </c:strCache>
            </c:strRef>
          </c:tx>
          <c:spPr>
            <a:ln w="12700">
              <a:solidFill>
                <a:srgbClr val="7030A0"/>
              </a:solidFill>
              <a:prstDash val="solid"/>
            </a:ln>
          </c:spPr>
          <c:marker>
            <c:symbol val="diamond"/>
            <c:size val="5"/>
            <c:spPr>
              <a:solidFill>
                <a:srgbClr val="7030A0"/>
              </a:solidFill>
              <a:ln>
                <a:solidFill>
                  <a:srgbClr val="7030A0"/>
                </a:solidFill>
                <a:prstDash val="solid"/>
              </a:ln>
            </c:spPr>
          </c:marker>
          <c:errBars>
            <c:errDir val="y"/>
            <c:errBarType val="minus"/>
            <c:errValType val="cust"/>
            <c:noEndCap val="0"/>
            <c:minus>
              <c:numRef>
                <c:f>'[Plots AFT.xls]MX-1'!$F$5:$F$16</c:f>
                <c:numCache>
                  <c:formatCode>General</c:formatCode>
                  <c:ptCount val="12"/>
                  <c:pt idx="0">
                    <c:v>1.7</c:v>
                  </c:pt>
                  <c:pt idx="1">
                    <c:v>2.2400000000000002</c:v>
                  </c:pt>
                  <c:pt idx="2">
                    <c:v>2.78</c:v>
                  </c:pt>
                  <c:pt idx="3">
                    <c:v>4.84</c:v>
                  </c:pt>
                  <c:pt idx="4">
                    <c:v>3.2</c:v>
                  </c:pt>
                  <c:pt idx="5">
                    <c:v>2.27</c:v>
                  </c:pt>
                  <c:pt idx="6">
                    <c:v>2.12</c:v>
                  </c:pt>
                  <c:pt idx="7">
                    <c:v>2.6</c:v>
                  </c:pt>
                  <c:pt idx="8">
                    <c:v>2.59</c:v>
                  </c:pt>
                  <c:pt idx="9">
                    <c:v>3.79</c:v>
                  </c:pt>
                  <c:pt idx="10">
                    <c:v>3.85</c:v>
                  </c:pt>
                  <c:pt idx="11">
                    <c:v>2.42</c:v>
                  </c:pt>
                </c:numCache>
              </c:numRef>
            </c:minus>
            <c:spPr>
              <a:ln w="12700">
                <a:solidFill>
                  <a:srgbClr val="7030A0"/>
                </a:solidFill>
                <a:prstDash val="solid"/>
              </a:ln>
            </c:spPr>
          </c:errBars>
          <c:xVal>
            <c:numRef>
              <c:f>'[Plots AFT.xls]MX-1'!$C$5:$C$16</c:f>
              <c:numCache>
                <c:formatCode>General</c:formatCode>
                <c:ptCount val="12"/>
                <c:pt idx="0">
                  <c:v>4</c:v>
                </c:pt>
                <c:pt idx="1">
                  <c:v>8</c:v>
                </c:pt>
                <c:pt idx="2">
                  <c:v>12</c:v>
                </c:pt>
                <c:pt idx="3">
                  <c:v>16</c:v>
                </c:pt>
                <c:pt idx="4">
                  <c:v>20</c:v>
                </c:pt>
                <c:pt idx="5">
                  <c:v>24</c:v>
                </c:pt>
                <c:pt idx="6">
                  <c:v>28</c:v>
                </c:pt>
                <c:pt idx="7">
                  <c:v>32</c:v>
                </c:pt>
                <c:pt idx="8">
                  <c:v>36</c:v>
                </c:pt>
                <c:pt idx="9">
                  <c:v>40</c:v>
                </c:pt>
                <c:pt idx="10">
                  <c:v>44</c:v>
                </c:pt>
                <c:pt idx="11">
                  <c:v>48</c:v>
                </c:pt>
              </c:numCache>
            </c:numRef>
          </c:xVal>
          <c:yVal>
            <c:numRef>
              <c:f>'[Plots AFT.xls]MX-1'!$E$5:$E$16</c:f>
              <c:numCache>
                <c:formatCode>General</c:formatCode>
                <c:ptCount val="12"/>
                <c:pt idx="0">
                  <c:v>12.13</c:v>
                </c:pt>
                <c:pt idx="1">
                  <c:v>18.649999999999999</c:v>
                </c:pt>
                <c:pt idx="2">
                  <c:v>25.47</c:v>
                </c:pt>
                <c:pt idx="3">
                  <c:v>26.89</c:v>
                </c:pt>
                <c:pt idx="4">
                  <c:v>23.17</c:v>
                </c:pt>
                <c:pt idx="5">
                  <c:v>20.190000000000001</c:v>
                </c:pt>
                <c:pt idx="6">
                  <c:v>18.489999999999998</c:v>
                </c:pt>
                <c:pt idx="7">
                  <c:v>21.8</c:v>
                </c:pt>
                <c:pt idx="8">
                  <c:v>18.420000000000002</c:v>
                </c:pt>
                <c:pt idx="9">
                  <c:v>25.45</c:v>
                </c:pt>
                <c:pt idx="10">
                  <c:v>21</c:v>
                </c:pt>
                <c:pt idx="11">
                  <c:v>20.36</c:v>
                </c:pt>
              </c:numCache>
            </c:numRef>
          </c:yVal>
          <c:smooth val="0"/>
          <c:extLst>
            <c:ext xmlns:c16="http://schemas.microsoft.com/office/drawing/2014/chart" uri="{C3380CC4-5D6E-409C-BE32-E72D297353CC}">
              <c16:uniqueId val="{00000000-D659-45D8-9775-1718BB016DB9}"/>
            </c:ext>
          </c:extLst>
        </c:ser>
        <c:ser>
          <c:idx val="1"/>
          <c:order val="1"/>
          <c:tx>
            <c:strRef>
              <c:f>'[Plots AFT.xls]MX-1'!$B$17</c:f>
              <c:strCache>
                <c:ptCount val="1"/>
                <c:pt idx="0">
                  <c:v>Ibuprofen</c:v>
                </c:pt>
              </c:strCache>
            </c:strRef>
          </c:tx>
          <c:spPr>
            <a:ln w="12700">
              <a:solidFill>
                <a:srgbClr val="C00000"/>
              </a:solidFill>
              <a:prstDash val="solid"/>
            </a:ln>
          </c:spPr>
          <c:marker>
            <c:symbol val="square"/>
            <c:size val="5"/>
            <c:spPr>
              <a:solidFill>
                <a:srgbClr val="C00000"/>
              </a:solidFill>
              <a:ln>
                <a:solidFill>
                  <a:srgbClr val="C00000"/>
                </a:solidFill>
                <a:prstDash val="solid"/>
              </a:ln>
            </c:spPr>
          </c:marker>
          <c:errBars>
            <c:errDir val="y"/>
            <c:errBarType val="plus"/>
            <c:errValType val="cust"/>
            <c:noEndCap val="0"/>
            <c:plus>
              <c:numRef>
                <c:f>'[Plots AFT.xls]MX-1'!$F$17:$F$28</c:f>
                <c:numCache>
                  <c:formatCode>General</c:formatCode>
                  <c:ptCount val="12"/>
                  <c:pt idx="0">
                    <c:v>1.96</c:v>
                  </c:pt>
                  <c:pt idx="1">
                    <c:v>2.88</c:v>
                  </c:pt>
                  <c:pt idx="2">
                    <c:v>4.1100000000000003</c:v>
                  </c:pt>
                  <c:pt idx="3">
                    <c:v>7.6</c:v>
                  </c:pt>
                  <c:pt idx="4">
                    <c:v>4.42</c:v>
                  </c:pt>
                  <c:pt idx="5">
                    <c:v>3.51</c:v>
                  </c:pt>
                  <c:pt idx="6">
                    <c:v>3.89</c:v>
                  </c:pt>
                  <c:pt idx="7">
                    <c:v>3.97</c:v>
                  </c:pt>
                  <c:pt idx="8">
                    <c:v>4.99</c:v>
                  </c:pt>
                  <c:pt idx="9">
                    <c:v>6.82</c:v>
                  </c:pt>
                  <c:pt idx="10">
                    <c:v>5.28</c:v>
                  </c:pt>
                  <c:pt idx="11">
                    <c:v>3.98</c:v>
                  </c:pt>
                </c:numCache>
              </c:numRef>
            </c:plus>
            <c:spPr>
              <a:ln w="12700">
                <a:solidFill>
                  <a:srgbClr val="C00000"/>
                </a:solidFill>
                <a:prstDash val="solid"/>
              </a:ln>
            </c:spPr>
          </c:errBars>
          <c:xVal>
            <c:numRef>
              <c:f>'[Plots AFT.xls]MX-1'!$C$17:$C$28</c:f>
              <c:numCache>
                <c:formatCode>General</c:formatCode>
                <c:ptCount val="12"/>
                <c:pt idx="0">
                  <c:v>4</c:v>
                </c:pt>
                <c:pt idx="1">
                  <c:v>8</c:v>
                </c:pt>
                <c:pt idx="2">
                  <c:v>12</c:v>
                </c:pt>
                <c:pt idx="3">
                  <c:v>16</c:v>
                </c:pt>
                <c:pt idx="4">
                  <c:v>20</c:v>
                </c:pt>
                <c:pt idx="5">
                  <c:v>24</c:v>
                </c:pt>
                <c:pt idx="6">
                  <c:v>28</c:v>
                </c:pt>
                <c:pt idx="7">
                  <c:v>32</c:v>
                </c:pt>
                <c:pt idx="8">
                  <c:v>36</c:v>
                </c:pt>
                <c:pt idx="9">
                  <c:v>40</c:v>
                </c:pt>
                <c:pt idx="10">
                  <c:v>44</c:v>
                </c:pt>
                <c:pt idx="11">
                  <c:v>48</c:v>
                </c:pt>
              </c:numCache>
            </c:numRef>
          </c:xVal>
          <c:yVal>
            <c:numRef>
              <c:f>'[Plots AFT.xls]MX-1'!$E$17:$E$28</c:f>
              <c:numCache>
                <c:formatCode>General</c:formatCode>
                <c:ptCount val="12"/>
                <c:pt idx="0">
                  <c:v>15.84</c:v>
                </c:pt>
                <c:pt idx="1">
                  <c:v>29.93</c:v>
                </c:pt>
                <c:pt idx="2">
                  <c:v>40.82</c:v>
                </c:pt>
                <c:pt idx="3">
                  <c:v>38.479999999999997</c:v>
                </c:pt>
                <c:pt idx="4">
                  <c:v>37.51</c:v>
                </c:pt>
                <c:pt idx="5">
                  <c:v>36.51</c:v>
                </c:pt>
                <c:pt idx="6">
                  <c:v>35.369999999999997</c:v>
                </c:pt>
                <c:pt idx="7">
                  <c:v>35.630000000000003</c:v>
                </c:pt>
                <c:pt idx="8">
                  <c:v>36.630000000000003</c:v>
                </c:pt>
                <c:pt idx="9">
                  <c:v>25.25</c:v>
                </c:pt>
                <c:pt idx="10">
                  <c:v>33.19</c:v>
                </c:pt>
                <c:pt idx="11">
                  <c:v>26.75</c:v>
                </c:pt>
              </c:numCache>
            </c:numRef>
          </c:yVal>
          <c:smooth val="0"/>
          <c:extLst>
            <c:ext xmlns:c16="http://schemas.microsoft.com/office/drawing/2014/chart" uri="{C3380CC4-5D6E-409C-BE32-E72D297353CC}">
              <c16:uniqueId val="{00000001-D659-45D8-9775-1718BB016DB9}"/>
            </c:ext>
          </c:extLst>
        </c:ser>
        <c:ser>
          <c:idx val="2"/>
          <c:order val="2"/>
          <c:tx>
            <c:strRef>
              <c:f>'[Plots AFT.xls]MX-1'!$B$29</c:f>
              <c:strCache>
                <c:ptCount val="1"/>
                <c:pt idx="0">
                  <c:v>Paracetamol</c:v>
                </c:pt>
              </c:strCache>
            </c:strRef>
          </c:tx>
          <c:spPr>
            <a:ln w="12700">
              <a:solidFill>
                <a:srgbClr val="0070C0"/>
              </a:solidFill>
              <a:prstDash val="solid"/>
            </a:ln>
          </c:spPr>
          <c:marker>
            <c:symbol val="triangle"/>
            <c:size val="5"/>
            <c:spPr>
              <a:solidFill>
                <a:srgbClr val="0070C0"/>
              </a:solidFill>
              <a:ln>
                <a:solidFill>
                  <a:srgbClr val="0070C0"/>
                </a:solidFill>
                <a:prstDash val="solid"/>
              </a:ln>
            </c:spPr>
          </c:marker>
          <c:errBars>
            <c:errDir val="y"/>
            <c:errBarType val="minus"/>
            <c:errValType val="cust"/>
            <c:noEndCap val="0"/>
            <c:minus>
              <c:numRef>
                <c:f>'[Plots AFT.xls]MX-1'!$F$29:$F$40</c:f>
                <c:numCache>
                  <c:formatCode>General</c:formatCode>
                  <c:ptCount val="12"/>
                  <c:pt idx="0">
                    <c:v>2.16</c:v>
                  </c:pt>
                  <c:pt idx="1">
                    <c:v>2.71</c:v>
                  </c:pt>
                  <c:pt idx="2">
                    <c:v>3.26</c:v>
                  </c:pt>
                  <c:pt idx="3">
                    <c:v>6.46</c:v>
                  </c:pt>
                  <c:pt idx="4">
                    <c:v>3.48</c:v>
                  </c:pt>
                  <c:pt idx="5">
                    <c:v>2.52</c:v>
                  </c:pt>
                  <c:pt idx="6">
                    <c:v>2.99</c:v>
                  </c:pt>
                  <c:pt idx="7">
                    <c:v>2.65</c:v>
                  </c:pt>
                  <c:pt idx="8">
                    <c:v>3.24</c:v>
                  </c:pt>
                  <c:pt idx="9">
                    <c:v>7.58</c:v>
                  </c:pt>
                  <c:pt idx="10">
                    <c:v>4.33</c:v>
                  </c:pt>
                  <c:pt idx="11">
                    <c:v>3.24</c:v>
                  </c:pt>
                </c:numCache>
              </c:numRef>
            </c:minus>
            <c:spPr>
              <a:ln w="12700">
                <a:solidFill>
                  <a:srgbClr val="0070C0"/>
                </a:solidFill>
                <a:prstDash val="solid"/>
              </a:ln>
            </c:spPr>
          </c:errBars>
          <c:xVal>
            <c:numRef>
              <c:f>'[Plots AFT.xls]MX-1'!$C$29:$C$40</c:f>
              <c:numCache>
                <c:formatCode>General</c:formatCode>
                <c:ptCount val="12"/>
                <c:pt idx="0">
                  <c:v>4</c:v>
                </c:pt>
                <c:pt idx="1">
                  <c:v>8</c:v>
                </c:pt>
                <c:pt idx="2">
                  <c:v>12</c:v>
                </c:pt>
                <c:pt idx="3">
                  <c:v>16</c:v>
                </c:pt>
                <c:pt idx="4">
                  <c:v>20</c:v>
                </c:pt>
                <c:pt idx="5">
                  <c:v>24</c:v>
                </c:pt>
                <c:pt idx="6">
                  <c:v>28</c:v>
                </c:pt>
                <c:pt idx="7">
                  <c:v>32</c:v>
                </c:pt>
                <c:pt idx="8">
                  <c:v>36</c:v>
                </c:pt>
                <c:pt idx="9">
                  <c:v>40</c:v>
                </c:pt>
                <c:pt idx="10">
                  <c:v>44</c:v>
                </c:pt>
                <c:pt idx="11">
                  <c:v>48</c:v>
                </c:pt>
              </c:numCache>
            </c:numRef>
          </c:xVal>
          <c:yVal>
            <c:numRef>
              <c:f>'[Plots AFT.xls]MX-1'!$E$29:$E$40</c:f>
              <c:numCache>
                <c:formatCode>General</c:formatCode>
                <c:ptCount val="12"/>
                <c:pt idx="0">
                  <c:v>14.83</c:v>
                </c:pt>
                <c:pt idx="1">
                  <c:v>29.57</c:v>
                </c:pt>
                <c:pt idx="2">
                  <c:v>30.44</c:v>
                </c:pt>
                <c:pt idx="3">
                  <c:v>23.05</c:v>
                </c:pt>
                <c:pt idx="4">
                  <c:v>32.92</c:v>
                </c:pt>
                <c:pt idx="5">
                  <c:v>31.26</c:v>
                </c:pt>
                <c:pt idx="6">
                  <c:v>33.35</c:v>
                </c:pt>
                <c:pt idx="7">
                  <c:v>28.57</c:v>
                </c:pt>
                <c:pt idx="8">
                  <c:v>30.46</c:v>
                </c:pt>
                <c:pt idx="9">
                  <c:v>34.07</c:v>
                </c:pt>
                <c:pt idx="10">
                  <c:v>27.6</c:v>
                </c:pt>
                <c:pt idx="11">
                  <c:v>29.15</c:v>
                </c:pt>
              </c:numCache>
            </c:numRef>
          </c:yVal>
          <c:smooth val="0"/>
          <c:extLst>
            <c:ext xmlns:c16="http://schemas.microsoft.com/office/drawing/2014/chart" uri="{C3380CC4-5D6E-409C-BE32-E72D297353CC}">
              <c16:uniqueId val="{00000002-D659-45D8-9775-1718BB016DB9}"/>
            </c:ext>
          </c:extLst>
        </c:ser>
        <c:dLbls>
          <c:showLegendKey val="0"/>
          <c:showVal val="0"/>
          <c:showCatName val="0"/>
          <c:showSerName val="0"/>
          <c:showPercent val="0"/>
          <c:showBubbleSize val="0"/>
        </c:dLbls>
        <c:axId val="410533112"/>
        <c:axId val="406664272"/>
      </c:scatterChart>
      <c:valAx>
        <c:axId val="410533112"/>
        <c:scaling>
          <c:orientation val="minMax"/>
          <c:max val="50"/>
          <c:min val="0"/>
        </c:scaling>
        <c:delete val="0"/>
        <c:axPos val="b"/>
        <c:title>
          <c:tx>
            <c:rich>
              <a:bodyPr/>
              <a:lstStyle/>
              <a:p>
                <a:pPr>
                  <a:defRPr sz="1000" b="1" i="0" u="none" strike="noStrike" baseline="0">
                    <a:solidFill>
                      <a:srgbClr val="000000"/>
                    </a:solidFill>
                    <a:latin typeface="Arial"/>
                    <a:ea typeface="Arial"/>
                    <a:cs typeface="Arial"/>
                  </a:defRPr>
                </a:pPr>
                <a:r>
                  <a:rPr lang="en-GB"/>
                  <a:t>Timer efter operation</a:t>
                </a:r>
              </a:p>
            </c:rich>
          </c:tx>
          <c:layout>
            <c:manualLayout>
              <c:xMode val="edge"/>
              <c:yMode val="edge"/>
              <c:x val="0.32432489182095481"/>
              <c:y val="0.8819888818245544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da-DK"/>
          </a:p>
        </c:txPr>
        <c:crossAx val="406664272"/>
        <c:crosses val="autoZero"/>
        <c:crossBetween val="midCat"/>
        <c:majorUnit val="4"/>
      </c:valAx>
      <c:valAx>
        <c:axId val="406664272"/>
        <c:scaling>
          <c:orientation val="minMax"/>
        </c:scaling>
        <c:delete val="0"/>
        <c:axPos val="l"/>
        <c:title>
          <c:tx>
            <c:rich>
              <a:bodyPr/>
              <a:lstStyle/>
              <a:p>
                <a:pPr>
                  <a:defRPr sz="1000" b="1" i="0" u="none" strike="noStrike" baseline="0">
                    <a:solidFill>
                      <a:srgbClr val="000000"/>
                    </a:solidFill>
                    <a:latin typeface="Arial"/>
                    <a:ea typeface="Arial"/>
                    <a:cs typeface="Arial"/>
                  </a:defRPr>
                </a:pPr>
                <a:r>
                  <a:rPr lang="en-GB"/>
                  <a:t>mm</a:t>
                </a:r>
              </a:p>
            </c:rich>
          </c:tx>
          <c:layout>
            <c:manualLayout>
              <c:xMode val="edge"/>
              <c:yMode val="edge"/>
              <c:x val="2.8828828828828829E-2"/>
              <c:y val="0.4534168011607244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da-DK"/>
          </a:p>
        </c:txPr>
        <c:crossAx val="410533112"/>
        <c:crosses val="autoZero"/>
        <c:crossBetween val="midCat"/>
      </c:valAx>
      <c:spPr>
        <a:no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da-DK"/>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NZ" sz="1800" b="1" i="0" baseline="0">
                <a:effectLst/>
              </a:rPr>
              <a:t>Bedring af smerte fra baseline</a:t>
            </a:r>
            <a:endParaRPr lang="en-GB">
              <a:effectLst/>
            </a:endParaRPr>
          </a:p>
        </c:rich>
      </c:tx>
      <c:layout>
        <c:manualLayout>
          <c:xMode val="edge"/>
          <c:yMode val="edge"/>
          <c:x val="0.16412176017060368"/>
          <c:y val="4.1279590051243591E-2"/>
        </c:manualLayout>
      </c:layout>
      <c:overlay val="1"/>
    </c:title>
    <c:autoTitleDeleted val="0"/>
    <c:plotArea>
      <c:layout>
        <c:manualLayout>
          <c:layoutTarget val="inner"/>
          <c:xMode val="edge"/>
          <c:yMode val="edge"/>
          <c:x val="0.14421062992125985"/>
          <c:y val="0.17565179352580926"/>
          <c:w val="0.78453849518810159"/>
          <c:h val="0.63609327680193817"/>
        </c:manualLayout>
      </c:layout>
      <c:scatterChart>
        <c:scatterStyle val="lineMarker"/>
        <c:varyColors val="0"/>
        <c:ser>
          <c:idx val="0"/>
          <c:order val="0"/>
          <c:tx>
            <c:strRef>
              <c:f>'MX-3'!$C$5</c:f>
              <c:strCache>
                <c:ptCount val="1"/>
                <c:pt idx="0">
                  <c:v>Placebo</c:v>
                </c:pt>
              </c:strCache>
            </c:strRef>
          </c:tx>
          <c:spPr>
            <a:ln>
              <a:solidFill>
                <a:schemeClr val="tx1"/>
              </a:solidFill>
            </a:ln>
          </c:spPr>
          <c:marker>
            <c:symbol val="none"/>
          </c:marker>
          <c:xVal>
            <c:numRef>
              <c:f>'MX-3'!$E$26:$N$26</c:f>
              <c:numCache>
                <c:formatCode>General</c:formatCode>
                <c:ptCount val="10"/>
                <c:pt idx="0">
                  <c:v>0.25</c:v>
                </c:pt>
                <c:pt idx="1">
                  <c:v>0.5</c:v>
                </c:pt>
                <c:pt idx="2">
                  <c:v>0.75</c:v>
                </c:pt>
                <c:pt idx="3">
                  <c:v>1</c:v>
                </c:pt>
                <c:pt idx="4">
                  <c:v>1.5</c:v>
                </c:pt>
                <c:pt idx="5">
                  <c:v>2</c:v>
                </c:pt>
                <c:pt idx="6">
                  <c:v>3</c:v>
                </c:pt>
                <c:pt idx="7">
                  <c:v>4</c:v>
                </c:pt>
                <c:pt idx="8">
                  <c:v>5</c:v>
                </c:pt>
                <c:pt idx="9">
                  <c:v>6</c:v>
                </c:pt>
              </c:numCache>
            </c:numRef>
          </c:xVal>
          <c:yVal>
            <c:numRef>
              <c:f>'MX-3'!$E$5:$N$5</c:f>
              <c:numCache>
                <c:formatCode>General</c:formatCode>
                <c:ptCount val="10"/>
                <c:pt idx="0">
                  <c:v>6.4081999999999999</c:v>
                </c:pt>
                <c:pt idx="1">
                  <c:v>2.9361999999999999</c:v>
                </c:pt>
                <c:pt idx="2">
                  <c:v>2.4</c:v>
                </c:pt>
                <c:pt idx="3">
                  <c:v>9.0344999999999995</c:v>
                </c:pt>
                <c:pt idx="4">
                  <c:v>10.5909</c:v>
                </c:pt>
                <c:pt idx="5">
                  <c:v>20</c:v>
                </c:pt>
                <c:pt idx="6">
                  <c:v>28.307700000000001</c:v>
                </c:pt>
                <c:pt idx="7">
                  <c:v>32.454500000000003</c:v>
                </c:pt>
                <c:pt idx="8">
                  <c:v>31.625</c:v>
                </c:pt>
                <c:pt idx="9">
                  <c:v>31.75</c:v>
                </c:pt>
              </c:numCache>
            </c:numRef>
          </c:yVal>
          <c:smooth val="0"/>
          <c:extLst>
            <c:ext xmlns:c16="http://schemas.microsoft.com/office/drawing/2014/chart" uri="{C3380CC4-5D6E-409C-BE32-E72D297353CC}">
              <c16:uniqueId val="{00000000-F06A-42EA-ACFF-741297A8052A}"/>
            </c:ext>
          </c:extLst>
        </c:ser>
        <c:ser>
          <c:idx val="1"/>
          <c:order val="1"/>
          <c:tx>
            <c:strRef>
              <c:f>'MX-3'!$C$9</c:f>
              <c:strCache>
                <c:ptCount val="1"/>
                <c:pt idx="0">
                  <c:v>Maxigesic 1/4 dosis</c:v>
                </c:pt>
              </c:strCache>
            </c:strRef>
          </c:tx>
          <c:spPr>
            <a:ln>
              <a:solidFill>
                <a:srgbClr val="0070C0"/>
              </a:solidFill>
            </a:ln>
          </c:spPr>
          <c:marker>
            <c:symbol val="none"/>
          </c:marker>
          <c:xVal>
            <c:numRef>
              <c:f>'MX-3'!$E$26:$N$26</c:f>
              <c:numCache>
                <c:formatCode>General</c:formatCode>
                <c:ptCount val="10"/>
                <c:pt idx="0">
                  <c:v>0.25</c:v>
                </c:pt>
                <c:pt idx="1">
                  <c:v>0.5</c:v>
                </c:pt>
                <c:pt idx="2">
                  <c:v>0.75</c:v>
                </c:pt>
                <c:pt idx="3">
                  <c:v>1</c:v>
                </c:pt>
                <c:pt idx="4">
                  <c:v>1.5</c:v>
                </c:pt>
                <c:pt idx="5">
                  <c:v>2</c:v>
                </c:pt>
                <c:pt idx="6">
                  <c:v>3</c:v>
                </c:pt>
                <c:pt idx="7">
                  <c:v>4</c:v>
                </c:pt>
                <c:pt idx="8">
                  <c:v>5</c:v>
                </c:pt>
                <c:pt idx="9">
                  <c:v>6</c:v>
                </c:pt>
              </c:numCache>
            </c:numRef>
          </c:xVal>
          <c:yVal>
            <c:numRef>
              <c:f>'MX-3'!$E$9:$N$9</c:f>
              <c:numCache>
                <c:formatCode>General</c:formatCode>
                <c:ptCount val="10"/>
                <c:pt idx="0">
                  <c:v>7.0434999999999999</c:v>
                </c:pt>
                <c:pt idx="1">
                  <c:v>13.3696</c:v>
                </c:pt>
                <c:pt idx="2">
                  <c:v>22.4878</c:v>
                </c:pt>
                <c:pt idx="3">
                  <c:v>24.7073</c:v>
                </c:pt>
                <c:pt idx="4">
                  <c:v>29.028600000000001</c:v>
                </c:pt>
                <c:pt idx="5">
                  <c:v>31.758600000000001</c:v>
                </c:pt>
                <c:pt idx="6">
                  <c:v>34.435899999999997</c:v>
                </c:pt>
                <c:pt idx="7">
                  <c:v>31.7179</c:v>
                </c:pt>
                <c:pt idx="8">
                  <c:v>27.86</c:v>
                </c:pt>
                <c:pt idx="9">
                  <c:v>28.136399999999998</c:v>
                </c:pt>
              </c:numCache>
            </c:numRef>
          </c:yVal>
          <c:smooth val="0"/>
          <c:extLst>
            <c:ext xmlns:c16="http://schemas.microsoft.com/office/drawing/2014/chart" uri="{C3380CC4-5D6E-409C-BE32-E72D297353CC}">
              <c16:uniqueId val="{00000001-F06A-42EA-ACFF-741297A8052A}"/>
            </c:ext>
          </c:extLst>
        </c:ser>
        <c:ser>
          <c:idx val="2"/>
          <c:order val="2"/>
          <c:tx>
            <c:strRef>
              <c:f>'MX-3'!$C$13</c:f>
              <c:strCache>
                <c:ptCount val="1"/>
                <c:pt idx="0">
                  <c:v>Maxigesic 1/2 dosis</c:v>
                </c:pt>
              </c:strCache>
            </c:strRef>
          </c:tx>
          <c:spPr>
            <a:ln>
              <a:solidFill>
                <a:srgbClr val="C00000"/>
              </a:solidFill>
            </a:ln>
          </c:spPr>
          <c:marker>
            <c:symbol val="none"/>
          </c:marker>
          <c:xVal>
            <c:numRef>
              <c:f>'MX-3'!$E$26:$N$26</c:f>
              <c:numCache>
                <c:formatCode>General</c:formatCode>
                <c:ptCount val="10"/>
                <c:pt idx="0">
                  <c:v>0.25</c:v>
                </c:pt>
                <c:pt idx="1">
                  <c:v>0.5</c:v>
                </c:pt>
                <c:pt idx="2">
                  <c:v>0.75</c:v>
                </c:pt>
                <c:pt idx="3">
                  <c:v>1</c:v>
                </c:pt>
                <c:pt idx="4">
                  <c:v>1.5</c:v>
                </c:pt>
                <c:pt idx="5">
                  <c:v>2</c:v>
                </c:pt>
                <c:pt idx="6">
                  <c:v>3</c:v>
                </c:pt>
                <c:pt idx="7">
                  <c:v>4</c:v>
                </c:pt>
                <c:pt idx="8">
                  <c:v>5</c:v>
                </c:pt>
                <c:pt idx="9">
                  <c:v>6</c:v>
                </c:pt>
              </c:numCache>
            </c:numRef>
          </c:xVal>
          <c:yVal>
            <c:numRef>
              <c:f>'MX-3'!$E$13:$N$13</c:f>
              <c:numCache>
                <c:formatCode>General</c:formatCode>
                <c:ptCount val="10"/>
                <c:pt idx="0">
                  <c:v>8.6471</c:v>
                </c:pt>
                <c:pt idx="1">
                  <c:v>13.882400000000001</c:v>
                </c:pt>
                <c:pt idx="2">
                  <c:v>20.7576</c:v>
                </c:pt>
                <c:pt idx="3">
                  <c:v>30.2333</c:v>
                </c:pt>
                <c:pt idx="4">
                  <c:v>27.692299999999999</c:v>
                </c:pt>
                <c:pt idx="5">
                  <c:v>29.541699999999999</c:v>
                </c:pt>
                <c:pt idx="6">
                  <c:v>29.4</c:v>
                </c:pt>
                <c:pt idx="7">
                  <c:v>29.055599999999998</c:v>
                </c:pt>
                <c:pt idx="8">
                  <c:v>27.882400000000001</c:v>
                </c:pt>
                <c:pt idx="9">
                  <c:v>30.571400000000001</c:v>
                </c:pt>
              </c:numCache>
            </c:numRef>
          </c:yVal>
          <c:smooth val="0"/>
          <c:extLst>
            <c:ext xmlns:c16="http://schemas.microsoft.com/office/drawing/2014/chart" uri="{C3380CC4-5D6E-409C-BE32-E72D297353CC}">
              <c16:uniqueId val="{00000002-F06A-42EA-ACFF-741297A8052A}"/>
            </c:ext>
          </c:extLst>
        </c:ser>
        <c:ser>
          <c:idx val="3"/>
          <c:order val="3"/>
          <c:tx>
            <c:strRef>
              <c:f>'MX-3'!$C$17</c:f>
              <c:strCache>
                <c:ptCount val="1"/>
                <c:pt idx="0">
                  <c:v>Maxigesic Standard</c:v>
                </c:pt>
              </c:strCache>
            </c:strRef>
          </c:tx>
          <c:spPr>
            <a:ln>
              <a:solidFill>
                <a:srgbClr val="7030A0"/>
              </a:solidFill>
            </a:ln>
          </c:spPr>
          <c:marker>
            <c:symbol val="none"/>
          </c:marker>
          <c:xVal>
            <c:numRef>
              <c:f>'MX-3'!$E$26:$N$26</c:f>
              <c:numCache>
                <c:formatCode>General</c:formatCode>
                <c:ptCount val="10"/>
                <c:pt idx="0">
                  <c:v>0.25</c:v>
                </c:pt>
                <c:pt idx="1">
                  <c:v>0.5</c:v>
                </c:pt>
                <c:pt idx="2">
                  <c:v>0.75</c:v>
                </c:pt>
                <c:pt idx="3">
                  <c:v>1</c:v>
                </c:pt>
                <c:pt idx="4">
                  <c:v>1.5</c:v>
                </c:pt>
                <c:pt idx="5">
                  <c:v>2</c:v>
                </c:pt>
                <c:pt idx="6">
                  <c:v>3</c:v>
                </c:pt>
                <c:pt idx="7">
                  <c:v>4</c:v>
                </c:pt>
                <c:pt idx="8">
                  <c:v>5</c:v>
                </c:pt>
                <c:pt idx="9">
                  <c:v>6</c:v>
                </c:pt>
              </c:numCache>
            </c:numRef>
          </c:xVal>
          <c:yVal>
            <c:numRef>
              <c:f>'MX-3'!$E$17:$N$17</c:f>
              <c:numCache>
                <c:formatCode>General</c:formatCode>
                <c:ptCount val="10"/>
                <c:pt idx="0">
                  <c:v>5.9</c:v>
                </c:pt>
                <c:pt idx="1">
                  <c:v>11.1333</c:v>
                </c:pt>
                <c:pt idx="2">
                  <c:v>15.9655</c:v>
                </c:pt>
                <c:pt idx="3">
                  <c:v>20</c:v>
                </c:pt>
                <c:pt idx="4">
                  <c:v>27.1875</c:v>
                </c:pt>
                <c:pt idx="5">
                  <c:v>34.1</c:v>
                </c:pt>
                <c:pt idx="6">
                  <c:v>30.578900000000001</c:v>
                </c:pt>
                <c:pt idx="7">
                  <c:v>30.833300000000001</c:v>
                </c:pt>
                <c:pt idx="8">
                  <c:v>27.1111</c:v>
                </c:pt>
                <c:pt idx="9">
                  <c:v>23.055599999999998</c:v>
                </c:pt>
              </c:numCache>
            </c:numRef>
          </c:yVal>
          <c:smooth val="0"/>
          <c:extLst>
            <c:ext xmlns:c16="http://schemas.microsoft.com/office/drawing/2014/chart" uri="{C3380CC4-5D6E-409C-BE32-E72D297353CC}">
              <c16:uniqueId val="{00000003-F06A-42EA-ACFF-741297A8052A}"/>
            </c:ext>
          </c:extLst>
        </c:ser>
        <c:dLbls>
          <c:showLegendKey val="0"/>
          <c:showVal val="0"/>
          <c:showCatName val="0"/>
          <c:showSerName val="0"/>
          <c:showPercent val="0"/>
          <c:showBubbleSize val="0"/>
        </c:dLbls>
        <c:axId val="417088088"/>
        <c:axId val="417088480"/>
      </c:scatterChart>
      <c:valAx>
        <c:axId val="417088088"/>
        <c:scaling>
          <c:orientation val="minMax"/>
          <c:max val="6"/>
        </c:scaling>
        <c:delete val="0"/>
        <c:axPos val="b"/>
        <c:title>
          <c:tx>
            <c:rich>
              <a:bodyPr/>
              <a:lstStyle/>
              <a:p>
                <a:pPr>
                  <a:defRPr/>
                </a:pPr>
                <a:r>
                  <a:rPr lang="en-US" sz="1000" b="1" i="0" baseline="0">
                    <a:effectLst/>
                  </a:rPr>
                  <a:t>Timer siden første dosis</a:t>
                </a:r>
                <a:endParaRPr lang="en-GB" sz="1000">
                  <a:effectLst/>
                </a:endParaRPr>
              </a:p>
            </c:rich>
          </c:tx>
          <c:overlay val="0"/>
        </c:title>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da-DK"/>
          </a:p>
        </c:txPr>
        <c:crossAx val="417088480"/>
        <c:crosses val="autoZero"/>
        <c:crossBetween val="midCat"/>
        <c:majorUnit val="1"/>
      </c:valAx>
      <c:valAx>
        <c:axId val="417088480"/>
        <c:scaling>
          <c:orientation val="minMax"/>
        </c:scaling>
        <c:delete val="0"/>
        <c:axPos val="l"/>
        <c:title>
          <c:tx>
            <c:rich>
              <a:bodyPr/>
              <a:lstStyle/>
              <a:p>
                <a:pPr>
                  <a:defRPr/>
                </a:pPr>
                <a:r>
                  <a:rPr lang="en-US" sz="1000" b="1" i="0" baseline="0">
                    <a:effectLst/>
                  </a:rPr>
                  <a:t>VAS-ændring</a:t>
                </a:r>
                <a:endParaRPr lang="en-GB" sz="1000">
                  <a:effectLst/>
                </a:endParaRPr>
              </a:p>
            </c:rich>
          </c:tx>
          <c:layout>
            <c:manualLayout>
              <c:xMode val="edge"/>
              <c:yMode val="edge"/>
              <c:x val="4.6955790682414698E-2"/>
              <c:y val="0.38924609423822021"/>
            </c:manualLayout>
          </c:layout>
          <c:overlay val="0"/>
        </c:title>
        <c:numFmt formatCode="General" sourceLinked="1"/>
        <c:majorTickMark val="out"/>
        <c:minorTickMark val="none"/>
        <c:tickLblPos val="nextTo"/>
        <c:crossAx val="417088088"/>
        <c:crosses val="autoZero"/>
        <c:crossBetween val="midCat"/>
      </c:valAx>
    </c:plotArea>
    <c:legend>
      <c:legendPos val="r"/>
      <c:layout>
        <c:manualLayout>
          <c:xMode val="edge"/>
          <c:yMode val="edge"/>
          <c:x val="0.56726172900262462"/>
          <c:y val="0.45228271466066744"/>
          <c:w val="0.34523519520997381"/>
          <c:h val="0.334750656167979"/>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19</Pages>
  <Words>5656</Words>
  <Characters>39060</Characters>
  <Application>Microsoft Office Word</Application>
  <DocSecurity>0</DocSecurity>
  <Lines>325</Lines>
  <Paragraphs>89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2024081014_x000d_
SPC opdat. pkt. 4.9</dc:description>
  <cp:lastModifiedBy>Marianne Ott Jensen</cp:lastModifiedBy>
  <cp:revision>4</cp:revision>
  <dcterms:created xsi:type="dcterms:W3CDTF">2025-01-31T07:52:00Z</dcterms:created>
  <dcterms:modified xsi:type="dcterms:W3CDTF">2025-01-31T07:55:00Z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