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907" w:rsidRDefault="00E54907" w:rsidP="00E54907">
      <w:bookmarkStart w:id="0" w:name="_GoBack"/>
      <w:bookmarkEnd w:id="0"/>
      <w:r>
        <w:rPr>
          <w:noProof/>
          <w:sz w:val="24"/>
          <w:szCs w:val="24"/>
          <w:lang w:eastAsia="da-DK"/>
        </w:rPr>
        <w:drawing>
          <wp:inline distT="0" distB="0" distL="0" distR="0" wp14:anchorId="303B5EB4" wp14:editId="70ACF76E">
            <wp:extent cx="2428875" cy="685800"/>
            <wp:effectExtent l="0" t="0" r="9525" b="0"/>
            <wp:docPr id="2" name="Billede 2" descr="cid:image001.jpg@01D1601C.B3FB0B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id:image001.jpg@01D1601C.B3FB0BA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907" w:rsidRDefault="00E54907" w:rsidP="00E54907">
      <w:pPr>
        <w:pStyle w:val="Titel"/>
        <w:tabs>
          <w:tab w:val="right" w:pos="9356"/>
        </w:tabs>
        <w:jc w:val="right"/>
        <w:rPr>
          <w:sz w:val="23"/>
          <w:lang w:eastAsia="en-US"/>
        </w:rPr>
      </w:pPr>
    </w:p>
    <w:p w:rsidR="00E54907" w:rsidRDefault="00E54907" w:rsidP="00E54907">
      <w:pPr>
        <w:pStyle w:val="Titel"/>
        <w:tabs>
          <w:tab w:val="right" w:pos="9356"/>
        </w:tabs>
        <w:jc w:val="right"/>
        <w:rPr>
          <w:sz w:val="23"/>
          <w:lang w:eastAsia="en-US"/>
        </w:rPr>
      </w:pPr>
    </w:p>
    <w:p w:rsidR="00E54907" w:rsidRPr="007753EF" w:rsidRDefault="00F61317" w:rsidP="00E54907">
      <w:pPr>
        <w:pStyle w:val="Titel"/>
        <w:tabs>
          <w:tab w:val="right" w:pos="9356"/>
        </w:tabs>
        <w:jc w:val="right"/>
        <w:rPr>
          <w:sz w:val="23"/>
          <w:lang w:eastAsia="en-US"/>
        </w:rPr>
      </w:pPr>
      <w:r>
        <w:rPr>
          <w:sz w:val="23"/>
          <w:lang w:eastAsia="en-US"/>
        </w:rPr>
        <w:t>12</w:t>
      </w:r>
      <w:r w:rsidR="00545D3E">
        <w:rPr>
          <w:sz w:val="23"/>
          <w:lang w:eastAsia="en-US"/>
        </w:rPr>
        <w:t xml:space="preserve">. </w:t>
      </w:r>
      <w:r>
        <w:rPr>
          <w:sz w:val="23"/>
          <w:lang w:eastAsia="en-US"/>
        </w:rPr>
        <w:t>november</w:t>
      </w:r>
      <w:r w:rsidR="00303D00">
        <w:rPr>
          <w:sz w:val="23"/>
          <w:lang w:eastAsia="en-US"/>
        </w:rPr>
        <w:t xml:space="preserve"> </w:t>
      </w:r>
      <w:r w:rsidR="00545D3E">
        <w:rPr>
          <w:sz w:val="23"/>
          <w:lang w:eastAsia="en-US"/>
        </w:rPr>
        <w:t>2024</w:t>
      </w:r>
    </w:p>
    <w:p w:rsidR="00E54907" w:rsidRDefault="00E54907" w:rsidP="00E54907">
      <w:pPr>
        <w:pStyle w:val="Titel"/>
        <w:jc w:val="left"/>
        <w:rPr>
          <w:b w:val="0"/>
        </w:rPr>
      </w:pPr>
    </w:p>
    <w:p w:rsidR="00E54907" w:rsidRDefault="00E54907" w:rsidP="00E54907">
      <w:pPr>
        <w:pStyle w:val="Titel"/>
        <w:jc w:val="left"/>
        <w:rPr>
          <w:b w:val="0"/>
        </w:rPr>
      </w:pPr>
    </w:p>
    <w:p w:rsidR="00E54907" w:rsidRPr="00EC0B9B" w:rsidRDefault="00E54907" w:rsidP="00E54907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PRODUKTRESUMÉ</w:t>
      </w:r>
    </w:p>
    <w:p w:rsidR="00E54907" w:rsidRPr="00EC0B9B" w:rsidRDefault="00E54907" w:rsidP="00E54907">
      <w:pPr>
        <w:jc w:val="center"/>
        <w:rPr>
          <w:b/>
          <w:sz w:val="24"/>
          <w:szCs w:val="24"/>
        </w:rPr>
      </w:pPr>
    </w:p>
    <w:p w:rsidR="00E54907" w:rsidRPr="00EC0B9B" w:rsidRDefault="00E54907" w:rsidP="00E54907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for</w:t>
      </w:r>
    </w:p>
    <w:p w:rsidR="00E54907" w:rsidRPr="00EC0B9B" w:rsidRDefault="00E54907" w:rsidP="00E54907">
      <w:pPr>
        <w:jc w:val="center"/>
        <w:rPr>
          <w:b/>
          <w:sz w:val="24"/>
          <w:szCs w:val="24"/>
        </w:rPr>
      </w:pPr>
    </w:p>
    <w:p w:rsidR="00E54907" w:rsidRPr="0049104B" w:rsidRDefault="00E54907" w:rsidP="00E54907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Donepezil</w:t>
      </w:r>
      <w:proofErr w:type="spellEnd"/>
      <w:r>
        <w:rPr>
          <w:b/>
          <w:sz w:val="24"/>
          <w:szCs w:val="24"/>
        </w:rPr>
        <w:t xml:space="preserve"> ”</w:t>
      </w:r>
      <w:proofErr w:type="spellStart"/>
      <w:r>
        <w:rPr>
          <w:b/>
          <w:sz w:val="24"/>
          <w:szCs w:val="24"/>
        </w:rPr>
        <w:t>Jubilant</w:t>
      </w:r>
      <w:proofErr w:type="spellEnd"/>
      <w:r>
        <w:rPr>
          <w:b/>
          <w:sz w:val="24"/>
          <w:szCs w:val="24"/>
        </w:rPr>
        <w:t>”, filmovertrukne tabletter</w:t>
      </w:r>
    </w:p>
    <w:p w:rsidR="00E54907" w:rsidRPr="00EC0B9B" w:rsidRDefault="00E54907" w:rsidP="00E54907">
      <w:pPr>
        <w:jc w:val="both"/>
        <w:rPr>
          <w:sz w:val="24"/>
          <w:szCs w:val="24"/>
        </w:rPr>
      </w:pPr>
    </w:p>
    <w:p w:rsidR="00E54907" w:rsidRPr="00121903" w:rsidRDefault="00E54907" w:rsidP="00E54907">
      <w:pPr>
        <w:ind w:left="851" w:hanging="851"/>
        <w:jc w:val="both"/>
        <w:rPr>
          <w:sz w:val="24"/>
          <w:szCs w:val="24"/>
        </w:rPr>
      </w:pPr>
    </w:p>
    <w:p w:rsidR="00E54907" w:rsidRPr="00121903" w:rsidRDefault="00E54907" w:rsidP="00E54907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121903">
        <w:rPr>
          <w:b/>
          <w:sz w:val="24"/>
          <w:szCs w:val="24"/>
        </w:rPr>
        <w:t>D.SP.NR.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  <w:r w:rsidRPr="00121903">
        <w:rPr>
          <w:sz w:val="24"/>
          <w:szCs w:val="24"/>
        </w:rPr>
        <w:tab/>
        <w:t>28069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E54907" w:rsidRPr="00121903" w:rsidRDefault="00E54907" w:rsidP="00E54907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121903">
        <w:rPr>
          <w:b/>
          <w:sz w:val="24"/>
          <w:szCs w:val="24"/>
        </w:rPr>
        <w:t>LÆGEMIDLETS NAVN</w:t>
      </w:r>
    </w:p>
    <w:p w:rsidR="00E54907" w:rsidRPr="00121903" w:rsidRDefault="00E54907" w:rsidP="00E54907">
      <w:pPr>
        <w:ind w:left="851"/>
        <w:rPr>
          <w:sz w:val="24"/>
          <w:szCs w:val="24"/>
        </w:rPr>
      </w:pPr>
      <w:proofErr w:type="spellStart"/>
      <w:r w:rsidRPr="00121903">
        <w:rPr>
          <w:sz w:val="24"/>
          <w:szCs w:val="24"/>
        </w:rPr>
        <w:t>Donepezil</w:t>
      </w:r>
      <w:proofErr w:type="spellEnd"/>
      <w:r w:rsidRPr="00121903">
        <w:rPr>
          <w:sz w:val="24"/>
          <w:szCs w:val="24"/>
        </w:rPr>
        <w:t xml:space="preserve"> ”</w:t>
      </w:r>
      <w:proofErr w:type="spellStart"/>
      <w:r w:rsidRPr="00121903">
        <w:rPr>
          <w:sz w:val="24"/>
          <w:szCs w:val="24"/>
        </w:rPr>
        <w:t>Jubilant</w:t>
      </w:r>
      <w:proofErr w:type="spellEnd"/>
      <w:r w:rsidRPr="00121903">
        <w:rPr>
          <w:sz w:val="24"/>
          <w:szCs w:val="24"/>
        </w:rPr>
        <w:t>”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E54907" w:rsidRPr="00121903" w:rsidRDefault="00E54907" w:rsidP="00E54907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121903">
        <w:rPr>
          <w:b/>
          <w:sz w:val="24"/>
          <w:szCs w:val="24"/>
        </w:rPr>
        <w:t>KVALITATIV OG KVANTITATIV SAMMENSÆTNING</w:t>
      </w:r>
    </w:p>
    <w:p w:rsidR="00E54907" w:rsidRDefault="00E54907" w:rsidP="00E54907">
      <w:pPr>
        <w:ind w:left="851" w:hanging="851"/>
        <w:rPr>
          <w:sz w:val="24"/>
          <w:szCs w:val="24"/>
        </w:rPr>
      </w:pP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  <w:r w:rsidRPr="00121903">
        <w:rPr>
          <w:sz w:val="24"/>
          <w:szCs w:val="24"/>
        </w:rPr>
        <w:tab/>
      </w:r>
      <w:proofErr w:type="spellStart"/>
      <w:r w:rsidRPr="00121903">
        <w:rPr>
          <w:sz w:val="24"/>
          <w:szCs w:val="24"/>
          <w:u w:val="single"/>
        </w:rPr>
        <w:t>Donepezil</w:t>
      </w:r>
      <w:proofErr w:type="spellEnd"/>
      <w:r w:rsidRPr="0012190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”</w:t>
      </w:r>
      <w:proofErr w:type="spellStart"/>
      <w:r>
        <w:rPr>
          <w:sz w:val="24"/>
          <w:szCs w:val="24"/>
          <w:u w:val="single"/>
        </w:rPr>
        <w:t>Jubilant</w:t>
      </w:r>
      <w:proofErr w:type="spellEnd"/>
      <w:r>
        <w:rPr>
          <w:sz w:val="24"/>
          <w:szCs w:val="24"/>
          <w:u w:val="single"/>
        </w:rPr>
        <w:t>”</w:t>
      </w:r>
      <w:r w:rsidRPr="00121903">
        <w:rPr>
          <w:sz w:val="24"/>
          <w:szCs w:val="24"/>
          <w:u w:val="single"/>
        </w:rPr>
        <w:t xml:space="preserve"> 5 mg filmovertrukne tabletter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  <w:r w:rsidRPr="00121903">
        <w:rPr>
          <w:sz w:val="24"/>
          <w:szCs w:val="24"/>
        </w:rPr>
        <w:tab/>
        <w:t xml:space="preserve">Hver tablet indeholder 5 mg </w:t>
      </w:r>
      <w:proofErr w:type="spellStart"/>
      <w:r w:rsidRPr="00121903">
        <w:rPr>
          <w:sz w:val="24"/>
          <w:szCs w:val="24"/>
        </w:rPr>
        <w:t>donepezilhydrochlorid</w:t>
      </w:r>
      <w:proofErr w:type="spellEnd"/>
      <w:r w:rsidRPr="00121903">
        <w:rPr>
          <w:sz w:val="24"/>
          <w:szCs w:val="24"/>
        </w:rPr>
        <w:t>.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  <w:r w:rsidRPr="00121903">
        <w:rPr>
          <w:sz w:val="24"/>
          <w:szCs w:val="24"/>
        </w:rPr>
        <w:tab/>
      </w:r>
      <w:proofErr w:type="spellStart"/>
      <w:r w:rsidRPr="00121903">
        <w:rPr>
          <w:sz w:val="24"/>
          <w:szCs w:val="24"/>
          <w:u w:val="single"/>
        </w:rPr>
        <w:t>Donepezil</w:t>
      </w:r>
      <w:proofErr w:type="spellEnd"/>
      <w:r w:rsidRPr="0012190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”</w:t>
      </w:r>
      <w:proofErr w:type="spellStart"/>
      <w:r>
        <w:rPr>
          <w:sz w:val="24"/>
          <w:szCs w:val="24"/>
          <w:u w:val="single"/>
        </w:rPr>
        <w:t>Jubilant</w:t>
      </w:r>
      <w:proofErr w:type="spellEnd"/>
      <w:r>
        <w:rPr>
          <w:sz w:val="24"/>
          <w:szCs w:val="24"/>
          <w:u w:val="single"/>
        </w:rPr>
        <w:t>”</w:t>
      </w:r>
      <w:r w:rsidRPr="00121903">
        <w:rPr>
          <w:sz w:val="24"/>
          <w:szCs w:val="24"/>
          <w:u w:val="single"/>
        </w:rPr>
        <w:t xml:space="preserve"> 10 mg filmovertrukne tabletter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  <w:r w:rsidRPr="00121903">
        <w:rPr>
          <w:sz w:val="24"/>
          <w:szCs w:val="24"/>
        </w:rPr>
        <w:tab/>
        <w:t xml:space="preserve">Hver tablet indeholder 10 mg </w:t>
      </w:r>
      <w:proofErr w:type="spellStart"/>
      <w:r w:rsidRPr="00121903">
        <w:rPr>
          <w:sz w:val="24"/>
          <w:szCs w:val="24"/>
        </w:rPr>
        <w:t>donepezilhydrochlorid</w:t>
      </w:r>
      <w:proofErr w:type="spellEnd"/>
      <w:r w:rsidRPr="00121903">
        <w:rPr>
          <w:sz w:val="24"/>
          <w:szCs w:val="24"/>
        </w:rPr>
        <w:t>.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E54907" w:rsidRPr="00121903" w:rsidRDefault="00E54907" w:rsidP="00E54907">
      <w:pPr>
        <w:ind w:left="851"/>
        <w:rPr>
          <w:sz w:val="24"/>
          <w:szCs w:val="24"/>
        </w:rPr>
      </w:pPr>
      <w:r w:rsidRPr="00121903">
        <w:rPr>
          <w:sz w:val="24"/>
          <w:szCs w:val="24"/>
        </w:rPr>
        <w:t>Hjælpestoffer</w:t>
      </w:r>
      <w:r>
        <w:rPr>
          <w:sz w:val="24"/>
          <w:szCs w:val="24"/>
        </w:rPr>
        <w:t>, som behandleren skal være opmærksom på</w:t>
      </w:r>
      <w:r w:rsidRPr="00121903">
        <w:rPr>
          <w:sz w:val="24"/>
          <w:szCs w:val="24"/>
        </w:rPr>
        <w:t>:</w:t>
      </w:r>
    </w:p>
    <w:p w:rsidR="00E54907" w:rsidRPr="00121903" w:rsidRDefault="00E54907" w:rsidP="00E54907">
      <w:pPr>
        <w:ind w:left="851"/>
        <w:rPr>
          <w:sz w:val="24"/>
          <w:szCs w:val="24"/>
        </w:rPr>
      </w:pPr>
      <w:proofErr w:type="spellStart"/>
      <w:r w:rsidRPr="00121903">
        <w:rPr>
          <w:sz w:val="24"/>
          <w:szCs w:val="24"/>
          <w:u w:val="single"/>
        </w:rPr>
        <w:t>Donepezil</w:t>
      </w:r>
      <w:proofErr w:type="spellEnd"/>
      <w:r w:rsidRPr="0012190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”</w:t>
      </w:r>
      <w:proofErr w:type="spellStart"/>
      <w:r>
        <w:rPr>
          <w:sz w:val="24"/>
          <w:szCs w:val="24"/>
          <w:u w:val="single"/>
        </w:rPr>
        <w:t>Jubilant</w:t>
      </w:r>
      <w:proofErr w:type="spellEnd"/>
      <w:r>
        <w:rPr>
          <w:sz w:val="24"/>
          <w:szCs w:val="24"/>
          <w:u w:val="single"/>
        </w:rPr>
        <w:t>”</w:t>
      </w:r>
      <w:r w:rsidRPr="00121903">
        <w:rPr>
          <w:sz w:val="24"/>
          <w:szCs w:val="24"/>
          <w:u w:val="single"/>
        </w:rPr>
        <w:t xml:space="preserve"> 5 mg filmovertrukne tabletter</w:t>
      </w:r>
    </w:p>
    <w:p w:rsidR="00E54907" w:rsidRPr="00121903" w:rsidRDefault="00E54907" w:rsidP="00E54907">
      <w:pPr>
        <w:ind w:left="851"/>
        <w:rPr>
          <w:sz w:val="24"/>
          <w:szCs w:val="24"/>
        </w:rPr>
      </w:pPr>
      <w:r w:rsidRPr="00121903">
        <w:rPr>
          <w:sz w:val="24"/>
          <w:szCs w:val="24"/>
        </w:rPr>
        <w:t xml:space="preserve">Hver tablet indeholder 82,5 mg </w:t>
      </w:r>
      <w:proofErr w:type="spellStart"/>
      <w:r w:rsidRPr="00121903">
        <w:rPr>
          <w:sz w:val="24"/>
          <w:szCs w:val="24"/>
        </w:rPr>
        <w:t>lactose</w:t>
      </w:r>
      <w:proofErr w:type="spellEnd"/>
      <w:r w:rsidRPr="00121903">
        <w:rPr>
          <w:sz w:val="24"/>
          <w:szCs w:val="24"/>
        </w:rPr>
        <w:t>.</w:t>
      </w:r>
    </w:p>
    <w:p w:rsidR="00E54907" w:rsidRDefault="00E54907" w:rsidP="00E54907">
      <w:pPr>
        <w:ind w:left="851" w:hanging="851"/>
        <w:rPr>
          <w:sz w:val="24"/>
          <w:szCs w:val="24"/>
          <w:u w:val="single"/>
        </w:rPr>
      </w:pPr>
    </w:p>
    <w:p w:rsidR="00E54907" w:rsidRPr="00121903" w:rsidRDefault="00E54907" w:rsidP="00E54907">
      <w:pPr>
        <w:ind w:left="851"/>
        <w:rPr>
          <w:sz w:val="24"/>
          <w:szCs w:val="24"/>
        </w:rPr>
      </w:pPr>
      <w:proofErr w:type="spellStart"/>
      <w:r w:rsidRPr="00121903">
        <w:rPr>
          <w:sz w:val="24"/>
          <w:szCs w:val="24"/>
          <w:u w:val="single"/>
        </w:rPr>
        <w:t>Donepezil</w:t>
      </w:r>
      <w:proofErr w:type="spellEnd"/>
      <w:r w:rsidRPr="0012190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”</w:t>
      </w:r>
      <w:proofErr w:type="spellStart"/>
      <w:r>
        <w:rPr>
          <w:sz w:val="24"/>
          <w:szCs w:val="24"/>
          <w:u w:val="single"/>
        </w:rPr>
        <w:t>Jubilant</w:t>
      </w:r>
      <w:proofErr w:type="spellEnd"/>
      <w:r>
        <w:rPr>
          <w:sz w:val="24"/>
          <w:szCs w:val="24"/>
          <w:u w:val="single"/>
        </w:rPr>
        <w:t>”</w:t>
      </w:r>
      <w:r w:rsidRPr="00121903">
        <w:rPr>
          <w:sz w:val="24"/>
          <w:szCs w:val="24"/>
          <w:u w:val="single"/>
        </w:rPr>
        <w:t xml:space="preserve"> 10 mg filmovertrukne tabletter</w:t>
      </w:r>
    </w:p>
    <w:p w:rsidR="00E54907" w:rsidRPr="00121903" w:rsidRDefault="00E54907" w:rsidP="00E54907">
      <w:pPr>
        <w:ind w:left="851"/>
        <w:rPr>
          <w:sz w:val="24"/>
          <w:szCs w:val="24"/>
        </w:rPr>
      </w:pPr>
      <w:r w:rsidRPr="00121903">
        <w:rPr>
          <w:sz w:val="24"/>
          <w:szCs w:val="24"/>
        </w:rPr>
        <w:t xml:space="preserve">Hver tablet indeholder 165 mg </w:t>
      </w:r>
      <w:proofErr w:type="spellStart"/>
      <w:r w:rsidRPr="00121903">
        <w:rPr>
          <w:sz w:val="24"/>
          <w:szCs w:val="24"/>
        </w:rPr>
        <w:t>lactose</w:t>
      </w:r>
      <w:proofErr w:type="spellEnd"/>
      <w:r w:rsidRPr="00121903">
        <w:rPr>
          <w:sz w:val="24"/>
          <w:szCs w:val="24"/>
        </w:rPr>
        <w:t>.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  <w:r w:rsidRPr="00121903">
        <w:rPr>
          <w:sz w:val="24"/>
          <w:szCs w:val="24"/>
        </w:rPr>
        <w:tab/>
        <w:t>Alle hjælpestoffer er anført under pkt. 6.1.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E54907" w:rsidRPr="00121903" w:rsidRDefault="00E54907" w:rsidP="00E54907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121903">
        <w:rPr>
          <w:b/>
          <w:sz w:val="24"/>
          <w:szCs w:val="24"/>
        </w:rPr>
        <w:t>LÆGEMIDDELFORM</w:t>
      </w:r>
    </w:p>
    <w:p w:rsidR="00E54907" w:rsidRPr="00121903" w:rsidRDefault="00E54907" w:rsidP="00E54907">
      <w:pPr>
        <w:ind w:left="851"/>
        <w:rPr>
          <w:sz w:val="24"/>
          <w:szCs w:val="24"/>
        </w:rPr>
      </w:pPr>
      <w:r>
        <w:rPr>
          <w:sz w:val="24"/>
          <w:szCs w:val="24"/>
        </w:rPr>
        <w:t>Filmovertrukne tabletter.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E54907" w:rsidRPr="00F9135C" w:rsidRDefault="00E54907" w:rsidP="00E54907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F9135C">
        <w:rPr>
          <w:sz w:val="24"/>
          <w:szCs w:val="24"/>
          <w:u w:val="single"/>
        </w:rPr>
        <w:t>Donepezil</w:t>
      </w:r>
      <w:proofErr w:type="spellEnd"/>
      <w:r w:rsidRPr="00F9135C">
        <w:rPr>
          <w:sz w:val="24"/>
          <w:szCs w:val="24"/>
          <w:u w:val="single"/>
        </w:rPr>
        <w:t xml:space="preserve"> </w:t>
      </w:r>
      <w:proofErr w:type="spellStart"/>
      <w:r w:rsidRPr="00F9135C">
        <w:rPr>
          <w:sz w:val="24"/>
          <w:szCs w:val="24"/>
          <w:u w:val="single"/>
        </w:rPr>
        <w:t>Jubilant</w:t>
      </w:r>
      <w:proofErr w:type="spellEnd"/>
      <w:r w:rsidRPr="00F9135C">
        <w:rPr>
          <w:sz w:val="24"/>
          <w:szCs w:val="24"/>
          <w:u w:val="single"/>
        </w:rPr>
        <w:t xml:space="preserve"> 5 mg filmovertrukne tabletter</w:t>
      </w:r>
      <w:r w:rsidRPr="00F9135C">
        <w:rPr>
          <w:sz w:val="24"/>
          <w:szCs w:val="24"/>
        </w:rPr>
        <w:t xml:space="preserve"> </w:t>
      </w:r>
    </w:p>
    <w:p w:rsidR="00E54907" w:rsidRPr="00F9135C" w:rsidRDefault="00E54907" w:rsidP="00E54907">
      <w:pPr>
        <w:tabs>
          <w:tab w:val="left" w:pos="851"/>
        </w:tabs>
        <w:ind w:left="851"/>
        <w:rPr>
          <w:sz w:val="24"/>
          <w:szCs w:val="24"/>
        </w:rPr>
      </w:pPr>
      <w:r w:rsidRPr="00F9135C">
        <w:rPr>
          <w:sz w:val="24"/>
          <w:szCs w:val="24"/>
        </w:rPr>
        <w:t>Hvide eller creme, runde, filmovertrukne tabletter på cirka 7,0 mm i diameter og en tykkelse på 3,5 mm, mærket "J" på den ene side og "5" på den anden side.</w:t>
      </w:r>
    </w:p>
    <w:p w:rsidR="00E54907" w:rsidRPr="00F9135C" w:rsidRDefault="00E54907" w:rsidP="00E54907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F9135C">
        <w:rPr>
          <w:sz w:val="24"/>
          <w:szCs w:val="24"/>
          <w:u w:val="single"/>
        </w:rPr>
        <w:t>Donepezil</w:t>
      </w:r>
      <w:proofErr w:type="spellEnd"/>
      <w:r w:rsidRPr="00F9135C">
        <w:rPr>
          <w:sz w:val="24"/>
          <w:szCs w:val="24"/>
          <w:u w:val="single"/>
        </w:rPr>
        <w:t xml:space="preserve"> </w:t>
      </w:r>
      <w:proofErr w:type="spellStart"/>
      <w:r w:rsidRPr="00F9135C">
        <w:rPr>
          <w:sz w:val="24"/>
          <w:szCs w:val="24"/>
          <w:u w:val="single"/>
        </w:rPr>
        <w:t>Jubilant</w:t>
      </w:r>
      <w:proofErr w:type="spellEnd"/>
      <w:r w:rsidRPr="00F9135C">
        <w:rPr>
          <w:sz w:val="24"/>
          <w:szCs w:val="24"/>
          <w:u w:val="single"/>
        </w:rPr>
        <w:t xml:space="preserve"> 10 mg filmovertrukne tabletter</w:t>
      </w:r>
      <w:r w:rsidRPr="00F9135C">
        <w:rPr>
          <w:sz w:val="24"/>
          <w:szCs w:val="24"/>
        </w:rPr>
        <w:t xml:space="preserve"> </w:t>
      </w:r>
    </w:p>
    <w:p w:rsidR="00E54907" w:rsidRPr="00F9135C" w:rsidRDefault="00E54907" w:rsidP="00E54907">
      <w:pPr>
        <w:tabs>
          <w:tab w:val="left" w:pos="851"/>
        </w:tabs>
        <w:ind w:left="851"/>
        <w:rPr>
          <w:sz w:val="24"/>
          <w:szCs w:val="24"/>
        </w:rPr>
      </w:pPr>
      <w:r w:rsidRPr="00F9135C">
        <w:rPr>
          <w:sz w:val="24"/>
          <w:szCs w:val="24"/>
        </w:rPr>
        <w:t>Hvide eller creme, runde, filmovertrukne tabletter på cirka 8,5 mm i diameter og en tykkelse på 4,5 mm, mærket "J" på den ene side og "10" på den anden side.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E54907" w:rsidRPr="00121903" w:rsidRDefault="00E54907" w:rsidP="00E54907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121903">
        <w:rPr>
          <w:b/>
          <w:sz w:val="24"/>
          <w:szCs w:val="24"/>
        </w:rPr>
        <w:lastRenderedPageBreak/>
        <w:t>KLINISKE OPLYSNINGER</w:t>
      </w:r>
    </w:p>
    <w:p w:rsidR="00E54907" w:rsidRPr="00121903" w:rsidRDefault="00E54907" w:rsidP="00E54907">
      <w:pPr>
        <w:ind w:left="851" w:hanging="851"/>
        <w:rPr>
          <w:b/>
          <w:sz w:val="24"/>
          <w:szCs w:val="24"/>
        </w:rPr>
      </w:pPr>
    </w:p>
    <w:p w:rsidR="00E54907" w:rsidRPr="00121903" w:rsidRDefault="00E54907" w:rsidP="00E54907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  <w:u w:val="single"/>
        </w:rPr>
      </w:pPr>
      <w:r w:rsidRPr="00121903">
        <w:rPr>
          <w:b/>
          <w:sz w:val="24"/>
          <w:szCs w:val="24"/>
        </w:rPr>
        <w:t>Terapeutiske indikationer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  <w:r w:rsidRPr="00121903">
        <w:rPr>
          <w:sz w:val="24"/>
          <w:szCs w:val="24"/>
        </w:rPr>
        <w:tab/>
      </w:r>
      <w:proofErr w:type="spellStart"/>
      <w:r w:rsidRPr="00121903">
        <w:rPr>
          <w:sz w:val="24"/>
          <w:szCs w:val="24"/>
        </w:rPr>
        <w:t>Donepezil</w:t>
      </w:r>
      <w:proofErr w:type="spellEnd"/>
      <w:r w:rsidRPr="00121903">
        <w:rPr>
          <w:sz w:val="24"/>
          <w:szCs w:val="24"/>
        </w:rPr>
        <w:t xml:space="preserve"> </w:t>
      </w:r>
      <w:r>
        <w:rPr>
          <w:sz w:val="24"/>
          <w:szCs w:val="24"/>
        </w:rPr>
        <w:t>”</w:t>
      </w:r>
      <w:proofErr w:type="spellStart"/>
      <w:r>
        <w:rPr>
          <w:sz w:val="24"/>
          <w:szCs w:val="24"/>
        </w:rPr>
        <w:t>Jubilant</w:t>
      </w:r>
      <w:proofErr w:type="spellEnd"/>
      <w:r>
        <w:rPr>
          <w:sz w:val="24"/>
          <w:szCs w:val="24"/>
        </w:rPr>
        <w:t>”</w:t>
      </w:r>
      <w:r w:rsidRPr="00121903">
        <w:rPr>
          <w:sz w:val="24"/>
          <w:szCs w:val="24"/>
        </w:rPr>
        <w:t xml:space="preserve"> er indiceret til symptomatisk behandling af mild til moderat svær grad af Alzheimers demens.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E54907" w:rsidRPr="00121903" w:rsidRDefault="00E54907" w:rsidP="00E54907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121903">
        <w:rPr>
          <w:b/>
          <w:sz w:val="24"/>
          <w:szCs w:val="24"/>
        </w:rPr>
        <w:t xml:space="preserve">Dosering og </w:t>
      </w:r>
      <w:r w:rsidR="00545D3E">
        <w:rPr>
          <w:b/>
          <w:sz w:val="24"/>
          <w:szCs w:val="24"/>
        </w:rPr>
        <w:t>administration</w:t>
      </w:r>
    </w:p>
    <w:p w:rsidR="00E54907" w:rsidRDefault="00E54907" w:rsidP="00E54907">
      <w:pPr>
        <w:ind w:left="1702" w:hanging="851"/>
        <w:rPr>
          <w:u w:val="single"/>
        </w:rPr>
      </w:pPr>
      <w:r>
        <w:rPr>
          <w:u w:val="single"/>
        </w:rPr>
        <w:t>Dosering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  <w:r w:rsidRPr="00121903">
        <w:rPr>
          <w:sz w:val="24"/>
          <w:szCs w:val="24"/>
        </w:rPr>
        <w:tab/>
      </w:r>
      <w:r w:rsidRPr="00121903">
        <w:rPr>
          <w:i/>
          <w:sz w:val="24"/>
          <w:szCs w:val="24"/>
        </w:rPr>
        <w:t>Voksne/ældre</w:t>
      </w:r>
      <w:r w:rsidRPr="00121903">
        <w:rPr>
          <w:sz w:val="24"/>
          <w:szCs w:val="24"/>
        </w:rPr>
        <w:t>: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E54907" w:rsidRPr="00121903" w:rsidRDefault="00E54907" w:rsidP="00E54907">
      <w:pPr>
        <w:ind w:left="851"/>
        <w:rPr>
          <w:sz w:val="24"/>
          <w:szCs w:val="24"/>
        </w:rPr>
      </w:pPr>
      <w:r w:rsidRPr="00121903">
        <w:rPr>
          <w:sz w:val="24"/>
          <w:szCs w:val="24"/>
        </w:rPr>
        <w:t xml:space="preserve">Initialt 5 mg 1 gang dagligt. En dosering på 5 mg dagligt bør bibeholdes mindst 1 måned for at kunne bedømme den tidligste behandlingseffekt og for at nå </w:t>
      </w:r>
      <w:proofErr w:type="spellStart"/>
      <w:r w:rsidRPr="00121903">
        <w:rPr>
          <w:sz w:val="24"/>
          <w:szCs w:val="24"/>
        </w:rPr>
        <w:t>steady-state</w:t>
      </w:r>
      <w:proofErr w:type="spellEnd"/>
      <w:r w:rsidRPr="00121903">
        <w:rPr>
          <w:sz w:val="24"/>
          <w:szCs w:val="24"/>
        </w:rPr>
        <w:t xml:space="preserve"> koncentration af </w:t>
      </w:r>
      <w:proofErr w:type="spellStart"/>
      <w:r w:rsidRPr="00121903">
        <w:rPr>
          <w:sz w:val="24"/>
          <w:szCs w:val="24"/>
        </w:rPr>
        <w:t>donepezilhydrochlorid</w:t>
      </w:r>
      <w:proofErr w:type="spellEnd"/>
      <w:r w:rsidRPr="00121903">
        <w:rPr>
          <w:sz w:val="24"/>
          <w:szCs w:val="24"/>
        </w:rPr>
        <w:t xml:space="preserve">. Efter 1 måneds behandling med 5 mg dagligt kan dosis af </w:t>
      </w:r>
      <w:proofErr w:type="spellStart"/>
      <w:r w:rsidRPr="00121903">
        <w:rPr>
          <w:sz w:val="24"/>
          <w:szCs w:val="24"/>
        </w:rPr>
        <w:t>Donepezil</w:t>
      </w:r>
      <w:proofErr w:type="spellEnd"/>
      <w:r w:rsidRPr="00121903">
        <w:rPr>
          <w:sz w:val="24"/>
          <w:szCs w:val="24"/>
        </w:rPr>
        <w:t xml:space="preserve"> </w:t>
      </w:r>
      <w:r>
        <w:rPr>
          <w:sz w:val="24"/>
          <w:szCs w:val="24"/>
        </w:rPr>
        <w:t>”</w:t>
      </w:r>
      <w:proofErr w:type="spellStart"/>
      <w:r>
        <w:rPr>
          <w:sz w:val="24"/>
          <w:szCs w:val="24"/>
        </w:rPr>
        <w:t>Jubilant</w:t>
      </w:r>
      <w:proofErr w:type="spellEnd"/>
      <w:r>
        <w:rPr>
          <w:sz w:val="24"/>
          <w:szCs w:val="24"/>
        </w:rPr>
        <w:t>”</w:t>
      </w:r>
      <w:r w:rsidRPr="00121903">
        <w:rPr>
          <w:sz w:val="24"/>
          <w:szCs w:val="24"/>
        </w:rPr>
        <w:t xml:space="preserve"> på baggrund af en klinisk vurdering øges til 10 mg 1 gang dagligt. Den højest anbefalede daglige dosis er 10 mg. Doser over 10 mg dagligt er ikke undersøgt i kliniske forsøg.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E54907" w:rsidRPr="00121903" w:rsidRDefault="00E54907" w:rsidP="00E54907">
      <w:pPr>
        <w:ind w:left="851"/>
        <w:rPr>
          <w:sz w:val="24"/>
          <w:szCs w:val="24"/>
        </w:rPr>
      </w:pPr>
      <w:r w:rsidRPr="00121903">
        <w:rPr>
          <w:sz w:val="24"/>
          <w:szCs w:val="24"/>
        </w:rPr>
        <w:t xml:space="preserve">Behandlingen bør initieres og overvåges af en læge med erfaring i diagnostik og behandling af Alzheimers demens. Diagnosen skal stilles i overensstemmelse med accepterede guidelines (f.eks. DSM IV eller ICD 10). Behandling med </w:t>
      </w:r>
      <w:proofErr w:type="spellStart"/>
      <w:r w:rsidRPr="00121903">
        <w:rPr>
          <w:sz w:val="24"/>
          <w:szCs w:val="24"/>
        </w:rPr>
        <w:t>donepezil</w:t>
      </w:r>
      <w:proofErr w:type="spellEnd"/>
      <w:r w:rsidRPr="00121903">
        <w:rPr>
          <w:sz w:val="24"/>
          <w:szCs w:val="24"/>
        </w:rPr>
        <w:t xml:space="preserve"> bør kun påbegyndes, hvis patienten har en pårørende eller omsorgsperson, som regelmæssigt vil kontrollere patientens medicinindtag. </w:t>
      </w:r>
      <w:proofErr w:type="spellStart"/>
      <w:r w:rsidRPr="00121903">
        <w:rPr>
          <w:sz w:val="24"/>
          <w:szCs w:val="24"/>
        </w:rPr>
        <w:t>Vedligeholdesesbehandling</w:t>
      </w:r>
      <w:proofErr w:type="spellEnd"/>
      <w:r w:rsidRPr="00121903">
        <w:rPr>
          <w:sz w:val="24"/>
          <w:szCs w:val="24"/>
        </w:rPr>
        <w:t xml:space="preserve"> kan fortsætte så længe, patienten har terapeutisk fordel heraf. Derfor bør den kliniske effekt af </w:t>
      </w:r>
      <w:proofErr w:type="spellStart"/>
      <w:r w:rsidRPr="00121903">
        <w:rPr>
          <w:sz w:val="24"/>
          <w:szCs w:val="24"/>
        </w:rPr>
        <w:t>donepezil</w:t>
      </w:r>
      <w:proofErr w:type="spellEnd"/>
      <w:r w:rsidRPr="00121903">
        <w:rPr>
          <w:sz w:val="24"/>
          <w:szCs w:val="24"/>
        </w:rPr>
        <w:t xml:space="preserve"> revurderes regelmæssigt. Det bør overvejes at seponere behandlingen, når der ikke længere er tegn på terapeutisk effekt. Individuel respons på </w:t>
      </w:r>
      <w:proofErr w:type="spellStart"/>
      <w:r w:rsidRPr="00121903">
        <w:rPr>
          <w:sz w:val="24"/>
          <w:szCs w:val="24"/>
        </w:rPr>
        <w:t>donepezil</w:t>
      </w:r>
      <w:proofErr w:type="spellEnd"/>
      <w:r w:rsidRPr="00121903">
        <w:rPr>
          <w:sz w:val="24"/>
          <w:szCs w:val="24"/>
        </w:rPr>
        <w:t xml:space="preserve"> kan ikke forudsiges.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E54907" w:rsidRPr="00121903" w:rsidRDefault="00E54907" w:rsidP="00E54907">
      <w:pPr>
        <w:ind w:left="851"/>
        <w:rPr>
          <w:sz w:val="24"/>
          <w:szCs w:val="24"/>
        </w:rPr>
      </w:pPr>
      <w:r w:rsidRPr="00121903">
        <w:rPr>
          <w:sz w:val="24"/>
          <w:szCs w:val="24"/>
        </w:rPr>
        <w:t xml:space="preserve">Efter afbrydelse af behandlingen ses en gradvis aftagen af </w:t>
      </w:r>
      <w:proofErr w:type="spellStart"/>
      <w:r w:rsidRPr="00121903">
        <w:rPr>
          <w:sz w:val="24"/>
          <w:szCs w:val="24"/>
        </w:rPr>
        <w:t>donepezilhydrochlorid</w:t>
      </w:r>
      <w:proofErr w:type="spellEnd"/>
      <w:r w:rsidRPr="00121903">
        <w:rPr>
          <w:sz w:val="24"/>
          <w:szCs w:val="24"/>
        </w:rPr>
        <w:t xml:space="preserve"> virkning.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E54907" w:rsidRPr="00121903" w:rsidRDefault="00E54907" w:rsidP="00E54907">
      <w:pPr>
        <w:ind w:left="851"/>
        <w:rPr>
          <w:sz w:val="24"/>
          <w:szCs w:val="24"/>
        </w:rPr>
      </w:pPr>
      <w:r w:rsidRPr="00121903">
        <w:rPr>
          <w:i/>
          <w:sz w:val="24"/>
          <w:szCs w:val="24"/>
        </w:rPr>
        <w:t>Nedsat nyre- og leverfunktion</w:t>
      </w:r>
      <w:r w:rsidRPr="00121903">
        <w:rPr>
          <w:sz w:val="24"/>
          <w:szCs w:val="24"/>
        </w:rPr>
        <w:t>:</w:t>
      </w:r>
    </w:p>
    <w:p w:rsidR="00E54907" w:rsidRPr="00121903" w:rsidRDefault="00E54907" w:rsidP="00E54907">
      <w:pPr>
        <w:ind w:left="851"/>
        <w:rPr>
          <w:sz w:val="24"/>
          <w:szCs w:val="24"/>
        </w:rPr>
      </w:pPr>
      <w:r w:rsidRPr="00121903">
        <w:rPr>
          <w:sz w:val="24"/>
          <w:szCs w:val="24"/>
        </w:rPr>
        <w:t xml:space="preserve">Et tilsvarende doseringsprincip kan følges for patienter med nedsat nyrefunktion, da </w:t>
      </w:r>
      <w:proofErr w:type="spellStart"/>
      <w:r w:rsidRPr="00121903">
        <w:rPr>
          <w:sz w:val="24"/>
          <w:szCs w:val="24"/>
        </w:rPr>
        <w:t>clearance</w:t>
      </w:r>
      <w:proofErr w:type="spellEnd"/>
      <w:r w:rsidRPr="00121903">
        <w:rPr>
          <w:sz w:val="24"/>
          <w:szCs w:val="24"/>
        </w:rPr>
        <w:t xml:space="preserve"> af </w:t>
      </w:r>
      <w:proofErr w:type="spellStart"/>
      <w:r w:rsidRPr="00121903">
        <w:rPr>
          <w:sz w:val="24"/>
          <w:szCs w:val="24"/>
        </w:rPr>
        <w:t>donepezilhydrochlorid</w:t>
      </w:r>
      <w:proofErr w:type="spellEnd"/>
      <w:r w:rsidRPr="00121903">
        <w:rPr>
          <w:sz w:val="24"/>
          <w:szCs w:val="24"/>
        </w:rPr>
        <w:t xml:space="preserve"> ikke påvirkes af denne tilstand.</w:t>
      </w:r>
    </w:p>
    <w:p w:rsidR="00E54907" w:rsidRPr="00121903" w:rsidRDefault="00E54907" w:rsidP="00E54907">
      <w:pPr>
        <w:ind w:left="851"/>
        <w:rPr>
          <w:sz w:val="24"/>
          <w:szCs w:val="24"/>
        </w:rPr>
      </w:pPr>
      <w:r w:rsidRPr="00121903">
        <w:rPr>
          <w:sz w:val="24"/>
          <w:szCs w:val="24"/>
        </w:rPr>
        <w:t>På grund af mulig øget eksponering ved mild til moderat nedsat leverfunktion (se pkt. 5.2), bør eventuel dosisøgning ske i henhold til individuel tolerans. Der foreligger ingen data på patienter med svært nedsat leverfunktion.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E54907" w:rsidRPr="00F9135C" w:rsidRDefault="00E54907" w:rsidP="00E54907">
      <w:pPr>
        <w:tabs>
          <w:tab w:val="left" w:pos="851"/>
        </w:tabs>
        <w:ind w:left="851"/>
        <w:rPr>
          <w:i/>
          <w:sz w:val="24"/>
          <w:szCs w:val="24"/>
        </w:rPr>
      </w:pPr>
      <w:r w:rsidRPr="00F9135C">
        <w:rPr>
          <w:i/>
          <w:sz w:val="24"/>
          <w:szCs w:val="24"/>
        </w:rPr>
        <w:t>Pædiatrisk population:</w:t>
      </w:r>
    </w:p>
    <w:p w:rsidR="00F61317" w:rsidRDefault="00F61317" w:rsidP="00F61317">
      <w:pPr>
        <w:tabs>
          <w:tab w:val="left" w:pos="851"/>
        </w:tabs>
        <w:ind w:left="851"/>
      </w:pPr>
      <w:proofErr w:type="spellStart"/>
      <w:r w:rsidRPr="008B0D06">
        <w:t>Donepezil</w:t>
      </w:r>
      <w:proofErr w:type="spellEnd"/>
      <w:r w:rsidRPr="008B0D06">
        <w:t xml:space="preserve"> </w:t>
      </w:r>
      <w:proofErr w:type="spellStart"/>
      <w:r w:rsidRPr="008B0D06">
        <w:t>Jubilant</w:t>
      </w:r>
      <w:proofErr w:type="spellEnd"/>
      <w:r w:rsidRPr="008B0D06">
        <w:t xml:space="preserve"> anbefales </w:t>
      </w:r>
      <w:r>
        <w:t>ikke til b</w:t>
      </w:r>
      <w:r w:rsidRPr="008B0D06">
        <w:t>ø</w:t>
      </w:r>
      <w:r>
        <w:t xml:space="preserve">rn </w:t>
      </w:r>
      <w:r w:rsidRPr="00153CC8">
        <w:t>og unge under 18 år</w:t>
      </w:r>
      <w:r w:rsidRPr="008B0D06">
        <w:t>.</w:t>
      </w:r>
    </w:p>
    <w:p w:rsidR="00E54907" w:rsidRPr="00F9135C" w:rsidRDefault="00E54907" w:rsidP="00E54907">
      <w:pPr>
        <w:tabs>
          <w:tab w:val="left" w:pos="851"/>
        </w:tabs>
        <w:ind w:left="851"/>
        <w:rPr>
          <w:sz w:val="24"/>
          <w:szCs w:val="24"/>
        </w:rPr>
      </w:pPr>
    </w:p>
    <w:p w:rsidR="00E54907" w:rsidRPr="00F9135C" w:rsidRDefault="00E54907" w:rsidP="00E54907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F9135C">
        <w:rPr>
          <w:sz w:val="24"/>
          <w:szCs w:val="24"/>
          <w:u w:val="single"/>
        </w:rPr>
        <w:t>Administration</w:t>
      </w:r>
    </w:p>
    <w:p w:rsidR="00E54907" w:rsidRPr="00F9135C" w:rsidRDefault="00E54907" w:rsidP="00E54907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E54907" w:rsidRDefault="00E54907" w:rsidP="00E54907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F9135C">
        <w:rPr>
          <w:sz w:val="24"/>
          <w:szCs w:val="24"/>
        </w:rPr>
        <w:t>Donepezil</w:t>
      </w:r>
      <w:proofErr w:type="spellEnd"/>
      <w:r w:rsidRPr="00F9135C">
        <w:rPr>
          <w:sz w:val="24"/>
          <w:szCs w:val="24"/>
        </w:rPr>
        <w:t xml:space="preserve"> </w:t>
      </w:r>
      <w:proofErr w:type="spellStart"/>
      <w:r w:rsidRPr="00F9135C">
        <w:rPr>
          <w:sz w:val="24"/>
          <w:szCs w:val="24"/>
        </w:rPr>
        <w:t>Jubilant</w:t>
      </w:r>
      <w:proofErr w:type="spellEnd"/>
      <w:r w:rsidRPr="00F9135C">
        <w:rPr>
          <w:sz w:val="24"/>
          <w:szCs w:val="24"/>
        </w:rPr>
        <w:t xml:space="preserve"> bør indtages oralt om aftenen lige inden sengetid.</w:t>
      </w:r>
    </w:p>
    <w:p w:rsidR="0041538E" w:rsidRDefault="0041538E" w:rsidP="0041538E">
      <w:pPr>
        <w:ind w:left="851"/>
        <w:rPr>
          <w:sz w:val="24"/>
          <w:szCs w:val="24"/>
        </w:rPr>
      </w:pPr>
    </w:p>
    <w:p w:rsidR="00303D00" w:rsidRPr="00303D00" w:rsidRDefault="00303D00" w:rsidP="00303D00">
      <w:pPr>
        <w:ind w:left="851" w:hanging="851"/>
        <w:rPr>
          <w:sz w:val="24"/>
          <w:szCs w:val="24"/>
        </w:rPr>
      </w:pPr>
      <w:r w:rsidRPr="00303D00">
        <w:rPr>
          <w:sz w:val="24"/>
          <w:szCs w:val="24"/>
        </w:rPr>
        <w:t xml:space="preserve">              I tilfælde af søvnforstyrrelser inklusive unormale drømme, mareridt eller søvnløshed </w:t>
      </w:r>
    </w:p>
    <w:p w:rsidR="0041538E" w:rsidRDefault="00303D00" w:rsidP="00303D00">
      <w:pPr>
        <w:ind w:left="851" w:hanging="851"/>
        <w:rPr>
          <w:sz w:val="24"/>
          <w:szCs w:val="24"/>
        </w:rPr>
      </w:pPr>
      <w:r w:rsidRPr="00303D00">
        <w:rPr>
          <w:sz w:val="24"/>
          <w:szCs w:val="24"/>
        </w:rPr>
        <w:t xml:space="preserve">              (se pkt. 4.8) kan indtagelse af </w:t>
      </w:r>
      <w:proofErr w:type="spellStart"/>
      <w:r w:rsidRPr="00303D00">
        <w:rPr>
          <w:sz w:val="24"/>
          <w:szCs w:val="24"/>
        </w:rPr>
        <w:t>Donepezil</w:t>
      </w:r>
      <w:proofErr w:type="spellEnd"/>
      <w:r w:rsidRPr="00303D00">
        <w:rPr>
          <w:sz w:val="24"/>
          <w:szCs w:val="24"/>
        </w:rPr>
        <w:t xml:space="preserve"> </w:t>
      </w:r>
      <w:proofErr w:type="spellStart"/>
      <w:r w:rsidRPr="00303D00">
        <w:rPr>
          <w:sz w:val="24"/>
          <w:szCs w:val="24"/>
        </w:rPr>
        <w:t>Jubilant</w:t>
      </w:r>
      <w:proofErr w:type="spellEnd"/>
      <w:r w:rsidRPr="00303D00">
        <w:rPr>
          <w:sz w:val="24"/>
          <w:szCs w:val="24"/>
        </w:rPr>
        <w:t xml:space="preserve"> om morgenen overvejes.</w:t>
      </w:r>
    </w:p>
    <w:p w:rsidR="00303D00" w:rsidRPr="00121903" w:rsidRDefault="00303D00" w:rsidP="00303D00">
      <w:pPr>
        <w:ind w:left="851" w:hanging="851"/>
        <w:rPr>
          <w:sz w:val="24"/>
          <w:szCs w:val="24"/>
        </w:rPr>
      </w:pPr>
    </w:p>
    <w:p w:rsidR="00E54907" w:rsidRPr="00121903" w:rsidRDefault="00E54907" w:rsidP="00E54907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121903">
        <w:rPr>
          <w:b/>
          <w:sz w:val="24"/>
          <w:szCs w:val="24"/>
        </w:rPr>
        <w:t>Kontraindikationer</w:t>
      </w:r>
    </w:p>
    <w:p w:rsidR="00E54907" w:rsidRPr="00B10F53" w:rsidRDefault="00E54907" w:rsidP="00E54907">
      <w:pPr>
        <w:ind w:left="851" w:hanging="851"/>
        <w:rPr>
          <w:sz w:val="24"/>
          <w:szCs w:val="24"/>
        </w:rPr>
      </w:pPr>
      <w:r w:rsidRPr="00121903">
        <w:rPr>
          <w:sz w:val="24"/>
          <w:szCs w:val="24"/>
        </w:rPr>
        <w:tab/>
      </w:r>
      <w:r w:rsidR="00F61317">
        <w:rPr>
          <w:sz w:val="24"/>
          <w:szCs w:val="24"/>
        </w:rPr>
        <w:t>O</w:t>
      </w:r>
      <w:r w:rsidRPr="00B10F53">
        <w:rPr>
          <w:sz w:val="24"/>
          <w:szCs w:val="24"/>
        </w:rPr>
        <w:t xml:space="preserve">verfølsomhed over for </w:t>
      </w:r>
      <w:proofErr w:type="spellStart"/>
      <w:r w:rsidRPr="00B10F53">
        <w:rPr>
          <w:sz w:val="24"/>
          <w:szCs w:val="24"/>
        </w:rPr>
        <w:t>donepezilhydrochlorid</w:t>
      </w:r>
      <w:proofErr w:type="spellEnd"/>
      <w:r w:rsidRPr="00B10F53">
        <w:rPr>
          <w:sz w:val="24"/>
          <w:szCs w:val="24"/>
        </w:rPr>
        <w:t xml:space="preserve">, </w:t>
      </w:r>
      <w:proofErr w:type="spellStart"/>
      <w:r w:rsidRPr="00B10F53">
        <w:rPr>
          <w:sz w:val="24"/>
          <w:szCs w:val="24"/>
        </w:rPr>
        <w:t>piperidinderivater</w:t>
      </w:r>
      <w:proofErr w:type="spellEnd"/>
      <w:r w:rsidRPr="00B10F53">
        <w:rPr>
          <w:sz w:val="24"/>
          <w:szCs w:val="24"/>
        </w:rPr>
        <w:t xml:space="preserve"> eller et eller flere af hjælpestofferne anført i punkt 6.1. </w:t>
      </w:r>
      <w:r w:rsidRPr="00B10F53">
        <w:rPr>
          <w:sz w:val="24"/>
          <w:szCs w:val="24"/>
        </w:rPr>
        <w:br w:type="page"/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E54907" w:rsidRPr="00121903" w:rsidRDefault="00E54907" w:rsidP="00E54907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121903">
        <w:rPr>
          <w:b/>
          <w:sz w:val="24"/>
          <w:szCs w:val="24"/>
        </w:rPr>
        <w:t>Særlige advarsler og forsigtighedsregler vedrørende brugen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  <w:r w:rsidRPr="00121903">
        <w:rPr>
          <w:sz w:val="24"/>
          <w:szCs w:val="24"/>
        </w:rPr>
        <w:tab/>
        <w:t xml:space="preserve">Brugen af </w:t>
      </w:r>
      <w:proofErr w:type="spellStart"/>
      <w:r w:rsidRPr="00121903">
        <w:rPr>
          <w:sz w:val="24"/>
          <w:szCs w:val="24"/>
        </w:rPr>
        <w:t>Donepezil</w:t>
      </w:r>
      <w:proofErr w:type="spellEnd"/>
      <w:r w:rsidRPr="00121903">
        <w:rPr>
          <w:sz w:val="24"/>
          <w:szCs w:val="24"/>
        </w:rPr>
        <w:t xml:space="preserve"> </w:t>
      </w:r>
      <w:r>
        <w:rPr>
          <w:sz w:val="24"/>
          <w:szCs w:val="24"/>
        </w:rPr>
        <w:t>”</w:t>
      </w:r>
      <w:proofErr w:type="spellStart"/>
      <w:r>
        <w:rPr>
          <w:sz w:val="24"/>
          <w:szCs w:val="24"/>
        </w:rPr>
        <w:t>Jubilant</w:t>
      </w:r>
      <w:proofErr w:type="spellEnd"/>
      <w:r>
        <w:rPr>
          <w:sz w:val="24"/>
          <w:szCs w:val="24"/>
        </w:rPr>
        <w:t>”</w:t>
      </w:r>
      <w:r w:rsidRPr="00121903">
        <w:rPr>
          <w:sz w:val="24"/>
          <w:szCs w:val="24"/>
        </w:rPr>
        <w:t xml:space="preserve"> til patienter med </w:t>
      </w:r>
      <w:r w:rsidR="00F61317" w:rsidRPr="00121903">
        <w:rPr>
          <w:sz w:val="24"/>
          <w:szCs w:val="24"/>
        </w:rPr>
        <w:t xml:space="preserve">svær </w:t>
      </w:r>
      <w:r w:rsidR="00F61317">
        <w:rPr>
          <w:sz w:val="24"/>
          <w:szCs w:val="24"/>
        </w:rPr>
        <w:t>A</w:t>
      </w:r>
      <w:r w:rsidR="00F61317" w:rsidRPr="002C3D8B">
        <w:rPr>
          <w:sz w:val="24"/>
          <w:szCs w:val="24"/>
        </w:rPr>
        <w:t>lzheimers</w:t>
      </w:r>
      <w:r w:rsidR="00F61317">
        <w:rPr>
          <w:sz w:val="24"/>
          <w:szCs w:val="24"/>
        </w:rPr>
        <w:t xml:space="preserve"> </w:t>
      </w:r>
      <w:r w:rsidR="00F61317" w:rsidRPr="00121903">
        <w:rPr>
          <w:sz w:val="24"/>
          <w:szCs w:val="24"/>
        </w:rPr>
        <w:t>demens</w:t>
      </w:r>
      <w:r w:rsidRPr="00121903">
        <w:rPr>
          <w:sz w:val="24"/>
          <w:szCs w:val="24"/>
        </w:rPr>
        <w:t>, andre typer af demens eller andre typer af hukommelsesbesvær (f.eks. aldersbestemt kognitiv svækkelse) er ikke undersøgt.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E54907" w:rsidRPr="00121903" w:rsidRDefault="00E54907" w:rsidP="00E54907">
      <w:pPr>
        <w:ind w:left="851"/>
        <w:rPr>
          <w:sz w:val="24"/>
          <w:szCs w:val="24"/>
        </w:rPr>
      </w:pPr>
      <w:r w:rsidRPr="00121903">
        <w:rPr>
          <w:sz w:val="24"/>
          <w:szCs w:val="24"/>
          <w:u w:val="single"/>
        </w:rPr>
        <w:t>Anæstesi</w:t>
      </w:r>
      <w:r w:rsidRPr="00121903">
        <w:rPr>
          <w:sz w:val="24"/>
          <w:szCs w:val="24"/>
        </w:rPr>
        <w:t xml:space="preserve"> </w:t>
      </w:r>
    </w:p>
    <w:p w:rsidR="00E54907" w:rsidRPr="00121903" w:rsidRDefault="00E54907" w:rsidP="00E54907">
      <w:pPr>
        <w:ind w:left="851"/>
        <w:rPr>
          <w:sz w:val="24"/>
          <w:szCs w:val="24"/>
        </w:rPr>
      </w:pPr>
      <w:proofErr w:type="spellStart"/>
      <w:r w:rsidRPr="00121903">
        <w:rPr>
          <w:sz w:val="24"/>
          <w:szCs w:val="24"/>
        </w:rPr>
        <w:t>Donepezil</w:t>
      </w:r>
      <w:proofErr w:type="spellEnd"/>
      <w:r w:rsidRPr="00121903">
        <w:rPr>
          <w:sz w:val="24"/>
          <w:szCs w:val="24"/>
        </w:rPr>
        <w:t xml:space="preserve"> </w:t>
      </w:r>
      <w:r>
        <w:rPr>
          <w:sz w:val="24"/>
          <w:szCs w:val="24"/>
        </w:rPr>
        <w:t>”</w:t>
      </w:r>
      <w:proofErr w:type="spellStart"/>
      <w:r>
        <w:rPr>
          <w:sz w:val="24"/>
          <w:szCs w:val="24"/>
        </w:rPr>
        <w:t>Jubilant</w:t>
      </w:r>
      <w:proofErr w:type="spellEnd"/>
      <w:r>
        <w:rPr>
          <w:sz w:val="24"/>
          <w:szCs w:val="24"/>
        </w:rPr>
        <w:t>”</w:t>
      </w:r>
      <w:r w:rsidRPr="00121903">
        <w:rPr>
          <w:sz w:val="24"/>
          <w:szCs w:val="24"/>
        </w:rPr>
        <w:t xml:space="preserve">, som er en </w:t>
      </w:r>
      <w:proofErr w:type="spellStart"/>
      <w:r w:rsidRPr="00121903">
        <w:rPr>
          <w:sz w:val="24"/>
          <w:szCs w:val="24"/>
        </w:rPr>
        <w:t>cholinesterasehæmmer</w:t>
      </w:r>
      <w:proofErr w:type="spellEnd"/>
      <w:r w:rsidRPr="00121903">
        <w:rPr>
          <w:sz w:val="24"/>
          <w:szCs w:val="24"/>
        </w:rPr>
        <w:t xml:space="preserve">, vil sandsynligvis forstærke muskelrelaksation af </w:t>
      </w:r>
      <w:proofErr w:type="spellStart"/>
      <w:r w:rsidRPr="00121903">
        <w:rPr>
          <w:sz w:val="24"/>
          <w:szCs w:val="24"/>
        </w:rPr>
        <w:t>succinylcholintypen</w:t>
      </w:r>
      <w:proofErr w:type="spellEnd"/>
      <w:r w:rsidRPr="00121903">
        <w:rPr>
          <w:sz w:val="24"/>
          <w:szCs w:val="24"/>
        </w:rPr>
        <w:t xml:space="preserve"> under anæstesi.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E54907" w:rsidRPr="00121903" w:rsidRDefault="00E54907" w:rsidP="00E54907">
      <w:pPr>
        <w:ind w:left="851"/>
        <w:rPr>
          <w:sz w:val="24"/>
          <w:szCs w:val="24"/>
          <w:u w:val="single"/>
        </w:rPr>
      </w:pPr>
      <w:proofErr w:type="spellStart"/>
      <w:r w:rsidRPr="00121903">
        <w:rPr>
          <w:sz w:val="24"/>
          <w:szCs w:val="24"/>
          <w:u w:val="single"/>
        </w:rPr>
        <w:t>Kardiovaskulære</w:t>
      </w:r>
      <w:proofErr w:type="spellEnd"/>
      <w:r w:rsidRPr="00121903">
        <w:rPr>
          <w:sz w:val="24"/>
          <w:szCs w:val="24"/>
          <w:u w:val="single"/>
        </w:rPr>
        <w:t xml:space="preserve"> forhold</w:t>
      </w:r>
    </w:p>
    <w:p w:rsidR="00E54907" w:rsidRPr="00121903" w:rsidRDefault="00E54907" w:rsidP="00E54907">
      <w:pPr>
        <w:ind w:left="851"/>
        <w:rPr>
          <w:sz w:val="24"/>
          <w:szCs w:val="24"/>
        </w:rPr>
      </w:pPr>
      <w:proofErr w:type="spellStart"/>
      <w:r w:rsidRPr="00121903">
        <w:rPr>
          <w:sz w:val="24"/>
          <w:szCs w:val="24"/>
        </w:rPr>
        <w:t>Cholinesterasehæmmere</w:t>
      </w:r>
      <w:proofErr w:type="spellEnd"/>
      <w:r w:rsidRPr="00121903">
        <w:rPr>
          <w:sz w:val="24"/>
          <w:szCs w:val="24"/>
        </w:rPr>
        <w:t xml:space="preserve"> kan som følge af deres farmakologiske virkning have en </w:t>
      </w:r>
      <w:proofErr w:type="spellStart"/>
      <w:r w:rsidRPr="00121903">
        <w:rPr>
          <w:sz w:val="24"/>
          <w:szCs w:val="24"/>
        </w:rPr>
        <w:t>vagotonisk</w:t>
      </w:r>
      <w:proofErr w:type="spellEnd"/>
      <w:r w:rsidRPr="00121903">
        <w:rPr>
          <w:sz w:val="24"/>
          <w:szCs w:val="24"/>
        </w:rPr>
        <w:t xml:space="preserve"> effekt på hjertefrekvensen (f.eks. bradykardi). Denne mulige virkning kan især være af betydning for patienter med syg sinus knude-syndrom eller andre </w:t>
      </w:r>
      <w:proofErr w:type="spellStart"/>
      <w:r w:rsidRPr="00121903">
        <w:rPr>
          <w:sz w:val="24"/>
          <w:szCs w:val="24"/>
        </w:rPr>
        <w:t>supraventrikulære</w:t>
      </w:r>
      <w:proofErr w:type="spellEnd"/>
      <w:r w:rsidRPr="00121903">
        <w:rPr>
          <w:sz w:val="24"/>
          <w:szCs w:val="24"/>
        </w:rPr>
        <w:t xml:space="preserve"> overledningsforstyrrelser, så som </w:t>
      </w:r>
      <w:proofErr w:type="spellStart"/>
      <w:r w:rsidRPr="00121903">
        <w:rPr>
          <w:sz w:val="24"/>
          <w:szCs w:val="24"/>
        </w:rPr>
        <w:t>sinoatrialt</w:t>
      </w:r>
      <w:proofErr w:type="spellEnd"/>
      <w:r w:rsidRPr="00121903">
        <w:rPr>
          <w:sz w:val="24"/>
          <w:szCs w:val="24"/>
        </w:rPr>
        <w:t xml:space="preserve"> eller </w:t>
      </w:r>
      <w:proofErr w:type="spellStart"/>
      <w:r w:rsidRPr="00121903">
        <w:rPr>
          <w:sz w:val="24"/>
          <w:szCs w:val="24"/>
        </w:rPr>
        <w:t>atrioventrikulært</w:t>
      </w:r>
      <w:proofErr w:type="spellEnd"/>
      <w:r w:rsidRPr="00121903">
        <w:rPr>
          <w:sz w:val="24"/>
          <w:szCs w:val="24"/>
        </w:rPr>
        <w:t xml:space="preserve"> blok.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303D00" w:rsidRDefault="00303D00" w:rsidP="00303D00">
      <w:pPr>
        <w:ind w:left="851"/>
        <w:rPr>
          <w:sz w:val="24"/>
          <w:szCs w:val="24"/>
        </w:rPr>
      </w:pPr>
      <w:r w:rsidRPr="00121903">
        <w:rPr>
          <w:sz w:val="24"/>
          <w:szCs w:val="24"/>
        </w:rPr>
        <w:t>Der har været rapporteret tilfælde af synkope og krampeanfald. Ved undersøgelse af sådanne patienter bør muligheden for hjerteblok eller lang sinuspause overvejes.</w:t>
      </w:r>
    </w:p>
    <w:p w:rsidR="00303D00" w:rsidRDefault="00303D00" w:rsidP="00303D00">
      <w:pPr>
        <w:ind w:left="851"/>
        <w:rPr>
          <w:sz w:val="24"/>
          <w:szCs w:val="24"/>
        </w:rPr>
      </w:pPr>
    </w:p>
    <w:p w:rsidR="00E54907" w:rsidRDefault="00303D00" w:rsidP="00303D00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er efter markedsføring indberettet om forlænget </w:t>
      </w:r>
      <w:proofErr w:type="spellStart"/>
      <w:r>
        <w:rPr>
          <w:sz w:val="24"/>
          <w:szCs w:val="24"/>
        </w:rPr>
        <w:t>QTc</w:t>
      </w:r>
      <w:proofErr w:type="spellEnd"/>
      <w:r>
        <w:rPr>
          <w:sz w:val="24"/>
          <w:szCs w:val="24"/>
        </w:rPr>
        <w:t xml:space="preserve">-interval og </w:t>
      </w:r>
      <w:proofErr w:type="spellStart"/>
      <w:r>
        <w:rPr>
          <w:sz w:val="24"/>
          <w:szCs w:val="24"/>
        </w:rPr>
        <w:t>torsades</w:t>
      </w:r>
      <w:proofErr w:type="spellEnd"/>
      <w:r>
        <w:rPr>
          <w:sz w:val="24"/>
          <w:szCs w:val="24"/>
        </w:rPr>
        <w:t xml:space="preserve"> de </w:t>
      </w:r>
      <w:proofErr w:type="gramStart"/>
      <w:r>
        <w:rPr>
          <w:sz w:val="24"/>
          <w:szCs w:val="24"/>
        </w:rPr>
        <w:t>pointe</w:t>
      </w:r>
      <w:proofErr w:type="gramEnd"/>
      <w:r>
        <w:rPr>
          <w:sz w:val="24"/>
          <w:szCs w:val="24"/>
        </w:rPr>
        <w:t xml:space="preserve"> (se pkt. 4.5 og 4.8). Der tilrådes forsigtighed hos patienter med eksisterende eller familieanamnese med </w:t>
      </w:r>
      <w:proofErr w:type="spellStart"/>
      <w:r>
        <w:rPr>
          <w:sz w:val="24"/>
          <w:szCs w:val="24"/>
        </w:rPr>
        <w:t>QTc</w:t>
      </w:r>
      <w:proofErr w:type="spellEnd"/>
      <w:r>
        <w:rPr>
          <w:sz w:val="24"/>
          <w:szCs w:val="24"/>
        </w:rPr>
        <w:t xml:space="preserve">-forlængelse, patienter, der behandles med lægemidler, som påvirker </w:t>
      </w:r>
      <w:proofErr w:type="spellStart"/>
      <w:r>
        <w:rPr>
          <w:sz w:val="24"/>
          <w:szCs w:val="24"/>
        </w:rPr>
        <w:t>QTc</w:t>
      </w:r>
      <w:proofErr w:type="spellEnd"/>
      <w:r>
        <w:rPr>
          <w:sz w:val="24"/>
          <w:szCs w:val="24"/>
        </w:rPr>
        <w:t xml:space="preserve">-intervallet, og patienter med relevant eksisterende hjertesygdom (f.eks. </w:t>
      </w:r>
      <w:proofErr w:type="spellStart"/>
      <w:r>
        <w:rPr>
          <w:sz w:val="24"/>
          <w:szCs w:val="24"/>
        </w:rPr>
        <w:t>ukompenseret</w:t>
      </w:r>
      <w:proofErr w:type="spellEnd"/>
      <w:r>
        <w:rPr>
          <w:sz w:val="24"/>
          <w:szCs w:val="24"/>
        </w:rPr>
        <w:t xml:space="preserve"> hjerteinsufficiens, nyligt myokardieinfarkt eller </w:t>
      </w:r>
      <w:proofErr w:type="spellStart"/>
      <w:r>
        <w:rPr>
          <w:sz w:val="24"/>
          <w:szCs w:val="24"/>
        </w:rPr>
        <w:t>bradyarytmi</w:t>
      </w:r>
      <w:proofErr w:type="spellEnd"/>
      <w:r>
        <w:rPr>
          <w:sz w:val="24"/>
          <w:szCs w:val="24"/>
        </w:rPr>
        <w:t>) eller elektrolytforstyrrelser (</w:t>
      </w:r>
      <w:proofErr w:type="spellStart"/>
      <w:r>
        <w:rPr>
          <w:sz w:val="24"/>
          <w:szCs w:val="24"/>
        </w:rPr>
        <w:t>hypokaliæmi</w:t>
      </w:r>
      <w:proofErr w:type="spellEnd"/>
      <w:r>
        <w:rPr>
          <w:sz w:val="24"/>
          <w:szCs w:val="24"/>
        </w:rPr>
        <w:t xml:space="preserve"> eller </w:t>
      </w:r>
      <w:proofErr w:type="spellStart"/>
      <w:r>
        <w:rPr>
          <w:sz w:val="24"/>
          <w:szCs w:val="24"/>
        </w:rPr>
        <w:t>hypomagnesiæmi</w:t>
      </w:r>
      <w:proofErr w:type="spellEnd"/>
      <w:r>
        <w:rPr>
          <w:sz w:val="24"/>
          <w:szCs w:val="24"/>
        </w:rPr>
        <w:t>). Klinisk overvågning (EKG) kan være nødvendig.</w:t>
      </w:r>
    </w:p>
    <w:p w:rsidR="00303D00" w:rsidRPr="00121903" w:rsidRDefault="00303D00" w:rsidP="00303D00">
      <w:pPr>
        <w:ind w:left="851"/>
        <w:rPr>
          <w:sz w:val="24"/>
          <w:szCs w:val="24"/>
        </w:rPr>
      </w:pPr>
    </w:p>
    <w:p w:rsidR="00E54907" w:rsidRPr="00121903" w:rsidRDefault="00E54907" w:rsidP="00E54907">
      <w:pPr>
        <w:ind w:left="851"/>
        <w:rPr>
          <w:sz w:val="24"/>
          <w:szCs w:val="24"/>
          <w:u w:val="single"/>
        </w:rPr>
      </w:pPr>
      <w:proofErr w:type="spellStart"/>
      <w:r w:rsidRPr="00121903">
        <w:rPr>
          <w:sz w:val="24"/>
          <w:szCs w:val="24"/>
          <w:u w:val="single"/>
        </w:rPr>
        <w:t>Gastrointestinale</w:t>
      </w:r>
      <w:proofErr w:type="spellEnd"/>
      <w:r w:rsidRPr="00121903">
        <w:rPr>
          <w:sz w:val="24"/>
          <w:szCs w:val="24"/>
          <w:u w:val="single"/>
        </w:rPr>
        <w:t xml:space="preserve"> forhold</w:t>
      </w:r>
    </w:p>
    <w:p w:rsidR="00E54907" w:rsidRPr="00121903" w:rsidRDefault="00E54907" w:rsidP="00E54907">
      <w:pPr>
        <w:ind w:left="851"/>
        <w:rPr>
          <w:sz w:val="24"/>
          <w:szCs w:val="24"/>
        </w:rPr>
      </w:pPr>
      <w:r w:rsidRPr="00121903">
        <w:rPr>
          <w:sz w:val="24"/>
          <w:szCs w:val="24"/>
        </w:rPr>
        <w:t xml:space="preserve">Patienter med øget risiko for udvikling af </w:t>
      </w:r>
      <w:proofErr w:type="spellStart"/>
      <w:r w:rsidRPr="00121903">
        <w:rPr>
          <w:sz w:val="24"/>
          <w:szCs w:val="24"/>
        </w:rPr>
        <w:t>ulcera</w:t>
      </w:r>
      <w:proofErr w:type="spellEnd"/>
      <w:r w:rsidRPr="00121903">
        <w:rPr>
          <w:sz w:val="24"/>
          <w:szCs w:val="24"/>
        </w:rPr>
        <w:t>, f.eks. patienter med ulcussygdomme i anamnesen, eller patienter, som samtidigt indtager non-</w:t>
      </w:r>
      <w:proofErr w:type="spellStart"/>
      <w:r w:rsidRPr="00121903">
        <w:rPr>
          <w:sz w:val="24"/>
          <w:szCs w:val="24"/>
        </w:rPr>
        <w:t>steroide</w:t>
      </w:r>
      <w:proofErr w:type="spellEnd"/>
      <w:r w:rsidRPr="00121903">
        <w:rPr>
          <w:sz w:val="24"/>
          <w:szCs w:val="24"/>
        </w:rPr>
        <w:t xml:space="preserve"> antiinflammatoriske stoffer (NSAID), bør følges for symptomer. Kliniske studier med </w:t>
      </w:r>
      <w:proofErr w:type="spellStart"/>
      <w:r w:rsidRPr="00121903">
        <w:rPr>
          <w:sz w:val="24"/>
          <w:szCs w:val="24"/>
        </w:rPr>
        <w:t>Donepezil</w:t>
      </w:r>
      <w:proofErr w:type="spellEnd"/>
      <w:r w:rsidRPr="00121903">
        <w:rPr>
          <w:sz w:val="24"/>
          <w:szCs w:val="24"/>
        </w:rPr>
        <w:t xml:space="preserve"> </w:t>
      </w:r>
      <w:r>
        <w:rPr>
          <w:sz w:val="24"/>
          <w:szCs w:val="24"/>
        </w:rPr>
        <w:t>”</w:t>
      </w:r>
      <w:proofErr w:type="spellStart"/>
      <w:r>
        <w:rPr>
          <w:sz w:val="24"/>
          <w:szCs w:val="24"/>
        </w:rPr>
        <w:t>Jubilant</w:t>
      </w:r>
      <w:proofErr w:type="spellEnd"/>
      <w:r>
        <w:rPr>
          <w:sz w:val="24"/>
          <w:szCs w:val="24"/>
        </w:rPr>
        <w:t>”</w:t>
      </w:r>
      <w:r w:rsidRPr="00121903">
        <w:rPr>
          <w:sz w:val="24"/>
          <w:szCs w:val="24"/>
        </w:rPr>
        <w:t xml:space="preserve"> har imidlertid ikke vist stigning i </w:t>
      </w:r>
      <w:proofErr w:type="spellStart"/>
      <w:r w:rsidRPr="00121903">
        <w:rPr>
          <w:sz w:val="24"/>
          <w:szCs w:val="24"/>
        </w:rPr>
        <w:t>incidensen</w:t>
      </w:r>
      <w:proofErr w:type="spellEnd"/>
      <w:r w:rsidRPr="00121903">
        <w:rPr>
          <w:sz w:val="24"/>
          <w:szCs w:val="24"/>
        </w:rPr>
        <w:t xml:space="preserve"> af </w:t>
      </w:r>
      <w:proofErr w:type="spellStart"/>
      <w:r w:rsidRPr="00121903">
        <w:rPr>
          <w:sz w:val="24"/>
          <w:szCs w:val="24"/>
        </w:rPr>
        <w:t>peptiske</w:t>
      </w:r>
      <w:proofErr w:type="spellEnd"/>
      <w:r w:rsidRPr="00121903">
        <w:rPr>
          <w:sz w:val="24"/>
          <w:szCs w:val="24"/>
        </w:rPr>
        <w:t xml:space="preserve"> </w:t>
      </w:r>
      <w:proofErr w:type="spellStart"/>
      <w:r w:rsidRPr="00121903">
        <w:rPr>
          <w:sz w:val="24"/>
          <w:szCs w:val="24"/>
        </w:rPr>
        <w:t>ulcera</w:t>
      </w:r>
      <w:proofErr w:type="spellEnd"/>
      <w:r w:rsidRPr="00121903">
        <w:rPr>
          <w:sz w:val="24"/>
          <w:szCs w:val="24"/>
        </w:rPr>
        <w:t xml:space="preserve"> eller </w:t>
      </w:r>
      <w:proofErr w:type="spellStart"/>
      <w:r w:rsidRPr="00121903">
        <w:rPr>
          <w:sz w:val="24"/>
          <w:szCs w:val="24"/>
        </w:rPr>
        <w:t>gastrointestinal</w:t>
      </w:r>
      <w:proofErr w:type="spellEnd"/>
      <w:r w:rsidRPr="00121903">
        <w:rPr>
          <w:sz w:val="24"/>
          <w:szCs w:val="24"/>
        </w:rPr>
        <w:t xml:space="preserve"> blødning i forhold til placebo.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E54907" w:rsidRPr="00121903" w:rsidRDefault="00E54907" w:rsidP="00E54907">
      <w:pPr>
        <w:ind w:left="851"/>
        <w:rPr>
          <w:sz w:val="24"/>
          <w:szCs w:val="24"/>
          <w:u w:val="single"/>
        </w:rPr>
      </w:pPr>
      <w:r w:rsidRPr="00121903">
        <w:rPr>
          <w:sz w:val="24"/>
          <w:szCs w:val="24"/>
          <w:u w:val="single"/>
        </w:rPr>
        <w:t>Urogenitale forhold</w:t>
      </w:r>
    </w:p>
    <w:p w:rsidR="00E54907" w:rsidRPr="00121903" w:rsidRDefault="00E54907" w:rsidP="00E54907">
      <w:pPr>
        <w:ind w:left="851"/>
        <w:rPr>
          <w:sz w:val="24"/>
          <w:szCs w:val="24"/>
        </w:rPr>
      </w:pPr>
      <w:r w:rsidRPr="00121903">
        <w:rPr>
          <w:sz w:val="24"/>
          <w:szCs w:val="24"/>
        </w:rPr>
        <w:t xml:space="preserve">Skønt det ikke er set i kliniske studier med </w:t>
      </w:r>
      <w:proofErr w:type="spellStart"/>
      <w:r w:rsidRPr="00121903">
        <w:rPr>
          <w:sz w:val="24"/>
          <w:szCs w:val="24"/>
        </w:rPr>
        <w:t>donepezil</w:t>
      </w:r>
      <w:proofErr w:type="spellEnd"/>
      <w:r w:rsidRPr="00121903">
        <w:rPr>
          <w:sz w:val="24"/>
          <w:szCs w:val="24"/>
        </w:rPr>
        <w:t xml:space="preserve">, kan </w:t>
      </w:r>
      <w:proofErr w:type="spellStart"/>
      <w:r w:rsidRPr="00121903">
        <w:rPr>
          <w:sz w:val="24"/>
          <w:szCs w:val="24"/>
        </w:rPr>
        <w:t>cholinomimetika</w:t>
      </w:r>
      <w:proofErr w:type="spellEnd"/>
      <w:r w:rsidRPr="00121903">
        <w:rPr>
          <w:sz w:val="24"/>
          <w:szCs w:val="24"/>
        </w:rPr>
        <w:t xml:space="preserve"> forårsage obstruktion af blæretømning.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E54907" w:rsidRPr="00121903" w:rsidRDefault="00E54907" w:rsidP="00E54907">
      <w:pPr>
        <w:ind w:left="851"/>
        <w:rPr>
          <w:sz w:val="24"/>
          <w:szCs w:val="24"/>
          <w:u w:val="single"/>
        </w:rPr>
      </w:pPr>
      <w:r w:rsidRPr="00121903">
        <w:rPr>
          <w:sz w:val="24"/>
          <w:szCs w:val="24"/>
          <w:u w:val="single"/>
        </w:rPr>
        <w:t>Neurologiske forhold</w:t>
      </w:r>
    </w:p>
    <w:p w:rsidR="00E54907" w:rsidRPr="00121903" w:rsidRDefault="00E54907" w:rsidP="00E54907">
      <w:pPr>
        <w:ind w:left="851"/>
        <w:rPr>
          <w:sz w:val="24"/>
          <w:szCs w:val="24"/>
        </w:rPr>
      </w:pPr>
      <w:r w:rsidRPr="00121903">
        <w:rPr>
          <w:sz w:val="24"/>
          <w:szCs w:val="24"/>
        </w:rPr>
        <w:t xml:space="preserve">Krampeanfald: </w:t>
      </w:r>
      <w:proofErr w:type="spellStart"/>
      <w:r w:rsidRPr="00121903">
        <w:rPr>
          <w:sz w:val="24"/>
          <w:szCs w:val="24"/>
        </w:rPr>
        <w:t>Cholinomimetika</w:t>
      </w:r>
      <w:proofErr w:type="spellEnd"/>
      <w:r w:rsidRPr="00121903">
        <w:rPr>
          <w:sz w:val="24"/>
          <w:szCs w:val="24"/>
        </w:rPr>
        <w:t xml:space="preserve"> </w:t>
      </w:r>
      <w:r w:rsidR="00F61317" w:rsidRPr="00121903">
        <w:rPr>
          <w:sz w:val="24"/>
          <w:szCs w:val="24"/>
        </w:rPr>
        <w:t>menes</w:t>
      </w:r>
      <w:r w:rsidR="00F61317">
        <w:rPr>
          <w:sz w:val="24"/>
          <w:szCs w:val="24"/>
        </w:rPr>
        <w:t xml:space="preserve"> potentielt</w:t>
      </w:r>
      <w:r w:rsidR="00F61317" w:rsidRPr="00121903">
        <w:rPr>
          <w:sz w:val="24"/>
          <w:szCs w:val="24"/>
        </w:rPr>
        <w:t xml:space="preserve"> </w:t>
      </w:r>
      <w:r w:rsidRPr="00121903">
        <w:rPr>
          <w:sz w:val="24"/>
          <w:szCs w:val="24"/>
        </w:rPr>
        <w:t xml:space="preserve">at kunne forårsage generaliserede kramper. Krampeanfald kan imidlertid også være en manifestation af Alzheimers sygdom. </w:t>
      </w:r>
    </w:p>
    <w:p w:rsidR="00E54907" w:rsidRPr="00121903" w:rsidRDefault="00E54907" w:rsidP="00E54907">
      <w:pPr>
        <w:ind w:left="851"/>
        <w:rPr>
          <w:sz w:val="24"/>
          <w:szCs w:val="24"/>
        </w:rPr>
      </w:pPr>
      <w:proofErr w:type="spellStart"/>
      <w:r w:rsidRPr="00121903">
        <w:rPr>
          <w:sz w:val="24"/>
          <w:szCs w:val="24"/>
        </w:rPr>
        <w:t>Cholinomimetika</w:t>
      </w:r>
      <w:proofErr w:type="spellEnd"/>
      <w:r w:rsidRPr="00121903">
        <w:rPr>
          <w:sz w:val="24"/>
          <w:szCs w:val="24"/>
        </w:rPr>
        <w:t xml:space="preserve"> kan have potentiale til at forværre eller inducere ekstrapyramidale symptomer. </w:t>
      </w:r>
    </w:p>
    <w:p w:rsidR="00E54907" w:rsidRDefault="00E54907" w:rsidP="00E54907">
      <w:pPr>
        <w:ind w:left="851" w:hanging="851"/>
        <w:rPr>
          <w:sz w:val="24"/>
          <w:szCs w:val="24"/>
        </w:rPr>
      </w:pPr>
    </w:p>
    <w:p w:rsidR="00E54907" w:rsidRPr="00B10F53" w:rsidRDefault="00E54907" w:rsidP="00E54907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B10F53">
        <w:rPr>
          <w:sz w:val="24"/>
          <w:szCs w:val="24"/>
          <w:u w:val="single"/>
        </w:rPr>
        <w:t xml:space="preserve">Malignt </w:t>
      </w:r>
      <w:proofErr w:type="spellStart"/>
      <w:r w:rsidRPr="00B10F53">
        <w:rPr>
          <w:sz w:val="24"/>
          <w:szCs w:val="24"/>
          <w:u w:val="single"/>
        </w:rPr>
        <w:t>neuroleptikasyndrom</w:t>
      </w:r>
      <w:proofErr w:type="spellEnd"/>
      <w:r w:rsidRPr="00B10F53">
        <w:rPr>
          <w:sz w:val="24"/>
          <w:szCs w:val="24"/>
        </w:rPr>
        <w:t xml:space="preserve">  </w:t>
      </w:r>
    </w:p>
    <w:p w:rsidR="00E54907" w:rsidRDefault="00E54907" w:rsidP="00303D00">
      <w:pPr>
        <w:tabs>
          <w:tab w:val="left" w:pos="851"/>
        </w:tabs>
        <w:ind w:left="851"/>
        <w:rPr>
          <w:sz w:val="24"/>
          <w:szCs w:val="24"/>
        </w:rPr>
      </w:pPr>
      <w:r w:rsidRPr="00B10F53">
        <w:rPr>
          <w:sz w:val="24"/>
          <w:szCs w:val="24"/>
        </w:rPr>
        <w:t xml:space="preserve">Malignt </w:t>
      </w:r>
      <w:proofErr w:type="spellStart"/>
      <w:r w:rsidRPr="00B10F53">
        <w:rPr>
          <w:sz w:val="24"/>
          <w:szCs w:val="24"/>
        </w:rPr>
        <w:t>neuroleptikasyndrom</w:t>
      </w:r>
      <w:proofErr w:type="spellEnd"/>
      <w:r w:rsidRPr="00B10F53">
        <w:rPr>
          <w:sz w:val="24"/>
          <w:szCs w:val="24"/>
        </w:rPr>
        <w:t xml:space="preserve"> er en potentielt livstruende tilstand, der er karakteriseret ved </w:t>
      </w:r>
      <w:proofErr w:type="spellStart"/>
      <w:r w:rsidRPr="00B10F53">
        <w:rPr>
          <w:sz w:val="24"/>
          <w:szCs w:val="24"/>
        </w:rPr>
        <w:t>hypertermi</w:t>
      </w:r>
      <w:proofErr w:type="spellEnd"/>
      <w:r w:rsidRPr="00B10F53">
        <w:rPr>
          <w:sz w:val="24"/>
          <w:szCs w:val="24"/>
        </w:rPr>
        <w:t xml:space="preserve">, muskelrigiditet, autonom ustabilitet, ændret bevidsthedsniveau og forhøjet </w:t>
      </w:r>
      <w:proofErr w:type="spellStart"/>
      <w:r w:rsidRPr="00B10F53">
        <w:rPr>
          <w:sz w:val="24"/>
          <w:szCs w:val="24"/>
        </w:rPr>
        <w:t>serumkreatinfosfokinase</w:t>
      </w:r>
      <w:proofErr w:type="spellEnd"/>
      <w:r w:rsidRPr="00B10F53">
        <w:rPr>
          <w:sz w:val="24"/>
          <w:szCs w:val="24"/>
        </w:rPr>
        <w:t xml:space="preserve">. Yderligere symptomer kan omfatte </w:t>
      </w:r>
      <w:proofErr w:type="spellStart"/>
      <w:r w:rsidRPr="00B10F53">
        <w:rPr>
          <w:sz w:val="24"/>
          <w:szCs w:val="24"/>
        </w:rPr>
        <w:t>myoglobinuri</w:t>
      </w:r>
      <w:proofErr w:type="spellEnd"/>
      <w:r w:rsidRPr="00B10F53">
        <w:rPr>
          <w:sz w:val="24"/>
          <w:szCs w:val="24"/>
        </w:rPr>
        <w:t xml:space="preserve"> (</w:t>
      </w:r>
      <w:proofErr w:type="spellStart"/>
      <w:r w:rsidRPr="00B10F53">
        <w:rPr>
          <w:sz w:val="24"/>
          <w:szCs w:val="24"/>
        </w:rPr>
        <w:t>rabdomyolyse</w:t>
      </w:r>
      <w:proofErr w:type="spellEnd"/>
      <w:r w:rsidRPr="00B10F53">
        <w:rPr>
          <w:sz w:val="24"/>
          <w:szCs w:val="24"/>
        </w:rPr>
        <w:t xml:space="preserve">) og akut nyresvigt. Det er rapporteret at malignt </w:t>
      </w:r>
      <w:proofErr w:type="spellStart"/>
      <w:r w:rsidRPr="00B10F53">
        <w:rPr>
          <w:sz w:val="24"/>
          <w:szCs w:val="24"/>
        </w:rPr>
        <w:t>neuroleptikasyndrom</w:t>
      </w:r>
      <w:proofErr w:type="spellEnd"/>
      <w:r w:rsidRPr="00B10F53">
        <w:rPr>
          <w:sz w:val="24"/>
          <w:szCs w:val="24"/>
        </w:rPr>
        <w:t xml:space="preserve"> forekommer meget sjældent ved behandling med </w:t>
      </w:r>
      <w:proofErr w:type="spellStart"/>
      <w:r w:rsidRPr="00B10F53">
        <w:rPr>
          <w:sz w:val="24"/>
          <w:szCs w:val="24"/>
        </w:rPr>
        <w:t>donepezil</w:t>
      </w:r>
      <w:proofErr w:type="spellEnd"/>
      <w:r w:rsidRPr="00B10F53">
        <w:rPr>
          <w:sz w:val="24"/>
          <w:szCs w:val="24"/>
        </w:rPr>
        <w:t xml:space="preserve"> og især hos patienter i samtidig behandling med antipsykotika. Hvis en patient udvikler tegn og symptomer, som kunne </w:t>
      </w:r>
      <w:r w:rsidRPr="00B10F53">
        <w:rPr>
          <w:sz w:val="24"/>
          <w:szCs w:val="24"/>
        </w:rPr>
        <w:lastRenderedPageBreak/>
        <w:t xml:space="preserve">tyde på malignt </w:t>
      </w:r>
      <w:proofErr w:type="spellStart"/>
      <w:r w:rsidRPr="00B10F53">
        <w:rPr>
          <w:sz w:val="24"/>
          <w:szCs w:val="24"/>
        </w:rPr>
        <w:t>neuroleptikasyndrom</w:t>
      </w:r>
      <w:proofErr w:type="spellEnd"/>
      <w:r w:rsidRPr="00B10F53">
        <w:rPr>
          <w:sz w:val="24"/>
          <w:szCs w:val="24"/>
        </w:rPr>
        <w:t xml:space="preserve">, eller får uforklarlig høj feber uden yderligere kliniske manifestationer af malignt </w:t>
      </w:r>
      <w:proofErr w:type="spellStart"/>
      <w:r w:rsidRPr="00B10F53">
        <w:rPr>
          <w:sz w:val="24"/>
          <w:szCs w:val="24"/>
        </w:rPr>
        <w:t>neuroleptikasyndrom</w:t>
      </w:r>
      <w:proofErr w:type="spellEnd"/>
      <w:r w:rsidRPr="00B10F53">
        <w:rPr>
          <w:sz w:val="24"/>
          <w:szCs w:val="24"/>
        </w:rPr>
        <w:t>, bør behandlingen seponeres.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E54907" w:rsidRPr="00121903" w:rsidRDefault="00E54907" w:rsidP="00E54907">
      <w:pPr>
        <w:ind w:left="851"/>
        <w:rPr>
          <w:sz w:val="24"/>
          <w:szCs w:val="24"/>
          <w:u w:val="single"/>
        </w:rPr>
      </w:pPr>
      <w:proofErr w:type="spellStart"/>
      <w:r w:rsidRPr="00121903">
        <w:rPr>
          <w:sz w:val="24"/>
          <w:szCs w:val="24"/>
          <w:u w:val="single"/>
        </w:rPr>
        <w:t>Pulmonale</w:t>
      </w:r>
      <w:proofErr w:type="spellEnd"/>
      <w:r w:rsidRPr="00121903">
        <w:rPr>
          <w:sz w:val="24"/>
          <w:szCs w:val="24"/>
          <w:u w:val="single"/>
        </w:rPr>
        <w:t xml:space="preserve"> forhold</w:t>
      </w:r>
    </w:p>
    <w:p w:rsidR="00E54907" w:rsidRPr="00121903" w:rsidRDefault="00E54907" w:rsidP="00E54907">
      <w:pPr>
        <w:ind w:left="851"/>
        <w:rPr>
          <w:sz w:val="24"/>
          <w:szCs w:val="24"/>
        </w:rPr>
      </w:pPr>
      <w:proofErr w:type="spellStart"/>
      <w:r w:rsidRPr="00121903">
        <w:rPr>
          <w:sz w:val="24"/>
          <w:szCs w:val="24"/>
        </w:rPr>
        <w:t>Cholinesterasehæmmere</w:t>
      </w:r>
      <w:proofErr w:type="spellEnd"/>
      <w:r w:rsidRPr="00121903">
        <w:rPr>
          <w:sz w:val="24"/>
          <w:szCs w:val="24"/>
        </w:rPr>
        <w:t xml:space="preserve"> bør på grund af deres </w:t>
      </w:r>
      <w:proofErr w:type="spellStart"/>
      <w:r w:rsidRPr="00121903">
        <w:rPr>
          <w:sz w:val="24"/>
          <w:szCs w:val="24"/>
        </w:rPr>
        <w:t>cholinomimetiske</w:t>
      </w:r>
      <w:proofErr w:type="spellEnd"/>
      <w:r w:rsidRPr="00121903">
        <w:rPr>
          <w:sz w:val="24"/>
          <w:szCs w:val="24"/>
        </w:rPr>
        <w:t xml:space="preserve"> virkning gives med forsigtighed til patienter med astma eller obstruktiv lungesygdom i anamnesen.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E54907" w:rsidRPr="00121903" w:rsidRDefault="00E54907" w:rsidP="00E54907">
      <w:pPr>
        <w:ind w:left="851"/>
        <w:rPr>
          <w:sz w:val="24"/>
          <w:szCs w:val="24"/>
        </w:rPr>
      </w:pPr>
      <w:r w:rsidRPr="00121903">
        <w:rPr>
          <w:sz w:val="24"/>
          <w:szCs w:val="24"/>
        </w:rPr>
        <w:t xml:space="preserve">Samtidig administration af </w:t>
      </w:r>
      <w:proofErr w:type="spellStart"/>
      <w:r w:rsidRPr="00121903">
        <w:rPr>
          <w:sz w:val="24"/>
          <w:szCs w:val="24"/>
        </w:rPr>
        <w:t>Donepezil</w:t>
      </w:r>
      <w:proofErr w:type="spellEnd"/>
      <w:r w:rsidRPr="00121903">
        <w:rPr>
          <w:sz w:val="24"/>
          <w:szCs w:val="24"/>
        </w:rPr>
        <w:t xml:space="preserve"> </w:t>
      </w:r>
      <w:r>
        <w:rPr>
          <w:sz w:val="24"/>
          <w:szCs w:val="24"/>
        </w:rPr>
        <w:t>”</w:t>
      </w:r>
      <w:proofErr w:type="spellStart"/>
      <w:r>
        <w:rPr>
          <w:sz w:val="24"/>
          <w:szCs w:val="24"/>
        </w:rPr>
        <w:t>Jubilant</w:t>
      </w:r>
      <w:proofErr w:type="spellEnd"/>
      <w:r>
        <w:rPr>
          <w:sz w:val="24"/>
          <w:szCs w:val="24"/>
        </w:rPr>
        <w:t>”</w:t>
      </w:r>
      <w:r w:rsidRPr="00121903">
        <w:rPr>
          <w:sz w:val="24"/>
          <w:szCs w:val="24"/>
        </w:rPr>
        <w:t xml:space="preserve"> og andre </w:t>
      </w:r>
      <w:proofErr w:type="spellStart"/>
      <w:r w:rsidRPr="00121903">
        <w:rPr>
          <w:sz w:val="24"/>
          <w:szCs w:val="24"/>
        </w:rPr>
        <w:t>acetylcholinesterasehæmmere</w:t>
      </w:r>
      <w:proofErr w:type="spellEnd"/>
      <w:r w:rsidRPr="00121903">
        <w:rPr>
          <w:sz w:val="24"/>
          <w:szCs w:val="24"/>
        </w:rPr>
        <w:t xml:space="preserve">, agonister eller antagonister af det </w:t>
      </w:r>
      <w:proofErr w:type="spellStart"/>
      <w:r w:rsidRPr="00121903">
        <w:rPr>
          <w:sz w:val="24"/>
          <w:szCs w:val="24"/>
        </w:rPr>
        <w:t>kolinerge</w:t>
      </w:r>
      <w:proofErr w:type="spellEnd"/>
      <w:r w:rsidRPr="00121903">
        <w:rPr>
          <w:sz w:val="24"/>
          <w:szCs w:val="24"/>
        </w:rPr>
        <w:t xml:space="preserve"> system bør undgås.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E54907" w:rsidRPr="00121903" w:rsidRDefault="00E54907" w:rsidP="00E54907">
      <w:pPr>
        <w:ind w:left="851"/>
        <w:rPr>
          <w:sz w:val="24"/>
          <w:szCs w:val="24"/>
          <w:u w:val="single"/>
        </w:rPr>
      </w:pPr>
      <w:r w:rsidRPr="00121903">
        <w:rPr>
          <w:sz w:val="24"/>
          <w:szCs w:val="24"/>
          <w:u w:val="single"/>
        </w:rPr>
        <w:t>Svært nedsat leverfunktion</w:t>
      </w:r>
    </w:p>
    <w:p w:rsidR="00E54907" w:rsidRPr="00121903" w:rsidRDefault="00E54907" w:rsidP="00E54907">
      <w:pPr>
        <w:ind w:left="851"/>
        <w:rPr>
          <w:sz w:val="24"/>
          <w:szCs w:val="24"/>
        </w:rPr>
      </w:pPr>
      <w:r w:rsidRPr="00121903">
        <w:rPr>
          <w:sz w:val="24"/>
          <w:szCs w:val="24"/>
        </w:rPr>
        <w:t>Der foreligger ingen data på patienter med svært nedsat leverfunktion.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E54907" w:rsidRPr="00F9135C" w:rsidRDefault="00E54907" w:rsidP="00E54907">
      <w:pPr>
        <w:ind w:left="851"/>
        <w:rPr>
          <w:sz w:val="24"/>
          <w:szCs w:val="24"/>
          <w:u w:val="single"/>
        </w:rPr>
      </w:pPr>
      <w:r w:rsidRPr="00F9135C">
        <w:rPr>
          <w:sz w:val="24"/>
          <w:szCs w:val="24"/>
          <w:u w:val="single"/>
        </w:rPr>
        <w:t xml:space="preserve">Mortalitet i kliniske studier af </w:t>
      </w:r>
      <w:proofErr w:type="spellStart"/>
      <w:r w:rsidRPr="00F9135C">
        <w:rPr>
          <w:sz w:val="24"/>
          <w:szCs w:val="24"/>
          <w:u w:val="single"/>
        </w:rPr>
        <w:t>vaskulær</w:t>
      </w:r>
      <w:proofErr w:type="spellEnd"/>
      <w:r w:rsidRPr="00F9135C">
        <w:rPr>
          <w:sz w:val="24"/>
          <w:szCs w:val="24"/>
          <w:u w:val="single"/>
        </w:rPr>
        <w:t xml:space="preserve"> demens </w:t>
      </w:r>
    </w:p>
    <w:p w:rsidR="00E54907" w:rsidRPr="00F9135C" w:rsidRDefault="00E54907" w:rsidP="00E54907">
      <w:pPr>
        <w:tabs>
          <w:tab w:val="left" w:pos="851"/>
        </w:tabs>
        <w:ind w:left="851"/>
        <w:rPr>
          <w:sz w:val="24"/>
          <w:szCs w:val="24"/>
        </w:rPr>
      </w:pPr>
      <w:r w:rsidRPr="00F9135C">
        <w:rPr>
          <w:sz w:val="24"/>
          <w:szCs w:val="24"/>
        </w:rPr>
        <w:t xml:space="preserve">3 kliniske studier af en varighed på 6 måneder blev udført på personer, der opfyldte NINDS-AIREN-kriterierne for sandsynlig eller mulig </w:t>
      </w:r>
      <w:proofErr w:type="spellStart"/>
      <w:r w:rsidRPr="00F9135C">
        <w:rPr>
          <w:sz w:val="24"/>
          <w:szCs w:val="24"/>
        </w:rPr>
        <w:t>vaskulær</w:t>
      </w:r>
      <w:proofErr w:type="spellEnd"/>
      <w:r w:rsidRPr="00F9135C">
        <w:rPr>
          <w:sz w:val="24"/>
          <w:szCs w:val="24"/>
        </w:rPr>
        <w:t xml:space="preserve"> demens (</w:t>
      </w:r>
      <w:proofErr w:type="spellStart"/>
      <w:r w:rsidRPr="00F9135C">
        <w:rPr>
          <w:sz w:val="24"/>
          <w:szCs w:val="24"/>
        </w:rPr>
        <w:t>VaD</w:t>
      </w:r>
      <w:proofErr w:type="spellEnd"/>
      <w:r w:rsidRPr="00F9135C">
        <w:rPr>
          <w:sz w:val="24"/>
          <w:szCs w:val="24"/>
        </w:rPr>
        <w:t xml:space="preserve">). NINDS-AIREN-kriterierne er designet til at identificere patienter, hvis demens tilsyneladende udelukkende har </w:t>
      </w:r>
      <w:proofErr w:type="spellStart"/>
      <w:r w:rsidRPr="00F9135C">
        <w:rPr>
          <w:sz w:val="24"/>
          <w:szCs w:val="24"/>
        </w:rPr>
        <w:t>vaskulære</w:t>
      </w:r>
      <w:proofErr w:type="spellEnd"/>
      <w:r w:rsidRPr="00F9135C">
        <w:rPr>
          <w:sz w:val="24"/>
          <w:szCs w:val="24"/>
        </w:rPr>
        <w:t xml:space="preserve"> årsager og til at udelukke patienter med Alzheimers demens. I det første studie var mortalitetsraten 2/198 (1,0%) ved behandling med 5 mg </w:t>
      </w:r>
      <w:proofErr w:type="spellStart"/>
      <w:r w:rsidRPr="00F9135C">
        <w:rPr>
          <w:sz w:val="24"/>
          <w:szCs w:val="24"/>
        </w:rPr>
        <w:t>donepezilhydrochlorid</w:t>
      </w:r>
      <w:proofErr w:type="spellEnd"/>
      <w:r w:rsidRPr="00F9135C">
        <w:rPr>
          <w:sz w:val="24"/>
          <w:szCs w:val="24"/>
        </w:rPr>
        <w:t xml:space="preserve">, 5/206 (2,4%) ved behandling med 10 mg </w:t>
      </w:r>
      <w:proofErr w:type="spellStart"/>
      <w:r w:rsidRPr="00F9135C">
        <w:rPr>
          <w:sz w:val="24"/>
          <w:szCs w:val="24"/>
        </w:rPr>
        <w:t>donepezilhydrochlorid</w:t>
      </w:r>
      <w:proofErr w:type="spellEnd"/>
      <w:r w:rsidRPr="00F9135C">
        <w:rPr>
          <w:sz w:val="24"/>
          <w:szCs w:val="24"/>
        </w:rPr>
        <w:t xml:space="preserve"> og 7/199 (3,5%) ved placebobehandling. I det andet studie var mortalitetsraten 4/208 (1,9%) ved behandling med 5 mg </w:t>
      </w:r>
      <w:proofErr w:type="spellStart"/>
      <w:r w:rsidRPr="00F9135C">
        <w:rPr>
          <w:sz w:val="24"/>
          <w:szCs w:val="24"/>
        </w:rPr>
        <w:t>donepezilhydrochlorid</w:t>
      </w:r>
      <w:proofErr w:type="spellEnd"/>
      <w:r w:rsidRPr="00F9135C">
        <w:rPr>
          <w:sz w:val="24"/>
          <w:szCs w:val="24"/>
        </w:rPr>
        <w:t xml:space="preserve">, 3/215 (1,4%) ved behandling med 10 mg </w:t>
      </w:r>
      <w:proofErr w:type="spellStart"/>
      <w:r w:rsidRPr="00F9135C">
        <w:rPr>
          <w:sz w:val="24"/>
          <w:szCs w:val="24"/>
        </w:rPr>
        <w:t>donepezilhydrochlorid</w:t>
      </w:r>
      <w:proofErr w:type="spellEnd"/>
      <w:r w:rsidRPr="00F9135C">
        <w:rPr>
          <w:sz w:val="24"/>
          <w:szCs w:val="24"/>
        </w:rPr>
        <w:t xml:space="preserve"> og 1/193 (0,5%) ved placebobehandling. I det tredje studie var mortalitetsraten 11/648 (1,7%) ved behandling med 5 mg </w:t>
      </w:r>
      <w:proofErr w:type="spellStart"/>
      <w:r w:rsidRPr="00F9135C">
        <w:rPr>
          <w:sz w:val="24"/>
          <w:szCs w:val="24"/>
        </w:rPr>
        <w:t>donepezilhydrochlorid</w:t>
      </w:r>
      <w:proofErr w:type="spellEnd"/>
      <w:r w:rsidRPr="00F9135C">
        <w:rPr>
          <w:sz w:val="24"/>
          <w:szCs w:val="24"/>
        </w:rPr>
        <w:t xml:space="preserve"> og 0/326 (0%) ved placebobehandling. Den samlede mortalitetsrate for </w:t>
      </w:r>
      <w:proofErr w:type="spellStart"/>
      <w:r w:rsidRPr="00F9135C">
        <w:rPr>
          <w:sz w:val="24"/>
          <w:szCs w:val="24"/>
        </w:rPr>
        <w:t>donepezilhydrochlorid</w:t>
      </w:r>
      <w:proofErr w:type="spellEnd"/>
      <w:r w:rsidRPr="00F9135C">
        <w:rPr>
          <w:sz w:val="24"/>
          <w:szCs w:val="24"/>
        </w:rPr>
        <w:t xml:space="preserve">-grupperne i de 3 studier (1,7%) er numerisk højere end i placebogrupperne (1,1%), men forskellen er dog ikke statistisk signifikant. Størstedelen af dødsfaldene hos patienter i behandling med enten </w:t>
      </w:r>
      <w:proofErr w:type="spellStart"/>
      <w:r w:rsidRPr="00F9135C">
        <w:rPr>
          <w:sz w:val="24"/>
          <w:szCs w:val="24"/>
        </w:rPr>
        <w:t>donepezilhydrochlorid</w:t>
      </w:r>
      <w:proofErr w:type="spellEnd"/>
      <w:r w:rsidRPr="00F9135C">
        <w:rPr>
          <w:sz w:val="24"/>
          <w:szCs w:val="24"/>
        </w:rPr>
        <w:t xml:space="preserve"> eller placebo skyldes tilsyneladende adskillige </w:t>
      </w:r>
      <w:proofErr w:type="spellStart"/>
      <w:r w:rsidRPr="00F9135C">
        <w:rPr>
          <w:sz w:val="24"/>
          <w:szCs w:val="24"/>
        </w:rPr>
        <w:t>vaskulært</w:t>
      </w:r>
      <w:proofErr w:type="spellEnd"/>
      <w:r w:rsidRPr="00F9135C">
        <w:rPr>
          <w:sz w:val="24"/>
          <w:szCs w:val="24"/>
        </w:rPr>
        <w:t xml:space="preserve"> relaterede årsager, hvilket kunne forventes hos denne ældre population med underliggende </w:t>
      </w:r>
      <w:proofErr w:type="spellStart"/>
      <w:r w:rsidRPr="00F9135C">
        <w:rPr>
          <w:sz w:val="24"/>
          <w:szCs w:val="24"/>
        </w:rPr>
        <w:t>vaskulær</w:t>
      </w:r>
      <w:proofErr w:type="spellEnd"/>
      <w:r w:rsidRPr="00F9135C">
        <w:rPr>
          <w:sz w:val="24"/>
          <w:szCs w:val="24"/>
        </w:rPr>
        <w:t xml:space="preserve"> sygdom. En analyse af alle alvorlige nonfatale og fatale </w:t>
      </w:r>
      <w:proofErr w:type="spellStart"/>
      <w:r w:rsidRPr="00F9135C">
        <w:rPr>
          <w:sz w:val="24"/>
          <w:szCs w:val="24"/>
        </w:rPr>
        <w:t>vaskulære</w:t>
      </w:r>
      <w:proofErr w:type="spellEnd"/>
      <w:r w:rsidRPr="00F9135C">
        <w:rPr>
          <w:sz w:val="24"/>
          <w:szCs w:val="24"/>
        </w:rPr>
        <w:t xml:space="preserve"> hændelser viser ingen forskelle i forekomsten mellem gruppen, der fik behandling med </w:t>
      </w:r>
      <w:proofErr w:type="spellStart"/>
      <w:r w:rsidRPr="00F9135C">
        <w:rPr>
          <w:sz w:val="24"/>
          <w:szCs w:val="24"/>
        </w:rPr>
        <w:t>donepezilhydrochlorid</w:t>
      </w:r>
      <w:proofErr w:type="spellEnd"/>
      <w:r w:rsidRPr="00F9135C">
        <w:rPr>
          <w:sz w:val="24"/>
          <w:szCs w:val="24"/>
        </w:rPr>
        <w:t xml:space="preserve"> og placebogruppen. </w:t>
      </w:r>
    </w:p>
    <w:p w:rsidR="00E54907" w:rsidRPr="00F9135C" w:rsidRDefault="00E54907" w:rsidP="00E54907">
      <w:pPr>
        <w:ind w:left="851" w:hanging="851"/>
        <w:rPr>
          <w:sz w:val="24"/>
          <w:szCs w:val="24"/>
        </w:rPr>
      </w:pPr>
    </w:p>
    <w:p w:rsidR="00E54907" w:rsidRPr="00F9135C" w:rsidRDefault="00E54907" w:rsidP="00E54907">
      <w:pPr>
        <w:ind w:left="851"/>
        <w:rPr>
          <w:sz w:val="24"/>
          <w:szCs w:val="24"/>
        </w:rPr>
      </w:pPr>
      <w:r w:rsidRPr="00F9135C">
        <w:rPr>
          <w:sz w:val="24"/>
          <w:szCs w:val="24"/>
        </w:rPr>
        <w:t xml:space="preserve">I </w:t>
      </w:r>
      <w:proofErr w:type="spellStart"/>
      <w:r w:rsidRPr="00F9135C">
        <w:rPr>
          <w:sz w:val="24"/>
          <w:szCs w:val="24"/>
        </w:rPr>
        <w:t>poolede</w:t>
      </w:r>
      <w:proofErr w:type="spellEnd"/>
      <w:r w:rsidRPr="00F9135C">
        <w:rPr>
          <w:sz w:val="24"/>
          <w:szCs w:val="24"/>
        </w:rPr>
        <w:t xml:space="preserve"> Alzheimers demens-studier (n=4146) samt når disse studier blev </w:t>
      </w:r>
      <w:proofErr w:type="spellStart"/>
      <w:r w:rsidRPr="00F9135C">
        <w:rPr>
          <w:sz w:val="24"/>
          <w:szCs w:val="24"/>
        </w:rPr>
        <w:t>poolet</w:t>
      </w:r>
      <w:proofErr w:type="spellEnd"/>
      <w:r w:rsidRPr="00F9135C">
        <w:rPr>
          <w:sz w:val="24"/>
          <w:szCs w:val="24"/>
        </w:rPr>
        <w:t xml:space="preserve"> med andre demens-studier, herunder </w:t>
      </w:r>
      <w:proofErr w:type="spellStart"/>
      <w:r w:rsidRPr="00F9135C">
        <w:rPr>
          <w:sz w:val="24"/>
          <w:szCs w:val="24"/>
        </w:rPr>
        <w:t>vaskulær</w:t>
      </w:r>
      <w:proofErr w:type="spellEnd"/>
      <w:r w:rsidRPr="00F9135C">
        <w:rPr>
          <w:sz w:val="24"/>
          <w:szCs w:val="24"/>
        </w:rPr>
        <w:t xml:space="preserve"> demens-studierne (n=6888), oversteg mortalitetsraten i placebogrupperne numerisk mortalitetsraten i </w:t>
      </w:r>
      <w:proofErr w:type="spellStart"/>
      <w:r w:rsidRPr="00F9135C">
        <w:rPr>
          <w:sz w:val="24"/>
          <w:szCs w:val="24"/>
        </w:rPr>
        <w:t>donepezilhydrochlorid</w:t>
      </w:r>
      <w:proofErr w:type="spellEnd"/>
      <w:r w:rsidRPr="00F9135C">
        <w:rPr>
          <w:sz w:val="24"/>
          <w:szCs w:val="24"/>
        </w:rPr>
        <w:t>-grupperne.</w:t>
      </w:r>
    </w:p>
    <w:p w:rsidR="00E54907" w:rsidRPr="00F9135C" w:rsidRDefault="00E54907" w:rsidP="00E54907">
      <w:pPr>
        <w:ind w:left="851"/>
        <w:rPr>
          <w:sz w:val="24"/>
          <w:szCs w:val="24"/>
        </w:rPr>
      </w:pPr>
    </w:p>
    <w:p w:rsidR="00E54907" w:rsidRPr="00F9135C" w:rsidRDefault="00E54907" w:rsidP="00E54907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F9135C">
        <w:rPr>
          <w:sz w:val="24"/>
          <w:szCs w:val="24"/>
          <w:u w:val="single"/>
        </w:rPr>
        <w:t xml:space="preserve">Dette produkt indeholder </w:t>
      </w:r>
      <w:proofErr w:type="spellStart"/>
      <w:r w:rsidRPr="00F9135C">
        <w:rPr>
          <w:sz w:val="24"/>
          <w:szCs w:val="24"/>
          <w:u w:val="single"/>
        </w:rPr>
        <w:t>lactose</w:t>
      </w:r>
      <w:proofErr w:type="spellEnd"/>
      <w:r w:rsidRPr="00F9135C">
        <w:rPr>
          <w:sz w:val="24"/>
          <w:szCs w:val="24"/>
          <w:u w:val="single"/>
        </w:rPr>
        <w:t>:</w:t>
      </w:r>
    </w:p>
    <w:p w:rsidR="00E54907" w:rsidRPr="00F9135C" w:rsidRDefault="00E54907" w:rsidP="00E54907">
      <w:pPr>
        <w:tabs>
          <w:tab w:val="left" w:pos="851"/>
        </w:tabs>
        <w:ind w:left="851"/>
        <w:rPr>
          <w:sz w:val="24"/>
          <w:szCs w:val="24"/>
        </w:rPr>
      </w:pPr>
      <w:r w:rsidRPr="00F9135C">
        <w:rPr>
          <w:sz w:val="24"/>
          <w:szCs w:val="24"/>
        </w:rPr>
        <w:t xml:space="preserve">Denne medicin bør ikke anvendes til patienter med arvelig </w:t>
      </w:r>
      <w:proofErr w:type="spellStart"/>
      <w:r w:rsidRPr="00F9135C">
        <w:rPr>
          <w:sz w:val="24"/>
          <w:szCs w:val="24"/>
        </w:rPr>
        <w:t>galactoseintolerans</w:t>
      </w:r>
      <w:proofErr w:type="spellEnd"/>
      <w:r w:rsidRPr="00F9135C">
        <w:rPr>
          <w:sz w:val="24"/>
          <w:szCs w:val="24"/>
        </w:rPr>
        <w:t xml:space="preserve">, en særlig form af hereditær </w:t>
      </w:r>
      <w:proofErr w:type="spellStart"/>
      <w:r w:rsidRPr="00F9135C">
        <w:rPr>
          <w:sz w:val="24"/>
          <w:szCs w:val="24"/>
        </w:rPr>
        <w:t>lactasemangel</w:t>
      </w:r>
      <w:proofErr w:type="spellEnd"/>
      <w:r w:rsidRPr="00F9135C">
        <w:rPr>
          <w:sz w:val="24"/>
          <w:szCs w:val="24"/>
        </w:rPr>
        <w:t xml:space="preserve"> (Lapp </w:t>
      </w:r>
      <w:proofErr w:type="spellStart"/>
      <w:r w:rsidRPr="00F9135C">
        <w:rPr>
          <w:sz w:val="24"/>
          <w:szCs w:val="24"/>
        </w:rPr>
        <w:t>Lactase</w:t>
      </w:r>
      <w:proofErr w:type="spellEnd"/>
      <w:r w:rsidRPr="00F9135C">
        <w:rPr>
          <w:sz w:val="24"/>
          <w:szCs w:val="24"/>
        </w:rPr>
        <w:t xml:space="preserve"> </w:t>
      </w:r>
      <w:proofErr w:type="spellStart"/>
      <w:r w:rsidRPr="00F9135C">
        <w:rPr>
          <w:sz w:val="24"/>
          <w:szCs w:val="24"/>
        </w:rPr>
        <w:t>deficiency</w:t>
      </w:r>
      <w:proofErr w:type="spellEnd"/>
      <w:r w:rsidRPr="00F9135C">
        <w:rPr>
          <w:sz w:val="24"/>
          <w:szCs w:val="24"/>
        </w:rPr>
        <w:t xml:space="preserve">) eller </w:t>
      </w:r>
      <w:proofErr w:type="spellStart"/>
      <w:r w:rsidRPr="00F9135C">
        <w:rPr>
          <w:sz w:val="24"/>
          <w:szCs w:val="24"/>
        </w:rPr>
        <w:t>glucose</w:t>
      </w:r>
      <w:proofErr w:type="spellEnd"/>
      <w:r w:rsidRPr="00F9135C">
        <w:rPr>
          <w:sz w:val="24"/>
          <w:szCs w:val="24"/>
        </w:rPr>
        <w:t>/</w:t>
      </w:r>
      <w:proofErr w:type="spellStart"/>
      <w:r w:rsidRPr="00F9135C">
        <w:rPr>
          <w:sz w:val="24"/>
          <w:szCs w:val="24"/>
        </w:rPr>
        <w:t>galactosemalabsorption</w:t>
      </w:r>
      <w:proofErr w:type="spellEnd"/>
      <w:r w:rsidRPr="00F9135C">
        <w:rPr>
          <w:sz w:val="24"/>
          <w:szCs w:val="24"/>
        </w:rPr>
        <w:t>.</w:t>
      </w:r>
    </w:p>
    <w:p w:rsidR="00E54907" w:rsidRPr="00F9135C" w:rsidRDefault="00E54907" w:rsidP="00E54907">
      <w:pPr>
        <w:ind w:left="851" w:hanging="851"/>
        <w:rPr>
          <w:sz w:val="24"/>
          <w:szCs w:val="24"/>
        </w:rPr>
      </w:pPr>
    </w:p>
    <w:p w:rsidR="00E54907" w:rsidRPr="00121903" w:rsidRDefault="00E54907" w:rsidP="00E54907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121903">
        <w:rPr>
          <w:b/>
          <w:sz w:val="24"/>
          <w:szCs w:val="24"/>
        </w:rPr>
        <w:t>Interaktion med andre lægemidler og andre former for interaktion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  <w:r w:rsidRPr="00121903">
        <w:rPr>
          <w:sz w:val="24"/>
          <w:szCs w:val="24"/>
        </w:rPr>
        <w:tab/>
      </w:r>
      <w:proofErr w:type="spellStart"/>
      <w:r w:rsidRPr="00121903">
        <w:rPr>
          <w:sz w:val="24"/>
          <w:szCs w:val="24"/>
        </w:rPr>
        <w:t>Donepezilhydrochlorid</w:t>
      </w:r>
      <w:proofErr w:type="spellEnd"/>
      <w:r w:rsidRPr="00121903">
        <w:rPr>
          <w:sz w:val="24"/>
          <w:szCs w:val="24"/>
        </w:rPr>
        <w:t xml:space="preserve"> og/eller dets metabolitter hæmmer ikke </w:t>
      </w:r>
      <w:proofErr w:type="spellStart"/>
      <w:r w:rsidRPr="00121903">
        <w:rPr>
          <w:sz w:val="24"/>
          <w:szCs w:val="24"/>
        </w:rPr>
        <w:t>metaboliseringen</w:t>
      </w:r>
      <w:proofErr w:type="spellEnd"/>
      <w:r w:rsidRPr="00121903">
        <w:rPr>
          <w:sz w:val="24"/>
          <w:szCs w:val="24"/>
        </w:rPr>
        <w:t xml:space="preserve"> af </w:t>
      </w:r>
      <w:proofErr w:type="spellStart"/>
      <w:r w:rsidRPr="00121903">
        <w:rPr>
          <w:sz w:val="24"/>
          <w:szCs w:val="24"/>
        </w:rPr>
        <w:t>theofyllin</w:t>
      </w:r>
      <w:proofErr w:type="spellEnd"/>
      <w:r w:rsidRPr="00121903">
        <w:rPr>
          <w:sz w:val="24"/>
          <w:szCs w:val="24"/>
        </w:rPr>
        <w:t xml:space="preserve">, </w:t>
      </w:r>
      <w:proofErr w:type="spellStart"/>
      <w:r w:rsidRPr="00121903">
        <w:rPr>
          <w:sz w:val="24"/>
          <w:szCs w:val="24"/>
        </w:rPr>
        <w:t>warfarin</w:t>
      </w:r>
      <w:proofErr w:type="spellEnd"/>
      <w:r w:rsidRPr="00121903">
        <w:rPr>
          <w:sz w:val="24"/>
          <w:szCs w:val="24"/>
        </w:rPr>
        <w:t xml:space="preserve">, </w:t>
      </w:r>
      <w:proofErr w:type="spellStart"/>
      <w:r w:rsidRPr="00121903">
        <w:rPr>
          <w:sz w:val="24"/>
          <w:szCs w:val="24"/>
        </w:rPr>
        <w:t>cimetidin</w:t>
      </w:r>
      <w:proofErr w:type="spellEnd"/>
      <w:r w:rsidRPr="00121903">
        <w:rPr>
          <w:sz w:val="24"/>
          <w:szCs w:val="24"/>
        </w:rPr>
        <w:t xml:space="preserve"> eller </w:t>
      </w:r>
      <w:proofErr w:type="spellStart"/>
      <w:r w:rsidRPr="00121903">
        <w:rPr>
          <w:sz w:val="24"/>
          <w:szCs w:val="24"/>
        </w:rPr>
        <w:t>digoxin</w:t>
      </w:r>
      <w:proofErr w:type="spellEnd"/>
      <w:r w:rsidRPr="00121903">
        <w:rPr>
          <w:sz w:val="24"/>
          <w:szCs w:val="24"/>
        </w:rPr>
        <w:t xml:space="preserve"> hos mennesker. </w:t>
      </w:r>
      <w:proofErr w:type="spellStart"/>
      <w:r w:rsidRPr="00121903">
        <w:rPr>
          <w:sz w:val="24"/>
          <w:szCs w:val="24"/>
        </w:rPr>
        <w:t>Metaboliseringen</w:t>
      </w:r>
      <w:proofErr w:type="spellEnd"/>
      <w:r w:rsidRPr="00121903">
        <w:rPr>
          <w:sz w:val="24"/>
          <w:szCs w:val="24"/>
        </w:rPr>
        <w:t xml:space="preserve"> af </w:t>
      </w:r>
      <w:proofErr w:type="spellStart"/>
      <w:r w:rsidRPr="00121903">
        <w:rPr>
          <w:sz w:val="24"/>
          <w:szCs w:val="24"/>
        </w:rPr>
        <w:t>donepezilhydrochlorid</w:t>
      </w:r>
      <w:proofErr w:type="spellEnd"/>
      <w:r w:rsidRPr="00121903">
        <w:rPr>
          <w:sz w:val="24"/>
          <w:szCs w:val="24"/>
        </w:rPr>
        <w:t xml:space="preserve"> påvirkes ikke af samtidig administration af </w:t>
      </w:r>
      <w:proofErr w:type="spellStart"/>
      <w:r w:rsidRPr="00121903">
        <w:rPr>
          <w:sz w:val="24"/>
          <w:szCs w:val="24"/>
        </w:rPr>
        <w:t>digoxin</w:t>
      </w:r>
      <w:proofErr w:type="spellEnd"/>
      <w:r w:rsidRPr="00121903">
        <w:rPr>
          <w:sz w:val="24"/>
          <w:szCs w:val="24"/>
        </w:rPr>
        <w:t xml:space="preserve"> eller </w:t>
      </w:r>
      <w:proofErr w:type="spellStart"/>
      <w:r w:rsidRPr="00121903">
        <w:rPr>
          <w:sz w:val="24"/>
          <w:szCs w:val="24"/>
        </w:rPr>
        <w:t>cimetidin</w:t>
      </w:r>
      <w:proofErr w:type="spellEnd"/>
      <w:r w:rsidRPr="00121903">
        <w:rPr>
          <w:sz w:val="24"/>
          <w:szCs w:val="24"/>
        </w:rPr>
        <w:t xml:space="preserve">. </w:t>
      </w:r>
    </w:p>
    <w:p w:rsidR="00E54907" w:rsidRPr="00121903" w:rsidRDefault="00E54907" w:rsidP="00E54907">
      <w:pPr>
        <w:ind w:left="851"/>
        <w:rPr>
          <w:sz w:val="24"/>
          <w:szCs w:val="24"/>
        </w:rPr>
      </w:pPr>
      <w:r w:rsidRPr="00121903">
        <w:rPr>
          <w:i/>
          <w:sz w:val="24"/>
          <w:szCs w:val="24"/>
        </w:rPr>
        <w:t>In-</w:t>
      </w:r>
      <w:proofErr w:type="spellStart"/>
      <w:r w:rsidRPr="00121903">
        <w:rPr>
          <w:i/>
          <w:sz w:val="24"/>
          <w:szCs w:val="24"/>
        </w:rPr>
        <w:t>vitro</w:t>
      </w:r>
      <w:proofErr w:type="spellEnd"/>
      <w:r w:rsidRPr="00121903">
        <w:rPr>
          <w:i/>
          <w:sz w:val="24"/>
          <w:szCs w:val="24"/>
        </w:rPr>
        <w:t xml:space="preserve"> </w:t>
      </w:r>
      <w:r w:rsidRPr="00121903">
        <w:rPr>
          <w:sz w:val="24"/>
          <w:szCs w:val="24"/>
        </w:rPr>
        <w:t xml:space="preserve">undersøgelser har vist, at </w:t>
      </w:r>
      <w:proofErr w:type="spellStart"/>
      <w:r w:rsidRPr="00121903">
        <w:rPr>
          <w:sz w:val="24"/>
          <w:szCs w:val="24"/>
        </w:rPr>
        <w:t>cytokrom</w:t>
      </w:r>
      <w:proofErr w:type="spellEnd"/>
      <w:r w:rsidRPr="00121903">
        <w:rPr>
          <w:sz w:val="24"/>
          <w:szCs w:val="24"/>
        </w:rPr>
        <w:t xml:space="preserve"> P450 </w:t>
      </w:r>
      <w:proofErr w:type="spellStart"/>
      <w:r w:rsidRPr="00121903">
        <w:rPr>
          <w:sz w:val="24"/>
          <w:szCs w:val="24"/>
        </w:rPr>
        <w:t>isoenzymerne</w:t>
      </w:r>
      <w:proofErr w:type="spellEnd"/>
      <w:r w:rsidRPr="00121903">
        <w:rPr>
          <w:sz w:val="24"/>
          <w:szCs w:val="24"/>
        </w:rPr>
        <w:t xml:space="preserve"> 3A4 og i mindre grad 2D6 medvirker til </w:t>
      </w:r>
      <w:proofErr w:type="spellStart"/>
      <w:r w:rsidRPr="00121903">
        <w:rPr>
          <w:sz w:val="24"/>
          <w:szCs w:val="24"/>
        </w:rPr>
        <w:t>metaboliseringen</w:t>
      </w:r>
      <w:proofErr w:type="spellEnd"/>
      <w:r w:rsidRPr="00121903">
        <w:rPr>
          <w:sz w:val="24"/>
          <w:szCs w:val="24"/>
        </w:rPr>
        <w:t xml:space="preserve"> af </w:t>
      </w:r>
      <w:proofErr w:type="spellStart"/>
      <w:r w:rsidRPr="00121903">
        <w:rPr>
          <w:sz w:val="24"/>
          <w:szCs w:val="24"/>
        </w:rPr>
        <w:t>donepezil</w:t>
      </w:r>
      <w:proofErr w:type="spellEnd"/>
      <w:r w:rsidRPr="00121903">
        <w:rPr>
          <w:sz w:val="24"/>
          <w:szCs w:val="24"/>
        </w:rPr>
        <w:t xml:space="preserve">. Interaktionsundersøgelser udført </w:t>
      </w:r>
      <w:r w:rsidRPr="00121903">
        <w:rPr>
          <w:i/>
          <w:sz w:val="24"/>
          <w:szCs w:val="24"/>
        </w:rPr>
        <w:t>in-</w:t>
      </w:r>
      <w:proofErr w:type="spellStart"/>
      <w:r w:rsidRPr="00121903">
        <w:rPr>
          <w:i/>
          <w:sz w:val="24"/>
          <w:szCs w:val="24"/>
        </w:rPr>
        <w:t>vitro</w:t>
      </w:r>
      <w:proofErr w:type="spellEnd"/>
      <w:r w:rsidRPr="00121903">
        <w:rPr>
          <w:i/>
          <w:sz w:val="24"/>
          <w:szCs w:val="24"/>
        </w:rPr>
        <w:t xml:space="preserve"> </w:t>
      </w:r>
      <w:r w:rsidRPr="00121903">
        <w:rPr>
          <w:sz w:val="24"/>
          <w:szCs w:val="24"/>
        </w:rPr>
        <w:t xml:space="preserve">viser, at </w:t>
      </w:r>
      <w:proofErr w:type="spellStart"/>
      <w:r w:rsidRPr="00121903">
        <w:rPr>
          <w:sz w:val="24"/>
          <w:szCs w:val="24"/>
        </w:rPr>
        <w:t>ketoconazol</w:t>
      </w:r>
      <w:proofErr w:type="spellEnd"/>
      <w:r w:rsidRPr="00121903">
        <w:rPr>
          <w:sz w:val="24"/>
          <w:szCs w:val="24"/>
        </w:rPr>
        <w:t xml:space="preserve"> og </w:t>
      </w:r>
      <w:proofErr w:type="spellStart"/>
      <w:r w:rsidRPr="00121903">
        <w:rPr>
          <w:sz w:val="24"/>
          <w:szCs w:val="24"/>
        </w:rPr>
        <w:t>quinidin</w:t>
      </w:r>
      <w:proofErr w:type="spellEnd"/>
      <w:r w:rsidRPr="00121903">
        <w:rPr>
          <w:sz w:val="24"/>
          <w:szCs w:val="24"/>
        </w:rPr>
        <w:t xml:space="preserve">, </w:t>
      </w:r>
      <w:proofErr w:type="spellStart"/>
      <w:r w:rsidRPr="00121903">
        <w:rPr>
          <w:sz w:val="24"/>
          <w:szCs w:val="24"/>
        </w:rPr>
        <w:t>hæmmere</w:t>
      </w:r>
      <w:proofErr w:type="spellEnd"/>
      <w:r w:rsidRPr="00121903">
        <w:rPr>
          <w:sz w:val="24"/>
          <w:szCs w:val="24"/>
        </w:rPr>
        <w:t xml:space="preserve"> af henholdsvis CYP3A4 og 2D6, hæmmer </w:t>
      </w:r>
      <w:proofErr w:type="spellStart"/>
      <w:r w:rsidRPr="00121903">
        <w:rPr>
          <w:sz w:val="24"/>
          <w:szCs w:val="24"/>
        </w:rPr>
        <w:t>metabolisering</w:t>
      </w:r>
      <w:proofErr w:type="spellEnd"/>
      <w:r w:rsidRPr="00121903">
        <w:rPr>
          <w:sz w:val="24"/>
          <w:szCs w:val="24"/>
        </w:rPr>
        <w:t xml:space="preserve"> af </w:t>
      </w:r>
      <w:proofErr w:type="spellStart"/>
      <w:r w:rsidRPr="00121903">
        <w:rPr>
          <w:sz w:val="24"/>
          <w:szCs w:val="24"/>
        </w:rPr>
        <w:t>donezepil</w:t>
      </w:r>
      <w:proofErr w:type="spellEnd"/>
      <w:r w:rsidRPr="00121903">
        <w:rPr>
          <w:sz w:val="24"/>
          <w:szCs w:val="24"/>
        </w:rPr>
        <w:t xml:space="preserve">. Derfor kan disse og andre CYP3A4-hæmmere, som f.eks. </w:t>
      </w:r>
      <w:proofErr w:type="spellStart"/>
      <w:r w:rsidRPr="00121903">
        <w:rPr>
          <w:sz w:val="24"/>
          <w:szCs w:val="24"/>
        </w:rPr>
        <w:lastRenderedPageBreak/>
        <w:t>itraconazol</w:t>
      </w:r>
      <w:proofErr w:type="spellEnd"/>
      <w:r w:rsidRPr="00121903">
        <w:rPr>
          <w:sz w:val="24"/>
          <w:szCs w:val="24"/>
        </w:rPr>
        <w:t xml:space="preserve"> og </w:t>
      </w:r>
      <w:proofErr w:type="spellStart"/>
      <w:r w:rsidRPr="00121903">
        <w:rPr>
          <w:sz w:val="24"/>
          <w:szCs w:val="24"/>
        </w:rPr>
        <w:t>erythromycin</w:t>
      </w:r>
      <w:proofErr w:type="spellEnd"/>
      <w:r w:rsidRPr="00121903">
        <w:rPr>
          <w:sz w:val="24"/>
          <w:szCs w:val="24"/>
        </w:rPr>
        <w:t xml:space="preserve">, og CYP2D6-hæmmere, som f.eks. </w:t>
      </w:r>
      <w:proofErr w:type="spellStart"/>
      <w:r w:rsidRPr="00121903">
        <w:rPr>
          <w:sz w:val="24"/>
          <w:szCs w:val="24"/>
        </w:rPr>
        <w:t>fluoxetin</w:t>
      </w:r>
      <w:proofErr w:type="spellEnd"/>
      <w:r w:rsidRPr="00121903">
        <w:rPr>
          <w:sz w:val="24"/>
          <w:szCs w:val="24"/>
        </w:rPr>
        <w:t xml:space="preserve">, hæmme </w:t>
      </w:r>
      <w:proofErr w:type="spellStart"/>
      <w:r w:rsidRPr="00121903">
        <w:rPr>
          <w:sz w:val="24"/>
          <w:szCs w:val="24"/>
        </w:rPr>
        <w:t>metaboliseringen</w:t>
      </w:r>
      <w:proofErr w:type="spellEnd"/>
      <w:r w:rsidRPr="00121903">
        <w:rPr>
          <w:sz w:val="24"/>
          <w:szCs w:val="24"/>
        </w:rPr>
        <w:t xml:space="preserve"> af </w:t>
      </w:r>
      <w:proofErr w:type="spellStart"/>
      <w:r w:rsidRPr="00121903">
        <w:rPr>
          <w:sz w:val="24"/>
          <w:szCs w:val="24"/>
        </w:rPr>
        <w:t>donepezil</w:t>
      </w:r>
      <w:proofErr w:type="spellEnd"/>
      <w:r w:rsidRPr="00121903">
        <w:rPr>
          <w:sz w:val="24"/>
          <w:szCs w:val="24"/>
        </w:rPr>
        <w:t xml:space="preserve">. I et studie med raske forsøgspersoner øgede </w:t>
      </w:r>
      <w:proofErr w:type="spellStart"/>
      <w:r w:rsidRPr="00121903">
        <w:rPr>
          <w:sz w:val="24"/>
          <w:szCs w:val="24"/>
        </w:rPr>
        <w:t>ketoconazol</w:t>
      </w:r>
      <w:proofErr w:type="spellEnd"/>
      <w:r w:rsidRPr="00121903">
        <w:rPr>
          <w:sz w:val="24"/>
          <w:szCs w:val="24"/>
        </w:rPr>
        <w:t xml:space="preserve"> gennemsnitskoncentrationerne af </w:t>
      </w:r>
      <w:proofErr w:type="spellStart"/>
      <w:r w:rsidRPr="00121903">
        <w:rPr>
          <w:sz w:val="24"/>
          <w:szCs w:val="24"/>
        </w:rPr>
        <w:t>donepezil</w:t>
      </w:r>
      <w:proofErr w:type="spellEnd"/>
      <w:r w:rsidRPr="00121903">
        <w:rPr>
          <w:sz w:val="24"/>
          <w:szCs w:val="24"/>
        </w:rPr>
        <w:t xml:space="preserve"> med ca. 30%. </w:t>
      </w:r>
    </w:p>
    <w:p w:rsidR="00303D00" w:rsidRDefault="00303D00" w:rsidP="00303D00">
      <w:pPr>
        <w:ind w:left="851"/>
        <w:rPr>
          <w:sz w:val="24"/>
          <w:szCs w:val="24"/>
        </w:rPr>
      </w:pPr>
      <w:r w:rsidRPr="00121903">
        <w:rPr>
          <w:sz w:val="24"/>
          <w:szCs w:val="24"/>
        </w:rPr>
        <w:t xml:space="preserve">Enzyminduktorer, som f.eks. </w:t>
      </w:r>
      <w:proofErr w:type="spellStart"/>
      <w:r w:rsidRPr="00121903">
        <w:rPr>
          <w:sz w:val="24"/>
          <w:szCs w:val="24"/>
        </w:rPr>
        <w:t>rifampicin</w:t>
      </w:r>
      <w:proofErr w:type="spellEnd"/>
      <w:r w:rsidRPr="00121903">
        <w:rPr>
          <w:sz w:val="24"/>
          <w:szCs w:val="24"/>
        </w:rPr>
        <w:t xml:space="preserve">, </w:t>
      </w:r>
      <w:proofErr w:type="spellStart"/>
      <w:r w:rsidRPr="00121903">
        <w:rPr>
          <w:sz w:val="24"/>
          <w:szCs w:val="24"/>
        </w:rPr>
        <w:t>phenytoin</w:t>
      </w:r>
      <w:proofErr w:type="spellEnd"/>
      <w:r w:rsidRPr="00121903">
        <w:rPr>
          <w:sz w:val="24"/>
          <w:szCs w:val="24"/>
        </w:rPr>
        <w:t xml:space="preserve">, </w:t>
      </w:r>
      <w:proofErr w:type="spellStart"/>
      <w:r w:rsidRPr="00121903">
        <w:rPr>
          <w:sz w:val="24"/>
          <w:szCs w:val="24"/>
        </w:rPr>
        <w:t>carbamazepin</w:t>
      </w:r>
      <w:proofErr w:type="spellEnd"/>
      <w:r w:rsidRPr="00121903">
        <w:rPr>
          <w:sz w:val="24"/>
          <w:szCs w:val="24"/>
        </w:rPr>
        <w:t xml:space="preserve"> og alkohol, kan reducere niveauerne af </w:t>
      </w:r>
      <w:proofErr w:type="spellStart"/>
      <w:r w:rsidRPr="00121903">
        <w:rPr>
          <w:sz w:val="24"/>
          <w:szCs w:val="24"/>
        </w:rPr>
        <w:t>donepezil</w:t>
      </w:r>
      <w:proofErr w:type="spellEnd"/>
      <w:r w:rsidRPr="00121903">
        <w:rPr>
          <w:sz w:val="24"/>
          <w:szCs w:val="24"/>
        </w:rPr>
        <w:t xml:space="preserve">. Da omfanget af en hæmmende eller inducerende effekt er ukendt, bør sådanne stofkombinationer anvendes med forsigtighed. </w:t>
      </w:r>
      <w:proofErr w:type="spellStart"/>
      <w:r w:rsidRPr="00121903">
        <w:rPr>
          <w:sz w:val="24"/>
          <w:szCs w:val="24"/>
        </w:rPr>
        <w:t>Donepezilhydrochlorid</w:t>
      </w:r>
      <w:proofErr w:type="spellEnd"/>
      <w:r w:rsidRPr="00121903">
        <w:rPr>
          <w:sz w:val="24"/>
          <w:szCs w:val="24"/>
        </w:rPr>
        <w:t xml:space="preserve"> kan påvirke stoffer med </w:t>
      </w:r>
      <w:proofErr w:type="spellStart"/>
      <w:r w:rsidRPr="00121903">
        <w:rPr>
          <w:sz w:val="24"/>
          <w:szCs w:val="24"/>
        </w:rPr>
        <w:t>antikolinerg</w:t>
      </w:r>
      <w:proofErr w:type="spellEnd"/>
      <w:r w:rsidRPr="00121903">
        <w:rPr>
          <w:sz w:val="24"/>
          <w:szCs w:val="24"/>
        </w:rPr>
        <w:t xml:space="preserve"> aktivitet. Der er også mulighed for </w:t>
      </w:r>
      <w:proofErr w:type="spellStart"/>
      <w:r w:rsidRPr="00121903">
        <w:rPr>
          <w:sz w:val="24"/>
          <w:szCs w:val="24"/>
        </w:rPr>
        <w:t>synergistisk</w:t>
      </w:r>
      <w:proofErr w:type="spellEnd"/>
      <w:r w:rsidRPr="00121903">
        <w:rPr>
          <w:sz w:val="24"/>
          <w:szCs w:val="24"/>
        </w:rPr>
        <w:t xml:space="preserve"> virkning ved samtidig behandling med stoffer som f.eks. </w:t>
      </w:r>
      <w:proofErr w:type="spellStart"/>
      <w:r w:rsidRPr="00121903">
        <w:rPr>
          <w:sz w:val="24"/>
          <w:szCs w:val="24"/>
        </w:rPr>
        <w:t>succinylcholin</w:t>
      </w:r>
      <w:proofErr w:type="spellEnd"/>
      <w:r w:rsidRPr="00121903">
        <w:rPr>
          <w:sz w:val="24"/>
          <w:szCs w:val="24"/>
        </w:rPr>
        <w:t xml:space="preserve">, andre </w:t>
      </w:r>
      <w:proofErr w:type="spellStart"/>
      <w:r w:rsidRPr="00121903">
        <w:rPr>
          <w:sz w:val="24"/>
          <w:szCs w:val="24"/>
        </w:rPr>
        <w:t>neuromuskulært</w:t>
      </w:r>
      <w:proofErr w:type="spellEnd"/>
      <w:r w:rsidRPr="00121903">
        <w:rPr>
          <w:sz w:val="24"/>
          <w:szCs w:val="24"/>
        </w:rPr>
        <w:t xml:space="preserve"> blokerende stoffer eller </w:t>
      </w:r>
      <w:proofErr w:type="spellStart"/>
      <w:r w:rsidRPr="00121903">
        <w:rPr>
          <w:sz w:val="24"/>
          <w:szCs w:val="24"/>
        </w:rPr>
        <w:t>kolinerge</w:t>
      </w:r>
      <w:proofErr w:type="spellEnd"/>
      <w:r w:rsidRPr="00121903">
        <w:rPr>
          <w:sz w:val="24"/>
          <w:szCs w:val="24"/>
        </w:rPr>
        <w:t xml:space="preserve"> agonister eller betablokerende stoffer, som har effekt på den </w:t>
      </w:r>
      <w:proofErr w:type="spellStart"/>
      <w:r w:rsidRPr="00121903">
        <w:rPr>
          <w:sz w:val="24"/>
          <w:szCs w:val="24"/>
        </w:rPr>
        <w:t>kardielle</w:t>
      </w:r>
      <w:proofErr w:type="spellEnd"/>
      <w:r w:rsidRPr="00121903">
        <w:rPr>
          <w:sz w:val="24"/>
          <w:szCs w:val="24"/>
        </w:rPr>
        <w:t xml:space="preserve"> overledning.</w:t>
      </w:r>
    </w:p>
    <w:p w:rsidR="00303D00" w:rsidRDefault="00303D00" w:rsidP="00303D00">
      <w:pPr>
        <w:ind w:left="851"/>
        <w:rPr>
          <w:sz w:val="24"/>
          <w:szCs w:val="24"/>
        </w:rPr>
      </w:pPr>
    </w:p>
    <w:p w:rsidR="00303D00" w:rsidRPr="00241C47" w:rsidRDefault="00303D00" w:rsidP="00303D00">
      <w:pPr>
        <w:ind w:left="851"/>
        <w:rPr>
          <w:sz w:val="24"/>
          <w:szCs w:val="24"/>
        </w:rPr>
      </w:pPr>
      <w:r w:rsidRPr="00241C47">
        <w:rPr>
          <w:sz w:val="24"/>
          <w:szCs w:val="24"/>
        </w:rPr>
        <w:t xml:space="preserve">Der er indberettet tilfælde af forlænget </w:t>
      </w:r>
      <w:proofErr w:type="spellStart"/>
      <w:r w:rsidRPr="00241C47">
        <w:rPr>
          <w:sz w:val="24"/>
          <w:szCs w:val="24"/>
        </w:rPr>
        <w:t>QTc</w:t>
      </w:r>
      <w:proofErr w:type="spellEnd"/>
      <w:r w:rsidRPr="00241C47">
        <w:rPr>
          <w:sz w:val="24"/>
          <w:szCs w:val="24"/>
        </w:rPr>
        <w:t xml:space="preserve">-interval og </w:t>
      </w:r>
      <w:proofErr w:type="spellStart"/>
      <w:r w:rsidRPr="00241C47">
        <w:rPr>
          <w:sz w:val="24"/>
          <w:szCs w:val="24"/>
        </w:rPr>
        <w:t>torsades</w:t>
      </w:r>
      <w:proofErr w:type="spellEnd"/>
      <w:r w:rsidRPr="00241C47">
        <w:rPr>
          <w:sz w:val="24"/>
          <w:szCs w:val="24"/>
        </w:rPr>
        <w:t xml:space="preserve"> de </w:t>
      </w:r>
      <w:proofErr w:type="gramStart"/>
      <w:r w:rsidRPr="00241C47">
        <w:rPr>
          <w:sz w:val="24"/>
          <w:szCs w:val="24"/>
        </w:rPr>
        <w:t>pointe</w:t>
      </w:r>
      <w:proofErr w:type="gramEnd"/>
      <w:r w:rsidRPr="00241C47">
        <w:rPr>
          <w:sz w:val="24"/>
          <w:szCs w:val="24"/>
        </w:rPr>
        <w:t xml:space="preserve"> for </w:t>
      </w:r>
      <w:proofErr w:type="spellStart"/>
      <w:r w:rsidRPr="00241C47">
        <w:rPr>
          <w:sz w:val="24"/>
          <w:szCs w:val="24"/>
        </w:rPr>
        <w:t>donepezil</w:t>
      </w:r>
      <w:proofErr w:type="spellEnd"/>
      <w:r w:rsidRPr="00241C47">
        <w:rPr>
          <w:sz w:val="24"/>
          <w:szCs w:val="24"/>
        </w:rPr>
        <w:t xml:space="preserve">. Forsigtighed tilrådes, når </w:t>
      </w:r>
      <w:proofErr w:type="spellStart"/>
      <w:r w:rsidRPr="00241C47">
        <w:rPr>
          <w:sz w:val="24"/>
          <w:szCs w:val="24"/>
        </w:rPr>
        <w:t>donepezil</w:t>
      </w:r>
      <w:proofErr w:type="spellEnd"/>
      <w:r w:rsidRPr="00241C47">
        <w:rPr>
          <w:sz w:val="24"/>
          <w:szCs w:val="24"/>
        </w:rPr>
        <w:t xml:space="preserve"> anvendes i kombination med andre lægemidler, der forlænger </w:t>
      </w:r>
      <w:proofErr w:type="spellStart"/>
      <w:r w:rsidRPr="00241C47">
        <w:rPr>
          <w:sz w:val="24"/>
          <w:szCs w:val="24"/>
        </w:rPr>
        <w:t>QTc</w:t>
      </w:r>
      <w:proofErr w:type="spellEnd"/>
      <w:r w:rsidRPr="00241C47">
        <w:rPr>
          <w:sz w:val="24"/>
          <w:szCs w:val="24"/>
        </w:rPr>
        <w:t>-intervallet, og klinisk overvågning (EKG) kan være nødvendig. Som eksempler kan nævnes:</w:t>
      </w:r>
    </w:p>
    <w:p w:rsidR="00303D00" w:rsidRPr="00241C47" w:rsidRDefault="00303D00" w:rsidP="00303D00">
      <w:pPr>
        <w:ind w:left="851"/>
        <w:rPr>
          <w:sz w:val="24"/>
          <w:szCs w:val="24"/>
        </w:rPr>
      </w:pPr>
      <w:proofErr w:type="spellStart"/>
      <w:r w:rsidRPr="00241C47">
        <w:rPr>
          <w:sz w:val="24"/>
          <w:szCs w:val="24"/>
        </w:rPr>
        <w:t>Antiarytmika</w:t>
      </w:r>
      <w:proofErr w:type="spellEnd"/>
      <w:r w:rsidRPr="00241C47">
        <w:rPr>
          <w:sz w:val="24"/>
          <w:szCs w:val="24"/>
        </w:rPr>
        <w:t xml:space="preserve"> klasse IA (f.eks. </w:t>
      </w:r>
      <w:proofErr w:type="spellStart"/>
      <w:r w:rsidRPr="00241C47">
        <w:rPr>
          <w:sz w:val="24"/>
          <w:szCs w:val="24"/>
        </w:rPr>
        <w:t>kinidin</w:t>
      </w:r>
      <w:proofErr w:type="spellEnd"/>
      <w:r w:rsidRPr="00241C47">
        <w:rPr>
          <w:sz w:val="24"/>
          <w:szCs w:val="24"/>
        </w:rPr>
        <w:t>)</w:t>
      </w:r>
    </w:p>
    <w:p w:rsidR="00303D00" w:rsidRPr="00241C47" w:rsidRDefault="00303D00" w:rsidP="00303D00">
      <w:pPr>
        <w:ind w:left="851"/>
        <w:rPr>
          <w:sz w:val="24"/>
          <w:szCs w:val="24"/>
        </w:rPr>
      </w:pPr>
      <w:proofErr w:type="spellStart"/>
      <w:r w:rsidRPr="00241C47">
        <w:rPr>
          <w:sz w:val="24"/>
          <w:szCs w:val="24"/>
        </w:rPr>
        <w:t>Antiarytmika</w:t>
      </w:r>
      <w:proofErr w:type="spellEnd"/>
      <w:r w:rsidRPr="00241C47">
        <w:rPr>
          <w:sz w:val="24"/>
          <w:szCs w:val="24"/>
        </w:rPr>
        <w:t xml:space="preserve"> klasse III (f.eks. </w:t>
      </w:r>
      <w:proofErr w:type="spellStart"/>
      <w:r w:rsidRPr="00241C47">
        <w:rPr>
          <w:sz w:val="24"/>
          <w:szCs w:val="24"/>
        </w:rPr>
        <w:t>amiodaron</w:t>
      </w:r>
      <w:proofErr w:type="spellEnd"/>
      <w:r w:rsidRPr="00241C47">
        <w:rPr>
          <w:sz w:val="24"/>
          <w:szCs w:val="24"/>
        </w:rPr>
        <w:t xml:space="preserve">, </w:t>
      </w:r>
      <w:proofErr w:type="spellStart"/>
      <w:r w:rsidRPr="00241C47">
        <w:rPr>
          <w:sz w:val="24"/>
          <w:szCs w:val="24"/>
        </w:rPr>
        <w:t>sotalol</w:t>
      </w:r>
      <w:proofErr w:type="spellEnd"/>
      <w:r w:rsidRPr="00241C47">
        <w:rPr>
          <w:sz w:val="24"/>
          <w:szCs w:val="24"/>
        </w:rPr>
        <w:t>)</w:t>
      </w:r>
    </w:p>
    <w:p w:rsidR="00303D00" w:rsidRPr="00241C47" w:rsidRDefault="00303D00" w:rsidP="00303D00">
      <w:pPr>
        <w:ind w:left="851"/>
        <w:rPr>
          <w:sz w:val="24"/>
          <w:szCs w:val="24"/>
        </w:rPr>
      </w:pPr>
      <w:r w:rsidRPr="00241C47">
        <w:rPr>
          <w:sz w:val="24"/>
          <w:szCs w:val="24"/>
        </w:rPr>
        <w:t xml:space="preserve">Visse </w:t>
      </w:r>
      <w:proofErr w:type="spellStart"/>
      <w:r w:rsidRPr="00241C47">
        <w:rPr>
          <w:sz w:val="24"/>
          <w:szCs w:val="24"/>
        </w:rPr>
        <w:t>antidepressiva</w:t>
      </w:r>
      <w:proofErr w:type="spellEnd"/>
      <w:r w:rsidRPr="00241C47">
        <w:rPr>
          <w:sz w:val="24"/>
          <w:szCs w:val="24"/>
        </w:rPr>
        <w:t xml:space="preserve"> (f.eks. </w:t>
      </w:r>
      <w:proofErr w:type="spellStart"/>
      <w:r w:rsidRPr="00241C47">
        <w:rPr>
          <w:sz w:val="24"/>
          <w:szCs w:val="24"/>
        </w:rPr>
        <w:t>citalopram</w:t>
      </w:r>
      <w:proofErr w:type="spellEnd"/>
      <w:r w:rsidRPr="00241C47">
        <w:rPr>
          <w:sz w:val="24"/>
          <w:szCs w:val="24"/>
        </w:rPr>
        <w:t xml:space="preserve">, escitalopram og </w:t>
      </w:r>
      <w:proofErr w:type="spellStart"/>
      <w:r w:rsidRPr="00241C47">
        <w:rPr>
          <w:sz w:val="24"/>
          <w:szCs w:val="24"/>
        </w:rPr>
        <w:t>amitriptylin</w:t>
      </w:r>
      <w:proofErr w:type="spellEnd"/>
      <w:r w:rsidRPr="00241C47">
        <w:rPr>
          <w:sz w:val="24"/>
          <w:szCs w:val="24"/>
        </w:rPr>
        <w:t>)</w:t>
      </w:r>
    </w:p>
    <w:p w:rsidR="00303D00" w:rsidRPr="00241C47" w:rsidRDefault="00303D00" w:rsidP="00303D00">
      <w:pPr>
        <w:ind w:left="851"/>
        <w:rPr>
          <w:sz w:val="24"/>
          <w:szCs w:val="24"/>
        </w:rPr>
      </w:pPr>
      <w:r w:rsidRPr="00241C47">
        <w:rPr>
          <w:sz w:val="24"/>
          <w:szCs w:val="24"/>
        </w:rPr>
        <w:t xml:space="preserve">Andre antipsykotika (f.eks. </w:t>
      </w:r>
      <w:proofErr w:type="spellStart"/>
      <w:r w:rsidRPr="00241C47">
        <w:rPr>
          <w:sz w:val="24"/>
          <w:szCs w:val="24"/>
        </w:rPr>
        <w:t>fentiazinderivater</w:t>
      </w:r>
      <w:proofErr w:type="spellEnd"/>
      <w:r w:rsidRPr="00241C47">
        <w:rPr>
          <w:sz w:val="24"/>
          <w:szCs w:val="24"/>
        </w:rPr>
        <w:t xml:space="preserve">, </w:t>
      </w:r>
      <w:proofErr w:type="spellStart"/>
      <w:r w:rsidRPr="00241C47">
        <w:rPr>
          <w:sz w:val="24"/>
          <w:szCs w:val="24"/>
        </w:rPr>
        <w:t>sertindol</w:t>
      </w:r>
      <w:proofErr w:type="spellEnd"/>
      <w:r w:rsidRPr="00241C47">
        <w:rPr>
          <w:sz w:val="24"/>
          <w:szCs w:val="24"/>
        </w:rPr>
        <w:t xml:space="preserve">, </w:t>
      </w:r>
      <w:proofErr w:type="spellStart"/>
      <w:r w:rsidRPr="00241C47">
        <w:rPr>
          <w:sz w:val="24"/>
          <w:szCs w:val="24"/>
        </w:rPr>
        <w:t>pimozid</w:t>
      </w:r>
      <w:proofErr w:type="spellEnd"/>
      <w:r w:rsidRPr="00241C47">
        <w:rPr>
          <w:sz w:val="24"/>
          <w:szCs w:val="24"/>
        </w:rPr>
        <w:t xml:space="preserve"> og </w:t>
      </w:r>
      <w:proofErr w:type="spellStart"/>
      <w:r w:rsidRPr="00241C47">
        <w:rPr>
          <w:sz w:val="24"/>
          <w:szCs w:val="24"/>
        </w:rPr>
        <w:t>ziprasidon</w:t>
      </w:r>
      <w:proofErr w:type="spellEnd"/>
      <w:r w:rsidRPr="00241C47">
        <w:rPr>
          <w:sz w:val="24"/>
          <w:szCs w:val="24"/>
        </w:rPr>
        <w:t>)</w:t>
      </w:r>
    </w:p>
    <w:p w:rsidR="00303D00" w:rsidRPr="00121903" w:rsidRDefault="00303D00" w:rsidP="00303D00">
      <w:pPr>
        <w:ind w:left="851"/>
        <w:rPr>
          <w:sz w:val="24"/>
          <w:szCs w:val="24"/>
        </w:rPr>
      </w:pPr>
      <w:r w:rsidRPr="00241C47">
        <w:rPr>
          <w:sz w:val="24"/>
          <w:szCs w:val="24"/>
        </w:rPr>
        <w:t xml:space="preserve">Visse antibiotika (f.eks. </w:t>
      </w:r>
      <w:proofErr w:type="spellStart"/>
      <w:r w:rsidRPr="00241C47">
        <w:rPr>
          <w:sz w:val="24"/>
          <w:szCs w:val="24"/>
        </w:rPr>
        <w:t>clarithromycin</w:t>
      </w:r>
      <w:proofErr w:type="spellEnd"/>
      <w:r w:rsidRPr="00241C47">
        <w:rPr>
          <w:sz w:val="24"/>
          <w:szCs w:val="24"/>
        </w:rPr>
        <w:t xml:space="preserve">, </w:t>
      </w:r>
      <w:proofErr w:type="spellStart"/>
      <w:r w:rsidRPr="00241C47">
        <w:rPr>
          <w:sz w:val="24"/>
          <w:szCs w:val="24"/>
        </w:rPr>
        <w:t>erythromycin</w:t>
      </w:r>
      <w:proofErr w:type="spellEnd"/>
      <w:r w:rsidRPr="00241C47">
        <w:rPr>
          <w:sz w:val="24"/>
          <w:szCs w:val="24"/>
        </w:rPr>
        <w:t xml:space="preserve">, </w:t>
      </w:r>
      <w:proofErr w:type="spellStart"/>
      <w:r w:rsidRPr="00241C47">
        <w:rPr>
          <w:sz w:val="24"/>
          <w:szCs w:val="24"/>
        </w:rPr>
        <w:t>levofloxacin</w:t>
      </w:r>
      <w:proofErr w:type="spellEnd"/>
      <w:r w:rsidRPr="00241C47">
        <w:rPr>
          <w:sz w:val="24"/>
          <w:szCs w:val="24"/>
        </w:rPr>
        <w:t xml:space="preserve"> og </w:t>
      </w:r>
      <w:proofErr w:type="spellStart"/>
      <w:r w:rsidRPr="00241C47">
        <w:rPr>
          <w:sz w:val="24"/>
          <w:szCs w:val="24"/>
        </w:rPr>
        <w:t>moxifloxacin</w:t>
      </w:r>
      <w:proofErr w:type="spellEnd"/>
      <w:r w:rsidRPr="00241C47">
        <w:rPr>
          <w:sz w:val="24"/>
          <w:szCs w:val="24"/>
        </w:rPr>
        <w:t>)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E54907" w:rsidRPr="00121903" w:rsidRDefault="00545D3E" w:rsidP="00E54907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Fertilitet, g</w:t>
      </w:r>
      <w:r w:rsidR="00E54907" w:rsidRPr="00121903">
        <w:rPr>
          <w:b/>
          <w:sz w:val="24"/>
          <w:szCs w:val="24"/>
        </w:rPr>
        <w:t>raviditet og amning</w:t>
      </w:r>
    </w:p>
    <w:p w:rsidR="00E54907" w:rsidRPr="00121903" w:rsidRDefault="00E54907" w:rsidP="00E54907">
      <w:pPr>
        <w:ind w:left="851"/>
        <w:rPr>
          <w:sz w:val="24"/>
          <w:szCs w:val="24"/>
          <w:u w:val="single"/>
        </w:rPr>
      </w:pPr>
      <w:r w:rsidRPr="00121903">
        <w:rPr>
          <w:sz w:val="24"/>
          <w:szCs w:val="24"/>
          <w:u w:val="single"/>
        </w:rPr>
        <w:t>Graviditet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  <w:r w:rsidRPr="00121903">
        <w:rPr>
          <w:sz w:val="24"/>
          <w:szCs w:val="24"/>
        </w:rPr>
        <w:tab/>
        <w:t xml:space="preserve">Der foreligger ikke </w:t>
      </w:r>
      <w:proofErr w:type="gramStart"/>
      <w:r w:rsidRPr="00121903">
        <w:rPr>
          <w:sz w:val="24"/>
          <w:szCs w:val="24"/>
        </w:rPr>
        <w:t>tilstrækkelig</w:t>
      </w:r>
      <w:proofErr w:type="gramEnd"/>
      <w:r w:rsidRPr="00121903">
        <w:rPr>
          <w:sz w:val="24"/>
          <w:szCs w:val="24"/>
        </w:rPr>
        <w:t xml:space="preserve"> data om brugen af </w:t>
      </w:r>
      <w:proofErr w:type="spellStart"/>
      <w:r w:rsidRPr="00121903">
        <w:rPr>
          <w:sz w:val="24"/>
          <w:szCs w:val="24"/>
        </w:rPr>
        <w:t>donezepil</w:t>
      </w:r>
      <w:proofErr w:type="spellEnd"/>
      <w:r w:rsidRPr="00121903">
        <w:rPr>
          <w:sz w:val="24"/>
          <w:szCs w:val="24"/>
        </w:rPr>
        <w:t xml:space="preserve"> hos gravide kvinder. Dyreforsøg har ikke påvist </w:t>
      </w:r>
      <w:proofErr w:type="spellStart"/>
      <w:r w:rsidRPr="00121903">
        <w:rPr>
          <w:sz w:val="24"/>
          <w:szCs w:val="24"/>
        </w:rPr>
        <w:t>teratogen</w:t>
      </w:r>
      <w:proofErr w:type="spellEnd"/>
      <w:r w:rsidRPr="00121903">
        <w:rPr>
          <w:sz w:val="24"/>
          <w:szCs w:val="24"/>
        </w:rPr>
        <w:t xml:space="preserve"> effekt, men har påvist peri- og </w:t>
      </w:r>
      <w:proofErr w:type="spellStart"/>
      <w:r w:rsidRPr="00121903">
        <w:rPr>
          <w:sz w:val="24"/>
          <w:szCs w:val="24"/>
        </w:rPr>
        <w:t>postnatal</w:t>
      </w:r>
      <w:proofErr w:type="spellEnd"/>
      <w:r w:rsidRPr="00121903">
        <w:rPr>
          <w:sz w:val="24"/>
          <w:szCs w:val="24"/>
        </w:rPr>
        <w:t xml:space="preserve"> toksicitet (se pkt. 5.3 Prækliniske sikkerhedsdata). Den potentielle risiko for mennesker kendes ikke. </w:t>
      </w:r>
      <w:proofErr w:type="spellStart"/>
      <w:r w:rsidRPr="00121903">
        <w:rPr>
          <w:sz w:val="24"/>
          <w:szCs w:val="24"/>
        </w:rPr>
        <w:t>Donepezil</w:t>
      </w:r>
      <w:proofErr w:type="spellEnd"/>
      <w:r w:rsidRPr="00121903">
        <w:rPr>
          <w:sz w:val="24"/>
          <w:szCs w:val="24"/>
        </w:rPr>
        <w:t xml:space="preserve"> </w:t>
      </w:r>
      <w:r>
        <w:rPr>
          <w:sz w:val="24"/>
          <w:szCs w:val="24"/>
        </w:rPr>
        <w:t>”</w:t>
      </w:r>
      <w:proofErr w:type="spellStart"/>
      <w:r>
        <w:rPr>
          <w:sz w:val="24"/>
          <w:szCs w:val="24"/>
        </w:rPr>
        <w:t>Jubilant</w:t>
      </w:r>
      <w:proofErr w:type="spellEnd"/>
      <w:r>
        <w:rPr>
          <w:sz w:val="24"/>
          <w:szCs w:val="24"/>
        </w:rPr>
        <w:t>”</w:t>
      </w:r>
      <w:r w:rsidRPr="00121903">
        <w:rPr>
          <w:sz w:val="24"/>
          <w:szCs w:val="24"/>
        </w:rPr>
        <w:t xml:space="preserve"> bør kun anvendes på tvingende indikation under graviditet.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E54907" w:rsidRPr="00121903" w:rsidRDefault="00E54907" w:rsidP="00E54907">
      <w:pPr>
        <w:ind w:left="851"/>
        <w:rPr>
          <w:sz w:val="24"/>
          <w:szCs w:val="24"/>
          <w:u w:val="single"/>
        </w:rPr>
      </w:pPr>
      <w:r w:rsidRPr="00121903">
        <w:rPr>
          <w:sz w:val="24"/>
          <w:szCs w:val="24"/>
          <w:u w:val="single"/>
        </w:rPr>
        <w:t>Amning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  <w:r w:rsidRPr="00121903">
        <w:rPr>
          <w:sz w:val="24"/>
          <w:szCs w:val="24"/>
        </w:rPr>
        <w:tab/>
      </w:r>
      <w:proofErr w:type="spellStart"/>
      <w:r w:rsidRPr="00121903">
        <w:rPr>
          <w:sz w:val="24"/>
          <w:szCs w:val="24"/>
        </w:rPr>
        <w:t>Donepezil</w:t>
      </w:r>
      <w:proofErr w:type="spellEnd"/>
      <w:r w:rsidRPr="00121903">
        <w:rPr>
          <w:sz w:val="24"/>
          <w:szCs w:val="24"/>
        </w:rPr>
        <w:t xml:space="preserve"> udskilles i modermælken hos rotter. Det vides ikke, om </w:t>
      </w:r>
      <w:proofErr w:type="spellStart"/>
      <w:r w:rsidRPr="00121903">
        <w:rPr>
          <w:sz w:val="24"/>
          <w:szCs w:val="24"/>
        </w:rPr>
        <w:t>donepezilhydrochlorid</w:t>
      </w:r>
      <w:proofErr w:type="spellEnd"/>
      <w:r w:rsidRPr="00121903">
        <w:rPr>
          <w:sz w:val="24"/>
          <w:szCs w:val="24"/>
        </w:rPr>
        <w:t xml:space="preserve"> udskilles i human modermælk, og der er ingen studier med ammende kvinder. Derfor bør kvinder, der indtager </w:t>
      </w:r>
      <w:proofErr w:type="spellStart"/>
      <w:r w:rsidRPr="00121903">
        <w:rPr>
          <w:sz w:val="24"/>
          <w:szCs w:val="24"/>
        </w:rPr>
        <w:t>donepezil</w:t>
      </w:r>
      <w:proofErr w:type="spellEnd"/>
      <w:r w:rsidRPr="00121903">
        <w:rPr>
          <w:sz w:val="24"/>
          <w:szCs w:val="24"/>
        </w:rPr>
        <w:t>, ikke amme.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E54907" w:rsidRPr="00F61317" w:rsidRDefault="00E54907" w:rsidP="00F61317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121903">
        <w:rPr>
          <w:b/>
          <w:sz w:val="24"/>
          <w:szCs w:val="24"/>
        </w:rPr>
        <w:t xml:space="preserve">Virkning på evnen til at føre motorkøretøj </w:t>
      </w:r>
      <w:r w:rsidR="0041538E">
        <w:rPr>
          <w:b/>
          <w:sz w:val="24"/>
          <w:szCs w:val="24"/>
        </w:rPr>
        <w:t>og</w:t>
      </w:r>
      <w:r w:rsidRPr="00121903">
        <w:rPr>
          <w:b/>
          <w:sz w:val="24"/>
          <w:szCs w:val="24"/>
        </w:rPr>
        <w:t xml:space="preserve"> betjene maskiner</w:t>
      </w:r>
    </w:p>
    <w:p w:rsidR="00E54907" w:rsidRPr="00121903" w:rsidRDefault="00E54907" w:rsidP="00E54907">
      <w:pPr>
        <w:ind w:left="851"/>
        <w:rPr>
          <w:sz w:val="24"/>
          <w:szCs w:val="24"/>
        </w:rPr>
      </w:pPr>
      <w:proofErr w:type="spellStart"/>
      <w:r w:rsidRPr="00121903">
        <w:rPr>
          <w:sz w:val="24"/>
          <w:szCs w:val="24"/>
        </w:rPr>
        <w:t>Donepezil</w:t>
      </w:r>
      <w:proofErr w:type="spellEnd"/>
      <w:r w:rsidRPr="00121903">
        <w:rPr>
          <w:sz w:val="24"/>
          <w:szCs w:val="24"/>
        </w:rPr>
        <w:t xml:space="preserve"> påvirker evnen til at føre motorkøretøj eller betjene maskiner i mindre eller moderat grad.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  <w:r w:rsidRPr="00121903">
        <w:rPr>
          <w:sz w:val="24"/>
          <w:szCs w:val="24"/>
        </w:rPr>
        <w:tab/>
        <w:t xml:space="preserve">Demens kan forårsage svækkelse af evnen til at føre motorkøretøj og til at betjene maskiner. </w:t>
      </w:r>
      <w:proofErr w:type="spellStart"/>
      <w:r w:rsidRPr="00121903">
        <w:rPr>
          <w:sz w:val="24"/>
          <w:szCs w:val="24"/>
        </w:rPr>
        <w:t>Donepezil</w:t>
      </w:r>
      <w:proofErr w:type="spellEnd"/>
      <w:r w:rsidRPr="00121903">
        <w:rPr>
          <w:sz w:val="24"/>
          <w:szCs w:val="24"/>
        </w:rPr>
        <w:t xml:space="preserve"> kan medføre træthed, svimmelhed og muskelkramper, overvejende ved behandlingsstart og ved dosisøg</w:t>
      </w:r>
      <w:r>
        <w:rPr>
          <w:sz w:val="24"/>
          <w:szCs w:val="24"/>
        </w:rPr>
        <w:t xml:space="preserve">ning. </w:t>
      </w:r>
      <w:proofErr w:type="spellStart"/>
      <w:r>
        <w:rPr>
          <w:sz w:val="24"/>
          <w:szCs w:val="24"/>
        </w:rPr>
        <w:t>Donepezilb</w:t>
      </w:r>
      <w:r w:rsidRPr="00121903">
        <w:rPr>
          <w:sz w:val="24"/>
          <w:szCs w:val="24"/>
        </w:rPr>
        <w:t>ehandlede</w:t>
      </w:r>
      <w:proofErr w:type="spellEnd"/>
      <w:r w:rsidRPr="00121903">
        <w:rPr>
          <w:sz w:val="24"/>
          <w:szCs w:val="24"/>
        </w:rPr>
        <w:t xml:space="preserve"> patienters evne til fortsat at køre bil eller betjene komplicerede maskiner bør rutinemæssigt vurderes af den behandlende læge.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E54907" w:rsidRPr="00121903" w:rsidRDefault="00E54907" w:rsidP="00E54907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121903">
        <w:rPr>
          <w:b/>
          <w:sz w:val="24"/>
          <w:szCs w:val="24"/>
        </w:rPr>
        <w:t>Bivirkninger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  <w:r w:rsidRPr="00121903">
        <w:rPr>
          <w:sz w:val="24"/>
          <w:szCs w:val="24"/>
        </w:rPr>
        <w:tab/>
        <w:t>De mest almindelige bivirkninger er diarré, muskelkramper, træthed, kvalme, opkastning og søvnløshed.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303D00" w:rsidRPr="00121903" w:rsidRDefault="00E54907" w:rsidP="00303D00">
      <w:pPr>
        <w:ind w:left="851" w:hanging="851"/>
        <w:rPr>
          <w:sz w:val="24"/>
          <w:szCs w:val="24"/>
        </w:rPr>
      </w:pPr>
      <w:r w:rsidRPr="00121903">
        <w:rPr>
          <w:sz w:val="24"/>
          <w:szCs w:val="24"/>
        </w:rPr>
        <w:tab/>
      </w:r>
      <w:r w:rsidR="00303D00" w:rsidRPr="00121903">
        <w:rPr>
          <w:sz w:val="24"/>
          <w:szCs w:val="24"/>
        </w:rPr>
        <w:t xml:space="preserve">Bivirkninger rapporteret som mere end et isoleret tilfælde er anført nedenfor under de relevante organklasser opdelt efter hyppighed. Hyppighederne er defineret som: meget almindelig (&gt;1/10), almindelig (&gt;1/100, &lt;1/10), ikke almindelig (&gt;1/1000, &lt;1/100), </w:t>
      </w:r>
      <w:r w:rsidR="00303D00" w:rsidRPr="00121903">
        <w:rPr>
          <w:sz w:val="24"/>
          <w:szCs w:val="24"/>
        </w:rPr>
        <w:lastRenderedPageBreak/>
        <w:t xml:space="preserve">sjælden (&gt;1/10.000, &lt;1/1.000), meget sjælden (&lt;1/10.000) og ikke kendt (kan ikke estimeres ud fra tilgængelige data). </w:t>
      </w:r>
    </w:p>
    <w:tbl>
      <w:tblPr>
        <w:tblW w:w="10121" w:type="dxa"/>
        <w:tblInd w:w="-8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1"/>
        <w:gridCol w:w="1080"/>
        <w:gridCol w:w="1530"/>
        <w:gridCol w:w="1530"/>
        <w:gridCol w:w="1530"/>
        <w:gridCol w:w="1350"/>
        <w:gridCol w:w="1440"/>
      </w:tblGrid>
      <w:tr w:rsidR="001E1883" w:rsidRPr="004760FB" w:rsidTr="001E1883">
        <w:trPr>
          <w:trHeight w:val="232"/>
          <w:tblHeader/>
        </w:trPr>
        <w:tc>
          <w:tcPr>
            <w:tcW w:w="16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1E1883" w:rsidRPr="004760FB" w:rsidRDefault="001E1883" w:rsidP="00FA310E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  <w:r w:rsidRPr="004760FB">
              <w:rPr>
                <w:b/>
                <w:sz w:val="18"/>
                <w:szCs w:val="18"/>
              </w:rPr>
              <w:t>Organklasser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1E1883" w:rsidRPr="004760FB" w:rsidRDefault="001E1883" w:rsidP="00FA310E">
            <w:pPr>
              <w:tabs>
                <w:tab w:val="left" w:pos="34"/>
              </w:tabs>
              <w:ind w:left="34"/>
              <w:rPr>
                <w:b/>
                <w:sz w:val="18"/>
                <w:szCs w:val="18"/>
              </w:rPr>
            </w:pPr>
            <w:r w:rsidRPr="004760FB">
              <w:rPr>
                <w:b/>
                <w:sz w:val="18"/>
                <w:szCs w:val="18"/>
              </w:rPr>
              <w:t>Meget almindelig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1E1883" w:rsidRPr="004760FB" w:rsidRDefault="001E1883" w:rsidP="00FA310E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  <w:r w:rsidRPr="004760FB">
              <w:rPr>
                <w:b/>
                <w:sz w:val="18"/>
                <w:szCs w:val="18"/>
              </w:rPr>
              <w:t>Almindelig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1E1883" w:rsidRPr="004760FB" w:rsidRDefault="001E1883" w:rsidP="00FA310E">
            <w:pPr>
              <w:tabs>
                <w:tab w:val="left" w:pos="0"/>
              </w:tabs>
              <w:ind w:left="34" w:hanging="34"/>
              <w:rPr>
                <w:b/>
                <w:sz w:val="18"/>
                <w:szCs w:val="18"/>
              </w:rPr>
            </w:pPr>
            <w:r w:rsidRPr="004760FB">
              <w:rPr>
                <w:b/>
                <w:sz w:val="18"/>
                <w:szCs w:val="18"/>
              </w:rPr>
              <w:t>Ikke almindelig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/>
            <w:hideMark/>
          </w:tcPr>
          <w:p w:rsidR="001E1883" w:rsidRPr="004760FB" w:rsidRDefault="001E1883" w:rsidP="00FA310E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  <w:r w:rsidRPr="004760FB">
              <w:rPr>
                <w:b/>
                <w:sz w:val="18"/>
                <w:szCs w:val="18"/>
              </w:rPr>
              <w:t xml:space="preserve">Sjælden 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:rsidR="001E1883" w:rsidRPr="004760FB" w:rsidRDefault="001E1883" w:rsidP="00FA310E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  <w:r w:rsidRPr="004760FB">
              <w:rPr>
                <w:b/>
                <w:sz w:val="18"/>
                <w:szCs w:val="18"/>
              </w:rPr>
              <w:t>Meget sjælden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:rsidR="001E1883" w:rsidRPr="004760FB" w:rsidRDefault="001E1883" w:rsidP="00FA310E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Ikke kendt</w:t>
            </w:r>
          </w:p>
        </w:tc>
      </w:tr>
      <w:tr w:rsidR="001E1883" w:rsidRPr="004760FB" w:rsidTr="001E1883">
        <w:trPr>
          <w:trHeight w:val="522"/>
          <w:tblHeader/>
        </w:trPr>
        <w:tc>
          <w:tcPr>
            <w:tcW w:w="16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4760FB">
              <w:rPr>
                <w:sz w:val="18"/>
                <w:szCs w:val="18"/>
              </w:rPr>
              <w:t>Infektioner og parasitære sygdomme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883" w:rsidRPr="004760FB" w:rsidRDefault="001E1883" w:rsidP="00FA310E">
            <w:pPr>
              <w:tabs>
                <w:tab w:val="left" w:pos="34"/>
              </w:tabs>
              <w:ind w:left="34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4760FB">
              <w:rPr>
                <w:sz w:val="18"/>
                <w:szCs w:val="18"/>
              </w:rPr>
              <w:t xml:space="preserve">Snue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883" w:rsidRPr="004760FB" w:rsidRDefault="001E1883" w:rsidP="00FA310E">
            <w:pPr>
              <w:tabs>
                <w:tab w:val="left" w:pos="0"/>
              </w:tabs>
              <w:ind w:left="34" w:hanging="34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</w:tr>
      <w:tr w:rsidR="001E1883" w:rsidRPr="004760FB" w:rsidTr="001E1883">
        <w:trPr>
          <w:trHeight w:val="51"/>
          <w:tblHeader/>
        </w:trPr>
        <w:tc>
          <w:tcPr>
            <w:tcW w:w="16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4760FB">
              <w:rPr>
                <w:sz w:val="18"/>
                <w:szCs w:val="18"/>
              </w:rPr>
              <w:t>Metabolisme og ernæring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883" w:rsidRPr="004760FB" w:rsidRDefault="001E1883" w:rsidP="00FA310E">
            <w:pPr>
              <w:tabs>
                <w:tab w:val="left" w:pos="34"/>
              </w:tabs>
              <w:ind w:left="34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4760FB">
              <w:rPr>
                <w:sz w:val="18"/>
                <w:szCs w:val="18"/>
              </w:rPr>
              <w:t>Appetitløshed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883" w:rsidRPr="004760FB" w:rsidRDefault="001E1883" w:rsidP="00FA310E">
            <w:pPr>
              <w:tabs>
                <w:tab w:val="left" w:pos="0"/>
              </w:tabs>
              <w:ind w:left="34" w:hanging="34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</w:tr>
      <w:tr w:rsidR="001E1883" w:rsidRPr="004760FB" w:rsidTr="001E1883">
        <w:trPr>
          <w:trHeight w:val="450"/>
          <w:tblHeader/>
        </w:trPr>
        <w:tc>
          <w:tcPr>
            <w:tcW w:w="16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4760FB">
              <w:rPr>
                <w:sz w:val="18"/>
                <w:szCs w:val="18"/>
              </w:rPr>
              <w:t>Psykiske forstyrrelser</w:t>
            </w:r>
          </w:p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883" w:rsidRPr="004760FB" w:rsidRDefault="001E1883" w:rsidP="00FA310E">
            <w:pPr>
              <w:tabs>
                <w:tab w:val="left" w:pos="34"/>
              </w:tabs>
              <w:ind w:left="34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4760FB">
              <w:rPr>
                <w:sz w:val="18"/>
                <w:szCs w:val="18"/>
              </w:rPr>
              <w:t>Hallucinationer**, unormale drømme og mareridt**, agitation**,</w:t>
            </w:r>
          </w:p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4760FB">
              <w:rPr>
                <w:sz w:val="18"/>
                <w:szCs w:val="18"/>
              </w:rPr>
              <w:t>aggressiv opførsel**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883" w:rsidRPr="004760FB" w:rsidRDefault="001E1883" w:rsidP="00FA310E">
            <w:pPr>
              <w:tabs>
                <w:tab w:val="left" w:pos="0"/>
              </w:tabs>
              <w:ind w:left="34" w:hanging="34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1E1883" w:rsidRPr="0022049F" w:rsidRDefault="001E1883" w:rsidP="00FA310E">
            <w:pPr>
              <w:pStyle w:val="FormateretHTML"/>
              <w:shd w:val="clear" w:color="auto" w:fill="F8F9FA"/>
              <w:rPr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22049F">
              <w:rPr>
                <w:rStyle w:val="y2iqfc"/>
                <w:rFonts w:ascii="Times New Roman" w:hAnsi="Times New Roman" w:cs="Times New Roman" w:hint="eastAsia"/>
                <w:color w:val="202124"/>
                <w:sz w:val="18"/>
                <w:szCs w:val="18"/>
                <w:lang w:val="da-DK"/>
              </w:rPr>
              <w:t>ø</w:t>
            </w:r>
            <w:r w:rsidRPr="0022049F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da-DK"/>
              </w:rPr>
              <w:t xml:space="preserve">get libido, </w:t>
            </w:r>
            <w:proofErr w:type="spellStart"/>
            <w:r w:rsidRPr="0022049F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da-DK"/>
              </w:rPr>
              <w:t>hyperseksualitet</w:t>
            </w:r>
            <w:proofErr w:type="spellEnd"/>
          </w:p>
          <w:p w:rsidR="001E1883" w:rsidRPr="00510445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</w:tr>
      <w:tr w:rsidR="001E1883" w:rsidRPr="004760FB" w:rsidTr="001E1883">
        <w:trPr>
          <w:trHeight w:val="51"/>
          <w:tblHeader/>
        </w:trPr>
        <w:tc>
          <w:tcPr>
            <w:tcW w:w="16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4760FB">
              <w:rPr>
                <w:sz w:val="18"/>
                <w:szCs w:val="18"/>
              </w:rPr>
              <w:t>Nervesystemet</w:t>
            </w:r>
          </w:p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883" w:rsidRPr="004760FB" w:rsidRDefault="001E1883" w:rsidP="00FA310E">
            <w:pPr>
              <w:tabs>
                <w:tab w:val="left" w:pos="34"/>
              </w:tabs>
              <w:ind w:left="34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4760FB">
              <w:rPr>
                <w:sz w:val="18"/>
                <w:szCs w:val="18"/>
              </w:rPr>
              <w:t>Synkope*,</w:t>
            </w:r>
          </w:p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4760FB">
              <w:rPr>
                <w:sz w:val="18"/>
                <w:szCs w:val="18"/>
              </w:rPr>
              <w:t>svimmelhed,</w:t>
            </w:r>
          </w:p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4760FB">
              <w:rPr>
                <w:sz w:val="18"/>
                <w:szCs w:val="18"/>
              </w:rPr>
              <w:t>søvnløshed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83" w:rsidRPr="004760FB" w:rsidRDefault="001E1883" w:rsidP="00FA310E">
            <w:pPr>
              <w:tabs>
                <w:tab w:val="left" w:pos="0"/>
              </w:tabs>
              <w:ind w:left="34" w:hanging="34"/>
              <w:rPr>
                <w:sz w:val="18"/>
                <w:szCs w:val="18"/>
              </w:rPr>
            </w:pPr>
            <w:r w:rsidRPr="004760FB">
              <w:rPr>
                <w:sz w:val="18"/>
                <w:szCs w:val="18"/>
              </w:rPr>
              <w:t>Krampeanfald*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4760FB">
              <w:rPr>
                <w:sz w:val="18"/>
                <w:szCs w:val="18"/>
              </w:rPr>
              <w:t>Ekstrapyramidale symptomer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1E1883" w:rsidRPr="00510445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510445">
              <w:rPr>
                <w:sz w:val="18"/>
                <w:szCs w:val="18"/>
              </w:rPr>
              <w:t xml:space="preserve">Malignt </w:t>
            </w:r>
            <w:proofErr w:type="spellStart"/>
            <w:r w:rsidRPr="00510445">
              <w:rPr>
                <w:sz w:val="18"/>
                <w:szCs w:val="18"/>
              </w:rPr>
              <w:t>neuroleptika</w:t>
            </w:r>
            <w:proofErr w:type="spellEnd"/>
            <w:r w:rsidRPr="00510445">
              <w:rPr>
                <w:sz w:val="18"/>
                <w:szCs w:val="18"/>
              </w:rPr>
              <w:t>-syndrom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1E1883" w:rsidRPr="0022049F" w:rsidRDefault="001E1883" w:rsidP="00FA310E">
            <w:pPr>
              <w:pStyle w:val="FormateretHTML"/>
              <w:shd w:val="clear" w:color="auto" w:fill="F8F9FA"/>
              <w:rPr>
                <w:rFonts w:ascii="Times New Roman" w:hAnsi="Times New Roman" w:cs="Times New Roman"/>
                <w:color w:val="202124"/>
                <w:sz w:val="18"/>
                <w:szCs w:val="18"/>
              </w:rPr>
            </w:pPr>
            <w:proofErr w:type="spellStart"/>
            <w:r w:rsidRPr="0022049F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da-DK"/>
              </w:rPr>
              <w:t>Pleurothotonus</w:t>
            </w:r>
            <w:proofErr w:type="spellEnd"/>
            <w:r w:rsidRPr="0022049F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da-DK"/>
              </w:rPr>
              <w:t xml:space="preserve"> (Pisa syndrom)</w:t>
            </w:r>
          </w:p>
          <w:p w:rsidR="001E1883" w:rsidRPr="00510445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</w:tr>
      <w:tr w:rsidR="001E1883" w:rsidRPr="004760FB" w:rsidTr="001E1883">
        <w:trPr>
          <w:trHeight w:val="51"/>
          <w:tblHeader/>
        </w:trPr>
        <w:tc>
          <w:tcPr>
            <w:tcW w:w="16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  <w:proofErr w:type="spellStart"/>
            <w:r w:rsidRPr="004760FB">
              <w:rPr>
                <w:sz w:val="18"/>
                <w:szCs w:val="18"/>
              </w:rPr>
              <w:t>Vaskulære</w:t>
            </w:r>
            <w:proofErr w:type="spellEnd"/>
            <w:r w:rsidRPr="004760FB">
              <w:rPr>
                <w:sz w:val="18"/>
                <w:szCs w:val="18"/>
              </w:rPr>
              <w:t xml:space="preserve"> sygdomme</w:t>
            </w:r>
          </w:p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883" w:rsidRPr="004760FB" w:rsidRDefault="001E1883" w:rsidP="00FA310E">
            <w:pPr>
              <w:tabs>
                <w:tab w:val="left" w:pos="34"/>
              </w:tabs>
              <w:ind w:left="34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83" w:rsidRPr="004760FB" w:rsidRDefault="001E1883" w:rsidP="00FA310E">
            <w:pPr>
              <w:tabs>
                <w:tab w:val="left" w:pos="0"/>
              </w:tabs>
              <w:ind w:left="34" w:hanging="34"/>
              <w:rPr>
                <w:sz w:val="18"/>
                <w:szCs w:val="18"/>
              </w:rPr>
            </w:pPr>
            <w:r w:rsidRPr="004760FB">
              <w:rPr>
                <w:sz w:val="18"/>
                <w:szCs w:val="18"/>
              </w:rPr>
              <w:t>Bradykardi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  <w:proofErr w:type="spellStart"/>
            <w:r w:rsidRPr="004760FB">
              <w:rPr>
                <w:sz w:val="18"/>
                <w:szCs w:val="18"/>
              </w:rPr>
              <w:t>Sinoatrialt</w:t>
            </w:r>
            <w:proofErr w:type="spellEnd"/>
            <w:r w:rsidRPr="004760FB">
              <w:rPr>
                <w:sz w:val="18"/>
                <w:szCs w:val="18"/>
              </w:rPr>
              <w:t xml:space="preserve"> blok,</w:t>
            </w:r>
          </w:p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  <w:proofErr w:type="spellStart"/>
            <w:r w:rsidRPr="004760FB">
              <w:rPr>
                <w:sz w:val="18"/>
                <w:szCs w:val="18"/>
              </w:rPr>
              <w:t>atrioventrikulært</w:t>
            </w:r>
            <w:proofErr w:type="spellEnd"/>
            <w:r w:rsidRPr="004760FB">
              <w:rPr>
                <w:sz w:val="18"/>
                <w:szCs w:val="18"/>
              </w:rPr>
              <w:t xml:space="preserve"> blok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1E1883" w:rsidRPr="004760FB" w:rsidRDefault="001E1883" w:rsidP="00FA310E">
            <w:pPr>
              <w:rPr>
                <w:sz w:val="18"/>
                <w:szCs w:val="18"/>
              </w:rPr>
            </w:pPr>
          </w:p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1E1883" w:rsidRPr="004760FB" w:rsidRDefault="001E1883" w:rsidP="00FA3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da-DK"/>
              </w:rPr>
              <w:t xml:space="preserve">Polymorf </w:t>
            </w:r>
            <w:proofErr w:type="spellStart"/>
            <w:r>
              <w:rPr>
                <w:sz w:val="18"/>
                <w:szCs w:val="18"/>
                <w:lang w:eastAsia="da-DK"/>
              </w:rPr>
              <w:t>ventrikulær</w:t>
            </w:r>
            <w:proofErr w:type="spellEnd"/>
            <w:r>
              <w:rPr>
                <w:sz w:val="18"/>
                <w:szCs w:val="18"/>
                <w:lang w:eastAsia="da-DK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da-DK"/>
              </w:rPr>
              <w:t>takykardi</w:t>
            </w:r>
            <w:proofErr w:type="spellEnd"/>
            <w:r>
              <w:rPr>
                <w:sz w:val="18"/>
                <w:szCs w:val="18"/>
                <w:lang w:eastAsia="da-DK"/>
              </w:rPr>
              <w:t xml:space="preserve">, herunder </w:t>
            </w:r>
            <w:proofErr w:type="spellStart"/>
            <w:r>
              <w:rPr>
                <w:sz w:val="18"/>
                <w:szCs w:val="18"/>
                <w:lang w:eastAsia="da-DK"/>
              </w:rPr>
              <w:t>torsades</w:t>
            </w:r>
            <w:proofErr w:type="spellEnd"/>
            <w:r>
              <w:rPr>
                <w:sz w:val="18"/>
                <w:szCs w:val="18"/>
                <w:lang w:eastAsia="da-DK"/>
              </w:rPr>
              <w:t xml:space="preserve"> de </w:t>
            </w:r>
            <w:proofErr w:type="gramStart"/>
            <w:r>
              <w:rPr>
                <w:sz w:val="18"/>
                <w:szCs w:val="18"/>
                <w:lang w:eastAsia="da-DK"/>
              </w:rPr>
              <w:t>pointe</w:t>
            </w:r>
            <w:proofErr w:type="gramEnd"/>
            <w:r>
              <w:rPr>
                <w:sz w:val="18"/>
                <w:szCs w:val="18"/>
                <w:lang w:eastAsia="da-DK"/>
              </w:rPr>
              <w:t>, elektrokardiogram forlænget QT-interval</w:t>
            </w:r>
          </w:p>
        </w:tc>
      </w:tr>
      <w:tr w:rsidR="001E1883" w:rsidRPr="004760FB" w:rsidTr="001E1883">
        <w:trPr>
          <w:trHeight w:val="51"/>
          <w:tblHeader/>
        </w:trPr>
        <w:tc>
          <w:tcPr>
            <w:tcW w:w="16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  <w:proofErr w:type="spellStart"/>
            <w:r w:rsidRPr="004760FB">
              <w:rPr>
                <w:sz w:val="18"/>
                <w:szCs w:val="18"/>
              </w:rPr>
              <w:t>Mave-tarmkanalen</w:t>
            </w:r>
            <w:proofErr w:type="spellEnd"/>
          </w:p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883" w:rsidRPr="004760FB" w:rsidRDefault="001E1883" w:rsidP="00FA310E">
            <w:pPr>
              <w:tabs>
                <w:tab w:val="left" w:pos="34"/>
              </w:tabs>
              <w:ind w:left="34"/>
              <w:rPr>
                <w:sz w:val="18"/>
                <w:szCs w:val="18"/>
              </w:rPr>
            </w:pPr>
            <w:r w:rsidRPr="004760FB">
              <w:rPr>
                <w:sz w:val="18"/>
                <w:szCs w:val="18"/>
              </w:rPr>
              <w:t>Diarré, kvalme</w:t>
            </w:r>
          </w:p>
          <w:p w:rsidR="001E1883" w:rsidRPr="004760FB" w:rsidRDefault="001E1883" w:rsidP="00FA310E">
            <w:pPr>
              <w:tabs>
                <w:tab w:val="left" w:pos="34"/>
              </w:tabs>
              <w:ind w:left="34"/>
              <w:rPr>
                <w:sz w:val="18"/>
                <w:szCs w:val="18"/>
              </w:rPr>
            </w:pPr>
          </w:p>
          <w:p w:rsidR="001E1883" w:rsidRPr="004760FB" w:rsidRDefault="001E1883" w:rsidP="00FA310E">
            <w:pPr>
              <w:tabs>
                <w:tab w:val="left" w:pos="34"/>
              </w:tabs>
              <w:ind w:left="34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4760FB">
              <w:rPr>
                <w:sz w:val="18"/>
                <w:szCs w:val="18"/>
              </w:rPr>
              <w:t xml:space="preserve">Opkastning, </w:t>
            </w:r>
            <w:proofErr w:type="spellStart"/>
            <w:r w:rsidRPr="004760FB">
              <w:rPr>
                <w:sz w:val="18"/>
                <w:szCs w:val="18"/>
              </w:rPr>
              <w:t>abdominale</w:t>
            </w:r>
            <w:proofErr w:type="spellEnd"/>
            <w:r w:rsidRPr="004760FB">
              <w:rPr>
                <w:sz w:val="18"/>
                <w:szCs w:val="18"/>
              </w:rPr>
              <w:t xml:space="preserve"> gener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83" w:rsidRPr="004760FB" w:rsidRDefault="001E1883" w:rsidP="00FA310E">
            <w:pPr>
              <w:tabs>
                <w:tab w:val="left" w:pos="0"/>
              </w:tabs>
              <w:ind w:left="34" w:hanging="34"/>
              <w:rPr>
                <w:sz w:val="18"/>
                <w:szCs w:val="18"/>
              </w:rPr>
            </w:pPr>
            <w:proofErr w:type="spellStart"/>
            <w:r w:rsidRPr="004760FB">
              <w:rPr>
                <w:sz w:val="18"/>
                <w:szCs w:val="18"/>
              </w:rPr>
              <w:t>Gastrointestinal</w:t>
            </w:r>
            <w:proofErr w:type="spellEnd"/>
            <w:r w:rsidRPr="004760FB">
              <w:rPr>
                <w:sz w:val="18"/>
                <w:szCs w:val="18"/>
              </w:rPr>
              <w:t xml:space="preserve"> blødning,</w:t>
            </w:r>
          </w:p>
          <w:p w:rsidR="001E1883" w:rsidRPr="004760FB" w:rsidRDefault="001E1883" w:rsidP="00FA310E">
            <w:pPr>
              <w:tabs>
                <w:tab w:val="left" w:pos="0"/>
              </w:tabs>
              <w:ind w:left="34" w:hanging="34"/>
              <w:rPr>
                <w:sz w:val="18"/>
                <w:szCs w:val="18"/>
              </w:rPr>
            </w:pPr>
            <w:r w:rsidRPr="004760FB">
              <w:rPr>
                <w:sz w:val="18"/>
                <w:szCs w:val="18"/>
              </w:rPr>
              <w:t>mavesår og sår på tolvfingertarmen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</w:tr>
      <w:tr w:rsidR="001E1883" w:rsidRPr="004760FB" w:rsidTr="001E1883">
        <w:trPr>
          <w:trHeight w:val="51"/>
          <w:tblHeader/>
        </w:trPr>
        <w:tc>
          <w:tcPr>
            <w:tcW w:w="16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4760FB">
              <w:rPr>
                <w:sz w:val="18"/>
                <w:szCs w:val="18"/>
              </w:rPr>
              <w:t>Lever og galdeveje</w:t>
            </w:r>
          </w:p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883" w:rsidRPr="004760FB" w:rsidRDefault="001E1883" w:rsidP="00FA310E">
            <w:pPr>
              <w:tabs>
                <w:tab w:val="left" w:pos="34"/>
              </w:tabs>
              <w:ind w:left="34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883" w:rsidRPr="004760FB" w:rsidRDefault="001E1883" w:rsidP="00FA310E">
            <w:pPr>
              <w:tabs>
                <w:tab w:val="left" w:pos="0"/>
              </w:tabs>
              <w:ind w:left="34" w:hanging="34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4760FB">
              <w:rPr>
                <w:sz w:val="18"/>
                <w:szCs w:val="18"/>
              </w:rPr>
              <w:t xml:space="preserve">Leverdysfunktion </w:t>
            </w:r>
            <w:proofErr w:type="gramStart"/>
            <w:r w:rsidRPr="004760FB">
              <w:rPr>
                <w:sz w:val="18"/>
                <w:szCs w:val="18"/>
              </w:rPr>
              <w:t>inklusiv</w:t>
            </w:r>
            <w:proofErr w:type="gramEnd"/>
            <w:r w:rsidRPr="004760FB">
              <w:rPr>
                <w:sz w:val="18"/>
                <w:szCs w:val="18"/>
              </w:rPr>
              <w:t xml:space="preserve"> hepatitis***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</w:tr>
      <w:tr w:rsidR="001E1883" w:rsidRPr="004760FB" w:rsidTr="001E1883">
        <w:trPr>
          <w:trHeight w:val="51"/>
          <w:tblHeader/>
        </w:trPr>
        <w:tc>
          <w:tcPr>
            <w:tcW w:w="16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4760FB">
              <w:rPr>
                <w:sz w:val="18"/>
                <w:szCs w:val="18"/>
              </w:rPr>
              <w:t>Hud og subkutane væv</w:t>
            </w:r>
          </w:p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883" w:rsidRPr="004760FB" w:rsidRDefault="001E1883" w:rsidP="00FA310E">
            <w:pPr>
              <w:tabs>
                <w:tab w:val="left" w:pos="34"/>
              </w:tabs>
              <w:ind w:left="34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4760FB">
              <w:rPr>
                <w:sz w:val="18"/>
                <w:szCs w:val="18"/>
              </w:rPr>
              <w:t>Udslæt,</w:t>
            </w:r>
          </w:p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4760FB">
              <w:rPr>
                <w:sz w:val="18"/>
                <w:szCs w:val="18"/>
              </w:rPr>
              <w:t>Kløe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883" w:rsidRPr="004760FB" w:rsidRDefault="001E1883" w:rsidP="00FA310E">
            <w:pPr>
              <w:tabs>
                <w:tab w:val="left" w:pos="0"/>
              </w:tabs>
              <w:ind w:left="34" w:hanging="34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</w:tr>
      <w:tr w:rsidR="001E1883" w:rsidRPr="004760FB" w:rsidTr="001E1883">
        <w:trPr>
          <w:trHeight w:val="51"/>
          <w:tblHeader/>
        </w:trPr>
        <w:tc>
          <w:tcPr>
            <w:tcW w:w="16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4760FB">
              <w:rPr>
                <w:sz w:val="18"/>
                <w:szCs w:val="18"/>
              </w:rPr>
              <w:t>Knogler, led, muskler og bindevæv</w:t>
            </w:r>
          </w:p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883" w:rsidRPr="004760FB" w:rsidRDefault="001E1883" w:rsidP="00FA310E">
            <w:pPr>
              <w:tabs>
                <w:tab w:val="left" w:pos="34"/>
              </w:tabs>
              <w:ind w:left="34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4760FB">
              <w:rPr>
                <w:sz w:val="18"/>
                <w:szCs w:val="18"/>
              </w:rPr>
              <w:t>Muskelkramper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883" w:rsidRPr="004760FB" w:rsidRDefault="001E1883" w:rsidP="00FA310E">
            <w:pPr>
              <w:tabs>
                <w:tab w:val="left" w:pos="0"/>
              </w:tabs>
              <w:ind w:left="34" w:hanging="34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Rhabdomyoly</w:t>
            </w:r>
            <w:proofErr w:type="spellEnd"/>
            <w:r>
              <w:rPr>
                <w:sz w:val="18"/>
                <w:szCs w:val="18"/>
              </w:rPr>
              <w:t>-se****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1E1883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</w:tr>
      <w:tr w:rsidR="001E1883" w:rsidRPr="004760FB" w:rsidTr="001E1883">
        <w:trPr>
          <w:trHeight w:val="51"/>
          <w:tblHeader/>
        </w:trPr>
        <w:tc>
          <w:tcPr>
            <w:tcW w:w="16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4760FB">
              <w:rPr>
                <w:sz w:val="18"/>
                <w:szCs w:val="18"/>
              </w:rPr>
              <w:t>Nyrer og urinveje</w:t>
            </w:r>
          </w:p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883" w:rsidRPr="004760FB" w:rsidRDefault="001E1883" w:rsidP="00FA310E">
            <w:pPr>
              <w:tabs>
                <w:tab w:val="left" w:pos="34"/>
              </w:tabs>
              <w:ind w:left="34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4760FB">
              <w:rPr>
                <w:sz w:val="18"/>
                <w:szCs w:val="18"/>
              </w:rPr>
              <w:t>Urininkontinens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883" w:rsidRPr="004760FB" w:rsidRDefault="001E1883" w:rsidP="00FA310E">
            <w:pPr>
              <w:tabs>
                <w:tab w:val="left" w:pos="0"/>
              </w:tabs>
              <w:ind w:left="34" w:hanging="34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</w:tr>
      <w:tr w:rsidR="001E1883" w:rsidRPr="004760FB" w:rsidTr="001E1883">
        <w:trPr>
          <w:trHeight w:val="51"/>
          <w:tblHeader/>
        </w:trPr>
        <w:tc>
          <w:tcPr>
            <w:tcW w:w="16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4760FB">
              <w:rPr>
                <w:sz w:val="18"/>
                <w:szCs w:val="18"/>
              </w:rPr>
              <w:t>Almene symptomer og reaktioner på administrationsstedet</w:t>
            </w:r>
          </w:p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883" w:rsidRPr="004760FB" w:rsidRDefault="001E1883" w:rsidP="00FA310E">
            <w:pPr>
              <w:tabs>
                <w:tab w:val="left" w:pos="34"/>
              </w:tabs>
              <w:ind w:left="34"/>
              <w:rPr>
                <w:sz w:val="18"/>
                <w:szCs w:val="18"/>
              </w:rPr>
            </w:pPr>
            <w:r w:rsidRPr="004760FB">
              <w:rPr>
                <w:sz w:val="18"/>
                <w:szCs w:val="18"/>
              </w:rPr>
              <w:t>Hovedpine</w:t>
            </w:r>
          </w:p>
          <w:p w:rsidR="001E1883" w:rsidRPr="004760FB" w:rsidRDefault="001E1883" w:rsidP="00FA310E">
            <w:pPr>
              <w:tabs>
                <w:tab w:val="left" w:pos="34"/>
              </w:tabs>
              <w:ind w:left="34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4760FB">
              <w:rPr>
                <w:sz w:val="18"/>
                <w:szCs w:val="18"/>
              </w:rPr>
              <w:t>Træthed,</w:t>
            </w:r>
          </w:p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4760FB">
              <w:rPr>
                <w:sz w:val="18"/>
                <w:szCs w:val="18"/>
              </w:rPr>
              <w:t>Smerte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883" w:rsidRPr="004760FB" w:rsidRDefault="001E1883" w:rsidP="00FA310E">
            <w:pPr>
              <w:tabs>
                <w:tab w:val="left" w:pos="0"/>
              </w:tabs>
              <w:ind w:left="34" w:hanging="34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</w:tr>
      <w:tr w:rsidR="001E1883" w:rsidRPr="004760FB" w:rsidTr="001E1883">
        <w:trPr>
          <w:trHeight w:val="51"/>
          <w:tblHeader/>
        </w:trPr>
        <w:tc>
          <w:tcPr>
            <w:tcW w:w="16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4760FB">
              <w:rPr>
                <w:sz w:val="18"/>
                <w:szCs w:val="18"/>
              </w:rPr>
              <w:t>Undersøgelser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883" w:rsidRPr="004760FB" w:rsidRDefault="001E1883" w:rsidP="00FA310E">
            <w:pPr>
              <w:tabs>
                <w:tab w:val="left" w:pos="34"/>
              </w:tabs>
              <w:ind w:left="34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83" w:rsidRPr="004760FB" w:rsidRDefault="001E1883" w:rsidP="00FA310E">
            <w:pPr>
              <w:tabs>
                <w:tab w:val="left" w:pos="0"/>
              </w:tabs>
              <w:ind w:left="34" w:hanging="34"/>
              <w:rPr>
                <w:sz w:val="18"/>
                <w:szCs w:val="18"/>
              </w:rPr>
            </w:pPr>
            <w:r w:rsidRPr="004760FB">
              <w:rPr>
                <w:sz w:val="18"/>
                <w:szCs w:val="18"/>
              </w:rPr>
              <w:t xml:space="preserve">Mindre stigning i serumkoncentration af </w:t>
            </w:r>
            <w:proofErr w:type="spellStart"/>
            <w:r w:rsidRPr="004760FB">
              <w:rPr>
                <w:sz w:val="18"/>
                <w:szCs w:val="18"/>
              </w:rPr>
              <w:t>muskelkreatinkinase</w:t>
            </w:r>
            <w:proofErr w:type="spellEnd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</w:tr>
      <w:tr w:rsidR="001E1883" w:rsidRPr="004760FB" w:rsidTr="001E1883">
        <w:trPr>
          <w:trHeight w:val="51"/>
          <w:tblHeader/>
        </w:trPr>
        <w:tc>
          <w:tcPr>
            <w:tcW w:w="16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4760FB">
              <w:rPr>
                <w:sz w:val="18"/>
                <w:szCs w:val="18"/>
              </w:rPr>
              <w:t>Traumer, forgiftninger og behandlingskomplikationer</w:t>
            </w:r>
          </w:p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E1883" w:rsidRPr="004760FB" w:rsidRDefault="001E1883" w:rsidP="00FA310E">
            <w:pPr>
              <w:tabs>
                <w:tab w:val="left" w:pos="34"/>
              </w:tabs>
              <w:ind w:left="34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4760FB">
              <w:rPr>
                <w:sz w:val="18"/>
                <w:szCs w:val="18"/>
              </w:rPr>
              <w:t>Ulykkestilfælde</w:t>
            </w:r>
            <w:r>
              <w:rPr>
                <w:sz w:val="18"/>
                <w:szCs w:val="18"/>
              </w:rPr>
              <w:t xml:space="preserve"> herunder fald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E1883" w:rsidRPr="004760FB" w:rsidRDefault="001E1883" w:rsidP="00FA310E">
            <w:pPr>
              <w:tabs>
                <w:tab w:val="left" w:pos="0"/>
              </w:tabs>
              <w:ind w:left="34" w:hanging="34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</w:tcPr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1E1883" w:rsidRPr="004760FB" w:rsidRDefault="001E1883" w:rsidP="00FA310E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</w:tr>
    </w:tbl>
    <w:p w:rsidR="00303D00" w:rsidRPr="00121903" w:rsidRDefault="00303D00" w:rsidP="00303D00">
      <w:pPr>
        <w:ind w:left="851" w:hanging="851"/>
        <w:rPr>
          <w:sz w:val="24"/>
          <w:szCs w:val="24"/>
        </w:rPr>
      </w:pPr>
    </w:p>
    <w:p w:rsidR="00303D00" w:rsidRPr="00121903" w:rsidRDefault="00303D00" w:rsidP="00303D00">
      <w:pPr>
        <w:ind w:left="851" w:hanging="851"/>
        <w:rPr>
          <w:sz w:val="24"/>
          <w:szCs w:val="24"/>
        </w:rPr>
      </w:pPr>
      <w:r w:rsidRPr="00121903">
        <w:rPr>
          <w:sz w:val="24"/>
          <w:szCs w:val="24"/>
        </w:rPr>
        <w:tab/>
        <w:t>*Ved undersøgelse af patienter med synkope eller krampeanfald bør muligheden for hjerteblok eller lang sinuspause overvejes (se pkt. 4.4)</w:t>
      </w:r>
    </w:p>
    <w:p w:rsidR="00303D00" w:rsidRPr="00476025" w:rsidRDefault="00303D00" w:rsidP="00303D00">
      <w:pPr>
        <w:ind w:left="851" w:hanging="851"/>
        <w:rPr>
          <w:sz w:val="24"/>
          <w:szCs w:val="24"/>
        </w:rPr>
      </w:pPr>
    </w:p>
    <w:p w:rsidR="00303D00" w:rsidRPr="00121903" w:rsidRDefault="00303D00" w:rsidP="00303D00">
      <w:pPr>
        <w:ind w:left="851" w:hanging="851"/>
        <w:rPr>
          <w:sz w:val="24"/>
          <w:szCs w:val="24"/>
        </w:rPr>
      </w:pPr>
      <w:r w:rsidRPr="00121903">
        <w:rPr>
          <w:sz w:val="24"/>
          <w:szCs w:val="24"/>
        </w:rPr>
        <w:tab/>
        <w:t>**Tilfælde af vedrørende hallucinationer, unormale drømme og mareridt, agitation og aggressiv opførsel er ophørt ved dosisreduktion eller afbrydelse af behandlingen.</w:t>
      </w:r>
    </w:p>
    <w:p w:rsidR="00303D00" w:rsidRPr="00121903" w:rsidRDefault="00303D00" w:rsidP="00303D00">
      <w:pPr>
        <w:ind w:left="851" w:hanging="851"/>
        <w:rPr>
          <w:sz w:val="24"/>
          <w:szCs w:val="24"/>
        </w:rPr>
      </w:pPr>
    </w:p>
    <w:p w:rsidR="00303D00" w:rsidRDefault="00303D00" w:rsidP="00303D00">
      <w:pPr>
        <w:ind w:left="851" w:hanging="851"/>
        <w:rPr>
          <w:sz w:val="24"/>
          <w:szCs w:val="24"/>
        </w:rPr>
      </w:pPr>
      <w:r w:rsidRPr="00121903">
        <w:rPr>
          <w:sz w:val="24"/>
          <w:szCs w:val="24"/>
        </w:rPr>
        <w:tab/>
        <w:t xml:space="preserve">***I tilfælde af uforklarlig leverdysfunktion, bør man overveje at seponere behandlingen med </w:t>
      </w:r>
      <w:proofErr w:type="spellStart"/>
      <w:r w:rsidRPr="00121903">
        <w:rPr>
          <w:sz w:val="24"/>
          <w:szCs w:val="24"/>
        </w:rPr>
        <w:t>Donepezil</w:t>
      </w:r>
      <w:proofErr w:type="spellEnd"/>
      <w:r w:rsidRPr="00121903">
        <w:rPr>
          <w:sz w:val="24"/>
          <w:szCs w:val="24"/>
        </w:rPr>
        <w:t xml:space="preserve"> </w:t>
      </w:r>
      <w:r>
        <w:rPr>
          <w:sz w:val="24"/>
          <w:szCs w:val="24"/>
        </w:rPr>
        <w:t>”</w:t>
      </w:r>
      <w:proofErr w:type="spellStart"/>
      <w:r>
        <w:rPr>
          <w:sz w:val="24"/>
          <w:szCs w:val="24"/>
        </w:rPr>
        <w:t>Jubilant</w:t>
      </w:r>
      <w:proofErr w:type="spellEnd"/>
      <w:r>
        <w:rPr>
          <w:sz w:val="24"/>
          <w:szCs w:val="24"/>
        </w:rPr>
        <w:t>”</w:t>
      </w:r>
      <w:r w:rsidRPr="00121903">
        <w:rPr>
          <w:sz w:val="24"/>
          <w:szCs w:val="24"/>
        </w:rPr>
        <w:t>.</w:t>
      </w:r>
    </w:p>
    <w:p w:rsidR="00303D00" w:rsidRDefault="00303D00" w:rsidP="00303D00">
      <w:pPr>
        <w:ind w:left="851" w:hanging="851"/>
        <w:rPr>
          <w:sz w:val="24"/>
          <w:szCs w:val="24"/>
        </w:rPr>
      </w:pPr>
    </w:p>
    <w:p w:rsidR="00303D00" w:rsidRPr="00121903" w:rsidRDefault="00303D00" w:rsidP="00303D0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121903">
        <w:rPr>
          <w:sz w:val="24"/>
          <w:szCs w:val="24"/>
        </w:rPr>
        <w:t>***</w:t>
      </w:r>
      <w:r>
        <w:rPr>
          <w:sz w:val="24"/>
          <w:szCs w:val="24"/>
        </w:rPr>
        <w:t>*</w:t>
      </w:r>
      <w:r w:rsidRPr="0035388C">
        <w:rPr>
          <w:sz w:val="24"/>
          <w:szCs w:val="24"/>
        </w:rPr>
        <w:t xml:space="preserve">Der er indberettet </w:t>
      </w:r>
      <w:proofErr w:type="spellStart"/>
      <w:r w:rsidRPr="0035388C">
        <w:rPr>
          <w:sz w:val="24"/>
          <w:szCs w:val="24"/>
        </w:rPr>
        <w:t>rhabdomyolyse</w:t>
      </w:r>
      <w:proofErr w:type="spellEnd"/>
      <w:r w:rsidRPr="0035388C">
        <w:rPr>
          <w:sz w:val="24"/>
          <w:szCs w:val="24"/>
        </w:rPr>
        <w:t xml:space="preserve">, som optræder uafhængigt af malignt </w:t>
      </w:r>
      <w:proofErr w:type="spellStart"/>
      <w:r w:rsidRPr="0035388C">
        <w:rPr>
          <w:sz w:val="24"/>
          <w:szCs w:val="24"/>
        </w:rPr>
        <w:t>neuroleptikasyndrom</w:t>
      </w:r>
      <w:proofErr w:type="spellEnd"/>
      <w:r w:rsidRPr="0035388C">
        <w:rPr>
          <w:sz w:val="24"/>
          <w:szCs w:val="24"/>
        </w:rPr>
        <w:t xml:space="preserve"> og med tidsmæssig sammenhæng med opstart af </w:t>
      </w:r>
      <w:proofErr w:type="spellStart"/>
      <w:r w:rsidRPr="0035388C">
        <w:rPr>
          <w:sz w:val="24"/>
          <w:szCs w:val="24"/>
        </w:rPr>
        <w:t>donepezil</w:t>
      </w:r>
      <w:proofErr w:type="spellEnd"/>
      <w:r w:rsidRPr="0035388C">
        <w:rPr>
          <w:sz w:val="24"/>
          <w:szCs w:val="24"/>
        </w:rPr>
        <w:t xml:space="preserve"> behandling eller ved dosisforøgelse af </w:t>
      </w:r>
      <w:proofErr w:type="spellStart"/>
      <w:r w:rsidRPr="0035388C">
        <w:rPr>
          <w:sz w:val="24"/>
          <w:szCs w:val="24"/>
        </w:rPr>
        <w:t>donepezil</w:t>
      </w:r>
      <w:proofErr w:type="spellEnd"/>
      <w:r w:rsidRPr="00EF405D">
        <w:rPr>
          <w:sz w:val="24"/>
          <w:szCs w:val="24"/>
        </w:rPr>
        <w:t>.</w:t>
      </w:r>
    </w:p>
    <w:p w:rsidR="00303D00" w:rsidRDefault="00303D00" w:rsidP="00303D00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303D00" w:rsidRPr="00395F7D" w:rsidRDefault="00303D00" w:rsidP="00303D00">
      <w:pPr>
        <w:tabs>
          <w:tab w:val="left" w:pos="851"/>
        </w:tabs>
        <w:autoSpaceDE w:val="0"/>
        <w:autoSpaceDN w:val="0"/>
        <w:adjustRightInd w:val="0"/>
        <w:ind w:left="851"/>
        <w:rPr>
          <w:u w:val="single"/>
        </w:rPr>
      </w:pPr>
      <w:r w:rsidRPr="00395F7D">
        <w:rPr>
          <w:noProof/>
          <w:u w:val="single"/>
        </w:rPr>
        <w:t>Indberetning af mistænkte bivirkninger</w:t>
      </w:r>
    </w:p>
    <w:p w:rsidR="00F61317" w:rsidRDefault="00303D00" w:rsidP="00F61317">
      <w:pPr>
        <w:tabs>
          <w:tab w:val="left" w:pos="851"/>
        </w:tabs>
        <w:autoSpaceDE w:val="0"/>
        <w:autoSpaceDN w:val="0"/>
        <w:adjustRightInd w:val="0"/>
        <w:ind w:left="851"/>
        <w:rPr>
          <w:noProof/>
        </w:rPr>
      </w:pPr>
      <w:r w:rsidRPr="00395F7D">
        <w:rPr>
          <w:noProof/>
        </w:rPr>
        <w:t>Når lægemidlet er godkendt, er indberetning af mistænkte bivirkninger vigtig.</w:t>
      </w:r>
      <w:r w:rsidRPr="00395F7D">
        <w:t xml:space="preserve"> </w:t>
      </w:r>
      <w:r w:rsidRPr="00395F7D">
        <w:rPr>
          <w:noProof/>
        </w:rPr>
        <w:t>Det muliggør løbende overvågning af benefit/risk-forholdet for lægemidlet.</w:t>
      </w:r>
      <w:r w:rsidRPr="00395F7D">
        <w:t xml:space="preserve"> </w:t>
      </w:r>
      <w:r w:rsidRPr="00395F7D">
        <w:rPr>
          <w:noProof/>
        </w:rPr>
        <w:t>Læger og sundhedspersonale anmodes om at indberette alle mistænkte bivirkninger via:</w:t>
      </w:r>
    </w:p>
    <w:p w:rsidR="00F61317" w:rsidRDefault="00F61317" w:rsidP="00F61317">
      <w:pPr>
        <w:tabs>
          <w:tab w:val="left" w:pos="851"/>
        </w:tabs>
        <w:autoSpaceDE w:val="0"/>
        <w:autoSpaceDN w:val="0"/>
        <w:adjustRightInd w:val="0"/>
        <w:ind w:left="851"/>
        <w:rPr>
          <w:rFonts w:eastAsia="Calibri"/>
          <w:color w:val="000000"/>
          <w:lang w:eastAsia="zh-CN"/>
        </w:rPr>
      </w:pPr>
    </w:p>
    <w:p w:rsidR="00303D00" w:rsidRPr="00395F7D" w:rsidRDefault="00303D00" w:rsidP="00F61317">
      <w:pPr>
        <w:tabs>
          <w:tab w:val="left" w:pos="851"/>
        </w:tabs>
        <w:autoSpaceDE w:val="0"/>
        <w:autoSpaceDN w:val="0"/>
        <w:adjustRightInd w:val="0"/>
        <w:ind w:left="851"/>
        <w:rPr>
          <w:rFonts w:eastAsia="Calibri"/>
          <w:color w:val="000000"/>
          <w:lang w:eastAsia="zh-CN"/>
        </w:rPr>
      </w:pPr>
      <w:r>
        <w:rPr>
          <w:rFonts w:eastAsia="Calibri"/>
          <w:color w:val="000000"/>
          <w:lang w:eastAsia="zh-CN"/>
        </w:rPr>
        <w:t>L</w:t>
      </w:r>
      <w:r w:rsidRPr="00121903">
        <w:rPr>
          <w:sz w:val="24"/>
          <w:szCs w:val="24"/>
        </w:rPr>
        <w:t>æ</w:t>
      </w:r>
      <w:r>
        <w:rPr>
          <w:sz w:val="24"/>
          <w:szCs w:val="24"/>
        </w:rPr>
        <w:t>gemiddel</w:t>
      </w:r>
      <w:r w:rsidRPr="00395F7D">
        <w:rPr>
          <w:rFonts w:eastAsia="Calibri"/>
          <w:color w:val="000000"/>
          <w:lang w:eastAsia="zh-CN"/>
        </w:rPr>
        <w:t>styrelsen</w:t>
      </w:r>
    </w:p>
    <w:p w:rsidR="00303D00" w:rsidRPr="00395F7D" w:rsidRDefault="00303D00" w:rsidP="00303D00">
      <w:pPr>
        <w:tabs>
          <w:tab w:val="left" w:pos="851"/>
        </w:tabs>
        <w:ind w:left="851"/>
        <w:rPr>
          <w:rFonts w:eastAsia="Calibri"/>
          <w:noProof/>
          <w:lang w:eastAsia="zh-CN"/>
        </w:rPr>
      </w:pPr>
      <w:r w:rsidRPr="00395F7D">
        <w:rPr>
          <w:rFonts w:eastAsia="Calibri"/>
          <w:lang w:eastAsia="zh-CN"/>
        </w:rPr>
        <w:t>Axel Heides Gade 1</w:t>
      </w:r>
    </w:p>
    <w:p w:rsidR="00303D00" w:rsidRPr="00395F7D" w:rsidRDefault="00303D00" w:rsidP="00303D00">
      <w:pPr>
        <w:tabs>
          <w:tab w:val="left" w:pos="851"/>
        </w:tabs>
        <w:ind w:left="851"/>
        <w:rPr>
          <w:rFonts w:eastAsia="Calibri"/>
          <w:noProof/>
          <w:lang w:eastAsia="zh-CN"/>
        </w:rPr>
      </w:pPr>
      <w:r w:rsidRPr="00395F7D">
        <w:rPr>
          <w:rFonts w:eastAsia="Calibri"/>
          <w:noProof/>
          <w:lang w:eastAsia="zh-CN"/>
        </w:rPr>
        <w:t xml:space="preserve">DK-2300 </w:t>
      </w:r>
      <w:r w:rsidRPr="00395F7D">
        <w:rPr>
          <w:rFonts w:eastAsia="Calibri"/>
          <w:lang w:eastAsia="zh-CN"/>
        </w:rPr>
        <w:t>København S</w:t>
      </w:r>
    </w:p>
    <w:p w:rsidR="00303D00" w:rsidRPr="00F61317" w:rsidRDefault="00303D00" w:rsidP="00F61317">
      <w:pPr>
        <w:tabs>
          <w:tab w:val="left" w:pos="-720"/>
          <w:tab w:val="left" w:pos="851"/>
        </w:tabs>
        <w:suppressAutoHyphens/>
        <w:ind w:left="851"/>
        <w:rPr>
          <w:rFonts w:eastAsia="Calibri"/>
          <w:noProof/>
          <w:lang w:val="en-US" w:eastAsia="zh-CN"/>
        </w:rPr>
      </w:pPr>
      <w:proofErr w:type="spellStart"/>
      <w:r w:rsidRPr="00395F7D">
        <w:rPr>
          <w:rFonts w:eastAsia="Calibri"/>
          <w:lang w:val="en-US" w:eastAsia="zh-CN"/>
        </w:rPr>
        <w:t>Websted</w:t>
      </w:r>
      <w:proofErr w:type="spellEnd"/>
      <w:r w:rsidRPr="00395F7D">
        <w:rPr>
          <w:rFonts w:eastAsia="Calibri"/>
          <w:noProof/>
          <w:lang w:val="en-US" w:eastAsia="zh-CN"/>
        </w:rPr>
        <w:t xml:space="preserve">: </w:t>
      </w:r>
      <w:hyperlink r:id="rId9" w:history="1">
        <w:r w:rsidRPr="00395F7D">
          <w:rPr>
            <w:rFonts w:eastAsia="Calibri"/>
            <w:noProof/>
            <w:color w:val="0000FF"/>
            <w:u w:val="single"/>
            <w:lang w:val="en-US" w:eastAsia="zh-CN"/>
          </w:rPr>
          <w:t>www.meldenbivirkning.dk</w:t>
        </w:r>
      </w:hyperlink>
    </w:p>
    <w:p w:rsidR="00E54907" w:rsidRPr="00616A8C" w:rsidRDefault="00E54907" w:rsidP="00303D00">
      <w:pPr>
        <w:ind w:left="851" w:hanging="851"/>
        <w:rPr>
          <w:szCs w:val="24"/>
          <w:lang w:val="en-US"/>
        </w:rPr>
      </w:pPr>
    </w:p>
    <w:p w:rsidR="00E54907" w:rsidRPr="00121903" w:rsidRDefault="00E54907" w:rsidP="00E54907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121903">
        <w:rPr>
          <w:b/>
          <w:sz w:val="24"/>
          <w:szCs w:val="24"/>
        </w:rPr>
        <w:t>Overdosering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  <w:r w:rsidRPr="00121903">
        <w:rPr>
          <w:sz w:val="24"/>
          <w:szCs w:val="24"/>
        </w:rPr>
        <w:tab/>
        <w:t xml:space="preserve">Den skønnede gennemsnitlige letaldosis af </w:t>
      </w:r>
      <w:proofErr w:type="spellStart"/>
      <w:r w:rsidRPr="00121903">
        <w:rPr>
          <w:sz w:val="24"/>
          <w:szCs w:val="24"/>
        </w:rPr>
        <w:t>donepezilhydrochlorid</w:t>
      </w:r>
      <w:proofErr w:type="spellEnd"/>
      <w:r w:rsidRPr="00121903">
        <w:rPr>
          <w:sz w:val="24"/>
          <w:szCs w:val="24"/>
        </w:rPr>
        <w:t xml:space="preserve"> efter en enkelt oral dosis hos mus og rotter er henholdsvis 45 og 32 mg/kg eller ca. 225 og 160 gange den højst anbefalede daglige humandosis på 10 mg. Der er set dosisrelaterede tegn på </w:t>
      </w:r>
      <w:proofErr w:type="spellStart"/>
      <w:r w:rsidRPr="00121903">
        <w:rPr>
          <w:sz w:val="24"/>
          <w:szCs w:val="24"/>
        </w:rPr>
        <w:t>kolinerg</w:t>
      </w:r>
      <w:proofErr w:type="spellEnd"/>
      <w:r w:rsidRPr="00121903">
        <w:rPr>
          <w:sz w:val="24"/>
          <w:szCs w:val="24"/>
        </w:rPr>
        <w:t xml:space="preserve"> stimulation hos dyr som </w:t>
      </w:r>
      <w:proofErr w:type="gramStart"/>
      <w:r w:rsidRPr="00121903">
        <w:rPr>
          <w:sz w:val="24"/>
          <w:szCs w:val="24"/>
        </w:rPr>
        <w:t>f. eks.</w:t>
      </w:r>
      <w:proofErr w:type="gramEnd"/>
      <w:r w:rsidRPr="00121903">
        <w:rPr>
          <w:sz w:val="24"/>
          <w:szCs w:val="24"/>
        </w:rPr>
        <w:t xml:space="preserve"> nedsat spontanbevægelse, bugleje, vaklende gang, tåreflåd, kloniske kramper, nedsat respiration, øget spytsekretion, </w:t>
      </w:r>
      <w:proofErr w:type="spellStart"/>
      <w:r w:rsidRPr="00121903">
        <w:rPr>
          <w:sz w:val="24"/>
          <w:szCs w:val="24"/>
        </w:rPr>
        <w:t>miosis</w:t>
      </w:r>
      <w:proofErr w:type="spellEnd"/>
      <w:r w:rsidRPr="00121903">
        <w:rPr>
          <w:sz w:val="24"/>
          <w:szCs w:val="24"/>
        </w:rPr>
        <w:t xml:space="preserve">, </w:t>
      </w:r>
      <w:proofErr w:type="spellStart"/>
      <w:r w:rsidRPr="00121903">
        <w:rPr>
          <w:sz w:val="24"/>
          <w:szCs w:val="24"/>
        </w:rPr>
        <w:t>fascikulationer</w:t>
      </w:r>
      <w:proofErr w:type="spellEnd"/>
      <w:r w:rsidRPr="00121903">
        <w:rPr>
          <w:sz w:val="24"/>
          <w:szCs w:val="24"/>
        </w:rPr>
        <w:t xml:space="preserve"> og reduceret kropsoverfladetemperatur.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  <w:r w:rsidRPr="00121903">
        <w:rPr>
          <w:sz w:val="24"/>
          <w:szCs w:val="24"/>
        </w:rPr>
        <w:tab/>
        <w:t xml:space="preserve">Overdosis med </w:t>
      </w:r>
      <w:proofErr w:type="spellStart"/>
      <w:r w:rsidRPr="00121903">
        <w:rPr>
          <w:sz w:val="24"/>
          <w:szCs w:val="24"/>
        </w:rPr>
        <w:t>cholinesterasehæmmere</w:t>
      </w:r>
      <w:proofErr w:type="spellEnd"/>
      <w:r w:rsidRPr="00121903">
        <w:rPr>
          <w:sz w:val="24"/>
          <w:szCs w:val="24"/>
        </w:rPr>
        <w:t xml:space="preserve"> kan medføre </w:t>
      </w:r>
      <w:proofErr w:type="spellStart"/>
      <w:r w:rsidRPr="00121903">
        <w:rPr>
          <w:sz w:val="24"/>
          <w:szCs w:val="24"/>
        </w:rPr>
        <w:t>kolinerge</w:t>
      </w:r>
      <w:proofErr w:type="spellEnd"/>
      <w:r w:rsidRPr="00121903">
        <w:rPr>
          <w:sz w:val="24"/>
          <w:szCs w:val="24"/>
        </w:rPr>
        <w:t xml:space="preserve"> kriser karakteriseret ved svær kvalme, opkastninger, øget spytsekretion, øget svedtendens, bradykardi, hypotension, respirationsdepression, kollaps og kramper. Tiltagende muskelsvækkelse kan forekomme og kan medføre i død, hvis respirationsmusklerne er omfattet.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  <w:r w:rsidRPr="00121903">
        <w:rPr>
          <w:sz w:val="24"/>
          <w:szCs w:val="24"/>
        </w:rPr>
        <w:tab/>
        <w:t xml:space="preserve">Som i ethvert tilfælde af overdosering bør der anvendes almindelige understøttende forholdsregler. Tertiære </w:t>
      </w:r>
      <w:proofErr w:type="spellStart"/>
      <w:r w:rsidRPr="00121903">
        <w:rPr>
          <w:sz w:val="24"/>
          <w:szCs w:val="24"/>
        </w:rPr>
        <w:t>antikolinergika</w:t>
      </w:r>
      <w:proofErr w:type="spellEnd"/>
      <w:r w:rsidRPr="00121903">
        <w:rPr>
          <w:sz w:val="24"/>
          <w:szCs w:val="24"/>
        </w:rPr>
        <w:t xml:space="preserve"> som f.eks. atropin kan anvendes som </w:t>
      </w:r>
      <w:proofErr w:type="spellStart"/>
      <w:r w:rsidRPr="00121903">
        <w:rPr>
          <w:sz w:val="24"/>
          <w:szCs w:val="24"/>
        </w:rPr>
        <w:t>antidot</w:t>
      </w:r>
      <w:proofErr w:type="spellEnd"/>
      <w:r w:rsidRPr="00121903">
        <w:rPr>
          <w:sz w:val="24"/>
          <w:szCs w:val="24"/>
        </w:rPr>
        <w:t xml:space="preserve"> ved overdosis med </w:t>
      </w:r>
      <w:proofErr w:type="spellStart"/>
      <w:r w:rsidRPr="00121903">
        <w:rPr>
          <w:sz w:val="24"/>
          <w:szCs w:val="24"/>
        </w:rPr>
        <w:t>Donepezil</w:t>
      </w:r>
      <w:proofErr w:type="spellEnd"/>
      <w:r w:rsidRPr="00121903">
        <w:rPr>
          <w:sz w:val="24"/>
          <w:szCs w:val="24"/>
        </w:rPr>
        <w:t xml:space="preserve"> </w:t>
      </w:r>
      <w:r>
        <w:rPr>
          <w:sz w:val="24"/>
          <w:szCs w:val="24"/>
        </w:rPr>
        <w:t>”</w:t>
      </w:r>
      <w:proofErr w:type="spellStart"/>
      <w:r>
        <w:rPr>
          <w:sz w:val="24"/>
          <w:szCs w:val="24"/>
        </w:rPr>
        <w:t>Jubilant</w:t>
      </w:r>
      <w:proofErr w:type="spellEnd"/>
      <w:r>
        <w:rPr>
          <w:sz w:val="24"/>
          <w:szCs w:val="24"/>
        </w:rPr>
        <w:t>”</w:t>
      </w:r>
      <w:r w:rsidRPr="00121903">
        <w:rPr>
          <w:sz w:val="24"/>
          <w:szCs w:val="24"/>
        </w:rPr>
        <w:t xml:space="preserve">. Der anbefales </w:t>
      </w:r>
      <w:proofErr w:type="gramStart"/>
      <w:r w:rsidRPr="00121903">
        <w:rPr>
          <w:sz w:val="24"/>
          <w:szCs w:val="24"/>
        </w:rPr>
        <w:t>intravenøs atropinsulfat</w:t>
      </w:r>
      <w:proofErr w:type="gramEnd"/>
      <w:r w:rsidRPr="00121903">
        <w:rPr>
          <w:sz w:val="24"/>
          <w:szCs w:val="24"/>
        </w:rPr>
        <w:t xml:space="preserve"> titreret til effekt: En initial intravenøs dosis på 1,0 - 2,0 mg med efterfølgende doser baseret på den kliniske effekt. Der er rapporteret om atypisk effekt på blodtryk og hjertefrekvens efter indgift af andre </w:t>
      </w:r>
      <w:proofErr w:type="spellStart"/>
      <w:r w:rsidRPr="00121903">
        <w:rPr>
          <w:sz w:val="24"/>
          <w:szCs w:val="24"/>
        </w:rPr>
        <w:t>cholinomimetika</w:t>
      </w:r>
      <w:proofErr w:type="spellEnd"/>
      <w:r w:rsidRPr="00121903">
        <w:rPr>
          <w:sz w:val="24"/>
          <w:szCs w:val="24"/>
        </w:rPr>
        <w:t xml:space="preserve"> ved samtidig indgift af kvarternære </w:t>
      </w:r>
      <w:proofErr w:type="spellStart"/>
      <w:r w:rsidRPr="00121903">
        <w:rPr>
          <w:sz w:val="24"/>
          <w:szCs w:val="24"/>
        </w:rPr>
        <w:t>antikolinergika</w:t>
      </w:r>
      <w:proofErr w:type="spellEnd"/>
      <w:r w:rsidRPr="00121903">
        <w:rPr>
          <w:sz w:val="24"/>
          <w:szCs w:val="24"/>
        </w:rPr>
        <w:t xml:space="preserve"> som f.eks. </w:t>
      </w:r>
      <w:proofErr w:type="spellStart"/>
      <w:r w:rsidRPr="00121903">
        <w:rPr>
          <w:sz w:val="24"/>
          <w:szCs w:val="24"/>
        </w:rPr>
        <w:t>glycopyrrolat</w:t>
      </w:r>
      <w:proofErr w:type="spellEnd"/>
      <w:r w:rsidRPr="00121903">
        <w:rPr>
          <w:sz w:val="24"/>
          <w:szCs w:val="24"/>
        </w:rPr>
        <w:t xml:space="preserve">. Det vides ikke, om </w:t>
      </w:r>
      <w:proofErr w:type="spellStart"/>
      <w:r w:rsidRPr="00121903">
        <w:rPr>
          <w:sz w:val="24"/>
          <w:szCs w:val="24"/>
        </w:rPr>
        <w:t>donepezilhydrochlorid</w:t>
      </w:r>
      <w:proofErr w:type="spellEnd"/>
      <w:r w:rsidRPr="00121903">
        <w:rPr>
          <w:sz w:val="24"/>
          <w:szCs w:val="24"/>
        </w:rPr>
        <w:t xml:space="preserve"> og/eller dets metabolitter kan fjernes ved dialyse (hæmodialyse, </w:t>
      </w:r>
      <w:proofErr w:type="spellStart"/>
      <w:r w:rsidRPr="00121903">
        <w:rPr>
          <w:sz w:val="24"/>
          <w:szCs w:val="24"/>
        </w:rPr>
        <w:t>peritoneal</w:t>
      </w:r>
      <w:proofErr w:type="spellEnd"/>
      <w:r w:rsidRPr="00121903">
        <w:rPr>
          <w:sz w:val="24"/>
          <w:szCs w:val="24"/>
        </w:rPr>
        <w:t xml:space="preserve"> dialyse eller </w:t>
      </w:r>
      <w:proofErr w:type="spellStart"/>
      <w:r w:rsidRPr="00121903">
        <w:rPr>
          <w:sz w:val="24"/>
          <w:szCs w:val="24"/>
        </w:rPr>
        <w:t>hæmofiltration</w:t>
      </w:r>
      <w:proofErr w:type="spellEnd"/>
      <w:r w:rsidRPr="00121903">
        <w:rPr>
          <w:sz w:val="24"/>
          <w:szCs w:val="24"/>
        </w:rPr>
        <w:t>).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E54907" w:rsidRPr="00121903" w:rsidRDefault="00E54907" w:rsidP="00E54907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121903">
        <w:rPr>
          <w:b/>
          <w:sz w:val="24"/>
          <w:szCs w:val="24"/>
        </w:rPr>
        <w:t>Udlevering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  <w:r w:rsidRPr="00121903">
        <w:rPr>
          <w:sz w:val="24"/>
          <w:szCs w:val="24"/>
        </w:rPr>
        <w:tab/>
      </w:r>
      <w:r>
        <w:rPr>
          <w:sz w:val="24"/>
          <w:szCs w:val="24"/>
        </w:rPr>
        <w:t>A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E54907" w:rsidRPr="00303D00" w:rsidRDefault="00E54907" w:rsidP="00303D00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121903">
        <w:rPr>
          <w:b/>
          <w:sz w:val="24"/>
          <w:szCs w:val="24"/>
        </w:rPr>
        <w:t>FARMAKOLOGISKE EGENSKABER</w:t>
      </w:r>
      <w:r w:rsidRPr="00303D00">
        <w:rPr>
          <w:sz w:val="24"/>
          <w:szCs w:val="24"/>
        </w:rPr>
        <w:tab/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E54907" w:rsidRPr="00121903" w:rsidRDefault="00E54907" w:rsidP="00E54907">
      <w:pPr>
        <w:numPr>
          <w:ilvl w:val="1"/>
          <w:numId w:val="2"/>
        </w:numPr>
        <w:tabs>
          <w:tab w:val="clear" w:pos="2159"/>
        </w:tabs>
        <w:ind w:left="851" w:hanging="851"/>
        <w:rPr>
          <w:b/>
          <w:sz w:val="24"/>
          <w:szCs w:val="24"/>
        </w:rPr>
      </w:pPr>
      <w:proofErr w:type="spellStart"/>
      <w:r w:rsidRPr="00121903">
        <w:rPr>
          <w:b/>
          <w:sz w:val="24"/>
          <w:szCs w:val="24"/>
        </w:rPr>
        <w:t>Farmakodynamiske</w:t>
      </w:r>
      <w:proofErr w:type="spellEnd"/>
      <w:r w:rsidRPr="00121903">
        <w:rPr>
          <w:b/>
          <w:sz w:val="24"/>
          <w:szCs w:val="24"/>
        </w:rPr>
        <w:t xml:space="preserve"> egenskaber</w:t>
      </w:r>
    </w:p>
    <w:p w:rsidR="0041538E" w:rsidRPr="0041538E" w:rsidRDefault="0041538E" w:rsidP="0041538E">
      <w:pPr>
        <w:pStyle w:val="Listeafsnit"/>
        <w:ind w:left="855"/>
        <w:rPr>
          <w:sz w:val="24"/>
          <w:szCs w:val="24"/>
        </w:rPr>
      </w:pPr>
      <w:proofErr w:type="spellStart"/>
      <w:r w:rsidRPr="0041538E">
        <w:rPr>
          <w:sz w:val="24"/>
          <w:szCs w:val="24"/>
        </w:rPr>
        <w:t>Farmakoterapeutisk</w:t>
      </w:r>
      <w:proofErr w:type="spellEnd"/>
      <w:r w:rsidRPr="0041538E">
        <w:rPr>
          <w:sz w:val="24"/>
          <w:szCs w:val="24"/>
        </w:rPr>
        <w:t xml:space="preserve"> klassifikation: midler mod demens; </w:t>
      </w:r>
      <w:proofErr w:type="spellStart"/>
      <w:r w:rsidRPr="0041538E">
        <w:rPr>
          <w:sz w:val="24"/>
          <w:szCs w:val="24"/>
        </w:rPr>
        <w:t>cholinesterasehæmmere</w:t>
      </w:r>
      <w:proofErr w:type="spellEnd"/>
      <w:r w:rsidRPr="0041538E">
        <w:rPr>
          <w:sz w:val="24"/>
          <w:szCs w:val="24"/>
        </w:rPr>
        <w:t xml:space="preserve"> </w:t>
      </w:r>
    </w:p>
    <w:p w:rsidR="0041538E" w:rsidRPr="0041538E" w:rsidRDefault="0041538E" w:rsidP="0041538E">
      <w:pPr>
        <w:pStyle w:val="Listeafsnit"/>
        <w:ind w:left="855"/>
        <w:rPr>
          <w:sz w:val="24"/>
          <w:szCs w:val="24"/>
        </w:rPr>
      </w:pPr>
      <w:r w:rsidRPr="0041538E">
        <w:rPr>
          <w:sz w:val="24"/>
          <w:szCs w:val="24"/>
        </w:rPr>
        <w:t>ATC-kode: N 06 DA 02.</w:t>
      </w:r>
    </w:p>
    <w:p w:rsidR="0041538E" w:rsidRDefault="0041538E" w:rsidP="00E54907">
      <w:pPr>
        <w:ind w:left="851"/>
        <w:rPr>
          <w:sz w:val="24"/>
          <w:szCs w:val="24"/>
        </w:rPr>
      </w:pPr>
    </w:p>
    <w:p w:rsidR="00303D00" w:rsidRDefault="00303D00" w:rsidP="00E54907">
      <w:pPr>
        <w:ind w:left="851"/>
        <w:rPr>
          <w:sz w:val="24"/>
          <w:szCs w:val="24"/>
        </w:rPr>
      </w:pPr>
    </w:p>
    <w:p w:rsidR="00303D00" w:rsidRDefault="00303D00" w:rsidP="00E54907">
      <w:pPr>
        <w:ind w:left="851"/>
        <w:rPr>
          <w:sz w:val="24"/>
          <w:szCs w:val="24"/>
        </w:rPr>
      </w:pPr>
    </w:p>
    <w:p w:rsidR="00E54907" w:rsidRDefault="00E54907" w:rsidP="00E54907">
      <w:pPr>
        <w:ind w:left="851"/>
        <w:rPr>
          <w:sz w:val="24"/>
          <w:szCs w:val="24"/>
        </w:rPr>
      </w:pPr>
      <w:r>
        <w:rPr>
          <w:u w:val="single"/>
        </w:rPr>
        <w:lastRenderedPageBreak/>
        <w:t>Virkningsmekanisme</w:t>
      </w:r>
      <w:r w:rsidRPr="00121903">
        <w:rPr>
          <w:sz w:val="24"/>
          <w:szCs w:val="24"/>
        </w:rPr>
        <w:t xml:space="preserve"> </w:t>
      </w:r>
    </w:p>
    <w:p w:rsidR="00E54907" w:rsidRPr="00121903" w:rsidRDefault="00E54907" w:rsidP="00E54907">
      <w:pPr>
        <w:ind w:left="851"/>
        <w:rPr>
          <w:sz w:val="24"/>
          <w:szCs w:val="24"/>
        </w:rPr>
      </w:pPr>
      <w:proofErr w:type="spellStart"/>
      <w:r w:rsidRPr="00121903">
        <w:rPr>
          <w:sz w:val="24"/>
          <w:szCs w:val="24"/>
        </w:rPr>
        <w:t>Donepezilhydrochlorid</w:t>
      </w:r>
      <w:proofErr w:type="spellEnd"/>
      <w:r w:rsidRPr="00121903">
        <w:rPr>
          <w:sz w:val="24"/>
          <w:szCs w:val="24"/>
        </w:rPr>
        <w:t xml:space="preserve"> er en specifik og </w:t>
      </w:r>
      <w:proofErr w:type="gramStart"/>
      <w:r w:rsidRPr="00121903">
        <w:rPr>
          <w:sz w:val="24"/>
          <w:szCs w:val="24"/>
        </w:rPr>
        <w:t>reversibel</w:t>
      </w:r>
      <w:proofErr w:type="gramEnd"/>
      <w:r w:rsidRPr="00121903">
        <w:rPr>
          <w:sz w:val="24"/>
          <w:szCs w:val="24"/>
        </w:rPr>
        <w:t xml:space="preserve"> hæmmer af </w:t>
      </w:r>
      <w:proofErr w:type="spellStart"/>
      <w:r w:rsidRPr="00121903">
        <w:rPr>
          <w:sz w:val="24"/>
          <w:szCs w:val="24"/>
        </w:rPr>
        <w:t>acetylcholinesterase</w:t>
      </w:r>
      <w:proofErr w:type="spellEnd"/>
      <w:r w:rsidRPr="00121903">
        <w:rPr>
          <w:sz w:val="24"/>
          <w:szCs w:val="24"/>
        </w:rPr>
        <w:t xml:space="preserve">, den dominerende </w:t>
      </w:r>
      <w:proofErr w:type="spellStart"/>
      <w:r w:rsidRPr="00121903">
        <w:rPr>
          <w:sz w:val="24"/>
          <w:szCs w:val="24"/>
        </w:rPr>
        <w:t>cholinesterase</w:t>
      </w:r>
      <w:proofErr w:type="spellEnd"/>
      <w:r w:rsidRPr="00121903">
        <w:rPr>
          <w:sz w:val="24"/>
          <w:szCs w:val="24"/>
        </w:rPr>
        <w:t xml:space="preserve"> i hjernen. </w:t>
      </w:r>
      <w:proofErr w:type="spellStart"/>
      <w:r w:rsidRPr="00121903">
        <w:rPr>
          <w:sz w:val="24"/>
          <w:szCs w:val="24"/>
        </w:rPr>
        <w:t>Donepezilhydrochlorid</w:t>
      </w:r>
      <w:proofErr w:type="spellEnd"/>
      <w:r w:rsidRPr="00121903">
        <w:rPr>
          <w:sz w:val="24"/>
          <w:szCs w:val="24"/>
        </w:rPr>
        <w:t xml:space="preserve"> er </w:t>
      </w:r>
      <w:r w:rsidRPr="00121903">
        <w:rPr>
          <w:i/>
          <w:sz w:val="24"/>
          <w:szCs w:val="24"/>
        </w:rPr>
        <w:t xml:space="preserve">in </w:t>
      </w:r>
      <w:proofErr w:type="spellStart"/>
      <w:r w:rsidRPr="00121903">
        <w:rPr>
          <w:i/>
          <w:sz w:val="24"/>
          <w:szCs w:val="24"/>
        </w:rPr>
        <w:t>vitro</w:t>
      </w:r>
      <w:proofErr w:type="spellEnd"/>
      <w:r w:rsidRPr="00121903">
        <w:rPr>
          <w:i/>
          <w:sz w:val="24"/>
          <w:szCs w:val="24"/>
        </w:rPr>
        <w:t xml:space="preserve"> </w:t>
      </w:r>
      <w:r w:rsidRPr="00121903">
        <w:rPr>
          <w:sz w:val="24"/>
          <w:szCs w:val="24"/>
        </w:rPr>
        <w:t xml:space="preserve">en over 1000 gange mere potent hæmmer af dette enzym end af </w:t>
      </w:r>
      <w:proofErr w:type="spellStart"/>
      <w:r w:rsidRPr="00121903">
        <w:rPr>
          <w:sz w:val="24"/>
          <w:szCs w:val="24"/>
        </w:rPr>
        <w:t>butyrylcholinesterase</w:t>
      </w:r>
      <w:proofErr w:type="spellEnd"/>
      <w:r w:rsidRPr="00121903">
        <w:rPr>
          <w:sz w:val="24"/>
          <w:szCs w:val="24"/>
        </w:rPr>
        <w:t>, et enzym, som især findes uden for centralnervesystemet.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E54907" w:rsidRPr="004760FB" w:rsidRDefault="00E54907" w:rsidP="00E54907">
      <w:pPr>
        <w:tabs>
          <w:tab w:val="left" w:pos="851"/>
        </w:tabs>
        <w:ind w:left="851" w:hanging="851"/>
        <w:rPr>
          <w:u w:val="single"/>
        </w:rPr>
      </w:pPr>
      <w:r>
        <w:tab/>
      </w:r>
      <w:proofErr w:type="spellStart"/>
      <w:r>
        <w:rPr>
          <w:u w:val="single"/>
        </w:rPr>
        <w:t>Farmakodynamisk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virking</w:t>
      </w:r>
      <w:proofErr w:type="spellEnd"/>
    </w:p>
    <w:p w:rsidR="00E54907" w:rsidRPr="00121903" w:rsidRDefault="00E54907" w:rsidP="00E54907">
      <w:pPr>
        <w:ind w:left="851"/>
        <w:rPr>
          <w:sz w:val="24"/>
          <w:szCs w:val="24"/>
        </w:rPr>
      </w:pPr>
      <w:r w:rsidRPr="00121903">
        <w:rPr>
          <w:sz w:val="24"/>
          <w:szCs w:val="24"/>
        </w:rPr>
        <w:t xml:space="preserve">Hos patienter med Alzheimers demens, som deltog i kliniske studier, bevirkede indtagelse af en enkelt daglig dosis på 5 mg eller 10 mg </w:t>
      </w:r>
      <w:proofErr w:type="spellStart"/>
      <w:r>
        <w:rPr>
          <w:sz w:val="24"/>
          <w:szCs w:val="24"/>
        </w:rPr>
        <w:t>d</w:t>
      </w:r>
      <w:r w:rsidRPr="00121903">
        <w:rPr>
          <w:sz w:val="24"/>
          <w:szCs w:val="24"/>
        </w:rPr>
        <w:t>onepezil</w:t>
      </w:r>
      <w:r>
        <w:rPr>
          <w:sz w:val="24"/>
          <w:szCs w:val="24"/>
        </w:rPr>
        <w:t>hydrochlorid</w:t>
      </w:r>
      <w:proofErr w:type="spellEnd"/>
      <w:r w:rsidRPr="00121903">
        <w:rPr>
          <w:sz w:val="24"/>
          <w:szCs w:val="24"/>
        </w:rPr>
        <w:t xml:space="preserve"> </w:t>
      </w:r>
      <w:proofErr w:type="spellStart"/>
      <w:r w:rsidRPr="00121903">
        <w:rPr>
          <w:sz w:val="24"/>
          <w:szCs w:val="24"/>
        </w:rPr>
        <w:t>steady-state</w:t>
      </w:r>
      <w:proofErr w:type="spellEnd"/>
      <w:r w:rsidRPr="00121903">
        <w:rPr>
          <w:sz w:val="24"/>
          <w:szCs w:val="24"/>
        </w:rPr>
        <w:t xml:space="preserve"> hæmning af </w:t>
      </w:r>
      <w:proofErr w:type="spellStart"/>
      <w:r w:rsidRPr="00121903">
        <w:rPr>
          <w:sz w:val="24"/>
          <w:szCs w:val="24"/>
        </w:rPr>
        <w:t>acetylcholinesteraseaktivitet</w:t>
      </w:r>
      <w:proofErr w:type="spellEnd"/>
      <w:r w:rsidRPr="00121903">
        <w:rPr>
          <w:sz w:val="24"/>
          <w:szCs w:val="24"/>
        </w:rPr>
        <w:t xml:space="preserve"> (målt i erytrocytmembraner) på henholdsvis 63,6% og 77,3%. </w:t>
      </w:r>
      <w:proofErr w:type="spellStart"/>
      <w:r w:rsidRPr="00121903">
        <w:rPr>
          <w:sz w:val="24"/>
          <w:szCs w:val="24"/>
        </w:rPr>
        <w:t>Donepezilhydrochlorids</w:t>
      </w:r>
      <w:proofErr w:type="spellEnd"/>
      <w:r w:rsidRPr="00121903">
        <w:rPr>
          <w:sz w:val="24"/>
          <w:szCs w:val="24"/>
        </w:rPr>
        <w:t xml:space="preserve"> hæmning af </w:t>
      </w:r>
      <w:proofErr w:type="spellStart"/>
      <w:r w:rsidRPr="00121903">
        <w:rPr>
          <w:sz w:val="24"/>
          <w:szCs w:val="24"/>
        </w:rPr>
        <w:t>acetylcholinesterase</w:t>
      </w:r>
      <w:proofErr w:type="spellEnd"/>
      <w:r w:rsidRPr="00121903">
        <w:rPr>
          <w:sz w:val="24"/>
          <w:szCs w:val="24"/>
        </w:rPr>
        <w:t xml:space="preserve"> i røde blodlegemer er vist at korrelere med ændringerne i ADAS-C og, en sensitiv skala til undersøgelse af udvalgte aspekter af kognition. </w:t>
      </w:r>
      <w:proofErr w:type="spellStart"/>
      <w:r w:rsidRPr="00121903">
        <w:rPr>
          <w:sz w:val="24"/>
          <w:szCs w:val="24"/>
        </w:rPr>
        <w:t>Donepezilhydrochlorids</w:t>
      </w:r>
      <w:proofErr w:type="spellEnd"/>
      <w:r w:rsidRPr="00121903">
        <w:rPr>
          <w:sz w:val="24"/>
          <w:szCs w:val="24"/>
        </w:rPr>
        <w:t xml:space="preserve"> potentiale til at kunne ændre forløbet af den underliggende </w:t>
      </w:r>
      <w:proofErr w:type="spellStart"/>
      <w:r w:rsidRPr="00121903">
        <w:rPr>
          <w:sz w:val="24"/>
          <w:szCs w:val="24"/>
        </w:rPr>
        <w:t>neuropatologi</w:t>
      </w:r>
      <w:proofErr w:type="spellEnd"/>
      <w:r w:rsidRPr="00121903">
        <w:rPr>
          <w:sz w:val="24"/>
          <w:szCs w:val="24"/>
        </w:rPr>
        <w:t xml:space="preserve"> er ikke undersøgt. Således kan </w:t>
      </w:r>
      <w:proofErr w:type="spellStart"/>
      <w:r w:rsidRPr="00121903">
        <w:rPr>
          <w:sz w:val="24"/>
          <w:szCs w:val="24"/>
        </w:rPr>
        <w:t>donepezilhydrochlorid</w:t>
      </w:r>
      <w:proofErr w:type="spellEnd"/>
      <w:r w:rsidRPr="00121903">
        <w:rPr>
          <w:sz w:val="24"/>
          <w:szCs w:val="24"/>
        </w:rPr>
        <w:t xml:space="preserve"> ikke anses for at have nogen effekt på sygdommens progression.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E54907" w:rsidRDefault="00E54907" w:rsidP="00E54907">
      <w:pPr>
        <w:ind w:left="851" w:hanging="851"/>
        <w:rPr>
          <w:sz w:val="24"/>
          <w:szCs w:val="24"/>
        </w:rPr>
      </w:pPr>
      <w:r w:rsidRPr="00121903">
        <w:rPr>
          <w:sz w:val="24"/>
          <w:szCs w:val="24"/>
        </w:rPr>
        <w:tab/>
      </w:r>
      <w:r>
        <w:rPr>
          <w:u w:val="single"/>
        </w:rPr>
        <w:t>Klinisk virkning og sikkerhed</w:t>
      </w:r>
      <w:r w:rsidRPr="00121903">
        <w:rPr>
          <w:sz w:val="24"/>
          <w:szCs w:val="24"/>
        </w:rPr>
        <w:t xml:space="preserve"> </w:t>
      </w:r>
    </w:p>
    <w:p w:rsidR="00F61317" w:rsidRPr="00121903" w:rsidRDefault="00F61317" w:rsidP="00F61317">
      <w:pPr>
        <w:ind w:left="851"/>
        <w:rPr>
          <w:sz w:val="24"/>
          <w:szCs w:val="24"/>
        </w:rPr>
      </w:pPr>
      <w:r w:rsidRPr="00121903">
        <w:rPr>
          <w:sz w:val="24"/>
          <w:szCs w:val="24"/>
        </w:rPr>
        <w:t xml:space="preserve">Behandlingseffekten af </w:t>
      </w:r>
      <w:r w:rsidRPr="00151A24">
        <w:rPr>
          <w:sz w:val="24"/>
          <w:szCs w:val="24"/>
        </w:rPr>
        <w:t xml:space="preserve">Alzheimers </w:t>
      </w:r>
      <w:r>
        <w:rPr>
          <w:sz w:val="24"/>
          <w:szCs w:val="24"/>
        </w:rPr>
        <w:t>d</w:t>
      </w:r>
      <w:r w:rsidRPr="00151A24">
        <w:rPr>
          <w:sz w:val="24"/>
          <w:szCs w:val="24"/>
        </w:rPr>
        <w:t>emens med</w:t>
      </w:r>
      <w:r>
        <w:rPr>
          <w:sz w:val="24"/>
          <w:szCs w:val="24"/>
        </w:rPr>
        <w:t xml:space="preserve"> </w:t>
      </w:r>
      <w:proofErr w:type="spellStart"/>
      <w:r w:rsidRPr="00121903">
        <w:rPr>
          <w:sz w:val="24"/>
          <w:szCs w:val="24"/>
        </w:rPr>
        <w:t>donepezilhydrochlorid</w:t>
      </w:r>
      <w:proofErr w:type="spellEnd"/>
      <w:r w:rsidRPr="00121903">
        <w:rPr>
          <w:sz w:val="24"/>
          <w:szCs w:val="24"/>
        </w:rPr>
        <w:t xml:space="preserve"> på Alzheimers demens er undersøgt i 4 placebokontrollerede studier, 2 studier af 6 måneders varighed og 2 studier af 1 års varighed. 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  <w:r w:rsidRPr="00121903">
        <w:rPr>
          <w:sz w:val="24"/>
          <w:szCs w:val="24"/>
        </w:rPr>
        <w:tab/>
        <w:t xml:space="preserve">I de kliniske studier af 6 måneders varighed er der foretaget en analyse ved afslutningen af </w:t>
      </w:r>
      <w:proofErr w:type="spellStart"/>
      <w:r w:rsidRPr="00121903">
        <w:rPr>
          <w:sz w:val="24"/>
          <w:szCs w:val="24"/>
        </w:rPr>
        <w:t>donepezilbehandling</w:t>
      </w:r>
      <w:proofErr w:type="spellEnd"/>
      <w:r w:rsidRPr="00121903">
        <w:rPr>
          <w:sz w:val="24"/>
          <w:szCs w:val="24"/>
        </w:rPr>
        <w:t xml:space="preserve"> ved en kombination af tre effektkriterier: ADAS-C og (et mål for kognitiv præstation), klinisk indtryk af forandring baseret på interview og med input fra pårørende eller omsorgsperson (CIBIC+, </w:t>
      </w:r>
      <w:proofErr w:type="spellStart"/>
      <w:r w:rsidRPr="00121903">
        <w:rPr>
          <w:sz w:val="24"/>
          <w:szCs w:val="24"/>
        </w:rPr>
        <w:t>Clinical</w:t>
      </w:r>
      <w:proofErr w:type="spellEnd"/>
      <w:r w:rsidRPr="00121903">
        <w:rPr>
          <w:sz w:val="24"/>
          <w:szCs w:val="24"/>
        </w:rPr>
        <w:t xml:space="preserve"> Interview </w:t>
      </w:r>
      <w:proofErr w:type="spellStart"/>
      <w:r w:rsidRPr="00121903">
        <w:rPr>
          <w:sz w:val="24"/>
          <w:szCs w:val="24"/>
        </w:rPr>
        <w:t>Based</w:t>
      </w:r>
      <w:proofErr w:type="spellEnd"/>
      <w:r w:rsidRPr="00121903">
        <w:rPr>
          <w:sz w:val="24"/>
          <w:szCs w:val="24"/>
        </w:rPr>
        <w:t xml:space="preserve"> </w:t>
      </w:r>
      <w:proofErr w:type="spellStart"/>
      <w:r w:rsidRPr="00121903">
        <w:rPr>
          <w:sz w:val="24"/>
          <w:szCs w:val="24"/>
        </w:rPr>
        <w:t>Impression</w:t>
      </w:r>
      <w:proofErr w:type="spellEnd"/>
      <w:r w:rsidRPr="00121903">
        <w:rPr>
          <w:sz w:val="24"/>
          <w:szCs w:val="24"/>
        </w:rPr>
        <w:t xml:space="preserve"> Of Change with </w:t>
      </w:r>
      <w:proofErr w:type="spellStart"/>
      <w:r w:rsidRPr="00121903">
        <w:rPr>
          <w:sz w:val="24"/>
          <w:szCs w:val="24"/>
        </w:rPr>
        <w:t>Caregiver</w:t>
      </w:r>
      <w:proofErr w:type="spellEnd"/>
      <w:r w:rsidRPr="00121903">
        <w:rPr>
          <w:sz w:val="24"/>
          <w:szCs w:val="24"/>
        </w:rPr>
        <w:t xml:space="preserve"> Input, et mål for global funktion) og ADL (Activity of </w:t>
      </w:r>
      <w:proofErr w:type="spellStart"/>
      <w:r w:rsidRPr="00121903">
        <w:rPr>
          <w:sz w:val="24"/>
          <w:szCs w:val="24"/>
        </w:rPr>
        <w:t>Daily</w:t>
      </w:r>
      <w:proofErr w:type="spellEnd"/>
      <w:r w:rsidRPr="00121903">
        <w:rPr>
          <w:sz w:val="24"/>
          <w:szCs w:val="24"/>
        </w:rPr>
        <w:t xml:space="preserve"> Living) </w:t>
      </w:r>
      <w:proofErr w:type="spellStart"/>
      <w:r w:rsidRPr="00121903">
        <w:rPr>
          <w:sz w:val="24"/>
          <w:szCs w:val="24"/>
        </w:rPr>
        <w:t>underskala</w:t>
      </w:r>
      <w:proofErr w:type="spellEnd"/>
      <w:r w:rsidRPr="00121903">
        <w:rPr>
          <w:sz w:val="24"/>
          <w:szCs w:val="24"/>
        </w:rPr>
        <w:t xml:space="preserve"> af CDR (</w:t>
      </w:r>
      <w:proofErr w:type="spellStart"/>
      <w:r w:rsidRPr="00121903">
        <w:rPr>
          <w:sz w:val="24"/>
          <w:szCs w:val="24"/>
        </w:rPr>
        <w:t>Clinical</w:t>
      </w:r>
      <w:proofErr w:type="spellEnd"/>
      <w:r w:rsidRPr="00121903">
        <w:rPr>
          <w:sz w:val="24"/>
          <w:szCs w:val="24"/>
        </w:rPr>
        <w:t xml:space="preserve"> Dementia Rating </w:t>
      </w:r>
      <w:proofErr w:type="spellStart"/>
      <w:r w:rsidRPr="00121903">
        <w:rPr>
          <w:sz w:val="24"/>
          <w:szCs w:val="24"/>
        </w:rPr>
        <w:t>Scale</w:t>
      </w:r>
      <w:proofErr w:type="spellEnd"/>
      <w:r w:rsidRPr="00121903">
        <w:rPr>
          <w:sz w:val="24"/>
          <w:szCs w:val="24"/>
        </w:rPr>
        <w:t>) gradskala for dagligdags aktiviteter (et mål for evnen til at fungere inden for fællesskab, hjem og hobbies og klare personlig hygiejne).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  <w:r w:rsidRPr="00121903">
        <w:rPr>
          <w:sz w:val="24"/>
          <w:szCs w:val="24"/>
        </w:rPr>
        <w:tab/>
        <w:t>Patienter, som opfyldte de nedenfor nævnte kriterier, blev opfattet som behandlingsrespondere: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  <w:r w:rsidRPr="00121903">
        <w:rPr>
          <w:sz w:val="24"/>
          <w:szCs w:val="24"/>
        </w:rPr>
        <w:tab/>
        <w:t xml:space="preserve">Respons = </w:t>
      </w:r>
      <w:r>
        <w:rPr>
          <w:sz w:val="24"/>
          <w:szCs w:val="24"/>
        </w:rPr>
        <w:tab/>
      </w:r>
      <w:r w:rsidRPr="00121903">
        <w:rPr>
          <w:sz w:val="24"/>
          <w:szCs w:val="24"/>
        </w:rPr>
        <w:t>Forbedring af ADAS-C og med mindst 4 points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  <w:r w:rsidRPr="0012190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21903">
        <w:rPr>
          <w:sz w:val="24"/>
          <w:szCs w:val="24"/>
        </w:rPr>
        <w:t>Ingen forværring af CIBIC+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  <w:r w:rsidRPr="0012190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21903">
        <w:rPr>
          <w:sz w:val="24"/>
          <w:szCs w:val="24"/>
        </w:rPr>
        <w:t xml:space="preserve">Ingen forværring af ADL </w:t>
      </w:r>
      <w:proofErr w:type="spellStart"/>
      <w:r w:rsidRPr="00121903">
        <w:rPr>
          <w:sz w:val="24"/>
          <w:szCs w:val="24"/>
        </w:rPr>
        <w:t>underskala</w:t>
      </w:r>
      <w:proofErr w:type="spellEnd"/>
      <w:r w:rsidRPr="00121903">
        <w:rPr>
          <w:sz w:val="24"/>
          <w:szCs w:val="24"/>
        </w:rPr>
        <w:t xml:space="preserve"> af CDR gradskala</w:t>
      </w:r>
    </w:p>
    <w:p w:rsidR="00E54907" w:rsidRDefault="00E54907" w:rsidP="00E54907">
      <w:pPr>
        <w:rPr>
          <w:sz w:val="24"/>
          <w:szCs w:val="24"/>
        </w:rPr>
      </w:pP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tbl>
      <w:tblPr>
        <w:tblW w:w="7800" w:type="dxa"/>
        <w:tblInd w:w="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0"/>
        <w:gridCol w:w="2760"/>
        <w:gridCol w:w="2400"/>
      </w:tblGrid>
      <w:tr w:rsidR="00E54907" w:rsidRPr="00121903" w:rsidTr="003B4BCE">
        <w:trPr>
          <w:cantSplit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E54907" w:rsidRPr="00121903" w:rsidRDefault="00E54907" w:rsidP="003B4BCE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54907" w:rsidRPr="00121903" w:rsidRDefault="00E54907" w:rsidP="003B4BCE">
            <w:pPr>
              <w:ind w:left="-16"/>
              <w:rPr>
                <w:sz w:val="24"/>
                <w:szCs w:val="24"/>
                <w:lang w:val="en-US"/>
              </w:rPr>
            </w:pPr>
            <w:r w:rsidRPr="00121903">
              <w:rPr>
                <w:sz w:val="24"/>
                <w:szCs w:val="24"/>
                <w:lang w:val="en-US"/>
              </w:rPr>
              <w:t xml:space="preserve">% </w:t>
            </w:r>
            <w:r>
              <w:t>Respons</w:t>
            </w:r>
          </w:p>
        </w:tc>
      </w:tr>
      <w:tr w:rsidR="00E54907" w:rsidRPr="00121903" w:rsidTr="003B4BCE"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54907" w:rsidRPr="00121903" w:rsidRDefault="00E54907" w:rsidP="003B4B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07" w:rsidRPr="00121903" w:rsidRDefault="00E54907" w:rsidP="003B4BCE">
            <w:pPr>
              <w:ind w:left="-16"/>
              <w:rPr>
                <w:sz w:val="24"/>
                <w:szCs w:val="24"/>
                <w:lang w:val="en-US"/>
              </w:rPr>
            </w:pPr>
            <w:r w:rsidRPr="00121903">
              <w:rPr>
                <w:sz w:val="24"/>
                <w:szCs w:val="24"/>
                <w:lang w:val="en-US"/>
              </w:rPr>
              <w:t>“Intent to Treat” Population</w:t>
            </w:r>
          </w:p>
          <w:p w:rsidR="00E54907" w:rsidRPr="00121903" w:rsidRDefault="00E54907" w:rsidP="003B4BCE">
            <w:pPr>
              <w:ind w:left="-16"/>
              <w:rPr>
                <w:sz w:val="24"/>
                <w:szCs w:val="24"/>
                <w:lang w:val="en-US"/>
              </w:rPr>
            </w:pPr>
            <w:r w:rsidRPr="00121903">
              <w:rPr>
                <w:sz w:val="24"/>
                <w:szCs w:val="24"/>
                <w:lang w:val="en-US"/>
              </w:rPr>
              <w:t>n = 365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07" w:rsidRPr="00121903" w:rsidRDefault="00E54907" w:rsidP="003B4BCE">
            <w:pPr>
              <w:ind w:left="-16"/>
              <w:rPr>
                <w:sz w:val="24"/>
                <w:szCs w:val="24"/>
                <w:lang w:val="en-US"/>
              </w:rPr>
            </w:pPr>
            <w:proofErr w:type="spellStart"/>
            <w:r w:rsidRPr="00121903">
              <w:rPr>
                <w:sz w:val="24"/>
                <w:szCs w:val="24"/>
                <w:lang w:val="en-GB"/>
              </w:rPr>
              <w:t>Evaluerbar</w:t>
            </w:r>
            <w:proofErr w:type="spellEnd"/>
            <w:r w:rsidRPr="00121903">
              <w:rPr>
                <w:sz w:val="24"/>
                <w:szCs w:val="24"/>
                <w:lang w:val="en-US"/>
              </w:rPr>
              <w:t xml:space="preserve"> Population</w:t>
            </w:r>
          </w:p>
          <w:p w:rsidR="00E54907" w:rsidRPr="00121903" w:rsidRDefault="00E54907" w:rsidP="003B4BCE">
            <w:pPr>
              <w:ind w:left="-16"/>
              <w:rPr>
                <w:sz w:val="24"/>
                <w:szCs w:val="24"/>
                <w:lang w:val="en-US"/>
              </w:rPr>
            </w:pPr>
            <w:r w:rsidRPr="00121903">
              <w:rPr>
                <w:sz w:val="24"/>
                <w:szCs w:val="24"/>
                <w:lang w:val="en-US"/>
              </w:rPr>
              <w:t>n = 352</w:t>
            </w:r>
          </w:p>
        </w:tc>
      </w:tr>
      <w:tr w:rsidR="00E54907" w:rsidRPr="00121903" w:rsidTr="003B4BCE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54907" w:rsidRPr="00121903" w:rsidRDefault="00E54907" w:rsidP="003B4BCE">
            <w:pPr>
              <w:rPr>
                <w:sz w:val="24"/>
                <w:szCs w:val="24"/>
                <w:lang w:val="en-US"/>
              </w:rPr>
            </w:pPr>
            <w:r w:rsidRPr="00121903">
              <w:rPr>
                <w:sz w:val="24"/>
                <w:szCs w:val="24"/>
                <w:lang w:val="nl-BE"/>
              </w:rPr>
              <w:t>Placebogruppe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07" w:rsidRPr="00121903" w:rsidRDefault="00E54907" w:rsidP="003B4BCE">
            <w:pPr>
              <w:ind w:left="-16"/>
              <w:rPr>
                <w:sz w:val="24"/>
                <w:szCs w:val="24"/>
                <w:lang w:val="en-US"/>
              </w:rPr>
            </w:pPr>
            <w:r w:rsidRPr="00121903">
              <w:rPr>
                <w:sz w:val="24"/>
                <w:szCs w:val="24"/>
                <w:lang w:val="en-US"/>
              </w:rPr>
              <w:t>10%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07" w:rsidRPr="00121903" w:rsidRDefault="00E54907" w:rsidP="003B4BCE">
            <w:pPr>
              <w:ind w:left="-16"/>
              <w:rPr>
                <w:sz w:val="24"/>
                <w:szCs w:val="24"/>
                <w:lang w:val="en-US"/>
              </w:rPr>
            </w:pPr>
            <w:r w:rsidRPr="00121903">
              <w:rPr>
                <w:sz w:val="24"/>
                <w:szCs w:val="24"/>
                <w:lang w:val="en-US"/>
              </w:rPr>
              <w:t>10%</w:t>
            </w:r>
          </w:p>
        </w:tc>
      </w:tr>
      <w:tr w:rsidR="00E54907" w:rsidRPr="00121903" w:rsidTr="003B4BCE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54907" w:rsidRPr="00121903" w:rsidRDefault="00E54907" w:rsidP="003B4BCE">
            <w:pPr>
              <w:rPr>
                <w:sz w:val="24"/>
                <w:szCs w:val="24"/>
                <w:lang w:val="en-US"/>
              </w:rPr>
            </w:pPr>
            <w:r w:rsidRPr="00121903">
              <w:rPr>
                <w:sz w:val="24"/>
                <w:szCs w:val="24"/>
                <w:lang w:val="en-US"/>
              </w:rPr>
              <w:t xml:space="preserve">Donepezil 5 mg </w:t>
            </w:r>
            <w:proofErr w:type="spellStart"/>
            <w:r w:rsidRPr="00121903">
              <w:rPr>
                <w:sz w:val="24"/>
                <w:szCs w:val="24"/>
                <w:lang w:val="en-US"/>
              </w:rPr>
              <w:t>tabletter</w:t>
            </w:r>
            <w:proofErr w:type="spellEnd"/>
            <w:r w:rsidRPr="0012190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1903">
              <w:rPr>
                <w:sz w:val="24"/>
                <w:szCs w:val="24"/>
                <w:lang w:val="en-US"/>
              </w:rPr>
              <w:t>gruppe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07" w:rsidRPr="00121903" w:rsidRDefault="00E54907" w:rsidP="003B4BCE">
            <w:pPr>
              <w:ind w:left="-16"/>
              <w:rPr>
                <w:sz w:val="24"/>
                <w:szCs w:val="24"/>
                <w:lang w:val="en-US"/>
              </w:rPr>
            </w:pPr>
            <w:r w:rsidRPr="00121903">
              <w:rPr>
                <w:sz w:val="24"/>
                <w:szCs w:val="24"/>
                <w:lang w:val="en-US"/>
              </w:rPr>
              <w:t>18%*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07" w:rsidRPr="00121903" w:rsidRDefault="00E54907" w:rsidP="003B4BCE">
            <w:pPr>
              <w:ind w:left="-16"/>
              <w:rPr>
                <w:sz w:val="24"/>
                <w:szCs w:val="24"/>
                <w:lang w:val="en-US"/>
              </w:rPr>
            </w:pPr>
            <w:r w:rsidRPr="00121903">
              <w:rPr>
                <w:sz w:val="24"/>
                <w:szCs w:val="24"/>
                <w:lang w:val="en-US"/>
              </w:rPr>
              <w:t>18%*</w:t>
            </w:r>
          </w:p>
        </w:tc>
      </w:tr>
      <w:tr w:rsidR="00E54907" w:rsidRPr="00121903" w:rsidTr="003B4BCE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54907" w:rsidRPr="00121903" w:rsidRDefault="00E54907" w:rsidP="003B4BCE">
            <w:pPr>
              <w:rPr>
                <w:sz w:val="24"/>
                <w:szCs w:val="24"/>
                <w:lang w:val="en-US"/>
              </w:rPr>
            </w:pPr>
            <w:r w:rsidRPr="00121903">
              <w:rPr>
                <w:sz w:val="24"/>
                <w:szCs w:val="24"/>
                <w:lang w:val="en-US"/>
              </w:rPr>
              <w:t xml:space="preserve">Donepezil 10 mg </w:t>
            </w:r>
            <w:proofErr w:type="spellStart"/>
            <w:r w:rsidRPr="00121903">
              <w:rPr>
                <w:sz w:val="24"/>
                <w:szCs w:val="24"/>
                <w:lang w:val="en-US"/>
              </w:rPr>
              <w:t>tabletter</w:t>
            </w:r>
            <w:proofErr w:type="spellEnd"/>
            <w:r w:rsidRPr="0012190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1903">
              <w:rPr>
                <w:sz w:val="24"/>
                <w:szCs w:val="24"/>
                <w:lang w:val="en-US"/>
              </w:rPr>
              <w:t>gruppe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07" w:rsidRPr="00121903" w:rsidRDefault="00E54907" w:rsidP="003B4BCE">
            <w:pPr>
              <w:ind w:left="-16"/>
              <w:rPr>
                <w:sz w:val="24"/>
                <w:szCs w:val="24"/>
                <w:lang w:val="en-US"/>
              </w:rPr>
            </w:pPr>
            <w:r w:rsidRPr="00121903">
              <w:rPr>
                <w:sz w:val="24"/>
                <w:szCs w:val="24"/>
                <w:lang w:val="en-US"/>
              </w:rPr>
              <w:t>21%*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07" w:rsidRPr="00121903" w:rsidRDefault="00E54907" w:rsidP="003B4BCE">
            <w:pPr>
              <w:ind w:left="-16"/>
              <w:rPr>
                <w:sz w:val="24"/>
                <w:szCs w:val="24"/>
                <w:lang w:val="en-US"/>
              </w:rPr>
            </w:pPr>
            <w:r w:rsidRPr="00121903">
              <w:rPr>
                <w:sz w:val="24"/>
                <w:szCs w:val="24"/>
                <w:lang w:val="en-US"/>
              </w:rPr>
              <w:t>22%**</w:t>
            </w:r>
          </w:p>
        </w:tc>
      </w:tr>
    </w:tbl>
    <w:p w:rsidR="00E54907" w:rsidRPr="00121903" w:rsidRDefault="00E54907" w:rsidP="00E54907">
      <w:pPr>
        <w:ind w:left="851" w:hanging="851"/>
        <w:rPr>
          <w:sz w:val="24"/>
          <w:szCs w:val="24"/>
        </w:rPr>
      </w:pPr>
      <w:r w:rsidRPr="00121903">
        <w:rPr>
          <w:sz w:val="24"/>
          <w:szCs w:val="24"/>
        </w:rPr>
        <w:tab/>
        <w:t>*</w:t>
      </w:r>
      <w:r>
        <w:rPr>
          <w:sz w:val="24"/>
          <w:szCs w:val="24"/>
        </w:rPr>
        <w:tab/>
      </w:r>
      <w:r w:rsidRPr="00121903">
        <w:rPr>
          <w:sz w:val="24"/>
          <w:szCs w:val="24"/>
        </w:rPr>
        <w:t>p</w:t>
      </w:r>
      <w:r w:rsidRPr="00121903">
        <w:rPr>
          <w:sz w:val="24"/>
          <w:szCs w:val="24"/>
        </w:rPr>
        <w:sym w:font="Symbol" w:char="003C"/>
      </w:r>
      <w:r w:rsidRPr="00121903">
        <w:rPr>
          <w:sz w:val="24"/>
          <w:szCs w:val="24"/>
        </w:rPr>
        <w:t>0,05</w:t>
      </w:r>
    </w:p>
    <w:p w:rsidR="00E54907" w:rsidRPr="00121903" w:rsidRDefault="00E54907" w:rsidP="00E54907">
      <w:pPr>
        <w:ind w:left="851"/>
        <w:rPr>
          <w:sz w:val="24"/>
          <w:szCs w:val="24"/>
        </w:rPr>
      </w:pPr>
      <w:r w:rsidRPr="00121903">
        <w:rPr>
          <w:sz w:val="24"/>
          <w:szCs w:val="24"/>
        </w:rPr>
        <w:t>**</w:t>
      </w:r>
      <w:r>
        <w:rPr>
          <w:sz w:val="24"/>
          <w:szCs w:val="24"/>
        </w:rPr>
        <w:tab/>
      </w:r>
      <w:r w:rsidRPr="00121903">
        <w:rPr>
          <w:sz w:val="24"/>
          <w:szCs w:val="24"/>
        </w:rPr>
        <w:t>p</w:t>
      </w:r>
      <w:r w:rsidRPr="00121903">
        <w:rPr>
          <w:sz w:val="24"/>
          <w:szCs w:val="24"/>
        </w:rPr>
        <w:sym w:font="Symbol" w:char="003C"/>
      </w:r>
      <w:r w:rsidRPr="00121903">
        <w:rPr>
          <w:sz w:val="24"/>
          <w:szCs w:val="24"/>
        </w:rPr>
        <w:t>0,01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  <w:r w:rsidRPr="00121903">
        <w:rPr>
          <w:sz w:val="24"/>
          <w:szCs w:val="24"/>
        </w:rPr>
        <w:lastRenderedPageBreak/>
        <w:tab/>
      </w:r>
      <w:proofErr w:type="spellStart"/>
      <w:r w:rsidRPr="00121903">
        <w:rPr>
          <w:sz w:val="24"/>
          <w:szCs w:val="24"/>
        </w:rPr>
        <w:t>Donepezilhydrochlorid</w:t>
      </w:r>
      <w:proofErr w:type="spellEnd"/>
      <w:r w:rsidRPr="00121903">
        <w:rPr>
          <w:sz w:val="24"/>
          <w:szCs w:val="24"/>
        </w:rPr>
        <w:t xml:space="preserve"> udviste en dosisafhængig statistisk signifikant øgning i den procentdel af patienterne, som var vurderet som behandlingsrespondere</w:t>
      </w:r>
      <w:r>
        <w:rPr>
          <w:sz w:val="24"/>
          <w:szCs w:val="24"/>
        </w:rPr>
        <w:t>.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E54907" w:rsidRPr="00121903" w:rsidRDefault="00E54907" w:rsidP="00E54907">
      <w:pPr>
        <w:numPr>
          <w:ilvl w:val="1"/>
          <w:numId w:val="3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proofErr w:type="spellStart"/>
      <w:r w:rsidRPr="00121903">
        <w:rPr>
          <w:b/>
          <w:sz w:val="24"/>
          <w:szCs w:val="24"/>
        </w:rPr>
        <w:t>Farmakokinetiske</w:t>
      </w:r>
      <w:proofErr w:type="spellEnd"/>
      <w:r w:rsidRPr="00121903">
        <w:rPr>
          <w:b/>
          <w:sz w:val="24"/>
          <w:szCs w:val="24"/>
        </w:rPr>
        <w:t xml:space="preserve"> egenskaber</w:t>
      </w:r>
    </w:p>
    <w:p w:rsidR="00E54907" w:rsidRPr="00121903" w:rsidRDefault="00E54907" w:rsidP="00E54907">
      <w:pPr>
        <w:ind w:left="851"/>
        <w:rPr>
          <w:sz w:val="24"/>
          <w:szCs w:val="24"/>
        </w:rPr>
      </w:pPr>
      <w:r w:rsidRPr="00121903">
        <w:rPr>
          <w:sz w:val="24"/>
          <w:szCs w:val="24"/>
          <w:u w:val="single"/>
        </w:rPr>
        <w:t>Absorption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  <w:r w:rsidRPr="00121903">
        <w:rPr>
          <w:sz w:val="24"/>
          <w:szCs w:val="24"/>
        </w:rPr>
        <w:tab/>
        <w:t xml:space="preserve">Maksimale plasmaniveauer nås ca. 3-4 timer efter oral indgift. Plasmakoncentrationer og AUC (areal under kurven) stiger proportionalt med dosis. Halveringstiden er ca. 70 timer, og indgift af 1 dosis dagligt i flere dage resulterer således i en gradvis </w:t>
      </w:r>
      <w:proofErr w:type="spellStart"/>
      <w:r w:rsidRPr="00121903">
        <w:rPr>
          <w:sz w:val="24"/>
          <w:szCs w:val="24"/>
        </w:rPr>
        <w:t>steady-state</w:t>
      </w:r>
      <w:proofErr w:type="spellEnd"/>
      <w:r w:rsidRPr="00121903">
        <w:rPr>
          <w:sz w:val="24"/>
          <w:szCs w:val="24"/>
        </w:rPr>
        <w:t xml:space="preserve"> indstilling. Et omtrentligt </w:t>
      </w:r>
      <w:proofErr w:type="spellStart"/>
      <w:r w:rsidRPr="00121903">
        <w:rPr>
          <w:sz w:val="24"/>
          <w:szCs w:val="24"/>
        </w:rPr>
        <w:t>steady-state</w:t>
      </w:r>
      <w:proofErr w:type="spellEnd"/>
      <w:r w:rsidRPr="00121903">
        <w:rPr>
          <w:sz w:val="24"/>
          <w:szCs w:val="24"/>
        </w:rPr>
        <w:t xml:space="preserve"> niveau nås inden for 3 uger efter behandlingens påbegyndelse. Når </w:t>
      </w:r>
      <w:proofErr w:type="spellStart"/>
      <w:r w:rsidRPr="00121903">
        <w:rPr>
          <w:sz w:val="24"/>
          <w:szCs w:val="24"/>
        </w:rPr>
        <w:t>steady-state</w:t>
      </w:r>
      <w:proofErr w:type="spellEnd"/>
      <w:r w:rsidRPr="00121903">
        <w:rPr>
          <w:sz w:val="24"/>
          <w:szCs w:val="24"/>
        </w:rPr>
        <w:t xml:space="preserve"> er nået, er der kun beskeden variation i plasmakoncentrationen af </w:t>
      </w:r>
      <w:proofErr w:type="spellStart"/>
      <w:r w:rsidRPr="00121903">
        <w:rPr>
          <w:sz w:val="24"/>
          <w:szCs w:val="24"/>
        </w:rPr>
        <w:t>donepezilhydrochlorid</w:t>
      </w:r>
      <w:proofErr w:type="spellEnd"/>
      <w:r w:rsidRPr="00121903">
        <w:rPr>
          <w:sz w:val="24"/>
          <w:szCs w:val="24"/>
        </w:rPr>
        <w:t xml:space="preserve"> og i den tilsvarende </w:t>
      </w:r>
      <w:proofErr w:type="spellStart"/>
      <w:r w:rsidRPr="00121903">
        <w:rPr>
          <w:sz w:val="24"/>
          <w:szCs w:val="24"/>
        </w:rPr>
        <w:t>farmakodynamiske</w:t>
      </w:r>
      <w:proofErr w:type="spellEnd"/>
      <w:r w:rsidRPr="00121903">
        <w:rPr>
          <w:sz w:val="24"/>
          <w:szCs w:val="24"/>
        </w:rPr>
        <w:t xml:space="preserve"> aktivitet i løbet af dagen. 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  <w:r w:rsidRPr="00121903">
        <w:rPr>
          <w:sz w:val="24"/>
          <w:szCs w:val="24"/>
        </w:rPr>
        <w:tab/>
        <w:t xml:space="preserve">Føde påvirker ikke absorptionen af </w:t>
      </w:r>
      <w:proofErr w:type="spellStart"/>
      <w:r w:rsidRPr="00121903">
        <w:rPr>
          <w:sz w:val="24"/>
          <w:szCs w:val="24"/>
        </w:rPr>
        <w:t>donepezilhydrochlorid</w:t>
      </w:r>
      <w:proofErr w:type="spellEnd"/>
      <w:r w:rsidRPr="00121903">
        <w:rPr>
          <w:sz w:val="24"/>
          <w:szCs w:val="24"/>
        </w:rPr>
        <w:t>.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E54907" w:rsidRPr="00121903" w:rsidRDefault="00E54907" w:rsidP="00E54907">
      <w:pPr>
        <w:ind w:left="851" w:hanging="851"/>
        <w:rPr>
          <w:sz w:val="24"/>
          <w:szCs w:val="24"/>
          <w:u w:val="single"/>
        </w:rPr>
      </w:pPr>
      <w:r w:rsidRPr="00121903">
        <w:rPr>
          <w:sz w:val="24"/>
          <w:szCs w:val="24"/>
        </w:rPr>
        <w:tab/>
      </w:r>
      <w:r>
        <w:rPr>
          <w:u w:val="single"/>
        </w:rPr>
        <w:t>Fordeling</w:t>
      </w:r>
    </w:p>
    <w:p w:rsidR="00E54907" w:rsidRPr="00121903" w:rsidRDefault="00E54907" w:rsidP="00E54907">
      <w:pPr>
        <w:ind w:left="851" w:hanging="851"/>
        <w:rPr>
          <w:sz w:val="24"/>
          <w:szCs w:val="24"/>
          <w:u w:val="single"/>
        </w:rPr>
      </w:pPr>
      <w:r w:rsidRPr="00121903">
        <w:rPr>
          <w:sz w:val="24"/>
          <w:szCs w:val="24"/>
        </w:rPr>
        <w:tab/>
      </w:r>
      <w:proofErr w:type="spellStart"/>
      <w:r w:rsidRPr="00121903">
        <w:rPr>
          <w:sz w:val="24"/>
          <w:szCs w:val="24"/>
        </w:rPr>
        <w:t>Donepezilhydrochlorid</w:t>
      </w:r>
      <w:proofErr w:type="spellEnd"/>
      <w:r w:rsidRPr="00121903">
        <w:rPr>
          <w:sz w:val="24"/>
          <w:szCs w:val="24"/>
        </w:rPr>
        <w:t xml:space="preserve"> er ca. 95% bundet til humane plasma-proteiner. </w:t>
      </w:r>
      <w:proofErr w:type="spellStart"/>
      <w:r w:rsidRPr="00121903">
        <w:rPr>
          <w:sz w:val="24"/>
          <w:szCs w:val="24"/>
        </w:rPr>
        <w:t>Plasmaproterinbindingen</w:t>
      </w:r>
      <w:proofErr w:type="spellEnd"/>
      <w:r w:rsidRPr="00121903">
        <w:rPr>
          <w:sz w:val="24"/>
          <w:szCs w:val="24"/>
        </w:rPr>
        <w:t xml:space="preserve"> af den aktive metabolit 6-O-desmethyldonepezil er ukendt. Distributionen af </w:t>
      </w:r>
      <w:proofErr w:type="spellStart"/>
      <w:r w:rsidRPr="00121903">
        <w:rPr>
          <w:sz w:val="24"/>
          <w:szCs w:val="24"/>
        </w:rPr>
        <w:t>donepezilhydrochlorid</w:t>
      </w:r>
      <w:proofErr w:type="spellEnd"/>
      <w:r w:rsidRPr="00121903">
        <w:rPr>
          <w:sz w:val="24"/>
          <w:szCs w:val="24"/>
        </w:rPr>
        <w:t xml:space="preserve"> i forskellige kropsvæv er ikke undersøgt endeligt. I en massebalanceundersøgelse med raske frivillige mandlige forsøgspersoner, med indgift af 5 mg </w:t>
      </w:r>
      <w:r w:rsidRPr="00121903">
        <w:rPr>
          <w:sz w:val="24"/>
          <w:szCs w:val="24"/>
          <w:vertAlign w:val="superscript"/>
        </w:rPr>
        <w:t>14</w:t>
      </w:r>
      <w:r w:rsidRPr="00121903">
        <w:rPr>
          <w:sz w:val="24"/>
          <w:szCs w:val="24"/>
        </w:rPr>
        <w:t xml:space="preserve">C-mærket </w:t>
      </w:r>
      <w:proofErr w:type="spellStart"/>
      <w:r w:rsidRPr="00121903">
        <w:rPr>
          <w:sz w:val="24"/>
          <w:szCs w:val="24"/>
        </w:rPr>
        <w:t>donepezilhydrochlorid</w:t>
      </w:r>
      <w:proofErr w:type="spellEnd"/>
      <w:r w:rsidRPr="00121903">
        <w:rPr>
          <w:sz w:val="24"/>
          <w:szCs w:val="24"/>
        </w:rPr>
        <w:t xml:space="preserve">, var 28% af den indgivne mængde endnu ikke udskilt efter 240 timer. Dette tyder på, at </w:t>
      </w:r>
      <w:proofErr w:type="spellStart"/>
      <w:r w:rsidRPr="00121903">
        <w:rPr>
          <w:sz w:val="24"/>
          <w:szCs w:val="24"/>
        </w:rPr>
        <w:t>donepezilhydrochlorid</w:t>
      </w:r>
      <w:proofErr w:type="spellEnd"/>
      <w:r w:rsidRPr="00121903">
        <w:rPr>
          <w:sz w:val="24"/>
          <w:szCs w:val="24"/>
        </w:rPr>
        <w:t xml:space="preserve"> og/eller dets metabolitter forbliver i kroppen i mere end 10 dage.</w:t>
      </w:r>
    </w:p>
    <w:p w:rsidR="00E54907" w:rsidRPr="00121903" w:rsidRDefault="00E54907" w:rsidP="00E54907">
      <w:pPr>
        <w:ind w:left="851" w:hanging="851"/>
        <w:rPr>
          <w:b/>
          <w:sz w:val="24"/>
          <w:szCs w:val="24"/>
        </w:rPr>
      </w:pPr>
    </w:p>
    <w:p w:rsidR="00E54907" w:rsidRPr="001902AA" w:rsidRDefault="00E54907" w:rsidP="00E54907">
      <w:pPr>
        <w:tabs>
          <w:tab w:val="left" w:pos="851"/>
        </w:tabs>
        <w:ind w:left="851" w:hanging="851"/>
        <w:rPr>
          <w:u w:val="single"/>
        </w:rPr>
      </w:pPr>
      <w:r w:rsidRPr="001902AA">
        <w:tab/>
      </w:r>
      <w:r>
        <w:rPr>
          <w:u w:val="single"/>
        </w:rPr>
        <w:t>Biotransformation/Elimination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  <w:r w:rsidRPr="00121903">
        <w:rPr>
          <w:sz w:val="24"/>
          <w:szCs w:val="24"/>
        </w:rPr>
        <w:tab/>
      </w:r>
      <w:proofErr w:type="spellStart"/>
      <w:r w:rsidRPr="00121903">
        <w:rPr>
          <w:sz w:val="24"/>
          <w:szCs w:val="24"/>
        </w:rPr>
        <w:t>Donepezilhydrochlorid</w:t>
      </w:r>
      <w:proofErr w:type="spellEnd"/>
      <w:r w:rsidRPr="00121903">
        <w:rPr>
          <w:sz w:val="24"/>
          <w:szCs w:val="24"/>
        </w:rPr>
        <w:t xml:space="preserve"> udskilles både intakt i urinen og </w:t>
      </w:r>
      <w:proofErr w:type="spellStart"/>
      <w:r w:rsidRPr="00121903">
        <w:rPr>
          <w:sz w:val="24"/>
          <w:szCs w:val="24"/>
        </w:rPr>
        <w:t>metaboliseres</w:t>
      </w:r>
      <w:proofErr w:type="spellEnd"/>
      <w:r w:rsidRPr="00121903">
        <w:rPr>
          <w:sz w:val="24"/>
          <w:szCs w:val="24"/>
        </w:rPr>
        <w:t xml:space="preserve"> af </w:t>
      </w:r>
      <w:proofErr w:type="spellStart"/>
      <w:r w:rsidRPr="00121903">
        <w:rPr>
          <w:sz w:val="24"/>
          <w:szCs w:val="24"/>
        </w:rPr>
        <w:t>cytokrom</w:t>
      </w:r>
      <w:proofErr w:type="spellEnd"/>
      <w:r w:rsidRPr="00121903">
        <w:rPr>
          <w:sz w:val="24"/>
          <w:szCs w:val="24"/>
        </w:rPr>
        <w:t xml:space="preserve"> P450 systemet til adskillige metabolitter, som ikke alle er identificerede. Efter indgift af en enkelt dosis 5 mg </w:t>
      </w:r>
      <w:r w:rsidRPr="00121903">
        <w:rPr>
          <w:sz w:val="24"/>
          <w:szCs w:val="24"/>
          <w:vertAlign w:val="superscript"/>
        </w:rPr>
        <w:t>14</w:t>
      </w:r>
      <w:r w:rsidRPr="00121903">
        <w:rPr>
          <w:sz w:val="24"/>
          <w:szCs w:val="24"/>
        </w:rPr>
        <w:t xml:space="preserve">C-mærket </w:t>
      </w:r>
      <w:proofErr w:type="spellStart"/>
      <w:r w:rsidRPr="00121903">
        <w:rPr>
          <w:sz w:val="24"/>
          <w:szCs w:val="24"/>
        </w:rPr>
        <w:t>donepezilhydrochlorid</w:t>
      </w:r>
      <w:proofErr w:type="spellEnd"/>
      <w:r w:rsidRPr="00121903">
        <w:rPr>
          <w:sz w:val="24"/>
          <w:szCs w:val="24"/>
        </w:rPr>
        <w:t xml:space="preserve"> var plasma-radioaktiviteten, udtrykt som procent af indgivet dosis, tilstede overvejende som intakt </w:t>
      </w:r>
      <w:proofErr w:type="spellStart"/>
      <w:r w:rsidRPr="00121903">
        <w:rPr>
          <w:sz w:val="24"/>
          <w:szCs w:val="24"/>
        </w:rPr>
        <w:t>donepezilhydrochlorid</w:t>
      </w:r>
      <w:proofErr w:type="spellEnd"/>
      <w:r w:rsidRPr="00121903">
        <w:rPr>
          <w:sz w:val="24"/>
          <w:szCs w:val="24"/>
        </w:rPr>
        <w:t xml:space="preserve"> (30%), 6-O-desmethyldonepezil (11%) – eneste metabolit, som har aktivitet svarende til </w:t>
      </w:r>
      <w:proofErr w:type="spellStart"/>
      <w:r w:rsidRPr="00121903">
        <w:rPr>
          <w:sz w:val="24"/>
          <w:szCs w:val="24"/>
        </w:rPr>
        <w:t>donepezilhydrochlorid</w:t>
      </w:r>
      <w:proofErr w:type="spellEnd"/>
      <w:r w:rsidRPr="00121903">
        <w:rPr>
          <w:sz w:val="24"/>
          <w:szCs w:val="24"/>
        </w:rPr>
        <w:t xml:space="preserve">), </w:t>
      </w:r>
      <w:proofErr w:type="spellStart"/>
      <w:r w:rsidRPr="00121903">
        <w:rPr>
          <w:sz w:val="24"/>
          <w:szCs w:val="24"/>
        </w:rPr>
        <w:t>donepezil</w:t>
      </w:r>
      <w:proofErr w:type="spellEnd"/>
      <w:r w:rsidRPr="00121903">
        <w:rPr>
          <w:sz w:val="24"/>
          <w:szCs w:val="24"/>
        </w:rPr>
        <w:t xml:space="preserve">-cis-N-oxid (9%), 5-O-desmethyldonepezil (7%) og </w:t>
      </w:r>
      <w:proofErr w:type="spellStart"/>
      <w:r w:rsidRPr="00121903">
        <w:rPr>
          <w:sz w:val="24"/>
          <w:szCs w:val="24"/>
        </w:rPr>
        <w:t>glucuronidkonjugatet</w:t>
      </w:r>
      <w:proofErr w:type="spellEnd"/>
      <w:r w:rsidRPr="00121903">
        <w:rPr>
          <w:sz w:val="24"/>
          <w:szCs w:val="24"/>
        </w:rPr>
        <w:t xml:space="preserve"> af 5-O-desmethyldonepezil (3%). Ca. 57% af den totalt indgivne radioaktivitet blev fundet i urinen (17% som intakt </w:t>
      </w:r>
      <w:proofErr w:type="spellStart"/>
      <w:r w:rsidRPr="00121903">
        <w:rPr>
          <w:sz w:val="24"/>
          <w:szCs w:val="24"/>
        </w:rPr>
        <w:t>donepezil</w:t>
      </w:r>
      <w:proofErr w:type="spellEnd"/>
      <w:r w:rsidRPr="00121903">
        <w:rPr>
          <w:sz w:val="24"/>
          <w:szCs w:val="24"/>
        </w:rPr>
        <w:t xml:space="preserve">) og 14,5% i fæces tydende på biotransformation og udskillelse i urinen som primære eliminationsveje. 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  <w:r w:rsidRPr="00121903">
        <w:rPr>
          <w:sz w:val="24"/>
          <w:szCs w:val="24"/>
        </w:rPr>
        <w:tab/>
        <w:t xml:space="preserve">Der er intet, der tyder på </w:t>
      </w:r>
      <w:proofErr w:type="spellStart"/>
      <w:r w:rsidRPr="00121903">
        <w:rPr>
          <w:sz w:val="24"/>
          <w:szCs w:val="24"/>
        </w:rPr>
        <w:t>enterohepatisk</w:t>
      </w:r>
      <w:proofErr w:type="spellEnd"/>
      <w:r w:rsidRPr="00121903">
        <w:rPr>
          <w:sz w:val="24"/>
          <w:szCs w:val="24"/>
        </w:rPr>
        <w:t xml:space="preserve"> recirkulation af </w:t>
      </w:r>
      <w:proofErr w:type="spellStart"/>
      <w:r w:rsidRPr="00121903">
        <w:rPr>
          <w:sz w:val="24"/>
          <w:szCs w:val="24"/>
        </w:rPr>
        <w:t>donepezilhydrochlorid</w:t>
      </w:r>
      <w:proofErr w:type="spellEnd"/>
      <w:r w:rsidRPr="00121903">
        <w:rPr>
          <w:sz w:val="24"/>
          <w:szCs w:val="24"/>
        </w:rPr>
        <w:t xml:space="preserve"> og/eller af nogle af dets metabolitter.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  <w:r w:rsidRPr="00121903">
        <w:rPr>
          <w:sz w:val="24"/>
          <w:szCs w:val="24"/>
        </w:rPr>
        <w:tab/>
        <w:t xml:space="preserve">Plasmakoncentrationen af </w:t>
      </w:r>
      <w:proofErr w:type="spellStart"/>
      <w:r w:rsidRPr="00121903">
        <w:rPr>
          <w:sz w:val="24"/>
          <w:szCs w:val="24"/>
        </w:rPr>
        <w:t>donepezil</w:t>
      </w:r>
      <w:proofErr w:type="spellEnd"/>
      <w:r w:rsidRPr="00121903">
        <w:rPr>
          <w:sz w:val="24"/>
          <w:szCs w:val="24"/>
        </w:rPr>
        <w:t xml:space="preserve"> falder med en halveringstid på ca. 70 timer.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  <w:r w:rsidRPr="00121903">
        <w:rPr>
          <w:sz w:val="24"/>
          <w:szCs w:val="24"/>
        </w:rPr>
        <w:tab/>
        <w:t xml:space="preserve">Køn, race og rygevaner har ingen klinisk signifikant indflydelse på plasmakoncentrationen af </w:t>
      </w:r>
      <w:proofErr w:type="spellStart"/>
      <w:r w:rsidRPr="00121903">
        <w:rPr>
          <w:sz w:val="24"/>
          <w:szCs w:val="24"/>
        </w:rPr>
        <w:t>donepezilhydrochlorid</w:t>
      </w:r>
      <w:proofErr w:type="spellEnd"/>
      <w:r w:rsidRPr="00121903">
        <w:rPr>
          <w:sz w:val="24"/>
          <w:szCs w:val="24"/>
        </w:rPr>
        <w:t xml:space="preserve">. Farmakokinetikken af </w:t>
      </w:r>
      <w:proofErr w:type="spellStart"/>
      <w:r w:rsidRPr="00121903">
        <w:rPr>
          <w:sz w:val="24"/>
          <w:szCs w:val="24"/>
        </w:rPr>
        <w:t>donepezil</w:t>
      </w:r>
      <w:proofErr w:type="spellEnd"/>
      <w:r w:rsidRPr="00121903">
        <w:rPr>
          <w:sz w:val="24"/>
          <w:szCs w:val="24"/>
        </w:rPr>
        <w:t xml:space="preserve"> er ikke metodisk undersøgt hos ældre raske eller hos patienter med Alzheimers eller </w:t>
      </w:r>
      <w:proofErr w:type="spellStart"/>
      <w:r w:rsidRPr="00121903">
        <w:rPr>
          <w:sz w:val="24"/>
          <w:szCs w:val="24"/>
        </w:rPr>
        <w:t>vaskulær</w:t>
      </w:r>
      <w:proofErr w:type="spellEnd"/>
      <w:r w:rsidRPr="00121903">
        <w:rPr>
          <w:sz w:val="24"/>
          <w:szCs w:val="24"/>
        </w:rPr>
        <w:t xml:space="preserve"> demens. Gennemsnitlige plasmaniveauer stemte imidlertid tæt overens med, hvad der sås hos unge raske forsøgspersoner.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  <w:r w:rsidRPr="00121903">
        <w:rPr>
          <w:sz w:val="24"/>
          <w:szCs w:val="24"/>
        </w:rPr>
        <w:tab/>
        <w:t xml:space="preserve">Patienter med mild til moderat nedsat leverfunktion har forhøjede </w:t>
      </w:r>
      <w:proofErr w:type="spellStart"/>
      <w:r w:rsidRPr="00121903">
        <w:rPr>
          <w:sz w:val="24"/>
          <w:szCs w:val="24"/>
        </w:rPr>
        <w:t>donepezil</w:t>
      </w:r>
      <w:proofErr w:type="spellEnd"/>
      <w:r w:rsidRPr="00121903">
        <w:rPr>
          <w:sz w:val="24"/>
          <w:szCs w:val="24"/>
        </w:rPr>
        <w:t xml:space="preserve"> </w:t>
      </w:r>
      <w:proofErr w:type="spellStart"/>
      <w:r w:rsidRPr="00121903">
        <w:rPr>
          <w:sz w:val="24"/>
          <w:szCs w:val="24"/>
        </w:rPr>
        <w:t>steady-state</w:t>
      </w:r>
      <w:proofErr w:type="spellEnd"/>
      <w:r w:rsidRPr="00121903">
        <w:rPr>
          <w:sz w:val="24"/>
          <w:szCs w:val="24"/>
        </w:rPr>
        <w:t xml:space="preserve"> koncentrationer; gennemsnitlig AUC med 48% og gennemsnitlig </w:t>
      </w:r>
      <w:proofErr w:type="spellStart"/>
      <w:r w:rsidRPr="00121903">
        <w:rPr>
          <w:sz w:val="24"/>
          <w:szCs w:val="24"/>
        </w:rPr>
        <w:t>C</w:t>
      </w:r>
      <w:r w:rsidRPr="00121903">
        <w:rPr>
          <w:sz w:val="24"/>
          <w:szCs w:val="24"/>
          <w:vertAlign w:val="subscript"/>
        </w:rPr>
        <w:t>max</w:t>
      </w:r>
      <w:proofErr w:type="spellEnd"/>
      <w:r w:rsidRPr="00121903">
        <w:rPr>
          <w:sz w:val="24"/>
          <w:szCs w:val="24"/>
        </w:rPr>
        <w:t xml:space="preserve"> med 39% (se pkt. 4.2).</w:t>
      </w:r>
    </w:p>
    <w:p w:rsidR="00E54907" w:rsidRDefault="00E54907" w:rsidP="00E54907">
      <w:pPr>
        <w:ind w:left="851" w:hanging="851"/>
        <w:rPr>
          <w:sz w:val="24"/>
          <w:szCs w:val="24"/>
        </w:rPr>
      </w:pPr>
    </w:p>
    <w:p w:rsidR="00303D00" w:rsidRPr="00121903" w:rsidRDefault="00303D00" w:rsidP="00E54907">
      <w:pPr>
        <w:ind w:left="851" w:hanging="851"/>
        <w:rPr>
          <w:sz w:val="24"/>
          <w:szCs w:val="24"/>
        </w:rPr>
      </w:pPr>
    </w:p>
    <w:p w:rsidR="00E54907" w:rsidRPr="00121903" w:rsidRDefault="00303D00" w:rsidP="00E54907">
      <w:pPr>
        <w:numPr>
          <w:ilvl w:val="1"/>
          <w:numId w:val="4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Non-</w:t>
      </w:r>
      <w:r w:rsidR="00E54907" w:rsidRPr="00121903">
        <w:rPr>
          <w:b/>
          <w:sz w:val="24"/>
          <w:szCs w:val="24"/>
        </w:rPr>
        <w:t>kliniske sikkerhedsdata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  <w:r w:rsidRPr="00121903">
        <w:rPr>
          <w:sz w:val="24"/>
          <w:szCs w:val="24"/>
        </w:rPr>
        <w:tab/>
      </w:r>
      <w:r w:rsidR="00047A46" w:rsidRPr="00121903">
        <w:rPr>
          <w:sz w:val="24"/>
          <w:szCs w:val="24"/>
        </w:rPr>
        <w:t>Omfattende dyreforsøg har vist, at dette stof</w:t>
      </w:r>
      <w:r w:rsidR="00047A46">
        <w:t xml:space="preserve"> </w:t>
      </w:r>
      <w:r w:rsidR="00047A46" w:rsidRPr="00151A24">
        <w:t>forårsager få andre virkninger end de tilsigtede farmakologiske virkninger</w:t>
      </w:r>
      <w:r w:rsidR="00047A46" w:rsidRPr="00121903">
        <w:rPr>
          <w:sz w:val="24"/>
          <w:szCs w:val="24"/>
        </w:rPr>
        <w:t xml:space="preserve">, i overensstemmelse med dets virkning som </w:t>
      </w:r>
      <w:proofErr w:type="spellStart"/>
      <w:r w:rsidR="00047A46" w:rsidRPr="00121903">
        <w:rPr>
          <w:sz w:val="24"/>
          <w:szCs w:val="24"/>
        </w:rPr>
        <w:t>kolinerg</w:t>
      </w:r>
      <w:proofErr w:type="spellEnd"/>
      <w:r w:rsidR="00047A46" w:rsidRPr="00121903">
        <w:rPr>
          <w:sz w:val="24"/>
          <w:szCs w:val="24"/>
        </w:rPr>
        <w:t xml:space="preserve"> stimulator (se pkt. 4.9)</w:t>
      </w:r>
      <w:r w:rsidR="00047A46">
        <w:rPr>
          <w:sz w:val="24"/>
          <w:szCs w:val="24"/>
        </w:rPr>
        <w:t>.</w:t>
      </w:r>
      <w:r w:rsidR="00047A46" w:rsidRPr="00121903">
        <w:rPr>
          <w:sz w:val="24"/>
          <w:szCs w:val="24"/>
        </w:rPr>
        <w:t xml:space="preserve"> </w:t>
      </w:r>
      <w:proofErr w:type="spellStart"/>
      <w:r w:rsidR="00047A46" w:rsidRPr="00121903">
        <w:rPr>
          <w:sz w:val="24"/>
          <w:szCs w:val="24"/>
        </w:rPr>
        <w:t>Donepezil</w:t>
      </w:r>
      <w:proofErr w:type="spellEnd"/>
      <w:r w:rsidR="00047A46" w:rsidRPr="00121903">
        <w:rPr>
          <w:sz w:val="24"/>
          <w:szCs w:val="24"/>
        </w:rPr>
        <w:t xml:space="preserve"> er ikke mutagent i bakterielle og </w:t>
      </w:r>
      <w:proofErr w:type="spellStart"/>
      <w:r w:rsidR="00047A46" w:rsidRPr="00121903">
        <w:rPr>
          <w:sz w:val="24"/>
          <w:szCs w:val="24"/>
        </w:rPr>
        <w:t>pattedyrscellemutationsassays</w:t>
      </w:r>
      <w:proofErr w:type="spellEnd"/>
      <w:r w:rsidRPr="00121903">
        <w:rPr>
          <w:sz w:val="24"/>
          <w:szCs w:val="24"/>
        </w:rPr>
        <w:t>.</w:t>
      </w:r>
      <w:r w:rsidR="00047A46">
        <w:rPr>
          <w:sz w:val="24"/>
          <w:szCs w:val="24"/>
        </w:rPr>
        <w:t xml:space="preserve"> </w:t>
      </w:r>
      <w:r w:rsidRPr="00121903">
        <w:rPr>
          <w:sz w:val="24"/>
          <w:szCs w:val="24"/>
        </w:rPr>
        <w:t xml:space="preserve">Nogen </w:t>
      </w:r>
      <w:proofErr w:type="spellStart"/>
      <w:r w:rsidRPr="00121903">
        <w:rPr>
          <w:sz w:val="24"/>
          <w:szCs w:val="24"/>
        </w:rPr>
        <w:t>klastogen</w:t>
      </w:r>
      <w:proofErr w:type="spellEnd"/>
      <w:r w:rsidRPr="00121903">
        <w:rPr>
          <w:sz w:val="24"/>
          <w:szCs w:val="24"/>
        </w:rPr>
        <w:t xml:space="preserve"> effekt sås </w:t>
      </w:r>
      <w:r w:rsidRPr="00121903">
        <w:rPr>
          <w:i/>
          <w:sz w:val="24"/>
          <w:szCs w:val="24"/>
        </w:rPr>
        <w:t xml:space="preserve">in </w:t>
      </w:r>
      <w:proofErr w:type="spellStart"/>
      <w:r w:rsidRPr="00121903">
        <w:rPr>
          <w:i/>
          <w:sz w:val="24"/>
          <w:szCs w:val="24"/>
        </w:rPr>
        <w:t>vitro</w:t>
      </w:r>
      <w:proofErr w:type="spellEnd"/>
      <w:r w:rsidRPr="00121903">
        <w:rPr>
          <w:sz w:val="24"/>
          <w:szCs w:val="24"/>
        </w:rPr>
        <w:t xml:space="preserve"> ved koncentrationer, der var klart toksiske over for cellerne og mere end 3000 gange </w:t>
      </w:r>
      <w:proofErr w:type="spellStart"/>
      <w:r w:rsidRPr="00121903">
        <w:rPr>
          <w:sz w:val="24"/>
          <w:szCs w:val="24"/>
        </w:rPr>
        <w:t>steady-state</w:t>
      </w:r>
      <w:proofErr w:type="spellEnd"/>
      <w:r w:rsidRPr="00121903">
        <w:rPr>
          <w:sz w:val="24"/>
          <w:szCs w:val="24"/>
        </w:rPr>
        <w:t xml:space="preserve"> plasmakoncentrationerne. Der sås ingen klastogene eller andre genotoksiske virkninger i </w:t>
      </w:r>
      <w:proofErr w:type="spellStart"/>
      <w:r w:rsidRPr="00121903">
        <w:rPr>
          <w:sz w:val="24"/>
          <w:szCs w:val="24"/>
        </w:rPr>
        <w:t>micronucleus</w:t>
      </w:r>
      <w:proofErr w:type="spellEnd"/>
      <w:r w:rsidRPr="00121903">
        <w:rPr>
          <w:sz w:val="24"/>
          <w:szCs w:val="24"/>
        </w:rPr>
        <w:t xml:space="preserve">-modellen hos mus </w:t>
      </w:r>
      <w:r w:rsidRPr="00121903">
        <w:rPr>
          <w:i/>
          <w:sz w:val="24"/>
          <w:szCs w:val="24"/>
        </w:rPr>
        <w:t xml:space="preserve">in </w:t>
      </w:r>
      <w:proofErr w:type="spellStart"/>
      <w:r w:rsidRPr="00121903">
        <w:rPr>
          <w:i/>
          <w:sz w:val="24"/>
          <w:szCs w:val="24"/>
        </w:rPr>
        <w:t>vivo</w:t>
      </w:r>
      <w:proofErr w:type="spellEnd"/>
      <w:r w:rsidRPr="00121903">
        <w:rPr>
          <w:sz w:val="24"/>
          <w:szCs w:val="24"/>
        </w:rPr>
        <w:t xml:space="preserve">. Hverken hos rotter eller mus var der tegn på </w:t>
      </w:r>
      <w:proofErr w:type="spellStart"/>
      <w:r w:rsidRPr="00121903">
        <w:rPr>
          <w:sz w:val="24"/>
          <w:szCs w:val="24"/>
        </w:rPr>
        <w:t>onkogent</w:t>
      </w:r>
      <w:proofErr w:type="spellEnd"/>
      <w:r w:rsidRPr="00121903">
        <w:rPr>
          <w:sz w:val="24"/>
          <w:szCs w:val="24"/>
        </w:rPr>
        <w:t xml:space="preserve"> potentiale i </w:t>
      </w:r>
      <w:proofErr w:type="spellStart"/>
      <w:r w:rsidRPr="00121903">
        <w:rPr>
          <w:sz w:val="24"/>
          <w:szCs w:val="24"/>
        </w:rPr>
        <w:t>langtids-karcino</w:t>
      </w:r>
      <w:r>
        <w:rPr>
          <w:sz w:val="24"/>
          <w:szCs w:val="24"/>
        </w:rPr>
        <w:softHyphen/>
      </w:r>
      <w:r w:rsidRPr="00121903">
        <w:rPr>
          <w:sz w:val="24"/>
          <w:szCs w:val="24"/>
        </w:rPr>
        <w:t>genicitetsundersøgelser</w:t>
      </w:r>
      <w:proofErr w:type="spellEnd"/>
      <w:r w:rsidRPr="00121903">
        <w:rPr>
          <w:sz w:val="24"/>
          <w:szCs w:val="24"/>
        </w:rPr>
        <w:t>.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  <w:r w:rsidRPr="00121903">
        <w:rPr>
          <w:sz w:val="24"/>
          <w:szCs w:val="24"/>
        </w:rPr>
        <w:tab/>
      </w:r>
      <w:proofErr w:type="spellStart"/>
      <w:r w:rsidRPr="00121903">
        <w:rPr>
          <w:sz w:val="24"/>
          <w:szCs w:val="24"/>
        </w:rPr>
        <w:t>Donepezilhydrochlorid</w:t>
      </w:r>
      <w:proofErr w:type="spellEnd"/>
      <w:r w:rsidRPr="00121903">
        <w:rPr>
          <w:sz w:val="24"/>
          <w:szCs w:val="24"/>
        </w:rPr>
        <w:t xml:space="preserve"> havde ingen effekt på fertiliteten hos rotter og var ikke </w:t>
      </w:r>
      <w:proofErr w:type="spellStart"/>
      <w:r w:rsidRPr="00121903">
        <w:rPr>
          <w:sz w:val="24"/>
          <w:szCs w:val="24"/>
        </w:rPr>
        <w:t>teratogen</w:t>
      </w:r>
      <w:proofErr w:type="spellEnd"/>
      <w:r w:rsidRPr="00121903">
        <w:rPr>
          <w:sz w:val="24"/>
          <w:szCs w:val="24"/>
        </w:rPr>
        <w:t xml:space="preserve"> hos rotter eller kaniner, men ved doser 50 gange humandosis sås nogen effekt på antallet af dødfødsler og tidlig overlevelse blandt unger (se pkt. 4.6).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E54907" w:rsidRPr="00121903" w:rsidRDefault="00E54907" w:rsidP="00E54907">
      <w:pPr>
        <w:numPr>
          <w:ilvl w:val="0"/>
          <w:numId w:val="3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121903">
        <w:rPr>
          <w:b/>
          <w:sz w:val="24"/>
          <w:szCs w:val="24"/>
        </w:rPr>
        <w:t>FARMACEUTISKE OPLYSNINGER</w:t>
      </w:r>
    </w:p>
    <w:p w:rsidR="00E54907" w:rsidRPr="00121903" w:rsidRDefault="00E54907" w:rsidP="00E54907">
      <w:pPr>
        <w:ind w:left="851" w:hanging="851"/>
        <w:rPr>
          <w:b/>
          <w:sz w:val="24"/>
          <w:szCs w:val="24"/>
        </w:rPr>
      </w:pPr>
    </w:p>
    <w:p w:rsidR="00E54907" w:rsidRPr="00121903" w:rsidRDefault="00E54907" w:rsidP="00E54907">
      <w:pPr>
        <w:numPr>
          <w:ilvl w:val="1"/>
          <w:numId w:val="5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121903">
        <w:rPr>
          <w:b/>
          <w:sz w:val="24"/>
          <w:szCs w:val="24"/>
        </w:rPr>
        <w:t>Hjælpestoffer</w:t>
      </w:r>
    </w:p>
    <w:p w:rsidR="00E54907" w:rsidRPr="00121903" w:rsidRDefault="00E54907" w:rsidP="00E54907">
      <w:pPr>
        <w:ind w:left="851" w:hanging="851"/>
        <w:rPr>
          <w:sz w:val="24"/>
          <w:szCs w:val="24"/>
          <w:u w:val="single"/>
        </w:rPr>
      </w:pPr>
      <w:r w:rsidRPr="00121903">
        <w:rPr>
          <w:sz w:val="24"/>
          <w:szCs w:val="24"/>
        </w:rPr>
        <w:tab/>
      </w:r>
      <w:r w:rsidRPr="00121903">
        <w:rPr>
          <w:sz w:val="24"/>
          <w:szCs w:val="24"/>
          <w:u w:val="single"/>
        </w:rPr>
        <w:t>Tabletkerne</w:t>
      </w:r>
    </w:p>
    <w:p w:rsidR="00E54907" w:rsidRPr="00121903" w:rsidRDefault="00E54907" w:rsidP="00E54907">
      <w:pPr>
        <w:ind w:left="851"/>
        <w:rPr>
          <w:sz w:val="24"/>
          <w:szCs w:val="24"/>
        </w:rPr>
      </w:pPr>
      <w:proofErr w:type="spellStart"/>
      <w:r w:rsidRPr="00121903">
        <w:rPr>
          <w:sz w:val="24"/>
          <w:szCs w:val="24"/>
        </w:rPr>
        <w:t>Lactosemonohydrat</w:t>
      </w:r>
      <w:proofErr w:type="spellEnd"/>
      <w:r w:rsidRPr="00121903">
        <w:rPr>
          <w:sz w:val="24"/>
          <w:szCs w:val="24"/>
        </w:rPr>
        <w:t>,</w:t>
      </w:r>
    </w:p>
    <w:p w:rsidR="00E54907" w:rsidRPr="00121903" w:rsidRDefault="00E54907" w:rsidP="00E54907">
      <w:pPr>
        <w:ind w:left="851"/>
        <w:rPr>
          <w:sz w:val="24"/>
          <w:szCs w:val="24"/>
        </w:rPr>
      </w:pPr>
      <w:r w:rsidRPr="00121903">
        <w:rPr>
          <w:sz w:val="24"/>
          <w:szCs w:val="24"/>
        </w:rPr>
        <w:t>Mikrokrystallinsk cellulose (E460)</w:t>
      </w:r>
    </w:p>
    <w:p w:rsidR="00E54907" w:rsidRPr="00121903" w:rsidRDefault="00E54907" w:rsidP="00E54907">
      <w:pPr>
        <w:ind w:left="851"/>
        <w:rPr>
          <w:sz w:val="24"/>
          <w:szCs w:val="24"/>
          <w:lang w:val="pt-PT"/>
        </w:rPr>
      </w:pPr>
      <w:r w:rsidRPr="00121903">
        <w:rPr>
          <w:sz w:val="24"/>
          <w:szCs w:val="24"/>
          <w:lang w:val="pt-PT"/>
        </w:rPr>
        <w:t>Majsstivelse</w:t>
      </w:r>
    </w:p>
    <w:p w:rsidR="00E54907" w:rsidRPr="00121903" w:rsidRDefault="00E54907" w:rsidP="00E54907">
      <w:pPr>
        <w:ind w:left="851"/>
        <w:rPr>
          <w:sz w:val="24"/>
          <w:szCs w:val="24"/>
          <w:lang w:val="pt-PT"/>
        </w:rPr>
      </w:pPr>
      <w:r w:rsidRPr="00121903">
        <w:rPr>
          <w:sz w:val="24"/>
          <w:szCs w:val="24"/>
          <w:lang w:val="pt-PT"/>
        </w:rPr>
        <w:t>Hyprolose (E463)</w:t>
      </w:r>
    </w:p>
    <w:p w:rsidR="00E54907" w:rsidRPr="00121903" w:rsidRDefault="00E54907" w:rsidP="00E54907">
      <w:pPr>
        <w:ind w:left="851"/>
        <w:rPr>
          <w:sz w:val="24"/>
          <w:szCs w:val="24"/>
          <w:lang w:val="pt-PT"/>
        </w:rPr>
      </w:pPr>
      <w:r w:rsidRPr="00121903">
        <w:rPr>
          <w:sz w:val="24"/>
          <w:szCs w:val="24"/>
          <w:lang w:val="pt-PT"/>
        </w:rPr>
        <w:t xml:space="preserve">Magnesiumstearat (E470b) </w:t>
      </w:r>
    </w:p>
    <w:p w:rsidR="00E54907" w:rsidRPr="00121903" w:rsidRDefault="00E54907" w:rsidP="00E54907">
      <w:pPr>
        <w:ind w:left="851" w:hanging="851"/>
        <w:rPr>
          <w:sz w:val="24"/>
          <w:szCs w:val="24"/>
          <w:lang w:val="pt-PT"/>
        </w:rPr>
      </w:pPr>
    </w:p>
    <w:p w:rsidR="00E54907" w:rsidRPr="00121903" w:rsidRDefault="00E54907" w:rsidP="00E54907">
      <w:pPr>
        <w:ind w:left="851"/>
        <w:rPr>
          <w:sz w:val="24"/>
          <w:szCs w:val="24"/>
          <w:lang w:val="pt-PT"/>
        </w:rPr>
      </w:pPr>
      <w:r w:rsidRPr="00121903">
        <w:rPr>
          <w:sz w:val="24"/>
          <w:szCs w:val="24"/>
          <w:u w:val="single"/>
          <w:lang w:val="pt-PT"/>
        </w:rPr>
        <w:t>Filmovertræk</w:t>
      </w:r>
    </w:p>
    <w:p w:rsidR="00E54907" w:rsidRPr="00121903" w:rsidRDefault="00E54907" w:rsidP="00E54907">
      <w:pPr>
        <w:ind w:left="851"/>
        <w:rPr>
          <w:sz w:val="24"/>
          <w:szCs w:val="24"/>
          <w:lang w:val="pt-PT"/>
        </w:rPr>
      </w:pPr>
      <w:r w:rsidRPr="00121903">
        <w:rPr>
          <w:sz w:val="24"/>
          <w:szCs w:val="24"/>
          <w:lang w:val="pt-PT"/>
        </w:rPr>
        <w:t>Hypromellose (E464)</w:t>
      </w:r>
    </w:p>
    <w:p w:rsidR="00E54907" w:rsidRPr="00121903" w:rsidRDefault="00E54907" w:rsidP="00E54907">
      <w:pPr>
        <w:ind w:left="851"/>
        <w:rPr>
          <w:sz w:val="24"/>
          <w:szCs w:val="24"/>
          <w:lang w:val="pt-PT"/>
        </w:rPr>
      </w:pPr>
      <w:r w:rsidRPr="00121903">
        <w:rPr>
          <w:sz w:val="24"/>
          <w:szCs w:val="24"/>
          <w:lang w:val="pt-PT"/>
        </w:rPr>
        <w:t xml:space="preserve">Macrogol </w:t>
      </w:r>
    </w:p>
    <w:p w:rsidR="00E54907" w:rsidRPr="00121903" w:rsidRDefault="00E54907" w:rsidP="00E54907">
      <w:pPr>
        <w:ind w:left="851"/>
        <w:rPr>
          <w:sz w:val="24"/>
          <w:szCs w:val="24"/>
          <w:lang w:val="pt-PT"/>
        </w:rPr>
      </w:pPr>
      <w:r w:rsidRPr="00121903">
        <w:rPr>
          <w:sz w:val="24"/>
          <w:szCs w:val="24"/>
          <w:lang w:val="pt-PT"/>
        </w:rPr>
        <w:t>Talcum</w:t>
      </w:r>
    </w:p>
    <w:p w:rsidR="00E54907" w:rsidRPr="00121903" w:rsidRDefault="00E54907" w:rsidP="00E54907">
      <w:pPr>
        <w:ind w:left="851"/>
        <w:rPr>
          <w:sz w:val="24"/>
          <w:szCs w:val="24"/>
        </w:rPr>
      </w:pPr>
      <w:r w:rsidRPr="00121903">
        <w:rPr>
          <w:sz w:val="24"/>
          <w:szCs w:val="24"/>
          <w:lang w:val="pt-PT"/>
        </w:rPr>
        <w:t>Titandioxid (E171)</w:t>
      </w:r>
    </w:p>
    <w:p w:rsidR="00E54907" w:rsidRPr="00121903" w:rsidRDefault="00E54907" w:rsidP="00E54907">
      <w:pPr>
        <w:rPr>
          <w:sz w:val="24"/>
          <w:szCs w:val="24"/>
        </w:rPr>
      </w:pPr>
    </w:p>
    <w:p w:rsidR="00E54907" w:rsidRPr="00121903" w:rsidRDefault="00E54907" w:rsidP="00E54907">
      <w:pPr>
        <w:numPr>
          <w:ilvl w:val="1"/>
          <w:numId w:val="5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121903">
        <w:rPr>
          <w:b/>
          <w:sz w:val="24"/>
          <w:szCs w:val="24"/>
        </w:rPr>
        <w:t>Uforligeligheder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  <w:r w:rsidRPr="00121903">
        <w:rPr>
          <w:sz w:val="24"/>
          <w:szCs w:val="24"/>
        </w:rPr>
        <w:tab/>
        <w:t>Ikke relevant.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E54907" w:rsidRPr="00121903" w:rsidRDefault="00E54907" w:rsidP="00E54907">
      <w:pPr>
        <w:numPr>
          <w:ilvl w:val="1"/>
          <w:numId w:val="5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121903">
        <w:rPr>
          <w:b/>
          <w:sz w:val="24"/>
          <w:szCs w:val="24"/>
        </w:rPr>
        <w:t>Opbevaringstid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  <w:r w:rsidRPr="00121903">
        <w:rPr>
          <w:sz w:val="24"/>
          <w:szCs w:val="24"/>
        </w:rPr>
        <w:tab/>
        <w:t>3 år.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E54907" w:rsidRPr="00121903" w:rsidRDefault="00E54907" w:rsidP="00E54907">
      <w:pPr>
        <w:numPr>
          <w:ilvl w:val="1"/>
          <w:numId w:val="5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121903">
        <w:rPr>
          <w:b/>
          <w:sz w:val="24"/>
          <w:szCs w:val="24"/>
        </w:rPr>
        <w:t>Særlige opbevaringsforhold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  <w:r w:rsidRPr="00121903">
        <w:rPr>
          <w:sz w:val="24"/>
          <w:szCs w:val="24"/>
        </w:rPr>
        <w:tab/>
        <w:t>Dette lægemiddel kræver ingen særlige forholdsregler vedrørende opbevaringen.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E54907" w:rsidRPr="00121903" w:rsidRDefault="00E54907" w:rsidP="00E54907">
      <w:pPr>
        <w:numPr>
          <w:ilvl w:val="1"/>
          <w:numId w:val="5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121903">
        <w:rPr>
          <w:b/>
          <w:sz w:val="24"/>
          <w:szCs w:val="24"/>
        </w:rPr>
        <w:t>Emballagetype og pakningsstørrelser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  <w:r w:rsidRPr="00121903">
        <w:rPr>
          <w:sz w:val="24"/>
          <w:szCs w:val="24"/>
        </w:rPr>
        <w:tab/>
        <w:t>Blister (PVC/aluminium). Pakningsstørrelser 28, 50, 56, 98 eller 100 tabletter.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  <w:r w:rsidRPr="00121903">
        <w:rPr>
          <w:sz w:val="24"/>
          <w:szCs w:val="24"/>
        </w:rPr>
        <w:tab/>
        <w:t>Ikke alle pakningsstørrelser er nødvendigvis markedsført.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E54907" w:rsidRPr="00121903" w:rsidRDefault="00E54907" w:rsidP="00E54907">
      <w:pPr>
        <w:numPr>
          <w:ilvl w:val="1"/>
          <w:numId w:val="5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121903">
        <w:rPr>
          <w:b/>
          <w:sz w:val="24"/>
          <w:szCs w:val="24"/>
        </w:rPr>
        <w:t xml:space="preserve">Regler for </w:t>
      </w:r>
      <w:r w:rsidR="00303D00">
        <w:rPr>
          <w:b/>
          <w:sz w:val="24"/>
          <w:szCs w:val="24"/>
        </w:rPr>
        <w:t>bort</w:t>
      </w:r>
      <w:r w:rsidR="00047A46">
        <w:rPr>
          <w:b/>
          <w:sz w:val="24"/>
          <w:szCs w:val="24"/>
        </w:rPr>
        <w:t>s</w:t>
      </w:r>
      <w:r w:rsidR="00303D00">
        <w:rPr>
          <w:b/>
          <w:sz w:val="24"/>
          <w:szCs w:val="24"/>
        </w:rPr>
        <w:t>k</w:t>
      </w:r>
      <w:r w:rsidR="00047A46">
        <w:rPr>
          <w:b/>
          <w:sz w:val="24"/>
          <w:szCs w:val="24"/>
        </w:rPr>
        <w:t>a</w:t>
      </w:r>
      <w:r w:rsidR="00303D00">
        <w:rPr>
          <w:b/>
          <w:sz w:val="24"/>
          <w:szCs w:val="24"/>
        </w:rPr>
        <w:t>ffelse</w:t>
      </w:r>
      <w:r w:rsidRPr="00121903">
        <w:rPr>
          <w:b/>
          <w:sz w:val="24"/>
          <w:szCs w:val="24"/>
        </w:rPr>
        <w:t xml:space="preserve"> og anden håndtering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  <w:r w:rsidRPr="00121903">
        <w:rPr>
          <w:sz w:val="24"/>
          <w:szCs w:val="24"/>
        </w:rPr>
        <w:tab/>
        <w:t>Ingen særlige forholdsregler.</w:t>
      </w:r>
    </w:p>
    <w:p w:rsidR="00E54907" w:rsidRDefault="00E54907" w:rsidP="00E54907">
      <w:pPr>
        <w:ind w:left="851" w:hanging="851"/>
        <w:rPr>
          <w:sz w:val="24"/>
          <w:szCs w:val="24"/>
        </w:rPr>
      </w:pPr>
    </w:p>
    <w:p w:rsidR="00303D00" w:rsidRDefault="00303D00" w:rsidP="00E54907">
      <w:pPr>
        <w:ind w:left="851" w:hanging="851"/>
        <w:rPr>
          <w:sz w:val="24"/>
          <w:szCs w:val="24"/>
        </w:rPr>
      </w:pPr>
    </w:p>
    <w:p w:rsidR="00303D00" w:rsidRDefault="00303D00" w:rsidP="00E54907">
      <w:pPr>
        <w:ind w:left="851" w:hanging="851"/>
        <w:rPr>
          <w:sz w:val="24"/>
          <w:szCs w:val="24"/>
        </w:rPr>
      </w:pPr>
    </w:p>
    <w:p w:rsidR="00303D00" w:rsidRPr="00121903" w:rsidRDefault="00303D00" w:rsidP="00E54907">
      <w:pPr>
        <w:ind w:left="851" w:hanging="851"/>
        <w:rPr>
          <w:sz w:val="24"/>
          <w:szCs w:val="24"/>
        </w:rPr>
      </w:pPr>
    </w:p>
    <w:p w:rsidR="00E54907" w:rsidRPr="00121903" w:rsidRDefault="00E54907" w:rsidP="00E54907">
      <w:pPr>
        <w:ind w:left="851" w:hanging="851"/>
        <w:rPr>
          <w:b/>
          <w:sz w:val="24"/>
          <w:szCs w:val="24"/>
        </w:rPr>
      </w:pPr>
      <w:r w:rsidRPr="00121903">
        <w:rPr>
          <w:b/>
          <w:sz w:val="24"/>
          <w:szCs w:val="24"/>
        </w:rPr>
        <w:lastRenderedPageBreak/>
        <w:t>7.</w:t>
      </w:r>
      <w:r w:rsidRPr="00121903">
        <w:rPr>
          <w:b/>
          <w:sz w:val="24"/>
          <w:szCs w:val="24"/>
        </w:rPr>
        <w:tab/>
        <w:t>INDEHAVER AF MARKEDSFØRINGSTILLADELSEN</w:t>
      </w:r>
    </w:p>
    <w:p w:rsidR="00E54907" w:rsidRPr="00121903" w:rsidRDefault="00E54907" w:rsidP="00E54907">
      <w:pPr>
        <w:ind w:left="851" w:hanging="851"/>
        <w:rPr>
          <w:sz w:val="24"/>
          <w:szCs w:val="24"/>
          <w:lang w:val="en-GB"/>
        </w:rPr>
      </w:pPr>
      <w:r w:rsidRPr="00121903">
        <w:rPr>
          <w:sz w:val="24"/>
          <w:szCs w:val="24"/>
        </w:rPr>
        <w:tab/>
      </w:r>
      <w:r w:rsidRPr="00121903">
        <w:rPr>
          <w:sz w:val="24"/>
          <w:szCs w:val="24"/>
          <w:lang w:val="en-GB"/>
        </w:rPr>
        <w:t xml:space="preserve">Jubilant Pharmaceuticals </w:t>
      </w:r>
      <w:proofErr w:type="spellStart"/>
      <w:r w:rsidRPr="00121903">
        <w:rPr>
          <w:sz w:val="24"/>
          <w:szCs w:val="24"/>
          <w:lang w:val="en-GB"/>
        </w:rPr>
        <w:t>nv</w:t>
      </w:r>
      <w:proofErr w:type="spellEnd"/>
    </w:p>
    <w:p w:rsidR="00E54907" w:rsidRPr="00121903" w:rsidRDefault="00E54907" w:rsidP="00E54907">
      <w:pPr>
        <w:ind w:left="851"/>
        <w:rPr>
          <w:sz w:val="24"/>
          <w:szCs w:val="24"/>
          <w:lang w:val="en-GB"/>
        </w:rPr>
      </w:pPr>
      <w:proofErr w:type="spellStart"/>
      <w:r w:rsidRPr="00121903">
        <w:rPr>
          <w:sz w:val="24"/>
          <w:szCs w:val="24"/>
          <w:lang w:val="en-GB"/>
        </w:rPr>
        <w:t>Axxes</w:t>
      </w:r>
      <w:proofErr w:type="spellEnd"/>
      <w:r w:rsidRPr="00121903">
        <w:rPr>
          <w:sz w:val="24"/>
          <w:szCs w:val="24"/>
          <w:lang w:val="en-GB"/>
        </w:rPr>
        <w:t xml:space="preserve"> Business Park</w:t>
      </w:r>
    </w:p>
    <w:p w:rsidR="00E54907" w:rsidRPr="00121903" w:rsidRDefault="00E54907" w:rsidP="00E54907">
      <w:pPr>
        <w:ind w:left="851"/>
        <w:rPr>
          <w:sz w:val="24"/>
          <w:szCs w:val="24"/>
        </w:rPr>
      </w:pPr>
      <w:proofErr w:type="spellStart"/>
      <w:r w:rsidRPr="00121903">
        <w:rPr>
          <w:sz w:val="24"/>
          <w:szCs w:val="24"/>
        </w:rPr>
        <w:t>Guldensporenpark</w:t>
      </w:r>
      <w:proofErr w:type="spellEnd"/>
      <w:r w:rsidRPr="00121903">
        <w:rPr>
          <w:sz w:val="24"/>
          <w:szCs w:val="24"/>
        </w:rPr>
        <w:t xml:space="preserve"> 22, </w:t>
      </w:r>
      <w:proofErr w:type="spellStart"/>
      <w:r w:rsidRPr="00121903">
        <w:rPr>
          <w:sz w:val="24"/>
          <w:szCs w:val="24"/>
        </w:rPr>
        <w:t>block</w:t>
      </w:r>
      <w:proofErr w:type="spellEnd"/>
      <w:r w:rsidRPr="00121903">
        <w:rPr>
          <w:sz w:val="24"/>
          <w:szCs w:val="24"/>
        </w:rPr>
        <w:t xml:space="preserve"> C</w:t>
      </w:r>
    </w:p>
    <w:p w:rsidR="00E54907" w:rsidRPr="00121903" w:rsidRDefault="00E54907" w:rsidP="00E54907">
      <w:pPr>
        <w:ind w:left="851"/>
        <w:rPr>
          <w:sz w:val="24"/>
          <w:szCs w:val="24"/>
        </w:rPr>
      </w:pPr>
      <w:r w:rsidRPr="00121903">
        <w:rPr>
          <w:sz w:val="24"/>
          <w:szCs w:val="24"/>
        </w:rPr>
        <w:t xml:space="preserve">9820 </w:t>
      </w:r>
      <w:proofErr w:type="spellStart"/>
      <w:r w:rsidRPr="00121903">
        <w:rPr>
          <w:sz w:val="24"/>
          <w:szCs w:val="24"/>
        </w:rPr>
        <w:t>Merelbeke</w:t>
      </w:r>
      <w:proofErr w:type="spellEnd"/>
    </w:p>
    <w:p w:rsidR="00E54907" w:rsidRPr="00121903" w:rsidRDefault="00E54907" w:rsidP="00E54907">
      <w:pPr>
        <w:ind w:left="851"/>
        <w:rPr>
          <w:sz w:val="24"/>
          <w:szCs w:val="24"/>
        </w:rPr>
      </w:pPr>
      <w:r w:rsidRPr="00121903">
        <w:rPr>
          <w:sz w:val="24"/>
          <w:szCs w:val="24"/>
        </w:rPr>
        <w:t>Belgien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E54907" w:rsidRPr="00121903" w:rsidRDefault="00E54907" w:rsidP="00E54907">
      <w:pPr>
        <w:ind w:left="851" w:hanging="851"/>
        <w:rPr>
          <w:b/>
          <w:sz w:val="24"/>
          <w:szCs w:val="24"/>
        </w:rPr>
      </w:pPr>
      <w:r w:rsidRPr="00121903">
        <w:rPr>
          <w:b/>
          <w:sz w:val="24"/>
          <w:szCs w:val="24"/>
        </w:rPr>
        <w:t>8.</w:t>
      </w:r>
      <w:r w:rsidRPr="00121903">
        <w:rPr>
          <w:b/>
          <w:sz w:val="24"/>
          <w:szCs w:val="24"/>
        </w:rPr>
        <w:tab/>
        <w:t>MARKEDSFØRINGSTILLADELSESNUMMER (</w:t>
      </w:r>
      <w:r w:rsidR="00303D00">
        <w:rPr>
          <w:b/>
          <w:sz w:val="24"/>
          <w:szCs w:val="24"/>
        </w:rPr>
        <w:t>-</w:t>
      </w:r>
      <w:r w:rsidRPr="00121903">
        <w:rPr>
          <w:b/>
          <w:sz w:val="24"/>
          <w:szCs w:val="24"/>
        </w:rPr>
        <w:t>NUMRE)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  <w:r w:rsidRPr="00121903">
        <w:rPr>
          <w:sz w:val="24"/>
          <w:szCs w:val="24"/>
        </w:rPr>
        <w:tab/>
        <w:t>5 mg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49663</w:t>
      </w:r>
    </w:p>
    <w:p w:rsidR="00E54907" w:rsidRPr="00121903" w:rsidRDefault="00E54907" w:rsidP="00E54907">
      <w:pPr>
        <w:ind w:left="851"/>
        <w:rPr>
          <w:sz w:val="24"/>
          <w:szCs w:val="24"/>
        </w:rPr>
      </w:pPr>
      <w:r w:rsidRPr="00121903">
        <w:rPr>
          <w:sz w:val="24"/>
          <w:szCs w:val="24"/>
        </w:rPr>
        <w:t>10 mg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49664</w:t>
      </w:r>
    </w:p>
    <w:p w:rsidR="00E54907" w:rsidRPr="00121903" w:rsidRDefault="00E54907" w:rsidP="00E54907">
      <w:pPr>
        <w:ind w:left="851" w:hanging="851"/>
        <w:jc w:val="both"/>
        <w:rPr>
          <w:sz w:val="24"/>
          <w:szCs w:val="24"/>
        </w:rPr>
      </w:pPr>
    </w:p>
    <w:p w:rsidR="00E54907" w:rsidRPr="00121903" w:rsidRDefault="00E54907" w:rsidP="00E54907">
      <w:pPr>
        <w:ind w:left="851" w:hanging="851"/>
        <w:rPr>
          <w:b/>
          <w:sz w:val="24"/>
          <w:szCs w:val="24"/>
        </w:rPr>
      </w:pPr>
      <w:r w:rsidRPr="00121903">
        <w:rPr>
          <w:b/>
          <w:sz w:val="24"/>
          <w:szCs w:val="24"/>
        </w:rPr>
        <w:t>9.</w:t>
      </w:r>
      <w:r w:rsidRPr="00121903">
        <w:rPr>
          <w:b/>
          <w:sz w:val="24"/>
          <w:szCs w:val="24"/>
        </w:rPr>
        <w:tab/>
        <w:t>DATO FOR FØRSTE MARKEDSFØRINGSTILLADELSE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  <w:r w:rsidRPr="00121903">
        <w:rPr>
          <w:sz w:val="24"/>
          <w:szCs w:val="24"/>
        </w:rPr>
        <w:tab/>
        <w:t>28. februar 2012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</w:p>
    <w:p w:rsidR="00E54907" w:rsidRPr="00121903" w:rsidRDefault="00E54907" w:rsidP="00E54907">
      <w:pPr>
        <w:ind w:left="851" w:hanging="851"/>
        <w:rPr>
          <w:b/>
          <w:sz w:val="24"/>
          <w:szCs w:val="24"/>
        </w:rPr>
      </w:pPr>
      <w:r w:rsidRPr="00121903">
        <w:rPr>
          <w:b/>
          <w:sz w:val="24"/>
          <w:szCs w:val="24"/>
        </w:rPr>
        <w:t>10.</w:t>
      </w:r>
      <w:r w:rsidRPr="00121903">
        <w:rPr>
          <w:b/>
          <w:sz w:val="24"/>
          <w:szCs w:val="24"/>
        </w:rPr>
        <w:tab/>
        <w:t>DATO FOR ÆNDRING AF TEKSTEN</w:t>
      </w:r>
    </w:p>
    <w:p w:rsidR="00E54907" w:rsidRPr="00121903" w:rsidRDefault="00E54907" w:rsidP="00E54907">
      <w:pPr>
        <w:ind w:left="851" w:hanging="851"/>
        <w:rPr>
          <w:sz w:val="24"/>
          <w:szCs w:val="24"/>
        </w:rPr>
      </w:pPr>
      <w:r w:rsidRPr="00121903">
        <w:rPr>
          <w:sz w:val="24"/>
          <w:szCs w:val="24"/>
        </w:rPr>
        <w:tab/>
      </w:r>
      <w:r w:rsidR="00F61317">
        <w:rPr>
          <w:sz w:val="24"/>
          <w:szCs w:val="24"/>
        </w:rPr>
        <w:t>12. november</w:t>
      </w:r>
      <w:r w:rsidR="00303D00">
        <w:rPr>
          <w:sz w:val="24"/>
          <w:szCs w:val="24"/>
        </w:rPr>
        <w:t xml:space="preserve"> 2024</w:t>
      </w:r>
    </w:p>
    <w:p w:rsidR="00E54907" w:rsidRPr="00AA141E" w:rsidRDefault="00E54907" w:rsidP="00E54907"/>
    <w:p w:rsidR="00E54907" w:rsidRPr="000D35FD" w:rsidRDefault="00E54907" w:rsidP="00E54907"/>
    <w:p w:rsidR="009260DE" w:rsidRPr="00E54907" w:rsidRDefault="009260DE" w:rsidP="00E54907"/>
    <w:sectPr w:rsidR="009260DE" w:rsidRPr="00E54907" w:rsidSect="000259B9">
      <w:footerReference w:type="default" r:id="rId10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907" w:rsidRDefault="00E54907">
      <w:r>
        <w:separator/>
      </w:r>
    </w:p>
  </w:endnote>
  <w:endnote w:type="continuationSeparator" w:id="0">
    <w:p w:rsidR="00E54907" w:rsidRDefault="00E54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F61317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proofErr w:type="spellStart"/>
    <w:r w:rsidRPr="00F61317">
      <w:rPr>
        <w:i/>
        <w:sz w:val="18"/>
        <w:szCs w:val="18"/>
      </w:rPr>
      <w:t>Donepezil</w:t>
    </w:r>
    <w:proofErr w:type="spellEnd"/>
    <w:r w:rsidRPr="00F61317">
      <w:rPr>
        <w:i/>
        <w:sz w:val="18"/>
        <w:szCs w:val="18"/>
      </w:rPr>
      <w:t xml:space="preserve"> </w:t>
    </w:r>
    <w:proofErr w:type="spellStart"/>
    <w:r w:rsidRPr="00F61317">
      <w:rPr>
        <w:i/>
        <w:sz w:val="18"/>
        <w:szCs w:val="18"/>
      </w:rPr>
      <w:t>Jubilant</w:t>
    </w:r>
    <w:proofErr w:type="spellEnd"/>
    <w:r w:rsidRPr="00F61317">
      <w:rPr>
        <w:i/>
        <w:sz w:val="18"/>
        <w:szCs w:val="18"/>
      </w:rPr>
      <w:t>, filmovertrukne tabletter 5 mg og 10 mg</w:t>
    </w:r>
    <w:r w:rsidR="000259B9" w:rsidRPr="00B373D7">
      <w:rPr>
        <w:i/>
        <w:sz w:val="18"/>
        <w:szCs w:val="18"/>
      </w:rPr>
      <w:tab/>
      <w:t xml:space="preserve">Side </w:t>
    </w:r>
    <w:r w:rsidR="00782AF4"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="00782AF4"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="00782AF4"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="00782AF4"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="00782AF4"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="00782AF4"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907" w:rsidRDefault="00E54907">
      <w:r>
        <w:separator/>
      </w:r>
    </w:p>
  </w:footnote>
  <w:footnote w:type="continuationSeparator" w:id="0">
    <w:p w:rsidR="00E54907" w:rsidRDefault="00E54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07"/>
    <w:rsid w:val="000259B9"/>
    <w:rsid w:val="00041491"/>
    <w:rsid w:val="00047A46"/>
    <w:rsid w:val="00050D16"/>
    <w:rsid w:val="00074F2A"/>
    <w:rsid w:val="000A1CA8"/>
    <w:rsid w:val="000A466B"/>
    <w:rsid w:val="000B058C"/>
    <w:rsid w:val="000E4EE6"/>
    <w:rsid w:val="001454E2"/>
    <w:rsid w:val="001E1883"/>
    <w:rsid w:val="00206CE8"/>
    <w:rsid w:val="0021526C"/>
    <w:rsid w:val="00283A2B"/>
    <w:rsid w:val="002B30AD"/>
    <w:rsid w:val="002C2C01"/>
    <w:rsid w:val="00303D00"/>
    <w:rsid w:val="003A29AE"/>
    <w:rsid w:val="003A32D7"/>
    <w:rsid w:val="003B4074"/>
    <w:rsid w:val="003C769A"/>
    <w:rsid w:val="003F1838"/>
    <w:rsid w:val="0041538E"/>
    <w:rsid w:val="0045746C"/>
    <w:rsid w:val="0049104B"/>
    <w:rsid w:val="004E3B12"/>
    <w:rsid w:val="00532310"/>
    <w:rsid w:val="00545D3E"/>
    <w:rsid w:val="00560ECC"/>
    <w:rsid w:val="00565F0F"/>
    <w:rsid w:val="00594A86"/>
    <w:rsid w:val="00596D86"/>
    <w:rsid w:val="005E35F7"/>
    <w:rsid w:val="00637F5A"/>
    <w:rsid w:val="006560B1"/>
    <w:rsid w:val="006756DD"/>
    <w:rsid w:val="0072077C"/>
    <w:rsid w:val="00737275"/>
    <w:rsid w:val="00740EEC"/>
    <w:rsid w:val="0078011A"/>
    <w:rsid w:val="00782AF4"/>
    <w:rsid w:val="00790EE7"/>
    <w:rsid w:val="007B6649"/>
    <w:rsid w:val="00803550"/>
    <w:rsid w:val="0081546F"/>
    <w:rsid w:val="0082576E"/>
    <w:rsid w:val="009029F7"/>
    <w:rsid w:val="00907F75"/>
    <w:rsid w:val="009260DE"/>
    <w:rsid w:val="0093258A"/>
    <w:rsid w:val="00940D28"/>
    <w:rsid w:val="009C7BA3"/>
    <w:rsid w:val="009D1F5A"/>
    <w:rsid w:val="00B003BF"/>
    <w:rsid w:val="00B373D7"/>
    <w:rsid w:val="00B65CC9"/>
    <w:rsid w:val="00BC7178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E108AA"/>
    <w:rsid w:val="00E31812"/>
    <w:rsid w:val="00E3749A"/>
    <w:rsid w:val="00E54907"/>
    <w:rsid w:val="00E7437F"/>
    <w:rsid w:val="00E865B8"/>
    <w:rsid w:val="00EC0B9B"/>
    <w:rsid w:val="00ED0397"/>
    <w:rsid w:val="00ED5E9F"/>
    <w:rsid w:val="00F61317"/>
    <w:rsid w:val="00F66D4F"/>
    <w:rsid w:val="00FB6D01"/>
    <w:rsid w:val="00FC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0AFA54"/>
  <w15:chartTrackingRefBased/>
  <w15:docId w15:val="{5F746EC0-4425-479A-BFFE-D5BBD336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basedOn w:val="Standardskrifttypeiafsnit"/>
    <w:uiPriority w:val="99"/>
    <w:unhideWhenUsed/>
    <w:rsid w:val="00E54907"/>
    <w:rPr>
      <w:color w:val="0563C1" w:themeColor="hyperlink"/>
      <w:u w:val="single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545D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545D3E"/>
    <w:rPr>
      <w:rFonts w:ascii="Courier New" w:hAnsi="Courier New" w:cs="Courier New"/>
      <w:lang w:val="en-US" w:eastAsia="en-US"/>
    </w:rPr>
  </w:style>
  <w:style w:type="character" w:customStyle="1" w:styleId="y2iqfc">
    <w:name w:val="y2iqfc"/>
    <w:basedOn w:val="Standardskrifttypeiafsnit"/>
    <w:rsid w:val="00545D3E"/>
  </w:style>
  <w:style w:type="paragraph" w:styleId="Listeafsnit">
    <w:name w:val="List Paragraph"/>
    <w:basedOn w:val="Normal"/>
    <w:uiPriority w:val="34"/>
    <w:qFormat/>
    <w:rsid w:val="00415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1601C.B3FB0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eldenbivirkning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2989</Words>
  <Characters>20798</Characters>
  <Application>Microsoft Office Word</Application>
  <DocSecurity>0</DocSecurity>
  <Lines>173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Ott Jensen</dc:creator>
  <cp:keywords/>
  <dc:description>2024034069 _x000d_
SPC opdat. pkt. 4.2, 4.3, 4.4, 4.7, 4.8, 5.1, 5.3</dc:description>
  <cp:lastModifiedBy>Marianne Ott Jensen</cp:lastModifiedBy>
  <cp:revision>3</cp:revision>
  <cp:lastPrinted>2012-08-22T08:53:00Z</cp:lastPrinted>
  <dcterms:created xsi:type="dcterms:W3CDTF">2024-11-08T10:36:00Z</dcterms:created>
  <dcterms:modified xsi:type="dcterms:W3CDTF">2024-11-08T10:47:00Z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