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4541C">
        <w:rPr>
          <w:szCs w:val="24"/>
        </w:rPr>
        <w:t>5. september 2022</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343DFF" w:rsidP="009260DE">
      <w:pPr>
        <w:jc w:val="center"/>
        <w:rPr>
          <w:b/>
          <w:sz w:val="24"/>
          <w:szCs w:val="24"/>
        </w:rPr>
      </w:pPr>
      <w:r>
        <w:rPr>
          <w:b/>
          <w:sz w:val="24"/>
          <w:szCs w:val="24"/>
        </w:rPr>
        <w:t>Dopital, hårde kapsler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357790" w:rsidP="009260DE">
      <w:pPr>
        <w:tabs>
          <w:tab w:val="left" w:pos="851"/>
        </w:tabs>
        <w:ind w:left="851"/>
        <w:rPr>
          <w:sz w:val="24"/>
          <w:szCs w:val="24"/>
        </w:rPr>
      </w:pPr>
      <w:r>
        <w:rPr>
          <w:sz w:val="24"/>
          <w:szCs w:val="24"/>
        </w:rPr>
        <w:t>32555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357790" w:rsidP="009260DE">
      <w:pPr>
        <w:tabs>
          <w:tab w:val="left" w:pos="851"/>
        </w:tabs>
        <w:ind w:left="851"/>
        <w:rPr>
          <w:sz w:val="24"/>
          <w:szCs w:val="24"/>
        </w:rPr>
      </w:pPr>
      <w:r>
        <w:rPr>
          <w:sz w:val="24"/>
          <w:szCs w:val="24"/>
        </w:rPr>
        <w:t>Dopital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623A7" w:rsidRPr="002623A7" w:rsidRDefault="002623A7" w:rsidP="002623A7">
      <w:pPr>
        <w:tabs>
          <w:tab w:val="left" w:pos="851"/>
        </w:tabs>
        <w:ind w:left="851"/>
        <w:rPr>
          <w:sz w:val="24"/>
          <w:szCs w:val="24"/>
        </w:rPr>
      </w:pPr>
    </w:p>
    <w:p w:rsidR="002623A7" w:rsidRPr="002623A7" w:rsidRDefault="006D0935" w:rsidP="002623A7">
      <w:pPr>
        <w:tabs>
          <w:tab w:val="left" w:pos="851"/>
        </w:tabs>
        <w:ind w:left="851"/>
        <w:rPr>
          <w:sz w:val="24"/>
          <w:szCs w:val="24"/>
          <w:u w:val="single"/>
        </w:rPr>
      </w:pPr>
      <w:r>
        <w:rPr>
          <w:sz w:val="24"/>
          <w:szCs w:val="24"/>
          <w:u w:val="single"/>
        </w:rPr>
        <w:t>50 mg</w:t>
      </w:r>
    </w:p>
    <w:p w:rsidR="002623A7" w:rsidRPr="002623A7" w:rsidRDefault="002623A7" w:rsidP="002623A7">
      <w:pPr>
        <w:tabs>
          <w:tab w:val="left" w:pos="851"/>
        </w:tabs>
        <w:ind w:left="851"/>
        <w:rPr>
          <w:sz w:val="24"/>
          <w:szCs w:val="24"/>
        </w:rPr>
      </w:pPr>
      <w:r w:rsidRPr="002623A7">
        <w:rPr>
          <w:sz w:val="24"/>
          <w:szCs w:val="24"/>
        </w:rPr>
        <w:t>En 50 mg hård kapsel indeholder 50 mg mexiletinhydrochlorid svarende til 41,55 mg mexiletin.</w:t>
      </w:r>
    </w:p>
    <w:p w:rsidR="002623A7" w:rsidRPr="002623A7" w:rsidRDefault="002623A7" w:rsidP="002623A7">
      <w:pPr>
        <w:tabs>
          <w:tab w:val="left" w:pos="851"/>
        </w:tabs>
        <w:ind w:left="851"/>
        <w:rPr>
          <w:sz w:val="24"/>
          <w:szCs w:val="24"/>
        </w:rPr>
      </w:pPr>
    </w:p>
    <w:p w:rsidR="002623A7" w:rsidRPr="002623A7" w:rsidRDefault="006D0935" w:rsidP="002623A7">
      <w:pPr>
        <w:tabs>
          <w:tab w:val="left" w:pos="851"/>
        </w:tabs>
        <w:ind w:left="851"/>
        <w:rPr>
          <w:sz w:val="24"/>
          <w:szCs w:val="24"/>
          <w:u w:val="single"/>
        </w:rPr>
      </w:pPr>
      <w:bookmarkStart w:id="1" w:name="_Hlk98492600"/>
      <w:r>
        <w:rPr>
          <w:sz w:val="24"/>
          <w:szCs w:val="24"/>
          <w:u w:val="single"/>
        </w:rPr>
        <w:t>100 mg</w:t>
      </w:r>
    </w:p>
    <w:p w:rsidR="002623A7" w:rsidRPr="002623A7" w:rsidRDefault="002623A7" w:rsidP="002623A7">
      <w:pPr>
        <w:tabs>
          <w:tab w:val="left" w:pos="851"/>
        </w:tabs>
        <w:ind w:left="851"/>
        <w:rPr>
          <w:sz w:val="24"/>
          <w:szCs w:val="24"/>
        </w:rPr>
      </w:pPr>
      <w:r w:rsidRPr="002623A7">
        <w:rPr>
          <w:sz w:val="24"/>
          <w:szCs w:val="24"/>
        </w:rPr>
        <w:t>En 100 mg hård kapsel indeholder 100 mg mexiletinhydrochlorid svarende til 83,10 mg mexiletin.</w:t>
      </w:r>
    </w:p>
    <w:bookmarkEnd w:id="1"/>
    <w:p w:rsidR="002623A7" w:rsidRPr="002623A7" w:rsidRDefault="002623A7" w:rsidP="002623A7">
      <w:pPr>
        <w:tabs>
          <w:tab w:val="left" w:pos="851"/>
        </w:tabs>
        <w:ind w:left="851"/>
        <w:rPr>
          <w:sz w:val="24"/>
          <w:szCs w:val="24"/>
        </w:rPr>
      </w:pPr>
    </w:p>
    <w:p w:rsidR="002623A7" w:rsidRPr="002623A7" w:rsidRDefault="006D0935" w:rsidP="002623A7">
      <w:pPr>
        <w:tabs>
          <w:tab w:val="left" w:pos="851"/>
        </w:tabs>
        <w:ind w:left="851"/>
        <w:rPr>
          <w:sz w:val="24"/>
          <w:szCs w:val="24"/>
          <w:u w:val="single"/>
        </w:rPr>
      </w:pPr>
      <w:r>
        <w:rPr>
          <w:sz w:val="24"/>
          <w:szCs w:val="24"/>
          <w:u w:val="single"/>
        </w:rPr>
        <w:t>200 mg</w:t>
      </w:r>
    </w:p>
    <w:p w:rsidR="002623A7" w:rsidRPr="002623A7" w:rsidRDefault="002623A7" w:rsidP="002623A7">
      <w:pPr>
        <w:tabs>
          <w:tab w:val="left" w:pos="851"/>
        </w:tabs>
        <w:ind w:left="851"/>
        <w:rPr>
          <w:sz w:val="24"/>
          <w:szCs w:val="24"/>
        </w:rPr>
      </w:pPr>
      <w:r w:rsidRPr="002623A7">
        <w:rPr>
          <w:sz w:val="24"/>
          <w:szCs w:val="24"/>
        </w:rPr>
        <w:t>En 200 mg hård kapsel indeholder 200 mg mexiletinhydrochlorid svarende til 166,20 mg mexiletin.</w:t>
      </w:r>
    </w:p>
    <w:p w:rsidR="002623A7" w:rsidRPr="002623A7" w:rsidRDefault="002623A7" w:rsidP="002623A7">
      <w:pPr>
        <w:tabs>
          <w:tab w:val="left" w:pos="851"/>
        </w:tabs>
        <w:ind w:left="851"/>
        <w:rPr>
          <w:sz w:val="24"/>
          <w:szCs w:val="24"/>
        </w:rPr>
      </w:pPr>
    </w:p>
    <w:p w:rsidR="002623A7" w:rsidRPr="002623A7" w:rsidRDefault="002623A7" w:rsidP="002623A7">
      <w:pPr>
        <w:tabs>
          <w:tab w:val="left" w:pos="851"/>
        </w:tabs>
        <w:ind w:left="851"/>
        <w:rPr>
          <w:sz w:val="24"/>
          <w:szCs w:val="24"/>
        </w:rPr>
      </w:pPr>
      <w:r w:rsidRPr="002623A7">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284FEB" w:rsidRPr="00284FEB" w:rsidRDefault="00284FEB" w:rsidP="00284FEB">
      <w:pPr>
        <w:tabs>
          <w:tab w:val="left" w:pos="851"/>
        </w:tabs>
        <w:ind w:left="851"/>
        <w:rPr>
          <w:sz w:val="24"/>
          <w:szCs w:val="24"/>
        </w:rPr>
      </w:pPr>
      <w:r w:rsidRPr="00284FEB">
        <w:rPr>
          <w:sz w:val="24"/>
          <w:szCs w:val="24"/>
        </w:rPr>
        <w:t>Hårde kapsler</w:t>
      </w:r>
    </w:p>
    <w:p w:rsidR="00284FEB" w:rsidRPr="00284FEB" w:rsidRDefault="00284FEB" w:rsidP="00284FEB">
      <w:pPr>
        <w:tabs>
          <w:tab w:val="left" w:pos="851"/>
        </w:tabs>
        <w:ind w:left="851"/>
        <w:rPr>
          <w:sz w:val="24"/>
          <w:szCs w:val="24"/>
        </w:rPr>
      </w:pPr>
    </w:p>
    <w:p w:rsidR="00284FEB" w:rsidRPr="00284FEB" w:rsidRDefault="00284FEB" w:rsidP="00284FEB">
      <w:pPr>
        <w:tabs>
          <w:tab w:val="left" w:pos="851"/>
        </w:tabs>
        <w:ind w:left="851"/>
        <w:rPr>
          <w:sz w:val="24"/>
          <w:szCs w:val="24"/>
          <w:u w:val="single"/>
        </w:rPr>
      </w:pPr>
      <w:r>
        <w:rPr>
          <w:sz w:val="24"/>
          <w:szCs w:val="24"/>
          <w:u w:val="single"/>
        </w:rPr>
        <w:t>50 mg</w:t>
      </w:r>
    </w:p>
    <w:p w:rsidR="00284FEB" w:rsidRPr="00284FEB" w:rsidRDefault="00284FEB" w:rsidP="00284FEB">
      <w:pPr>
        <w:tabs>
          <w:tab w:val="left" w:pos="851"/>
        </w:tabs>
        <w:ind w:left="851"/>
        <w:rPr>
          <w:sz w:val="24"/>
          <w:szCs w:val="24"/>
        </w:rPr>
      </w:pPr>
      <w:r w:rsidRPr="00284FEB">
        <w:rPr>
          <w:sz w:val="24"/>
          <w:szCs w:val="24"/>
        </w:rPr>
        <w:t>Uigennemsigtige, hårde gelatinekapsler med hvidt legeme og hvid hætte (“størrelse 4” med en samlet lukket længde på ca. 14,3 mm).</w:t>
      </w:r>
    </w:p>
    <w:p w:rsidR="00284FEB" w:rsidRPr="00284FEB" w:rsidRDefault="00284FEB" w:rsidP="00284FEB">
      <w:pPr>
        <w:tabs>
          <w:tab w:val="left" w:pos="851"/>
        </w:tabs>
        <w:ind w:left="851"/>
        <w:rPr>
          <w:sz w:val="24"/>
          <w:szCs w:val="24"/>
        </w:rPr>
      </w:pPr>
    </w:p>
    <w:p w:rsidR="00284FEB" w:rsidRPr="00284FEB" w:rsidRDefault="00284FEB" w:rsidP="00284FEB">
      <w:pPr>
        <w:tabs>
          <w:tab w:val="left" w:pos="851"/>
        </w:tabs>
        <w:ind w:left="851"/>
        <w:rPr>
          <w:sz w:val="24"/>
          <w:szCs w:val="24"/>
          <w:u w:val="single"/>
        </w:rPr>
      </w:pPr>
      <w:r>
        <w:rPr>
          <w:sz w:val="24"/>
          <w:szCs w:val="24"/>
          <w:u w:val="single"/>
        </w:rPr>
        <w:t>100 mg</w:t>
      </w:r>
    </w:p>
    <w:p w:rsidR="00284FEB" w:rsidRPr="00284FEB" w:rsidRDefault="00284FEB" w:rsidP="00284FEB">
      <w:pPr>
        <w:tabs>
          <w:tab w:val="left" w:pos="851"/>
        </w:tabs>
        <w:ind w:left="851"/>
        <w:rPr>
          <w:sz w:val="24"/>
          <w:szCs w:val="24"/>
        </w:rPr>
      </w:pPr>
      <w:r w:rsidRPr="00284FEB">
        <w:rPr>
          <w:sz w:val="24"/>
          <w:szCs w:val="24"/>
        </w:rPr>
        <w:t>Uigennemsigtige, hårde gelatinekapsler med hvidt legeme og lys blå hætte (“størrelse 3” med en samlet lukket længde på ca. 15,9 mm).</w:t>
      </w:r>
    </w:p>
    <w:p w:rsidR="00284FEB" w:rsidRDefault="00284FEB">
      <w:pPr>
        <w:rPr>
          <w:sz w:val="24"/>
          <w:szCs w:val="24"/>
        </w:rPr>
      </w:pPr>
      <w:r>
        <w:rPr>
          <w:sz w:val="24"/>
          <w:szCs w:val="24"/>
        </w:rPr>
        <w:br w:type="page"/>
      </w:r>
    </w:p>
    <w:p w:rsidR="00284FEB" w:rsidRPr="00284FEB" w:rsidRDefault="00284FEB" w:rsidP="00284FEB">
      <w:pPr>
        <w:tabs>
          <w:tab w:val="left" w:pos="851"/>
        </w:tabs>
        <w:ind w:left="851"/>
        <w:rPr>
          <w:sz w:val="24"/>
          <w:szCs w:val="24"/>
        </w:rPr>
      </w:pPr>
    </w:p>
    <w:p w:rsidR="00284FEB" w:rsidRPr="00284FEB" w:rsidRDefault="00284FEB" w:rsidP="00284FEB">
      <w:pPr>
        <w:tabs>
          <w:tab w:val="left" w:pos="851"/>
        </w:tabs>
        <w:ind w:left="851"/>
        <w:rPr>
          <w:sz w:val="24"/>
          <w:szCs w:val="24"/>
          <w:u w:val="single"/>
        </w:rPr>
      </w:pPr>
      <w:r>
        <w:rPr>
          <w:sz w:val="24"/>
          <w:szCs w:val="24"/>
          <w:u w:val="single"/>
        </w:rPr>
        <w:t>200 mg</w:t>
      </w:r>
    </w:p>
    <w:p w:rsidR="00284FEB" w:rsidRPr="00284FEB" w:rsidRDefault="00284FEB" w:rsidP="00284FEB">
      <w:pPr>
        <w:tabs>
          <w:tab w:val="left" w:pos="851"/>
        </w:tabs>
        <w:ind w:left="851"/>
        <w:rPr>
          <w:sz w:val="24"/>
          <w:szCs w:val="24"/>
        </w:rPr>
      </w:pPr>
      <w:r w:rsidRPr="00284FEB">
        <w:rPr>
          <w:sz w:val="24"/>
          <w:szCs w:val="24"/>
        </w:rPr>
        <w:t>Uigennemsigtige, hårde gelatinekapsler med lyseblåt legeme og lyseblå hætte (“størrelse 1” med en samlet lukket længde på ca. 19,4 mm).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9065A" w:rsidRPr="00E9065A" w:rsidRDefault="00E9065A" w:rsidP="00E9065A">
      <w:pPr>
        <w:tabs>
          <w:tab w:val="left" w:pos="851"/>
        </w:tabs>
        <w:ind w:left="851"/>
        <w:rPr>
          <w:sz w:val="24"/>
          <w:szCs w:val="24"/>
        </w:rPr>
      </w:pPr>
      <w:r w:rsidRPr="00E9065A">
        <w:rPr>
          <w:sz w:val="24"/>
          <w:szCs w:val="24"/>
        </w:rPr>
        <w:t>Mexiletin er indiceret til voksne til behandling af dokumenteret, ventrikulær arytmi, der efter lægens vurdering anses for livstruende.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E9065A" w:rsidRPr="00E9065A" w:rsidRDefault="00E9065A" w:rsidP="00E9065A">
      <w:pPr>
        <w:tabs>
          <w:tab w:val="left" w:pos="851"/>
        </w:tabs>
        <w:ind w:left="851"/>
        <w:rPr>
          <w:sz w:val="24"/>
          <w:szCs w:val="24"/>
        </w:rPr>
      </w:pPr>
    </w:p>
    <w:p w:rsidR="00E9065A" w:rsidRPr="00E9065A" w:rsidRDefault="00E9065A" w:rsidP="00E9065A">
      <w:pPr>
        <w:tabs>
          <w:tab w:val="left" w:pos="851"/>
        </w:tabs>
        <w:ind w:left="851"/>
        <w:rPr>
          <w:sz w:val="24"/>
          <w:szCs w:val="24"/>
          <w:u w:val="single"/>
        </w:rPr>
      </w:pPr>
      <w:r w:rsidRPr="00E9065A">
        <w:rPr>
          <w:sz w:val="24"/>
          <w:szCs w:val="24"/>
          <w:u w:val="single"/>
        </w:rPr>
        <w:t>Dosering</w:t>
      </w:r>
    </w:p>
    <w:p w:rsidR="00E9065A" w:rsidRPr="00E9065A" w:rsidRDefault="00E9065A" w:rsidP="00E9065A">
      <w:pPr>
        <w:tabs>
          <w:tab w:val="left" w:pos="851"/>
        </w:tabs>
        <w:ind w:left="851"/>
        <w:rPr>
          <w:sz w:val="24"/>
          <w:szCs w:val="24"/>
        </w:rPr>
      </w:pPr>
      <w:r w:rsidRPr="00E9065A">
        <w:rPr>
          <w:sz w:val="24"/>
          <w:szCs w:val="24"/>
        </w:rPr>
        <w:t>Behandling med mexiletin skal initieres og monitoreres af en specialist med erfaring i behandling af hjertearytmi.</w:t>
      </w:r>
    </w:p>
    <w:p w:rsidR="00E9065A" w:rsidRPr="00E9065A" w:rsidRDefault="00E9065A" w:rsidP="00E9065A">
      <w:pPr>
        <w:tabs>
          <w:tab w:val="left" w:pos="851"/>
        </w:tabs>
        <w:ind w:left="851"/>
        <w:rPr>
          <w:sz w:val="24"/>
          <w:szCs w:val="24"/>
        </w:rPr>
      </w:pPr>
      <w:r w:rsidRPr="00E9065A">
        <w:rPr>
          <w:sz w:val="24"/>
          <w:szCs w:val="24"/>
        </w:rPr>
        <w:t>Den optimale dosis skal bestemmes individuelt på basis af patientens respons og tolerance.</w:t>
      </w:r>
    </w:p>
    <w:p w:rsidR="00E9065A" w:rsidRPr="00E9065A" w:rsidRDefault="00E9065A" w:rsidP="00E9065A">
      <w:pPr>
        <w:tabs>
          <w:tab w:val="left" w:pos="851"/>
        </w:tabs>
        <w:ind w:left="851"/>
        <w:rPr>
          <w:sz w:val="24"/>
          <w:szCs w:val="24"/>
        </w:rPr>
      </w:pPr>
    </w:p>
    <w:p w:rsidR="00E9065A" w:rsidRPr="00E9065A" w:rsidRDefault="00E9065A" w:rsidP="00E9065A">
      <w:pPr>
        <w:tabs>
          <w:tab w:val="left" w:pos="851"/>
        </w:tabs>
        <w:ind w:left="851"/>
        <w:rPr>
          <w:i/>
          <w:sz w:val="24"/>
          <w:szCs w:val="24"/>
        </w:rPr>
      </w:pPr>
      <w:r w:rsidRPr="00E9065A">
        <w:rPr>
          <w:i/>
          <w:sz w:val="24"/>
          <w:szCs w:val="24"/>
        </w:rPr>
        <w:t>Voksne</w:t>
      </w:r>
    </w:p>
    <w:p w:rsidR="00E9065A" w:rsidRPr="00E9065A" w:rsidRDefault="00E9065A" w:rsidP="00E9065A">
      <w:pPr>
        <w:tabs>
          <w:tab w:val="left" w:pos="851"/>
        </w:tabs>
        <w:ind w:left="851"/>
        <w:rPr>
          <w:sz w:val="24"/>
          <w:szCs w:val="24"/>
        </w:rPr>
      </w:pPr>
      <w:r w:rsidRPr="00E9065A">
        <w:rPr>
          <w:sz w:val="24"/>
          <w:szCs w:val="24"/>
        </w:rPr>
        <w:t xml:space="preserve">Til patienter, hvor der er behov for hurtig kontrol med ventrikulær arytmi, kan der gives en belastningsdosis på 400 mg. Det anbefales, at der som minimum går to timer mellem belastningsdosis og den efterfølgende vedligeholdelsesdosis. </w:t>
      </w:r>
    </w:p>
    <w:p w:rsidR="00E9065A" w:rsidRPr="00E9065A" w:rsidRDefault="00E9065A" w:rsidP="00E9065A">
      <w:pPr>
        <w:tabs>
          <w:tab w:val="left" w:pos="851"/>
        </w:tabs>
        <w:ind w:left="851"/>
        <w:rPr>
          <w:sz w:val="24"/>
          <w:szCs w:val="24"/>
        </w:rPr>
      </w:pPr>
    </w:p>
    <w:p w:rsidR="00E9065A" w:rsidRPr="00E9065A" w:rsidRDefault="00E9065A" w:rsidP="00E9065A">
      <w:pPr>
        <w:tabs>
          <w:tab w:val="left" w:pos="851"/>
        </w:tabs>
        <w:ind w:left="851"/>
        <w:rPr>
          <w:sz w:val="24"/>
          <w:szCs w:val="24"/>
        </w:rPr>
      </w:pPr>
      <w:r w:rsidRPr="00E9065A">
        <w:rPr>
          <w:sz w:val="24"/>
          <w:szCs w:val="24"/>
        </w:rPr>
        <w:t>EKG og blodtryk skal monitoreres under opstarten af behandlingen.</w:t>
      </w:r>
    </w:p>
    <w:p w:rsidR="00E9065A" w:rsidRPr="00E9065A" w:rsidRDefault="00E9065A" w:rsidP="00E9065A">
      <w:pPr>
        <w:tabs>
          <w:tab w:val="left" w:pos="851"/>
        </w:tabs>
        <w:ind w:left="851"/>
        <w:rPr>
          <w:sz w:val="24"/>
          <w:szCs w:val="24"/>
        </w:rPr>
      </w:pPr>
    </w:p>
    <w:p w:rsidR="00E9065A" w:rsidRPr="00E9065A" w:rsidRDefault="00E9065A" w:rsidP="00E9065A">
      <w:pPr>
        <w:tabs>
          <w:tab w:val="left" w:pos="851"/>
        </w:tabs>
        <w:ind w:left="851"/>
        <w:rPr>
          <w:sz w:val="24"/>
          <w:szCs w:val="24"/>
        </w:rPr>
      </w:pPr>
      <w:r w:rsidRPr="00E9065A">
        <w:rPr>
          <w:sz w:val="24"/>
          <w:szCs w:val="24"/>
        </w:rPr>
        <w:t xml:space="preserve">Der anbefales en vedligeholdelsesdosis på 150-300 mg tre gange dagligt. Den maksimale administrerede enkeltdosis er 300 mg. </w:t>
      </w:r>
    </w:p>
    <w:p w:rsidR="00E9065A" w:rsidRPr="00E9065A" w:rsidRDefault="00E9065A" w:rsidP="00E9065A">
      <w:pPr>
        <w:tabs>
          <w:tab w:val="left" w:pos="851"/>
        </w:tabs>
        <w:ind w:left="851"/>
        <w:rPr>
          <w:sz w:val="24"/>
          <w:szCs w:val="24"/>
        </w:rPr>
      </w:pPr>
    </w:p>
    <w:p w:rsidR="00E9065A" w:rsidRPr="00E9065A" w:rsidRDefault="00E9065A" w:rsidP="00E9065A">
      <w:pPr>
        <w:tabs>
          <w:tab w:val="left" w:pos="851"/>
        </w:tabs>
        <w:ind w:left="851"/>
        <w:rPr>
          <w:sz w:val="24"/>
          <w:szCs w:val="24"/>
        </w:rPr>
      </w:pPr>
      <w:r w:rsidRPr="00E9065A">
        <w:rPr>
          <w:sz w:val="24"/>
          <w:szCs w:val="24"/>
        </w:rPr>
        <w:t>Hvis det er nødvendigt, kan dosis justeres trinvis med 50 eller 100 mg. Det anbefales, at der går mindst 2-3 dage mellem dosisjusteringer.</w:t>
      </w:r>
    </w:p>
    <w:p w:rsidR="00E9065A" w:rsidRPr="00E9065A" w:rsidRDefault="00E9065A" w:rsidP="00E9065A">
      <w:pPr>
        <w:tabs>
          <w:tab w:val="left" w:pos="851"/>
        </w:tabs>
        <w:ind w:left="851"/>
        <w:rPr>
          <w:sz w:val="24"/>
          <w:szCs w:val="24"/>
        </w:rPr>
      </w:pPr>
    </w:p>
    <w:p w:rsidR="00E9065A" w:rsidRPr="00E9065A" w:rsidRDefault="00E9065A" w:rsidP="00E9065A">
      <w:pPr>
        <w:tabs>
          <w:tab w:val="left" w:pos="851"/>
        </w:tabs>
        <w:ind w:left="851"/>
        <w:rPr>
          <w:sz w:val="24"/>
          <w:szCs w:val="24"/>
        </w:rPr>
      </w:pPr>
      <w:r w:rsidRPr="00E9065A">
        <w:rPr>
          <w:sz w:val="24"/>
          <w:szCs w:val="24"/>
        </w:rPr>
        <w:t>Den maksimalt anbefalede dosis er 1.200 mg dagligt.</w:t>
      </w:r>
    </w:p>
    <w:p w:rsidR="00E9065A" w:rsidRPr="00E9065A" w:rsidRDefault="00E9065A" w:rsidP="00E9065A">
      <w:pPr>
        <w:tabs>
          <w:tab w:val="left" w:pos="851"/>
        </w:tabs>
        <w:ind w:left="851"/>
        <w:rPr>
          <w:sz w:val="24"/>
          <w:szCs w:val="24"/>
        </w:rPr>
      </w:pPr>
    </w:p>
    <w:p w:rsidR="00E9065A" w:rsidRPr="00E9065A" w:rsidRDefault="00E9065A" w:rsidP="00E9065A">
      <w:pPr>
        <w:tabs>
          <w:tab w:val="left" w:pos="851"/>
        </w:tabs>
        <w:ind w:left="851"/>
        <w:rPr>
          <w:i/>
          <w:sz w:val="24"/>
          <w:szCs w:val="24"/>
        </w:rPr>
      </w:pPr>
      <w:r w:rsidRPr="00E9065A">
        <w:rPr>
          <w:i/>
          <w:sz w:val="24"/>
          <w:szCs w:val="24"/>
        </w:rPr>
        <w:t>Pædiatrisk population</w:t>
      </w:r>
    </w:p>
    <w:p w:rsidR="00E9065A" w:rsidRPr="00E9065A" w:rsidRDefault="00E9065A" w:rsidP="00E9065A">
      <w:pPr>
        <w:tabs>
          <w:tab w:val="left" w:pos="851"/>
        </w:tabs>
        <w:ind w:left="851"/>
        <w:rPr>
          <w:sz w:val="24"/>
          <w:szCs w:val="24"/>
        </w:rPr>
      </w:pPr>
      <w:r w:rsidRPr="00E9065A">
        <w:rPr>
          <w:sz w:val="24"/>
          <w:szCs w:val="24"/>
        </w:rPr>
        <w:t>Sikkerheden ved og virkningen af Dopital hårde kapsler hos børn og unge i alderen 0-18 år er endnu ikke klarlagt. Der foreligger ingen data.</w:t>
      </w:r>
    </w:p>
    <w:p w:rsidR="00E9065A" w:rsidRPr="00E9065A" w:rsidRDefault="00E9065A" w:rsidP="00E9065A">
      <w:pPr>
        <w:tabs>
          <w:tab w:val="left" w:pos="851"/>
        </w:tabs>
        <w:ind w:left="851"/>
        <w:rPr>
          <w:sz w:val="24"/>
          <w:szCs w:val="24"/>
        </w:rPr>
      </w:pPr>
    </w:p>
    <w:p w:rsidR="00E9065A" w:rsidRPr="00E9065A" w:rsidRDefault="00E9065A" w:rsidP="00E9065A">
      <w:pPr>
        <w:tabs>
          <w:tab w:val="left" w:pos="851"/>
        </w:tabs>
        <w:ind w:left="851"/>
        <w:rPr>
          <w:i/>
          <w:sz w:val="24"/>
          <w:szCs w:val="24"/>
        </w:rPr>
      </w:pPr>
      <w:r w:rsidRPr="00E9065A">
        <w:rPr>
          <w:i/>
          <w:sz w:val="24"/>
          <w:szCs w:val="24"/>
        </w:rPr>
        <w:t>Ældre</w:t>
      </w:r>
    </w:p>
    <w:p w:rsidR="00E9065A" w:rsidRPr="00E9065A" w:rsidRDefault="00E9065A" w:rsidP="00E9065A">
      <w:pPr>
        <w:tabs>
          <w:tab w:val="left" w:pos="851"/>
        </w:tabs>
        <w:ind w:left="851"/>
        <w:rPr>
          <w:sz w:val="24"/>
          <w:szCs w:val="24"/>
        </w:rPr>
      </w:pPr>
      <w:r w:rsidRPr="00E9065A">
        <w:rPr>
          <w:sz w:val="24"/>
          <w:szCs w:val="24"/>
        </w:rPr>
        <w:t xml:space="preserve">Det er ikke nødvendigt at foretage en dosisjustering for ældre patienter med normal nyrefunktion. </w:t>
      </w:r>
    </w:p>
    <w:p w:rsidR="00E9065A" w:rsidRPr="00E9065A" w:rsidRDefault="00E9065A" w:rsidP="00E9065A">
      <w:pPr>
        <w:tabs>
          <w:tab w:val="left" w:pos="851"/>
        </w:tabs>
        <w:ind w:left="851"/>
        <w:rPr>
          <w:sz w:val="24"/>
          <w:szCs w:val="24"/>
        </w:rPr>
      </w:pPr>
    </w:p>
    <w:p w:rsidR="00E9065A" w:rsidRPr="00E9065A" w:rsidRDefault="00E9065A" w:rsidP="00E9065A">
      <w:pPr>
        <w:tabs>
          <w:tab w:val="left" w:pos="851"/>
        </w:tabs>
        <w:ind w:left="851"/>
        <w:rPr>
          <w:i/>
          <w:sz w:val="24"/>
          <w:szCs w:val="24"/>
        </w:rPr>
      </w:pPr>
      <w:r w:rsidRPr="00E9065A">
        <w:rPr>
          <w:i/>
          <w:sz w:val="24"/>
          <w:szCs w:val="24"/>
        </w:rPr>
        <w:t>Nedsat nyrefunktion</w:t>
      </w:r>
    </w:p>
    <w:p w:rsidR="00E9065A" w:rsidRPr="00E9065A" w:rsidRDefault="00E9065A" w:rsidP="00E9065A">
      <w:pPr>
        <w:tabs>
          <w:tab w:val="left" w:pos="851"/>
        </w:tabs>
        <w:ind w:left="851"/>
        <w:rPr>
          <w:sz w:val="24"/>
          <w:szCs w:val="24"/>
        </w:rPr>
      </w:pPr>
      <w:r w:rsidRPr="00E9065A">
        <w:rPr>
          <w:sz w:val="24"/>
          <w:szCs w:val="24"/>
        </w:rPr>
        <w:t>Det er ikke nødvendigt at foretage en dosisjustering hos patienter med mild eller moderat nedsat nyrefunktion.  Der er ingen klinisk erfaring med patienter med svært nedsat nyrefunktion (kreatininclearance &lt;30 ml/min), hvorfor mexiletin ikke bør bruges til disse patienter (se pkt. 5.2).</w:t>
      </w:r>
    </w:p>
    <w:p w:rsidR="00E9065A" w:rsidRPr="00E9065A" w:rsidRDefault="00E9065A" w:rsidP="00E9065A">
      <w:pPr>
        <w:tabs>
          <w:tab w:val="left" w:pos="851"/>
        </w:tabs>
        <w:ind w:left="851"/>
        <w:rPr>
          <w:sz w:val="24"/>
          <w:szCs w:val="24"/>
        </w:rPr>
      </w:pPr>
    </w:p>
    <w:p w:rsidR="00E9065A" w:rsidRPr="00E9065A" w:rsidRDefault="00E9065A" w:rsidP="00E9065A">
      <w:pPr>
        <w:tabs>
          <w:tab w:val="left" w:pos="851"/>
        </w:tabs>
        <w:ind w:left="851"/>
        <w:rPr>
          <w:i/>
          <w:sz w:val="24"/>
          <w:szCs w:val="24"/>
        </w:rPr>
      </w:pPr>
      <w:r w:rsidRPr="00E9065A">
        <w:rPr>
          <w:i/>
          <w:sz w:val="24"/>
          <w:szCs w:val="24"/>
        </w:rPr>
        <w:t>Nedsat leverfunktion</w:t>
      </w:r>
    </w:p>
    <w:p w:rsidR="00E9065A" w:rsidRPr="00E9065A" w:rsidRDefault="00E9065A" w:rsidP="00E9065A">
      <w:pPr>
        <w:tabs>
          <w:tab w:val="left" w:pos="851"/>
        </w:tabs>
        <w:ind w:left="851"/>
        <w:rPr>
          <w:sz w:val="24"/>
          <w:szCs w:val="24"/>
        </w:rPr>
      </w:pPr>
      <w:r w:rsidRPr="00E9065A">
        <w:rPr>
          <w:sz w:val="24"/>
          <w:szCs w:val="24"/>
        </w:rPr>
        <w:t xml:space="preserve">Det anbefales at udvise forsigtighed hos patienter med mild eller moderat nedsat leverfunktion som følge af den potentielt højere plasmaeksponering. Hos disse patienter </w:t>
      </w:r>
      <w:bookmarkStart w:id="2" w:name="_Hlk62036169"/>
      <w:r w:rsidRPr="00E9065A">
        <w:rPr>
          <w:sz w:val="24"/>
          <w:szCs w:val="24"/>
        </w:rPr>
        <w:lastRenderedPageBreak/>
        <w:t>anbefales det, at der går mindst to uger mellem dosisstigninger.</w:t>
      </w:r>
      <w:bookmarkEnd w:id="2"/>
      <w:r w:rsidRPr="00E9065A">
        <w:rPr>
          <w:sz w:val="24"/>
          <w:szCs w:val="24"/>
        </w:rPr>
        <w:t xml:space="preserve"> Mexiletin må ikke anvendes til patienter med svært nedsat leverfunktion (se pkt. 4.4 og 5.2).</w:t>
      </w:r>
    </w:p>
    <w:p w:rsidR="00E9065A" w:rsidRPr="00E9065A" w:rsidRDefault="00E9065A" w:rsidP="00E9065A">
      <w:pPr>
        <w:tabs>
          <w:tab w:val="left" w:pos="851"/>
        </w:tabs>
        <w:ind w:left="851"/>
        <w:rPr>
          <w:sz w:val="24"/>
          <w:szCs w:val="24"/>
        </w:rPr>
      </w:pPr>
    </w:p>
    <w:p w:rsidR="00E9065A" w:rsidRPr="00E9065A" w:rsidRDefault="00E9065A" w:rsidP="00E9065A">
      <w:pPr>
        <w:tabs>
          <w:tab w:val="left" w:pos="851"/>
        </w:tabs>
        <w:ind w:left="851"/>
        <w:rPr>
          <w:i/>
          <w:sz w:val="24"/>
          <w:szCs w:val="24"/>
        </w:rPr>
      </w:pPr>
      <w:bookmarkStart w:id="3" w:name="_Hlk62036327"/>
      <w:r w:rsidRPr="00E9065A">
        <w:rPr>
          <w:i/>
          <w:sz w:val="24"/>
          <w:szCs w:val="24"/>
        </w:rPr>
        <w:t>Dårlige CYP2D6-metabolisatorer</w:t>
      </w:r>
    </w:p>
    <w:bookmarkEnd w:id="3"/>
    <w:p w:rsidR="00E9065A" w:rsidRPr="00E9065A" w:rsidRDefault="00E9065A" w:rsidP="00E9065A">
      <w:pPr>
        <w:tabs>
          <w:tab w:val="left" w:pos="851"/>
        </w:tabs>
        <w:ind w:left="851"/>
        <w:rPr>
          <w:sz w:val="24"/>
          <w:szCs w:val="24"/>
        </w:rPr>
      </w:pPr>
      <w:r w:rsidRPr="00E9065A">
        <w:rPr>
          <w:sz w:val="24"/>
          <w:szCs w:val="24"/>
        </w:rPr>
        <w:t>Den vigtigste eliminationsvej for mexiletin er gennem CYP2D6. Der er risiko for et øget plasmaniveau hos personer, som er dårlige CYP2D6-metabolisatorer (7 % af befolkningen i Europa). Det anbefales, at der går mindst en uge mellem dosisstigninger til disse patienter. (se pkt. 4.4 og 5.2).</w:t>
      </w:r>
    </w:p>
    <w:p w:rsidR="00E9065A" w:rsidRPr="00E9065A" w:rsidRDefault="00E9065A" w:rsidP="00E9065A">
      <w:pPr>
        <w:tabs>
          <w:tab w:val="left" w:pos="851"/>
        </w:tabs>
        <w:ind w:left="851"/>
        <w:rPr>
          <w:sz w:val="24"/>
          <w:szCs w:val="24"/>
        </w:rPr>
      </w:pPr>
    </w:p>
    <w:p w:rsidR="00E9065A" w:rsidRPr="00E9065A" w:rsidRDefault="00E9065A" w:rsidP="00E9065A">
      <w:pPr>
        <w:tabs>
          <w:tab w:val="left" w:pos="851"/>
        </w:tabs>
        <w:ind w:left="851"/>
        <w:rPr>
          <w:sz w:val="24"/>
          <w:szCs w:val="24"/>
          <w:u w:val="single"/>
        </w:rPr>
      </w:pPr>
      <w:r w:rsidRPr="00E9065A">
        <w:rPr>
          <w:sz w:val="24"/>
          <w:szCs w:val="24"/>
          <w:u w:val="single"/>
        </w:rPr>
        <w:t>Administration</w:t>
      </w:r>
    </w:p>
    <w:p w:rsidR="00E9065A" w:rsidRPr="00E9065A" w:rsidRDefault="00E9065A" w:rsidP="00E9065A">
      <w:pPr>
        <w:tabs>
          <w:tab w:val="left" w:pos="851"/>
        </w:tabs>
        <w:ind w:left="851"/>
        <w:rPr>
          <w:sz w:val="24"/>
          <w:szCs w:val="24"/>
        </w:rPr>
      </w:pPr>
      <w:r w:rsidRPr="00E9065A">
        <w:rPr>
          <w:sz w:val="24"/>
          <w:szCs w:val="24"/>
        </w:rPr>
        <w:t xml:space="preserve">Til oral anvendelse. Kapslerne må ikke tygges, men skal sluges hele med rigeligt væske for at undgå lokal irritation i mund og hals, og patienten skal helst være i en opret stilling. </w:t>
      </w:r>
    </w:p>
    <w:p w:rsidR="00E9065A" w:rsidRPr="00E9065A" w:rsidRDefault="00E9065A" w:rsidP="00E9065A">
      <w:pPr>
        <w:tabs>
          <w:tab w:val="left" w:pos="851"/>
        </w:tabs>
        <w:ind w:left="851"/>
        <w:rPr>
          <w:sz w:val="24"/>
          <w:szCs w:val="24"/>
        </w:rPr>
      </w:pPr>
      <w:r w:rsidRPr="00E9065A">
        <w:rPr>
          <w:sz w:val="24"/>
          <w:szCs w:val="24"/>
        </w:rPr>
        <w:t>Det anbefales at tage Dopital hårde kapsler sammen med mad for at mindske gastrointestinale bivirkninger.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2B67F9" w:rsidRPr="002B67F9" w:rsidRDefault="002B67F9" w:rsidP="002B67F9">
      <w:pPr>
        <w:numPr>
          <w:ilvl w:val="0"/>
          <w:numId w:val="6"/>
        </w:numPr>
        <w:tabs>
          <w:tab w:val="left" w:pos="851"/>
        </w:tabs>
        <w:ind w:left="1134" w:hanging="283"/>
        <w:rPr>
          <w:sz w:val="24"/>
          <w:szCs w:val="24"/>
        </w:rPr>
      </w:pPr>
      <w:r w:rsidRPr="002B67F9">
        <w:rPr>
          <w:sz w:val="24"/>
          <w:szCs w:val="24"/>
        </w:rPr>
        <w:t xml:space="preserve">Overfølsomhed over for mexiletinhydrochlorid eller lokalbedøvende midler af amid-typen </w:t>
      </w:r>
    </w:p>
    <w:p w:rsidR="002B67F9" w:rsidRPr="002B67F9" w:rsidRDefault="002B67F9" w:rsidP="002B67F9">
      <w:pPr>
        <w:numPr>
          <w:ilvl w:val="0"/>
          <w:numId w:val="6"/>
        </w:numPr>
        <w:tabs>
          <w:tab w:val="left" w:pos="851"/>
        </w:tabs>
        <w:ind w:left="1134" w:hanging="283"/>
        <w:rPr>
          <w:sz w:val="24"/>
          <w:szCs w:val="24"/>
        </w:rPr>
      </w:pPr>
      <w:r w:rsidRPr="002B67F9">
        <w:rPr>
          <w:sz w:val="24"/>
          <w:szCs w:val="24"/>
        </w:rPr>
        <w:t>Overfølsomhed over for et eller flere af hjælpestofferne anført i pkt. 6.1</w:t>
      </w:r>
    </w:p>
    <w:p w:rsidR="002B67F9" w:rsidRPr="002B67F9" w:rsidRDefault="002B67F9" w:rsidP="002B67F9">
      <w:pPr>
        <w:numPr>
          <w:ilvl w:val="0"/>
          <w:numId w:val="6"/>
        </w:numPr>
        <w:tabs>
          <w:tab w:val="left" w:pos="851"/>
        </w:tabs>
        <w:ind w:left="1134" w:hanging="283"/>
        <w:rPr>
          <w:sz w:val="24"/>
          <w:szCs w:val="24"/>
        </w:rPr>
      </w:pPr>
      <w:r w:rsidRPr="002B67F9">
        <w:rPr>
          <w:sz w:val="24"/>
          <w:szCs w:val="24"/>
        </w:rPr>
        <w:t>Sinusknudedysfunktion (medmindre patienten har en pacemaker)</w:t>
      </w:r>
    </w:p>
    <w:p w:rsidR="002B67F9" w:rsidRPr="002B67F9" w:rsidRDefault="002B67F9" w:rsidP="002B67F9">
      <w:pPr>
        <w:numPr>
          <w:ilvl w:val="0"/>
          <w:numId w:val="6"/>
        </w:numPr>
        <w:tabs>
          <w:tab w:val="left" w:pos="851"/>
        </w:tabs>
        <w:ind w:left="1134" w:hanging="283"/>
        <w:rPr>
          <w:sz w:val="24"/>
          <w:szCs w:val="24"/>
        </w:rPr>
      </w:pPr>
      <w:r w:rsidRPr="002B67F9">
        <w:rPr>
          <w:sz w:val="24"/>
          <w:szCs w:val="24"/>
        </w:rPr>
        <w:t>Svær atrioventrikulær (AV) ledningsforstyrrelse (medmindre patienten har en pacemaker)</w:t>
      </w:r>
    </w:p>
    <w:p w:rsidR="002B67F9" w:rsidRPr="002B67F9" w:rsidRDefault="002B67F9" w:rsidP="002B67F9">
      <w:pPr>
        <w:numPr>
          <w:ilvl w:val="0"/>
          <w:numId w:val="6"/>
        </w:numPr>
        <w:tabs>
          <w:tab w:val="left" w:pos="851"/>
        </w:tabs>
        <w:ind w:left="1134" w:hanging="283"/>
        <w:rPr>
          <w:sz w:val="24"/>
          <w:szCs w:val="24"/>
        </w:rPr>
      </w:pPr>
      <w:r w:rsidRPr="002B67F9">
        <w:rPr>
          <w:sz w:val="24"/>
          <w:szCs w:val="24"/>
        </w:rPr>
        <w:t>Svært hjertesvigt; nedsat uddrivningsfraktion af venstre ventrikel (LVEF) på under 35 %, kardiogent shock</w:t>
      </w:r>
    </w:p>
    <w:p w:rsidR="002B67F9" w:rsidRPr="002B67F9" w:rsidRDefault="002B67F9" w:rsidP="002B67F9">
      <w:pPr>
        <w:numPr>
          <w:ilvl w:val="0"/>
          <w:numId w:val="6"/>
        </w:numPr>
        <w:tabs>
          <w:tab w:val="left" w:pos="851"/>
        </w:tabs>
        <w:ind w:left="1134" w:hanging="283"/>
        <w:rPr>
          <w:sz w:val="24"/>
          <w:szCs w:val="24"/>
        </w:rPr>
      </w:pPr>
      <w:r w:rsidRPr="002B67F9">
        <w:rPr>
          <w:sz w:val="24"/>
          <w:szCs w:val="24"/>
        </w:rPr>
        <w:t>Arveligt langt QT-syndrom (LQTS) (bortset fra LQTS3)</w:t>
      </w:r>
    </w:p>
    <w:p w:rsidR="009260DE" w:rsidRPr="00C84483" w:rsidRDefault="009260DE" w:rsidP="002B67F9">
      <w:pPr>
        <w:tabs>
          <w:tab w:val="left" w:pos="851"/>
        </w:tabs>
        <w:ind w:left="1134" w:hanging="283"/>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u w:val="single"/>
        </w:rPr>
      </w:pPr>
      <w:r w:rsidRPr="009026B3">
        <w:rPr>
          <w:sz w:val="24"/>
          <w:szCs w:val="24"/>
          <w:u w:val="single"/>
        </w:rPr>
        <w:t>Proarytmisk effekt</w:t>
      </w:r>
    </w:p>
    <w:p w:rsidR="009026B3" w:rsidRPr="009026B3" w:rsidRDefault="009026B3" w:rsidP="009026B3">
      <w:pPr>
        <w:tabs>
          <w:tab w:val="left" w:pos="851"/>
        </w:tabs>
        <w:ind w:left="851"/>
        <w:rPr>
          <w:sz w:val="24"/>
          <w:szCs w:val="24"/>
        </w:rPr>
      </w:pPr>
      <w:r w:rsidRPr="009026B3">
        <w:rPr>
          <w:sz w:val="24"/>
          <w:szCs w:val="24"/>
        </w:rPr>
        <w:t>I betragtning af mexiletins proarytmiske potentiale hos patienter efter myokardieinfarkt med præmature ventrikulære kontraktioner og den manglende evidens på øget overlevelse for klasse I antiarytmika hos patienter uden livstruende arytmi, skal brugen af mexiletin forbeholdes patienter med livstruende ventrikulær arytmi.</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rPr>
      </w:pPr>
      <w:r w:rsidRPr="009026B3">
        <w:rPr>
          <w:sz w:val="24"/>
          <w:szCs w:val="24"/>
        </w:rPr>
        <w:t xml:space="preserve">Samtidig administration af midler, der forlænger QT-intervallet, kan medføre ventrikulær arytmi og øget risiko for pludselige dødsfald. Det bør derfor undgås. </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u w:val="single"/>
        </w:rPr>
      </w:pPr>
      <w:r w:rsidRPr="009026B3">
        <w:rPr>
          <w:sz w:val="24"/>
          <w:szCs w:val="24"/>
          <w:u w:val="single"/>
        </w:rPr>
        <w:t>Kongestiv hjerteinsufficiens (CHF) eller hypotension</w:t>
      </w:r>
    </w:p>
    <w:p w:rsidR="009026B3" w:rsidRPr="009026B3" w:rsidRDefault="009026B3" w:rsidP="009026B3">
      <w:pPr>
        <w:tabs>
          <w:tab w:val="left" w:pos="851"/>
        </w:tabs>
        <w:ind w:left="851"/>
        <w:rPr>
          <w:sz w:val="24"/>
          <w:szCs w:val="24"/>
        </w:rPr>
      </w:pPr>
      <w:r w:rsidRPr="009026B3">
        <w:rPr>
          <w:sz w:val="24"/>
          <w:szCs w:val="24"/>
        </w:rPr>
        <w:t>Mexiletin skal bruges med forsigtighed til patienter med hypotension eller kongestiv hjerteinsufficiens på grund af potentialet for undertrykkelse af myokardial kontraktilitet.</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u w:val="single"/>
        </w:rPr>
      </w:pPr>
      <w:r w:rsidRPr="009026B3">
        <w:rPr>
          <w:sz w:val="24"/>
          <w:szCs w:val="24"/>
          <w:u w:val="single"/>
        </w:rPr>
        <w:t>Ledningsforstyrrelser</w:t>
      </w:r>
    </w:p>
    <w:p w:rsidR="009026B3" w:rsidRPr="009026B3" w:rsidRDefault="009026B3" w:rsidP="009026B3">
      <w:pPr>
        <w:tabs>
          <w:tab w:val="left" w:pos="851"/>
        </w:tabs>
        <w:ind w:left="851"/>
        <w:rPr>
          <w:sz w:val="24"/>
          <w:szCs w:val="24"/>
        </w:rPr>
      </w:pPr>
      <w:r w:rsidRPr="009026B3">
        <w:rPr>
          <w:sz w:val="24"/>
          <w:szCs w:val="24"/>
        </w:rPr>
        <w:t>Der skal udvises forsigtighed, når mexiletin bruges til patienter med 1. grads AV-blok eller intraventrikulære ledningsforstyrrelser (se pkt. 4.3). Hvis der bruges en ventrikulær pacemaker, kan patienter med 2. eller 3. grads AV-blok behandles med mexiletin under kontinuerlig overvågning.</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u w:val="single"/>
        </w:rPr>
      </w:pPr>
      <w:r w:rsidRPr="009026B3">
        <w:rPr>
          <w:sz w:val="24"/>
          <w:szCs w:val="24"/>
          <w:u w:val="single"/>
        </w:rPr>
        <w:t>Bloddyskrasi</w:t>
      </w:r>
    </w:p>
    <w:p w:rsidR="009026B3" w:rsidRPr="009026B3" w:rsidRDefault="009026B3" w:rsidP="009026B3">
      <w:pPr>
        <w:tabs>
          <w:tab w:val="left" w:pos="851"/>
        </w:tabs>
        <w:ind w:left="851"/>
        <w:rPr>
          <w:sz w:val="24"/>
          <w:szCs w:val="24"/>
        </w:rPr>
      </w:pPr>
      <w:r w:rsidRPr="009026B3">
        <w:rPr>
          <w:sz w:val="24"/>
          <w:szCs w:val="24"/>
        </w:rPr>
        <w:t xml:space="preserve">Der er i kliniske studier rapporteret leukopeni og trombocytopeni. Det anbefales, at der foretages omhyggelig hæmatologisk overvågning af patienter i behandling med mexiletin. Der skal udarbejdes et hæmogram, herunder differentialtælling for hvide blodlegemer og </w:t>
      </w:r>
      <w:r w:rsidRPr="009026B3">
        <w:rPr>
          <w:sz w:val="24"/>
          <w:szCs w:val="24"/>
        </w:rPr>
        <w:lastRenderedPageBreak/>
        <w:t>blodpladetal, før iværksættelse af behandling. Hvis der observeres signifikante hæmatologiske ændringer, skal patienterne evalueres nøje, og, hvis det er berettiget, skal mexiletin seponeres. Blodtællingen er sædvanligvis blevet normal igen inden for en måned efter seponering.</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u w:val="single"/>
        </w:rPr>
      </w:pPr>
      <w:r w:rsidRPr="009026B3">
        <w:rPr>
          <w:sz w:val="24"/>
          <w:szCs w:val="24"/>
          <w:u w:val="single"/>
        </w:rPr>
        <w:t>Lægemiddelreaktion med eosinofili og systemiske symptomer (DRESS)</w:t>
      </w:r>
    </w:p>
    <w:p w:rsidR="009026B3" w:rsidRPr="009026B3" w:rsidRDefault="009026B3" w:rsidP="009026B3">
      <w:pPr>
        <w:tabs>
          <w:tab w:val="left" w:pos="851"/>
        </w:tabs>
        <w:ind w:left="851"/>
        <w:rPr>
          <w:sz w:val="24"/>
          <w:szCs w:val="24"/>
        </w:rPr>
      </w:pPr>
      <w:r w:rsidRPr="009026B3">
        <w:rPr>
          <w:sz w:val="24"/>
          <w:szCs w:val="24"/>
        </w:rPr>
        <w:t>DRESS henviser til et syndrom, der er karakteriseret ved alvorlige kutane udslæt, feber, lymfadenopati, hepatitis, hæmatologiske anormaliteter, med eosinofili og atypiske lymfocytter og kan involvere andre organer. Latenstiden mellem opstarten af behandlingen og sygdomsstart forlænges, typisk mellem en til otte uger. Svære systemiske manifestationer er ansvarlige for en dødelighedsrate på 10 %. Forekomsten af DRESS er rapporteret til mellem 1:100 og 1:10.000 behandlede patienter.</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rPr>
      </w:pPr>
      <w:r w:rsidRPr="009026B3">
        <w:rPr>
          <w:sz w:val="24"/>
          <w:szCs w:val="24"/>
        </w:rPr>
        <w:t>Flere lægemidler, herunder mexiletin, er identificeret som mulige årsager. Mexiletin må ikke administreres til patienter med kendt overfølsomhed over for mexiletin eller nogen af hjælpestofferne i dette lægemiddel eller over for lokalbedøvende midler.</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u w:val="single"/>
        </w:rPr>
      </w:pPr>
      <w:r w:rsidRPr="009026B3">
        <w:rPr>
          <w:sz w:val="24"/>
          <w:szCs w:val="24"/>
          <w:u w:val="single"/>
        </w:rPr>
        <w:t>CYP2D6-polymorfi</w:t>
      </w:r>
    </w:p>
    <w:p w:rsidR="009026B3" w:rsidRPr="009026B3" w:rsidRDefault="009026B3" w:rsidP="009026B3">
      <w:pPr>
        <w:tabs>
          <w:tab w:val="left" w:pos="851"/>
        </w:tabs>
        <w:ind w:left="851"/>
        <w:rPr>
          <w:sz w:val="24"/>
          <w:szCs w:val="24"/>
        </w:rPr>
      </w:pPr>
      <w:r w:rsidRPr="009026B3">
        <w:rPr>
          <w:sz w:val="24"/>
          <w:szCs w:val="24"/>
        </w:rPr>
        <w:t>CYP2D6-polymorfi kan påvirke mexiletins farmakokinetik (se pkt. 5.2). Der kan observeres et højt niveau af mexiletin i plasma hos patienter med nedsat CYP2D6-metabolisme eller hos patienter, der tager lægemidler, som hæmmer CYP2D6 (se pkt. 4.5). Hvis det er nødvendigt, anbefales en dosisstigning efter en periode på mindst syv dage for at sikre, at der opnås steady-state, og mexiletin tolereres godt.</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u w:val="single"/>
        </w:rPr>
      </w:pPr>
      <w:r w:rsidRPr="009026B3">
        <w:rPr>
          <w:sz w:val="24"/>
          <w:szCs w:val="24"/>
          <w:u w:val="single"/>
        </w:rPr>
        <w:t>Rygning</w:t>
      </w:r>
    </w:p>
    <w:p w:rsidR="009026B3" w:rsidRPr="009026B3" w:rsidRDefault="009026B3" w:rsidP="009026B3">
      <w:pPr>
        <w:tabs>
          <w:tab w:val="left" w:pos="851"/>
        </w:tabs>
        <w:ind w:left="851"/>
        <w:rPr>
          <w:sz w:val="24"/>
          <w:szCs w:val="24"/>
        </w:rPr>
      </w:pPr>
      <w:r w:rsidRPr="009026B3">
        <w:rPr>
          <w:sz w:val="24"/>
          <w:szCs w:val="24"/>
        </w:rPr>
        <w:t xml:space="preserve">Mexiletins farmakokinetik er påvirket af cigaretrygning, og det kan være nødvendigt at øge eller mindske doserne af mexiletin, hvis patienterne henholdsvis starter eller stopper med at ryge (se pkt. 4.5). </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u w:val="single"/>
        </w:rPr>
      </w:pPr>
      <w:r w:rsidRPr="009026B3">
        <w:rPr>
          <w:sz w:val="24"/>
          <w:szCs w:val="24"/>
          <w:u w:val="single"/>
        </w:rPr>
        <w:t>Patienter med leversygdom</w:t>
      </w:r>
    </w:p>
    <w:p w:rsidR="009026B3" w:rsidRPr="009026B3" w:rsidRDefault="009026B3" w:rsidP="009026B3">
      <w:pPr>
        <w:tabs>
          <w:tab w:val="left" w:pos="851"/>
        </w:tabs>
        <w:ind w:left="851"/>
        <w:rPr>
          <w:sz w:val="24"/>
          <w:szCs w:val="24"/>
        </w:rPr>
      </w:pPr>
      <w:r w:rsidRPr="009026B3">
        <w:rPr>
          <w:sz w:val="24"/>
          <w:szCs w:val="24"/>
        </w:rPr>
        <w:t>Der skal udvises forsigtighed ved brug af mexiletin hos patienter med mild eller moderat nedsat leverfunktion. Mexiletin må ikke anvendes til patienter med svært nedsat leverfunktion.</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u w:val="single"/>
        </w:rPr>
      </w:pPr>
      <w:r w:rsidRPr="009026B3">
        <w:rPr>
          <w:sz w:val="24"/>
          <w:szCs w:val="24"/>
          <w:u w:val="single"/>
        </w:rPr>
        <w:t>Leverskade</w:t>
      </w:r>
    </w:p>
    <w:p w:rsidR="009026B3" w:rsidRPr="009026B3" w:rsidRDefault="009026B3" w:rsidP="009026B3">
      <w:pPr>
        <w:tabs>
          <w:tab w:val="left" w:pos="851"/>
        </w:tabs>
        <w:ind w:left="851"/>
        <w:rPr>
          <w:sz w:val="24"/>
          <w:szCs w:val="24"/>
        </w:rPr>
      </w:pPr>
      <w:r w:rsidRPr="009026B3">
        <w:rPr>
          <w:sz w:val="24"/>
          <w:szCs w:val="24"/>
        </w:rPr>
        <w:t>Der er rapporteret afvigelser i leverfunktionen og sjældne tilfælde af svær leverskade, herunder levernekrose, i forbindelse med behandlingen med mexiletin. Det anbefales, at patienter der har haft afvigende leverprøver, eller som har tegn eller symptomer, der tyder på leverdysfunktion, evalueres omhyggeligt. Hvis der opdages en vedvarende eller forværret stigning i leverenzymer, skal det overvejes at seponere behandlingen.</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u w:val="single"/>
        </w:rPr>
      </w:pPr>
      <w:r w:rsidRPr="009026B3">
        <w:rPr>
          <w:sz w:val="24"/>
          <w:szCs w:val="24"/>
          <w:u w:val="single"/>
        </w:rPr>
        <w:t>pH-værdi i urin</w:t>
      </w:r>
    </w:p>
    <w:p w:rsidR="009026B3" w:rsidRPr="009026B3" w:rsidRDefault="009026B3" w:rsidP="009026B3">
      <w:pPr>
        <w:tabs>
          <w:tab w:val="left" w:pos="851"/>
        </w:tabs>
        <w:ind w:left="851"/>
        <w:rPr>
          <w:sz w:val="24"/>
          <w:szCs w:val="24"/>
        </w:rPr>
      </w:pPr>
      <w:r w:rsidRPr="009026B3">
        <w:rPr>
          <w:sz w:val="24"/>
          <w:szCs w:val="24"/>
        </w:rPr>
        <w:t>Eftersom udskillelsen af mexiletin i nyrerne øges betragteligt med forsuring af urin, bør samtidig lægemiddelbehandling eller kostplaner, der ændrer urinens pH-værdi i væsentlig grad, undgås under behandlingen med mexiletin.</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u w:val="single"/>
        </w:rPr>
      </w:pPr>
      <w:r w:rsidRPr="009026B3">
        <w:rPr>
          <w:sz w:val="24"/>
          <w:szCs w:val="24"/>
          <w:u w:val="single"/>
        </w:rPr>
        <w:t>Krampeanfald</w:t>
      </w:r>
    </w:p>
    <w:p w:rsidR="009026B3" w:rsidRPr="009026B3" w:rsidRDefault="009026B3" w:rsidP="009026B3">
      <w:pPr>
        <w:tabs>
          <w:tab w:val="left" w:pos="851"/>
        </w:tabs>
        <w:ind w:left="851"/>
        <w:rPr>
          <w:sz w:val="24"/>
          <w:szCs w:val="24"/>
        </w:rPr>
      </w:pPr>
      <w:r w:rsidRPr="009026B3">
        <w:rPr>
          <w:sz w:val="24"/>
          <w:szCs w:val="24"/>
        </w:rPr>
        <w:t>Kapsler med mexiletin skal bruges med forsigtighed til patienter med tidligere krampeanfald.</w:t>
      </w:r>
    </w:p>
    <w:p w:rsidR="00815C8D" w:rsidRDefault="00815C8D">
      <w:pPr>
        <w:rPr>
          <w:sz w:val="24"/>
          <w:szCs w:val="24"/>
        </w:rPr>
      </w:pPr>
      <w:r>
        <w:rPr>
          <w:sz w:val="24"/>
          <w:szCs w:val="24"/>
        </w:rPr>
        <w:br w:type="page"/>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u w:val="single"/>
        </w:rPr>
      </w:pPr>
      <w:r w:rsidRPr="009026B3">
        <w:rPr>
          <w:sz w:val="24"/>
          <w:szCs w:val="24"/>
          <w:u w:val="single"/>
        </w:rPr>
        <w:t>Erhvervsrisici</w:t>
      </w:r>
    </w:p>
    <w:p w:rsidR="009026B3" w:rsidRPr="009026B3" w:rsidRDefault="009026B3" w:rsidP="009026B3">
      <w:pPr>
        <w:tabs>
          <w:tab w:val="left" w:pos="851"/>
        </w:tabs>
        <w:ind w:left="851"/>
        <w:rPr>
          <w:sz w:val="24"/>
          <w:szCs w:val="24"/>
        </w:rPr>
      </w:pPr>
      <w:r w:rsidRPr="009026B3">
        <w:rPr>
          <w:sz w:val="24"/>
          <w:szCs w:val="24"/>
        </w:rPr>
        <w:t>Mexiletin forårsager CNS-virkninger, og patienterne bør advares mod at deltage i aktiviteter, der forudsætter mental skarphed, dømmekraft og fysisk koordination, når disse virkninger forekommer.</w:t>
      </w:r>
    </w:p>
    <w:p w:rsidR="009026B3" w:rsidRPr="009026B3" w:rsidRDefault="009026B3" w:rsidP="009026B3">
      <w:pPr>
        <w:tabs>
          <w:tab w:val="left" w:pos="851"/>
        </w:tabs>
        <w:ind w:left="851"/>
        <w:rPr>
          <w:sz w:val="24"/>
          <w:szCs w:val="24"/>
        </w:rPr>
      </w:pPr>
    </w:p>
    <w:p w:rsidR="009026B3" w:rsidRPr="009026B3" w:rsidRDefault="009026B3" w:rsidP="009026B3">
      <w:pPr>
        <w:tabs>
          <w:tab w:val="left" w:pos="851"/>
        </w:tabs>
        <w:ind w:left="851"/>
        <w:rPr>
          <w:sz w:val="24"/>
          <w:szCs w:val="24"/>
          <w:u w:val="single"/>
        </w:rPr>
      </w:pPr>
      <w:r w:rsidRPr="009026B3">
        <w:rPr>
          <w:sz w:val="24"/>
          <w:szCs w:val="24"/>
          <w:u w:val="single"/>
        </w:rPr>
        <w:t>Elektrolytforstyrrelser</w:t>
      </w:r>
    </w:p>
    <w:p w:rsidR="009026B3" w:rsidRPr="009026B3" w:rsidRDefault="009026B3" w:rsidP="009026B3">
      <w:pPr>
        <w:tabs>
          <w:tab w:val="left" w:pos="851"/>
        </w:tabs>
        <w:ind w:left="851"/>
        <w:rPr>
          <w:sz w:val="24"/>
          <w:szCs w:val="24"/>
        </w:rPr>
      </w:pPr>
      <w:r w:rsidRPr="009026B3">
        <w:rPr>
          <w:sz w:val="24"/>
          <w:szCs w:val="24"/>
        </w:rPr>
        <w:t>Antiarytmika kan være ineffektive hos patienter med kaliumforstyrrelser. Der bør derfor rettes op på eventuelle kaliumforstyrrelser som en del af behandlingen af ventrikulær arytmi. Der bør foretages en evaluering af elektrolytter før igangsætning og under behandlingen med mexiletin hos hver patient.</w:t>
      </w:r>
    </w:p>
    <w:p w:rsidR="009026B3" w:rsidRPr="009026B3" w:rsidRDefault="009026B3" w:rsidP="009026B3">
      <w:pPr>
        <w:tabs>
          <w:tab w:val="left" w:pos="851"/>
        </w:tabs>
        <w:ind w:left="851"/>
        <w:rPr>
          <w:sz w:val="24"/>
          <w:szCs w:val="24"/>
        </w:rPr>
      </w:pPr>
    </w:p>
    <w:p w:rsidR="009026B3" w:rsidRPr="003E47F9" w:rsidRDefault="009026B3" w:rsidP="009026B3">
      <w:pPr>
        <w:tabs>
          <w:tab w:val="left" w:pos="851"/>
        </w:tabs>
        <w:ind w:left="851"/>
        <w:rPr>
          <w:sz w:val="24"/>
          <w:szCs w:val="24"/>
          <w:u w:val="single"/>
        </w:rPr>
      </w:pPr>
      <w:r w:rsidRPr="003E47F9">
        <w:rPr>
          <w:sz w:val="24"/>
          <w:szCs w:val="24"/>
          <w:u w:val="single"/>
        </w:rPr>
        <w:t>Dopital 100 mg</w:t>
      </w:r>
      <w:r w:rsidR="003E47F9" w:rsidRPr="003E47F9">
        <w:rPr>
          <w:sz w:val="24"/>
          <w:szCs w:val="24"/>
          <w:u w:val="single"/>
        </w:rPr>
        <w:t xml:space="preserve"> og 20</w:t>
      </w:r>
      <w:r w:rsidRPr="003E47F9">
        <w:rPr>
          <w:sz w:val="24"/>
          <w:szCs w:val="24"/>
          <w:u w:val="single"/>
        </w:rPr>
        <w:t>0 mg indeholder natrium</w:t>
      </w:r>
    </w:p>
    <w:p w:rsidR="009026B3" w:rsidRPr="009026B3" w:rsidRDefault="009026B3" w:rsidP="009026B3">
      <w:pPr>
        <w:tabs>
          <w:tab w:val="left" w:pos="851"/>
        </w:tabs>
        <w:ind w:left="851"/>
        <w:rPr>
          <w:sz w:val="24"/>
          <w:szCs w:val="24"/>
        </w:rPr>
      </w:pPr>
      <w:r w:rsidRPr="009026B3">
        <w:rPr>
          <w:sz w:val="24"/>
          <w:szCs w:val="24"/>
        </w:rPr>
        <w:t>Dette lægemiddel indeholder mindre end 1 mmol (23 mg) natrium pr. kapsel,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14B91" w:rsidRPr="00414B91" w:rsidRDefault="00414B91" w:rsidP="00414B91">
      <w:pPr>
        <w:tabs>
          <w:tab w:val="left" w:pos="851"/>
        </w:tabs>
        <w:ind w:left="851"/>
        <w:rPr>
          <w:sz w:val="24"/>
          <w:szCs w:val="24"/>
        </w:rPr>
      </w:pPr>
    </w:p>
    <w:p w:rsidR="00414B91" w:rsidRPr="00414B91" w:rsidRDefault="00414B91" w:rsidP="00414B91">
      <w:pPr>
        <w:tabs>
          <w:tab w:val="left" w:pos="851"/>
        </w:tabs>
        <w:ind w:left="851"/>
        <w:rPr>
          <w:sz w:val="24"/>
          <w:szCs w:val="24"/>
          <w:u w:val="single"/>
        </w:rPr>
      </w:pPr>
      <w:r w:rsidRPr="00414B91">
        <w:rPr>
          <w:sz w:val="24"/>
          <w:szCs w:val="24"/>
          <w:u w:val="single"/>
        </w:rPr>
        <w:t>Farmakodynamiske interaktioner</w:t>
      </w:r>
    </w:p>
    <w:p w:rsidR="00414B91" w:rsidRPr="00414B91" w:rsidRDefault="00414B91" w:rsidP="00414B91">
      <w:pPr>
        <w:tabs>
          <w:tab w:val="left" w:pos="851"/>
        </w:tabs>
        <w:ind w:left="851"/>
        <w:rPr>
          <w:sz w:val="24"/>
          <w:szCs w:val="24"/>
        </w:rPr>
      </w:pPr>
      <w:r w:rsidRPr="00414B91">
        <w:rPr>
          <w:sz w:val="24"/>
          <w:szCs w:val="24"/>
        </w:rPr>
        <w:t xml:space="preserve">Samtidig administration af mexiletin og antiarytmika, der kan forlænge QT-intervallet (f.eks.: </w:t>
      </w:r>
      <w:r>
        <w:rPr>
          <w:sz w:val="24"/>
          <w:szCs w:val="24"/>
        </w:rPr>
        <w:t>K</w:t>
      </w:r>
      <w:r w:rsidRPr="00414B91">
        <w:rPr>
          <w:sz w:val="24"/>
          <w:szCs w:val="24"/>
        </w:rPr>
        <w:t xml:space="preserve">lasse Ia: </w:t>
      </w:r>
      <w:r>
        <w:rPr>
          <w:sz w:val="24"/>
          <w:szCs w:val="24"/>
        </w:rPr>
        <w:t>K</w:t>
      </w:r>
      <w:r w:rsidRPr="00414B91">
        <w:rPr>
          <w:sz w:val="24"/>
          <w:szCs w:val="24"/>
        </w:rPr>
        <w:t xml:space="preserve">inidin, procainamid, disopyramid, ajmalin; klasse Ic: </w:t>
      </w:r>
      <w:r w:rsidR="00303C55">
        <w:rPr>
          <w:sz w:val="24"/>
          <w:szCs w:val="24"/>
        </w:rPr>
        <w:t>E</w:t>
      </w:r>
      <w:r w:rsidRPr="00414B91">
        <w:rPr>
          <w:sz w:val="24"/>
          <w:szCs w:val="24"/>
        </w:rPr>
        <w:t xml:space="preserve">ncainid, flecainid, propafenon, moricizin; klasse III: </w:t>
      </w:r>
      <w:r w:rsidR="00303C55">
        <w:rPr>
          <w:sz w:val="24"/>
          <w:szCs w:val="24"/>
        </w:rPr>
        <w:t>A</w:t>
      </w:r>
      <w:r w:rsidRPr="00414B91">
        <w:rPr>
          <w:sz w:val="24"/>
          <w:szCs w:val="24"/>
        </w:rPr>
        <w:t>miodaron, sotalol, ibutilid, dofetilid, dronedaron, vernakalant) øger risikoen for potentielt dødelig torsades de pointes.</w:t>
      </w:r>
    </w:p>
    <w:p w:rsidR="00414B91" w:rsidRPr="00414B91" w:rsidRDefault="00414B91" w:rsidP="00414B91">
      <w:pPr>
        <w:tabs>
          <w:tab w:val="left" w:pos="851"/>
        </w:tabs>
        <w:ind w:left="851"/>
        <w:rPr>
          <w:sz w:val="24"/>
          <w:szCs w:val="24"/>
        </w:rPr>
      </w:pPr>
    </w:p>
    <w:p w:rsidR="00414B91" w:rsidRPr="00414B91" w:rsidRDefault="00414B91" w:rsidP="00414B91">
      <w:pPr>
        <w:tabs>
          <w:tab w:val="left" w:pos="851"/>
        </w:tabs>
        <w:ind w:left="851"/>
        <w:rPr>
          <w:sz w:val="24"/>
          <w:szCs w:val="24"/>
        </w:rPr>
      </w:pPr>
      <w:r w:rsidRPr="00414B91">
        <w:rPr>
          <w:sz w:val="24"/>
          <w:szCs w:val="24"/>
        </w:rPr>
        <w:t xml:space="preserve">I tilfælde af samtidig administration af mexiletin og visse andre antiarytmika kan der forventes en øget effekt på ledning og myokardial kontraktilitet. </w:t>
      </w:r>
    </w:p>
    <w:p w:rsidR="00414B91" w:rsidRPr="00414B91" w:rsidRDefault="00414B91" w:rsidP="00414B91">
      <w:pPr>
        <w:tabs>
          <w:tab w:val="left" w:pos="851"/>
        </w:tabs>
        <w:ind w:left="851"/>
        <w:rPr>
          <w:sz w:val="24"/>
          <w:szCs w:val="24"/>
        </w:rPr>
      </w:pPr>
    </w:p>
    <w:p w:rsidR="00414B91" w:rsidRPr="00414B91" w:rsidRDefault="00414B91" w:rsidP="00414B91">
      <w:pPr>
        <w:tabs>
          <w:tab w:val="left" w:pos="851"/>
        </w:tabs>
        <w:ind w:left="851"/>
        <w:rPr>
          <w:sz w:val="24"/>
          <w:szCs w:val="24"/>
          <w:u w:val="single"/>
        </w:rPr>
      </w:pPr>
      <w:r w:rsidRPr="00414B91">
        <w:rPr>
          <w:sz w:val="24"/>
          <w:szCs w:val="24"/>
          <w:u w:val="single"/>
        </w:rPr>
        <w:t>Farmakokinetiske interaktioner</w:t>
      </w:r>
    </w:p>
    <w:p w:rsidR="00414B91" w:rsidRPr="00414B91" w:rsidRDefault="00414B91" w:rsidP="00414B91">
      <w:pPr>
        <w:tabs>
          <w:tab w:val="left" w:pos="851"/>
        </w:tabs>
        <w:ind w:left="851"/>
        <w:rPr>
          <w:sz w:val="24"/>
          <w:szCs w:val="24"/>
          <w:u w:val="single"/>
        </w:rPr>
      </w:pPr>
    </w:p>
    <w:p w:rsidR="00414B91" w:rsidRPr="00414B91" w:rsidRDefault="00414B91" w:rsidP="00414B91">
      <w:pPr>
        <w:tabs>
          <w:tab w:val="left" w:pos="851"/>
        </w:tabs>
        <w:ind w:left="851"/>
        <w:rPr>
          <w:i/>
          <w:sz w:val="24"/>
          <w:szCs w:val="24"/>
        </w:rPr>
      </w:pPr>
      <w:r w:rsidRPr="00414B91">
        <w:rPr>
          <w:i/>
          <w:sz w:val="24"/>
          <w:szCs w:val="24"/>
        </w:rPr>
        <w:t>Effekt af andre lægemidler på mexiletin</w:t>
      </w:r>
    </w:p>
    <w:p w:rsidR="00414B91" w:rsidRPr="00414B91" w:rsidRDefault="00414B91" w:rsidP="00414B91">
      <w:pPr>
        <w:tabs>
          <w:tab w:val="left" w:pos="851"/>
        </w:tabs>
        <w:ind w:left="851"/>
        <w:rPr>
          <w:i/>
          <w:sz w:val="24"/>
          <w:szCs w:val="24"/>
        </w:rPr>
      </w:pPr>
    </w:p>
    <w:p w:rsidR="00414B91" w:rsidRPr="00414B91" w:rsidRDefault="00414B91" w:rsidP="00414B91">
      <w:pPr>
        <w:tabs>
          <w:tab w:val="left" w:pos="851"/>
        </w:tabs>
        <w:ind w:left="851"/>
        <w:rPr>
          <w:sz w:val="24"/>
          <w:szCs w:val="24"/>
        </w:rPr>
      </w:pPr>
      <w:r w:rsidRPr="00414B91">
        <w:rPr>
          <w:sz w:val="24"/>
          <w:szCs w:val="24"/>
        </w:rPr>
        <w:t>Lægemidler, der forsinker gastrisk tømning, f.eks. opioider, antacider og atropin, kan forsinke optagelsen af mexiletin. Tilsvarende kan lægemidler, der fremskynder gastrisk tømning, f.eks. metoclopramid, reducere tiden til maksimal mexiletinkoncentration og øge den maksimale koncentration.</w:t>
      </w:r>
    </w:p>
    <w:p w:rsidR="00414B91" w:rsidRPr="00414B91" w:rsidRDefault="00414B91" w:rsidP="00414B91">
      <w:pPr>
        <w:tabs>
          <w:tab w:val="left" w:pos="851"/>
        </w:tabs>
        <w:ind w:left="851"/>
        <w:rPr>
          <w:sz w:val="24"/>
          <w:szCs w:val="24"/>
        </w:rPr>
      </w:pPr>
    </w:p>
    <w:p w:rsidR="00414B91" w:rsidRPr="00414B91" w:rsidRDefault="00414B91" w:rsidP="00414B91">
      <w:pPr>
        <w:tabs>
          <w:tab w:val="left" w:pos="851"/>
        </w:tabs>
        <w:ind w:left="851"/>
        <w:rPr>
          <w:sz w:val="24"/>
          <w:szCs w:val="24"/>
        </w:rPr>
      </w:pPr>
      <w:r w:rsidRPr="00414B91">
        <w:rPr>
          <w:sz w:val="24"/>
          <w:szCs w:val="24"/>
        </w:rPr>
        <w:t>Lægemidler, der forsurer eller alkaliserer urin markant bør undgås, da de (henholdsvis) forstærker eller reducerer hastigheden for lægemiddeludskillelse og tilsvarende påvirker koncentrationen af mexiletin i plasma.</w:t>
      </w:r>
    </w:p>
    <w:p w:rsidR="00414B91" w:rsidRPr="00414B91" w:rsidRDefault="00414B91" w:rsidP="00414B91">
      <w:pPr>
        <w:tabs>
          <w:tab w:val="left" w:pos="851"/>
        </w:tabs>
        <w:ind w:left="851"/>
        <w:rPr>
          <w:sz w:val="24"/>
          <w:szCs w:val="24"/>
        </w:rPr>
      </w:pPr>
    </w:p>
    <w:p w:rsidR="00414B91" w:rsidRPr="00414B91" w:rsidRDefault="00414B91" w:rsidP="00414B91">
      <w:pPr>
        <w:tabs>
          <w:tab w:val="left" w:pos="851"/>
        </w:tabs>
        <w:ind w:left="851"/>
        <w:rPr>
          <w:sz w:val="24"/>
          <w:szCs w:val="24"/>
        </w:rPr>
      </w:pPr>
      <w:r w:rsidRPr="00414B91">
        <w:rPr>
          <w:sz w:val="24"/>
          <w:szCs w:val="24"/>
        </w:rPr>
        <w:t>Samtidig administration af mexiletin og CYP1A2-hæmmere såsom ciprofloxacin, fluvoxamin og propafenon eller CYP2D6-hæmmere såsom propafenon og kinidin øger mexiletineksponering markant, hvilket fører til øget risiko for bivirkninger.</w:t>
      </w:r>
    </w:p>
    <w:p w:rsidR="00414B91" w:rsidRPr="00414B91" w:rsidRDefault="00414B91" w:rsidP="00414B91">
      <w:pPr>
        <w:tabs>
          <w:tab w:val="left" w:pos="851"/>
        </w:tabs>
        <w:ind w:left="851"/>
        <w:rPr>
          <w:sz w:val="24"/>
          <w:szCs w:val="24"/>
        </w:rPr>
      </w:pPr>
    </w:p>
    <w:p w:rsidR="00414B91" w:rsidRPr="00414B91" w:rsidRDefault="00414B91" w:rsidP="00414B91">
      <w:pPr>
        <w:tabs>
          <w:tab w:val="left" w:pos="851"/>
        </w:tabs>
        <w:ind w:left="851"/>
        <w:rPr>
          <w:sz w:val="24"/>
          <w:szCs w:val="24"/>
        </w:rPr>
      </w:pPr>
      <w:r w:rsidRPr="00414B91">
        <w:rPr>
          <w:sz w:val="24"/>
          <w:szCs w:val="24"/>
        </w:rPr>
        <w:t>Samtidig administration af mexiletin og CYP1A2 inducere såsom omeprazol eller CYP2D6-inducere kan øge clearance- og eliminationshastigheden for mexiletin som følge af øget hepatisk metabolisme, hvilket fører til reduceret plasmakoncentration og halveringstid for mexiletin.</w:t>
      </w:r>
    </w:p>
    <w:p w:rsidR="00414B91" w:rsidRPr="00414B91" w:rsidRDefault="00414B91" w:rsidP="00414B91">
      <w:pPr>
        <w:tabs>
          <w:tab w:val="left" w:pos="851"/>
        </w:tabs>
        <w:ind w:left="851"/>
        <w:rPr>
          <w:sz w:val="24"/>
          <w:szCs w:val="24"/>
        </w:rPr>
      </w:pPr>
    </w:p>
    <w:p w:rsidR="00414B91" w:rsidRPr="00414B91" w:rsidRDefault="00414B91" w:rsidP="00414B91">
      <w:pPr>
        <w:tabs>
          <w:tab w:val="left" w:pos="851"/>
        </w:tabs>
        <w:ind w:left="851"/>
        <w:rPr>
          <w:sz w:val="24"/>
          <w:szCs w:val="24"/>
        </w:rPr>
      </w:pPr>
      <w:r w:rsidRPr="00414B91">
        <w:rPr>
          <w:sz w:val="24"/>
          <w:szCs w:val="24"/>
        </w:rPr>
        <w:t>Cigaretrygning kan øge mexiletins totale clearance. Dosen af mexiletin skal muligvis justeres hos rygere og hos patienter, der stopper med at ryge (se pkt. 4.4).</w:t>
      </w:r>
    </w:p>
    <w:p w:rsidR="00414B91" w:rsidRPr="00414B91" w:rsidRDefault="00414B91" w:rsidP="00414B91">
      <w:pPr>
        <w:tabs>
          <w:tab w:val="left" w:pos="851"/>
        </w:tabs>
        <w:ind w:left="851"/>
        <w:rPr>
          <w:sz w:val="24"/>
          <w:szCs w:val="24"/>
        </w:rPr>
      </w:pPr>
    </w:p>
    <w:p w:rsidR="00414B91" w:rsidRPr="00414B91" w:rsidRDefault="00414B91" w:rsidP="00414B91">
      <w:pPr>
        <w:tabs>
          <w:tab w:val="left" w:pos="851"/>
        </w:tabs>
        <w:ind w:left="851"/>
        <w:rPr>
          <w:i/>
          <w:sz w:val="24"/>
          <w:szCs w:val="24"/>
        </w:rPr>
      </w:pPr>
      <w:r w:rsidRPr="00414B91">
        <w:rPr>
          <w:i/>
          <w:sz w:val="24"/>
          <w:szCs w:val="24"/>
        </w:rPr>
        <w:t>Effekt af mexiletin på andre lægemidler</w:t>
      </w:r>
    </w:p>
    <w:p w:rsidR="00414B91" w:rsidRPr="00414B91" w:rsidRDefault="00414B91" w:rsidP="00414B91">
      <w:pPr>
        <w:tabs>
          <w:tab w:val="left" w:pos="851"/>
        </w:tabs>
        <w:ind w:left="851"/>
        <w:rPr>
          <w:i/>
          <w:sz w:val="24"/>
          <w:szCs w:val="24"/>
        </w:rPr>
      </w:pPr>
    </w:p>
    <w:p w:rsidR="00414B91" w:rsidRPr="00414B91" w:rsidRDefault="00414B91" w:rsidP="00414B91">
      <w:pPr>
        <w:tabs>
          <w:tab w:val="left" w:pos="851"/>
        </w:tabs>
        <w:ind w:left="851"/>
        <w:rPr>
          <w:sz w:val="24"/>
          <w:szCs w:val="24"/>
        </w:rPr>
      </w:pPr>
      <w:r w:rsidRPr="00414B91">
        <w:rPr>
          <w:sz w:val="24"/>
          <w:szCs w:val="24"/>
        </w:rPr>
        <w:t>Samtidig administration af mexiletin og lægemidler, der metaboliseres af CYP1A2, f.eks. theophyllin, koffein, lidocain eller tizanidin, kan være associeret med forhøjet niveau i plasma af det samtidige lægemiddel, hvilket kan øge eller forlænge den terapeutiske effekt og/eller bivirkningerne, navnlig hvis mexiletin administreres samtidig med CYP1A2-substrater med snævert terapeutisk vindue, f.eks. theophyllin og tizanidin. Niveauet af CYP1A2-substrat i blodet bør overvåges.</w:t>
      </w:r>
    </w:p>
    <w:p w:rsidR="00414B91" w:rsidRPr="00414B91" w:rsidRDefault="00414B91" w:rsidP="00414B91">
      <w:pPr>
        <w:tabs>
          <w:tab w:val="left" w:pos="851"/>
        </w:tabs>
        <w:ind w:left="851"/>
        <w:rPr>
          <w:sz w:val="24"/>
          <w:szCs w:val="24"/>
        </w:rPr>
      </w:pPr>
    </w:p>
    <w:p w:rsidR="00414B91" w:rsidRPr="00414B91" w:rsidRDefault="00414B91" w:rsidP="00414B91">
      <w:pPr>
        <w:tabs>
          <w:tab w:val="left" w:pos="851"/>
        </w:tabs>
        <w:ind w:left="851"/>
        <w:rPr>
          <w:sz w:val="24"/>
          <w:szCs w:val="24"/>
        </w:rPr>
      </w:pPr>
      <w:r w:rsidRPr="00414B91">
        <w:rPr>
          <w:sz w:val="24"/>
          <w:szCs w:val="24"/>
        </w:rPr>
        <w:t>Mexiletin kan reducere clearance af koffein. Øgede koncentrationer af koffein, som forekommer samtidig med administrationen af mexiletin, kan være anledning til bekymring hos patienter med hjertearytmi.</w:t>
      </w:r>
    </w:p>
    <w:p w:rsidR="00414B91" w:rsidRPr="00414B91" w:rsidRDefault="00414B91" w:rsidP="00414B91">
      <w:pPr>
        <w:tabs>
          <w:tab w:val="left" w:pos="851"/>
        </w:tabs>
        <w:ind w:left="851"/>
        <w:rPr>
          <w:sz w:val="24"/>
          <w:szCs w:val="24"/>
        </w:rPr>
      </w:pPr>
    </w:p>
    <w:p w:rsidR="00414B91" w:rsidRPr="00414B91" w:rsidRDefault="00414B91" w:rsidP="00414B91">
      <w:pPr>
        <w:tabs>
          <w:tab w:val="left" w:pos="851"/>
        </w:tabs>
        <w:ind w:left="851"/>
        <w:rPr>
          <w:sz w:val="24"/>
          <w:szCs w:val="24"/>
        </w:rPr>
      </w:pPr>
      <w:r w:rsidRPr="00414B91">
        <w:rPr>
          <w:sz w:val="24"/>
          <w:szCs w:val="24"/>
        </w:rPr>
        <w:t>Mexiletin kan interagere med lægemidler, der transporteres af OCT2 såsom metformin og dofetilid, og niveauet af OCT2-substrat i blodet bør monitoreres. Det kan være nødvendigt at foretage en justering af OCT2-substratet.</w:t>
      </w:r>
    </w:p>
    <w:p w:rsidR="00414B91" w:rsidRPr="00414B91" w:rsidRDefault="00414B91" w:rsidP="00414B91">
      <w:pPr>
        <w:tabs>
          <w:tab w:val="left" w:pos="851"/>
        </w:tabs>
        <w:ind w:left="851"/>
        <w:rPr>
          <w:sz w:val="24"/>
          <w:szCs w:val="24"/>
        </w:rPr>
      </w:pPr>
    </w:p>
    <w:p w:rsidR="00414B91" w:rsidRPr="00414B91" w:rsidRDefault="00414B91" w:rsidP="00414B91">
      <w:pPr>
        <w:tabs>
          <w:tab w:val="left" w:pos="851"/>
        </w:tabs>
        <w:ind w:left="851"/>
        <w:rPr>
          <w:sz w:val="24"/>
          <w:szCs w:val="24"/>
        </w:rPr>
      </w:pPr>
      <w:r w:rsidRPr="00414B91">
        <w:rPr>
          <w:sz w:val="24"/>
          <w:szCs w:val="24"/>
        </w:rPr>
        <w:t>Samtidig administration af mexiletin med warfarin kan øge risikoen for blødning.</w:t>
      </w:r>
    </w:p>
    <w:p w:rsidR="00414B91" w:rsidRPr="00414B91" w:rsidRDefault="00414B91" w:rsidP="00414B9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2402F5" w:rsidRPr="002402F5" w:rsidRDefault="002402F5" w:rsidP="002402F5">
      <w:pPr>
        <w:tabs>
          <w:tab w:val="left" w:pos="851"/>
        </w:tabs>
        <w:ind w:left="851"/>
        <w:rPr>
          <w:i/>
          <w:sz w:val="24"/>
          <w:szCs w:val="24"/>
        </w:rPr>
      </w:pPr>
    </w:p>
    <w:p w:rsidR="002402F5" w:rsidRPr="002402F5" w:rsidRDefault="002402F5" w:rsidP="002402F5">
      <w:pPr>
        <w:tabs>
          <w:tab w:val="left" w:pos="851"/>
        </w:tabs>
        <w:ind w:left="851"/>
        <w:rPr>
          <w:sz w:val="24"/>
          <w:szCs w:val="24"/>
          <w:u w:val="single"/>
        </w:rPr>
      </w:pPr>
      <w:r w:rsidRPr="002402F5">
        <w:rPr>
          <w:sz w:val="24"/>
          <w:szCs w:val="24"/>
          <w:u w:val="single"/>
        </w:rPr>
        <w:t>Graviditet</w:t>
      </w:r>
    </w:p>
    <w:p w:rsidR="002402F5" w:rsidRPr="002402F5" w:rsidRDefault="002402F5" w:rsidP="002402F5">
      <w:pPr>
        <w:tabs>
          <w:tab w:val="left" w:pos="851"/>
        </w:tabs>
        <w:ind w:left="851"/>
        <w:rPr>
          <w:sz w:val="24"/>
          <w:szCs w:val="24"/>
        </w:rPr>
      </w:pPr>
      <w:r w:rsidRPr="002402F5">
        <w:rPr>
          <w:sz w:val="24"/>
          <w:szCs w:val="24"/>
        </w:rPr>
        <w:t>Der er ingen eller utilstrækkelige data fra anvendelsen af mexiletin til gravide kvinder. Begrænsede kliniske data om brugen af mexiletin til gravide kvinder viser, at mexiletin passerer moderkagen og når fosteret. Dyreforsøg indikerer hverken direkte eller indirekte skadelige virkninger hvad angår reproduktionstoksicitet (se pkt. 5.3). For en sikkerheds skyld bør mexiletin undgås under graviditeten.</w:t>
      </w:r>
    </w:p>
    <w:p w:rsidR="002402F5" w:rsidRPr="002402F5" w:rsidRDefault="002402F5" w:rsidP="002402F5">
      <w:pPr>
        <w:tabs>
          <w:tab w:val="left" w:pos="851"/>
        </w:tabs>
        <w:ind w:left="851"/>
        <w:rPr>
          <w:sz w:val="24"/>
          <w:szCs w:val="24"/>
        </w:rPr>
      </w:pPr>
    </w:p>
    <w:p w:rsidR="002402F5" w:rsidRPr="002402F5" w:rsidRDefault="002402F5" w:rsidP="002402F5">
      <w:pPr>
        <w:tabs>
          <w:tab w:val="left" w:pos="851"/>
        </w:tabs>
        <w:ind w:left="851"/>
        <w:rPr>
          <w:sz w:val="24"/>
          <w:szCs w:val="24"/>
          <w:u w:val="single"/>
        </w:rPr>
      </w:pPr>
      <w:r w:rsidRPr="002402F5">
        <w:rPr>
          <w:sz w:val="24"/>
          <w:szCs w:val="24"/>
          <w:u w:val="single"/>
        </w:rPr>
        <w:t>Amning</w:t>
      </w:r>
    </w:p>
    <w:p w:rsidR="002402F5" w:rsidRPr="002402F5" w:rsidRDefault="002402F5" w:rsidP="002402F5">
      <w:pPr>
        <w:tabs>
          <w:tab w:val="left" w:pos="851"/>
        </w:tabs>
        <w:ind w:left="851"/>
        <w:rPr>
          <w:sz w:val="24"/>
          <w:szCs w:val="24"/>
        </w:rPr>
      </w:pPr>
      <w:r w:rsidRPr="002402F5">
        <w:rPr>
          <w:sz w:val="24"/>
          <w:szCs w:val="24"/>
        </w:rPr>
        <w:t>Mexiletin udskilles i human mælk. Der foreligger utilstrækkelige data for virkningen af mexiletin på det ammede barn. Det skal besluttes, om amning skal ophøre eller behandling med mexiletin seponeres, idet der tages højde for fordelene ved amning for barnet i forhold til de terapeutiske fordele for moderen.</w:t>
      </w:r>
    </w:p>
    <w:p w:rsidR="002402F5" w:rsidRPr="002402F5" w:rsidRDefault="002402F5" w:rsidP="002402F5">
      <w:pPr>
        <w:tabs>
          <w:tab w:val="left" w:pos="851"/>
        </w:tabs>
        <w:ind w:left="851"/>
        <w:rPr>
          <w:sz w:val="24"/>
          <w:szCs w:val="24"/>
          <w:u w:val="single"/>
        </w:rPr>
      </w:pPr>
    </w:p>
    <w:p w:rsidR="002402F5" w:rsidRPr="002402F5" w:rsidRDefault="002402F5" w:rsidP="002402F5">
      <w:pPr>
        <w:tabs>
          <w:tab w:val="left" w:pos="851"/>
        </w:tabs>
        <w:ind w:left="851"/>
        <w:rPr>
          <w:sz w:val="24"/>
          <w:szCs w:val="24"/>
          <w:u w:val="single"/>
        </w:rPr>
      </w:pPr>
      <w:r w:rsidRPr="002402F5">
        <w:rPr>
          <w:sz w:val="24"/>
          <w:szCs w:val="24"/>
          <w:u w:val="single"/>
        </w:rPr>
        <w:t>Fertilitet</w:t>
      </w:r>
    </w:p>
    <w:p w:rsidR="002402F5" w:rsidRPr="002402F5" w:rsidRDefault="002402F5" w:rsidP="002402F5">
      <w:pPr>
        <w:tabs>
          <w:tab w:val="left" w:pos="851"/>
        </w:tabs>
        <w:ind w:left="851"/>
        <w:rPr>
          <w:sz w:val="24"/>
          <w:szCs w:val="24"/>
        </w:rPr>
      </w:pPr>
      <w:r w:rsidRPr="002402F5">
        <w:rPr>
          <w:sz w:val="24"/>
          <w:szCs w:val="24"/>
        </w:rPr>
        <w:t>Mexiletins indvirkning på menneskers fertilitet er ikke undersøgt. Dyreforsøg med mexiletin indikerer ikke skadelige virkninger hvad angår fertilitet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2402F5" w:rsidRPr="002402F5" w:rsidRDefault="002402F5" w:rsidP="002402F5">
      <w:pPr>
        <w:tabs>
          <w:tab w:val="left" w:pos="851"/>
        </w:tabs>
        <w:ind w:left="851"/>
        <w:rPr>
          <w:sz w:val="24"/>
          <w:szCs w:val="24"/>
        </w:rPr>
      </w:pPr>
      <w:r w:rsidRPr="002402F5">
        <w:rPr>
          <w:sz w:val="24"/>
          <w:szCs w:val="24"/>
        </w:rPr>
        <w:t>Ikke mærkning.</w:t>
      </w:r>
    </w:p>
    <w:p w:rsidR="002402F5" w:rsidRPr="002402F5" w:rsidRDefault="002402F5" w:rsidP="002402F5">
      <w:pPr>
        <w:tabs>
          <w:tab w:val="left" w:pos="851"/>
        </w:tabs>
        <w:ind w:left="851"/>
        <w:rPr>
          <w:sz w:val="24"/>
          <w:szCs w:val="24"/>
        </w:rPr>
      </w:pPr>
      <w:r w:rsidRPr="002402F5">
        <w:rPr>
          <w:sz w:val="24"/>
          <w:szCs w:val="24"/>
        </w:rPr>
        <w:t>Mexiletin kan påvirke evnen til at føre motorkøretøj og betjene maskiner.</w:t>
      </w:r>
    </w:p>
    <w:p w:rsidR="002402F5" w:rsidRPr="002402F5" w:rsidRDefault="002402F5" w:rsidP="002402F5">
      <w:pPr>
        <w:tabs>
          <w:tab w:val="left" w:pos="851"/>
        </w:tabs>
        <w:ind w:left="851"/>
        <w:rPr>
          <w:sz w:val="24"/>
          <w:szCs w:val="24"/>
        </w:rPr>
      </w:pPr>
      <w:r w:rsidRPr="002402F5">
        <w:rPr>
          <w:sz w:val="24"/>
          <w:szCs w:val="24"/>
        </w:rPr>
        <w:t>Samtidig indtagelse af alkohol kan yderligere påvirke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D4134A" w:rsidRPr="00BE3EF6" w:rsidRDefault="00D4134A" w:rsidP="00BE3EF6">
      <w:pPr>
        <w:ind w:left="851"/>
        <w:rPr>
          <w:sz w:val="24"/>
          <w:szCs w:val="24"/>
        </w:rPr>
      </w:pPr>
      <w:r w:rsidRPr="00BE3EF6">
        <w:rPr>
          <w:sz w:val="24"/>
          <w:szCs w:val="24"/>
        </w:rPr>
        <w:t>Bivirkninger er anført efter hyppighed og defineres som følger: meget almindelig (≥1/10), almindelig (≥1/100 til &lt;1/10), ikke almindelig (≥1/1.000 til &lt;1/100), sjælden (≥1/10.000 til &lt;1/1.000), meget sjælden (&lt;1/10.000), ikke kendt (kan ikke estimeres ud fra forhåndenværende data).</w:t>
      </w:r>
    </w:p>
    <w:p w:rsidR="00D4134A" w:rsidRPr="00BE3EF6" w:rsidRDefault="00D4134A" w:rsidP="00BE3EF6">
      <w:pPr>
        <w:ind w:left="851"/>
        <w:rPr>
          <w:sz w:val="24"/>
          <w:szCs w:val="24"/>
        </w:rPr>
      </w:pPr>
    </w:p>
    <w:tbl>
      <w:tblPr>
        <w:tblW w:w="5424" w:type="pct"/>
        <w:jc w:val="center"/>
        <w:tblLayout w:type="fixed"/>
        <w:tblCellMar>
          <w:left w:w="0" w:type="dxa"/>
          <w:right w:w="0" w:type="dxa"/>
        </w:tblCellMar>
        <w:tblLook w:val="01E0" w:firstRow="1" w:lastRow="1" w:firstColumn="1" w:lastColumn="1" w:noHBand="0" w:noVBand="0"/>
      </w:tblPr>
      <w:tblGrid>
        <w:gridCol w:w="1695"/>
        <w:gridCol w:w="1151"/>
        <w:gridCol w:w="1477"/>
        <w:gridCol w:w="1478"/>
        <w:gridCol w:w="1479"/>
        <w:gridCol w:w="1478"/>
        <w:gridCol w:w="1686"/>
      </w:tblGrid>
      <w:tr w:rsidR="00D4134A" w:rsidTr="00D4134A">
        <w:trPr>
          <w:cantSplit/>
          <w:trHeight w:val="20"/>
          <w:tblHeader/>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keepNext/>
              <w:widowControl w:val="0"/>
              <w:tabs>
                <w:tab w:val="left" w:pos="1304"/>
              </w:tabs>
              <w:rPr>
                <w:color w:val="000000"/>
                <w:sz w:val="20"/>
              </w:rPr>
            </w:pPr>
            <w:r>
              <w:rPr>
                <w:b/>
                <w:sz w:val="20"/>
              </w:rPr>
              <w:lastRenderedPageBreak/>
              <w:t>Systemorganklasse</w:t>
            </w:r>
          </w:p>
        </w:tc>
        <w:tc>
          <w:tcPr>
            <w:tcW w:w="1151" w:type="dxa"/>
            <w:tcBorders>
              <w:top w:val="single" w:sz="4" w:space="0" w:color="000000"/>
              <w:left w:val="single" w:sz="4" w:space="0" w:color="000000"/>
              <w:bottom w:val="single" w:sz="4" w:space="0" w:color="000000"/>
              <w:right w:val="single" w:sz="4" w:space="0" w:color="000000"/>
            </w:tcBorders>
            <w:hideMark/>
          </w:tcPr>
          <w:p w:rsidR="00D4134A" w:rsidRDefault="00D4134A">
            <w:pPr>
              <w:keepNext/>
              <w:widowControl w:val="0"/>
              <w:tabs>
                <w:tab w:val="left" w:pos="1304"/>
              </w:tabs>
              <w:rPr>
                <w:rFonts w:eastAsia="Calibri"/>
                <w:b/>
                <w:sz w:val="20"/>
              </w:rPr>
            </w:pPr>
            <w:r>
              <w:rPr>
                <w:b/>
                <w:sz w:val="20"/>
              </w:rPr>
              <w:t>Meget almindelig (≥1/10)</w:t>
            </w:r>
          </w:p>
        </w:tc>
        <w:tc>
          <w:tcPr>
            <w:tcW w:w="1477" w:type="dxa"/>
            <w:tcBorders>
              <w:top w:val="single" w:sz="4" w:space="0" w:color="000000"/>
              <w:left w:val="single" w:sz="4" w:space="0" w:color="000000"/>
              <w:bottom w:val="single" w:sz="4" w:space="0" w:color="000000"/>
              <w:right w:val="single" w:sz="4" w:space="0" w:color="000000"/>
            </w:tcBorders>
            <w:hideMark/>
          </w:tcPr>
          <w:p w:rsidR="00D4134A" w:rsidRDefault="00D4134A">
            <w:pPr>
              <w:keepNext/>
              <w:widowControl w:val="0"/>
              <w:tabs>
                <w:tab w:val="left" w:pos="1304"/>
              </w:tabs>
              <w:rPr>
                <w:rFonts w:eastAsia="Calibri"/>
                <w:b/>
                <w:sz w:val="20"/>
              </w:rPr>
            </w:pPr>
            <w:r>
              <w:rPr>
                <w:b/>
                <w:sz w:val="20"/>
              </w:rPr>
              <w:t>Almindelig (≥1/100 til &lt;1/10)</w:t>
            </w:r>
          </w:p>
        </w:tc>
        <w:tc>
          <w:tcPr>
            <w:tcW w:w="1478" w:type="dxa"/>
            <w:tcBorders>
              <w:top w:val="single" w:sz="4" w:space="0" w:color="000000"/>
              <w:left w:val="single" w:sz="4" w:space="0" w:color="000000"/>
              <w:bottom w:val="single" w:sz="4" w:space="0" w:color="000000"/>
              <w:right w:val="single" w:sz="4" w:space="0" w:color="000000"/>
            </w:tcBorders>
            <w:hideMark/>
          </w:tcPr>
          <w:p w:rsidR="00D4134A" w:rsidRDefault="00D4134A">
            <w:pPr>
              <w:keepNext/>
              <w:widowControl w:val="0"/>
              <w:tabs>
                <w:tab w:val="left" w:pos="1304"/>
              </w:tabs>
              <w:rPr>
                <w:rFonts w:eastAsia="Calibri"/>
                <w:b/>
                <w:sz w:val="20"/>
              </w:rPr>
            </w:pPr>
            <w:r>
              <w:rPr>
                <w:b/>
                <w:sz w:val="20"/>
              </w:rPr>
              <w:t>Ikke almindelig (≥1/1.000 til &lt;1/100)</w:t>
            </w:r>
          </w:p>
        </w:tc>
        <w:tc>
          <w:tcPr>
            <w:tcW w:w="1479" w:type="dxa"/>
            <w:tcBorders>
              <w:top w:val="single" w:sz="4" w:space="0" w:color="000000"/>
              <w:left w:val="single" w:sz="4" w:space="0" w:color="000000"/>
              <w:bottom w:val="single" w:sz="4" w:space="0" w:color="000000"/>
              <w:right w:val="single" w:sz="4" w:space="0" w:color="000000"/>
            </w:tcBorders>
            <w:hideMark/>
          </w:tcPr>
          <w:p w:rsidR="00D4134A" w:rsidRDefault="00D4134A">
            <w:pPr>
              <w:keepNext/>
              <w:widowControl w:val="0"/>
              <w:tabs>
                <w:tab w:val="left" w:pos="1304"/>
              </w:tabs>
              <w:rPr>
                <w:rFonts w:eastAsia="Calibri"/>
                <w:b/>
                <w:sz w:val="20"/>
              </w:rPr>
            </w:pPr>
            <w:r>
              <w:rPr>
                <w:b/>
                <w:sz w:val="20"/>
              </w:rPr>
              <w:t>Sjælden (≥1/10.000 til &lt;1/1.000)</w:t>
            </w:r>
          </w:p>
        </w:tc>
        <w:tc>
          <w:tcPr>
            <w:tcW w:w="1478" w:type="dxa"/>
            <w:tcBorders>
              <w:top w:val="single" w:sz="4" w:space="0" w:color="000000"/>
              <w:left w:val="single" w:sz="4" w:space="0" w:color="000000"/>
              <w:bottom w:val="single" w:sz="4" w:space="0" w:color="000000"/>
              <w:right w:val="single" w:sz="4" w:space="0" w:color="000000"/>
            </w:tcBorders>
            <w:hideMark/>
          </w:tcPr>
          <w:p w:rsidR="00D4134A" w:rsidRDefault="00D4134A">
            <w:pPr>
              <w:keepNext/>
              <w:widowControl w:val="0"/>
              <w:tabs>
                <w:tab w:val="left" w:pos="1304"/>
              </w:tabs>
              <w:rPr>
                <w:rFonts w:eastAsia="Calibri"/>
                <w:b/>
                <w:sz w:val="20"/>
              </w:rPr>
            </w:pPr>
            <w:r>
              <w:rPr>
                <w:b/>
                <w:sz w:val="20"/>
              </w:rPr>
              <w:t>Meget sjælden (&lt; 1/10.000)</w:t>
            </w:r>
          </w:p>
        </w:tc>
        <w:tc>
          <w:tcPr>
            <w:tcW w:w="1686" w:type="dxa"/>
            <w:tcBorders>
              <w:top w:val="single" w:sz="4" w:space="0" w:color="000000"/>
              <w:left w:val="single" w:sz="4" w:space="0" w:color="000000"/>
              <w:bottom w:val="single" w:sz="4" w:space="0" w:color="000000"/>
              <w:right w:val="single" w:sz="4" w:space="0" w:color="000000"/>
            </w:tcBorders>
            <w:hideMark/>
          </w:tcPr>
          <w:p w:rsidR="00D4134A" w:rsidRDefault="00D4134A">
            <w:pPr>
              <w:keepNext/>
              <w:widowControl w:val="0"/>
              <w:tabs>
                <w:tab w:val="left" w:pos="1304"/>
              </w:tabs>
              <w:rPr>
                <w:rFonts w:eastAsia="Calibri"/>
                <w:b/>
                <w:sz w:val="20"/>
              </w:rPr>
            </w:pPr>
            <w:r>
              <w:rPr>
                <w:b/>
                <w:sz w:val="20"/>
              </w:rPr>
              <w:t>Ikke kendt: (kan ikke estimeres ud fra forhåndenværende data)</w:t>
            </w: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Blod og lymfesystem</w:t>
            </w:r>
          </w:p>
        </w:tc>
        <w:tc>
          <w:tcPr>
            <w:tcW w:w="1151"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7"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9"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neutropeni, agranulocytose</w:t>
            </w: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68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leukopeni, trombocytopeni</w:t>
            </w: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Immunsystemet</w:t>
            </w:r>
          </w:p>
        </w:tc>
        <w:tc>
          <w:tcPr>
            <w:tcW w:w="1151"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7"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9"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8"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lægemiddelreaktion med eosinofili og systemiske symptomer (DRESS)</w:t>
            </w:r>
          </w:p>
        </w:tc>
        <w:tc>
          <w:tcPr>
            <w:tcW w:w="168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lang w:val="sv-SE"/>
              </w:rPr>
            </w:pPr>
            <w:r>
              <w:rPr>
                <w:sz w:val="20"/>
                <w:lang w:val="sv-SE"/>
              </w:rPr>
              <w:t>lupuslignende syndrom, eksfoliativ dermatitis, Stevens-Johnson syndrom</w:t>
            </w: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Psykiske forstyrrelser</w:t>
            </w:r>
          </w:p>
        </w:tc>
        <w:tc>
          <w:tcPr>
            <w:tcW w:w="1151"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søvnløshed</w:t>
            </w:r>
          </w:p>
        </w:tc>
        <w:tc>
          <w:tcPr>
            <w:tcW w:w="1477"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somnolens</w:t>
            </w: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9"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68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hallucinationer, forvirringstilstand</w:t>
            </w: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Nervesystemet</w:t>
            </w:r>
          </w:p>
        </w:tc>
        <w:tc>
          <w:tcPr>
            <w:tcW w:w="1151"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svimmelhed, tremor,</w:t>
            </w:r>
          </w:p>
        </w:tc>
        <w:tc>
          <w:tcPr>
            <w:tcW w:w="1477"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hovedpine, paræstesi, sløret syn, følelsesløshed</w:t>
            </w:r>
          </w:p>
        </w:tc>
        <w:tc>
          <w:tcPr>
            <w:tcW w:w="1478"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krampeanfald, taleforstyrrelse, amnesi, bevidstløshed</w:t>
            </w:r>
          </w:p>
        </w:tc>
        <w:tc>
          <w:tcPr>
            <w:tcW w:w="1479"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68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diplopi, dysgeusi</w:t>
            </w: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Øre og labyrint</w:t>
            </w:r>
          </w:p>
        </w:tc>
        <w:tc>
          <w:tcPr>
            <w:tcW w:w="1151"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7"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vertigo, tinnitus</w:t>
            </w: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9"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686"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Hjerte</w:t>
            </w:r>
          </w:p>
        </w:tc>
        <w:tc>
          <w:tcPr>
            <w:tcW w:w="1151"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7"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takykardi, palpitationer, anginasmerter, atrieflimmer,</w:t>
            </w:r>
          </w:p>
        </w:tc>
        <w:tc>
          <w:tcPr>
            <w:tcW w:w="1478"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bradykardi</w:t>
            </w:r>
          </w:p>
        </w:tc>
        <w:tc>
          <w:tcPr>
            <w:tcW w:w="1479"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hjertesvigt</w:t>
            </w: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68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atrioventrikulært blok</w:t>
            </w: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Vaskulære sygdomme</w:t>
            </w:r>
          </w:p>
        </w:tc>
        <w:tc>
          <w:tcPr>
            <w:tcW w:w="1151"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7"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rødmen, hypotension</w:t>
            </w: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9"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68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cirkulatorisk kollaps, hedeture</w:t>
            </w: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Luftveje, thorax og mediastinum</w:t>
            </w:r>
          </w:p>
        </w:tc>
        <w:tc>
          <w:tcPr>
            <w:tcW w:w="1151"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7"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8"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hikke</w:t>
            </w:r>
          </w:p>
        </w:tc>
        <w:tc>
          <w:tcPr>
            <w:tcW w:w="1479"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68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lungefibrose</w:t>
            </w: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Mave-tarm-kanalen</w:t>
            </w:r>
          </w:p>
        </w:tc>
        <w:tc>
          <w:tcPr>
            <w:tcW w:w="1151"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mavesmerter, dyspepsi</w:t>
            </w:r>
          </w:p>
        </w:tc>
        <w:tc>
          <w:tcPr>
            <w:tcW w:w="1477"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kvalme, forstoppelse, mundtørhed</w:t>
            </w: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9"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68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diarré, opkastning, spiserørssår og -perforering</w:t>
            </w: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Lever og galdeveje</w:t>
            </w:r>
          </w:p>
        </w:tc>
        <w:tc>
          <w:tcPr>
            <w:tcW w:w="1151"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7"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9"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unormal leverfunktion</w:t>
            </w:r>
          </w:p>
        </w:tc>
        <w:tc>
          <w:tcPr>
            <w:tcW w:w="1478"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lægemiddelinduceret leverskade, leversygdom, hepatitis</w:t>
            </w:r>
          </w:p>
        </w:tc>
        <w:tc>
          <w:tcPr>
            <w:tcW w:w="1686"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Hud og subkutane væv</w:t>
            </w:r>
          </w:p>
        </w:tc>
        <w:tc>
          <w:tcPr>
            <w:tcW w:w="1151"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7"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akne, udslæt</w:t>
            </w:r>
          </w:p>
        </w:tc>
        <w:tc>
          <w:tcPr>
            <w:tcW w:w="1478"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b/>
                <w:sz w:val="20"/>
              </w:rPr>
            </w:pPr>
            <w:r>
              <w:rPr>
                <w:sz w:val="20"/>
              </w:rPr>
              <w:t>tør hud, alopeci</w:t>
            </w:r>
          </w:p>
        </w:tc>
        <w:tc>
          <w:tcPr>
            <w:tcW w:w="1479"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c>
          <w:tcPr>
            <w:tcW w:w="1686"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Knogler, led, muskler og bindevæv</w:t>
            </w:r>
          </w:p>
        </w:tc>
        <w:tc>
          <w:tcPr>
            <w:tcW w:w="1151"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7"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smerter i arme og ben</w:t>
            </w:r>
          </w:p>
        </w:tc>
        <w:tc>
          <w:tcPr>
            <w:tcW w:w="1478"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b/>
                <w:sz w:val="20"/>
              </w:rPr>
            </w:pPr>
            <w:r>
              <w:rPr>
                <w:sz w:val="20"/>
              </w:rPr>
              <w:t>artralgi</w:t>
            </w:r>
          </w:p>
        </w:tc>
        <w:tc>
          <w:tcPr>
            <w:tcW w:w="1479"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c>
          <w:tcPr>
            <w:tcW w:w="1686"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Almene symptomer og reaktioner på administrationsstedet</w:t>
            </w:r>
          </w:p>
        </w:tc>
        <w:tc>
          <w:tcPr>
            <w:tcW w:w="1151"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7"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træthed, asteni, ubehag i brystet, utilpashed, ataksi</w:t>
            </w: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c>
          <w:tcPr>
            <w:tcW w:w="1479"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c>
          <w:tcPr>
            <w:tcW w:w="1686"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Undersøgelser</w:t>
            </w:r>
          </w:p>
        </w:tc>
        <w:tc>
          <w:tcPr>
            <w:tcW w:w="1151"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7"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8"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b/>
                <w:sz w:val="20"/>
              </w:rPr>
            </w:pPr>
            <w:r>
              <w:rPr>
                <w:sz w:val="20"/>
              </w:rPr>
              <w:t>unormale leverfunktionstest</w:t>
            </w:r>
          </w:p>
        </w:tc>
        <w:tc>
          <w:tcPr>
            <w:tcW w:w="1479"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c>
          <w:tcPr>
            <w:tcW w:w="1686"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r>
      <w:tr w:rsidR="00D4134A" w:rsidTr="00D4134A">
        <w:trPr>
          <w:cantSplit/>
          <w:trHeight w:val="20"/>
          <w:jc w:val="center"/>
        </w:trPr>
        <w:tc>
          <w:tcPr>
            <w:tcW w:w="1696"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sz w:val="20"/>
              </w:rPr>
            </w:pPr>
            <w:r>
              <w:rPr>
                <w:sz w:val="20"/>
              </w:rPr>
              <w:t>Det reproduktive system og mammae</w:t>
            </w:r>
          </w:p>
        </w:tc>
        <w:tc>
          <w:tcPr>
            <w:tcW w:w="1151"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7"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sz w:val="20"/>
              </w:rPr>
            </w:pPr>
          </w:p>
        </w:tc>
        <w:tc>
          <w:tcPr>
            <w:tcW w:w="1478" w:type="dxa"/>
            <w:tcBorders>
              <w:top w:val="single" w:sz="4" w:space="0" w:color="000000"/>
              <w:left w:val="single" w:sz="4" w:space="0" w:color="000000"/>
              <w:bottom w:val="single" w:sz="4" w:space="0" w:color="000000"/>
              <w:right w:val="single" w:sz="4" w:space="0" w:color="000000"/>
            </w:tcBorders>
            <w:hideMark/>
          </w:tcPr>
          <w:p w:rsidR="00D4134A" w:rsidRDefault="00D4134A">
            <w:pPr>
              <w:widowControl w:val="0"/>
              <w:tabs>
                <w:tab w:val="left" w:pos="1304"/>
              </w:tabs>
              <w:rPr>
                <w:rFonts w:eastAsia="Calibri"/>
                <w:b/>
                <w:sz w:val="20"/>
              </w:rPr>
            </w:pPr>
            <w:r>
              <w:rPr>
                <w:sz w:val="20"/>
              </w:rPr>
              <w:t>impotens</w:t>
            </w:r>
          </w:p>
        </w:tc>
        <w:tc>
          <w:tcPr>
            <w:tcW w:w="1479"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c>
          <w:tcPr>
            <w:tcW w:w="1478"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c>
          <w:tcPr>
            <w:tcW w:w="1686" w:type="dxa"/>
            <w:tcBorders>
              <w:top w:val="single" w:sz="4" w:space="0" w:color="000000"/>
              <w:left w:val="single" w:sz="4" w:space="0" w:color="000000"/>
              <w:bottom w:val="single" w:sz="4" w:space="0" w:color="000000"/>
              <w:right w:val="single" w:sz="4" w:space="0" w:color="000000"/>
            </w:tcBorders>
          </w:tcPr>
          <w:p w:rsidR="00D4134A" w:rsidRDefault="00D4134A">
            <w:pPr>
              <w:widowControl w:val="0"/>
              <w:tabs>
                <w:tab w:val="left" w:pos="1304"/>
              </w:tabs>
              <w:rPr>
                <w:rFonts w:eastAsia="Calibri"/>
                <w:b/>
                <w:sz w:val="20"/>
              </w:rPr>
            </w:pPr>
          </w:p>
        </w:tc>
      </w:tr>
    </w:tbl>
    <w:p w:rsidR="00D4134A" w:rsidRDefault="00D4134A" w:rsidP="00D4134A">
      <w:pPr>
        <w:rPr>
          <w:sz w:val="22"/>
          <w:szCs w:val="22"/>
          <w:u w:val="single"/>
        </w:rPr>
      </w:pPr>
    </w:p>
    <w:p w:rsidR="00D4134A" w:rsidRPr="00D4134A" w:rsidRDefault="00D4134A" w:rsidP="00D4134A">
      <w:pPr>
        <w:autoSpaceDE w:val="0"/>
        <w:autoSpaceDN w:val="0"/>
        <w:adjustRightInd w:val="0"/>
        <w:ind w:left="851"/>
        <w:rPr>
          <w:sz w:val="24"/>
          <w:szCs w:val="24"/>
          <w:u w:val="single"/>
        </w:rPr>
      </w:pPr>
      <w:r w:rsidRPr="00D4134A">
        <w:rPr>
          <w:sz w:val="24"/>
          <w:szCs w:val="24"/>
          <w:u w:val="single"/>
        </w:rPr>
        <w:t>Indberetning af formodede bivirkninger</w:t>
      </w:r>
    </w:p>
    <w:p w:rsidR="00D4134A" w:rsidRPr="00D4134A" w:rsidRDefault="00D4134A" w:rsidP="00D4134A">
      <w:pPr>
        <w:autoSpaceDE w:val="0"/>
        <w:autoSpaceDN w:val="0"/>
        <w:adjustRightInd w:val="0"/>
        <w:ind w:left="851"/>
        <w:rPr>
          <w:sz w:val="24"/>
          <w:szCs w:val="24"/>
        </w:rPr>
      </w:pPr>
      <w:r w:rsidRPr="00D4134A">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D4134A" w:rsidRPr="00D4134A" w:rsidRDefault="00D4134A" w:rsidP="00D4134A">
      <w:pPr>
        <w:autoSpaceDE w:val="0"/>
        <w:autoSpaceDN w:val="0"/>
        <w:adjustRightInd w:val="0"/>
        <w:ind w:left="851"/>
        <w:rPr>
          <w:sz w:val="24"/>
          <w:szCs w:val="24"/>
        </w:rPr>
      </w:pPr>
    </w:p>
    <w:p w:rsidR="00D4134A" w:rsidRPr="00D4134A" w:rsidRDefault="00D4134A" w:rsidP="00D4134A">
      <w:pPr>
        <w:ind w:left="851"/>
        <w:rPr>
          <w:rFonts w:eastAsia="Calibri"/>
          <w:color w:val="000000"/>
          <w:sz w:val="24"/>
          <w:szCs w:val="24"/>
          <w:lang w:eastAsia="zh-CN"/>
        </w:rPr>
      </w:pPr>
      <w:r w:rsidRPr="00D4134A">
        <w:rPr>
          <w:sz w:val="24"/>
          <w:szCs w:val="24"/>
        </w:rPr>
        <w:t>Lægemiddelstyrelsen</w:t>
      </w:r>
    </w:p>
    <w:p w:rsidR="00D4134A" w:rsidRPr="00D4134A" w:rsidRDefault="00D4134A" w:rsidP="00D4134A">
      <w:pPr>
        <w:ind w:left="851"/>
        <w:rPr>
          <w:rFonts w:eastAsia="Calibri"/>
          <w:noProof/>
          <w:sz w:val="24"/>
          <w:szCs w:val="24"/>
          <w:lang w:eastAsia="zh-CN"/>
        </w:rPr>
      </w:pPr>
      <w:r w:rsidRPr="00D4134A">
        <w:rPr>
          <w:rFonts w:eastAsia="Calibri"/>
          <w:sz w:val="24"/>
          <w:szCs w:val="24"/>
          <w:lang w:eastAsia="zh-CN"/>
        </w:rPr>
        <w:t>Axel Heides Gade 1</w:t>
      </w:r>
    </w:p>
    <w:p w:rsidR="00D4134A" w:rsidRPr="00D4134A" w:rsidRDefault="00D4134A" w:rsidP="00D4134A">
      <w:pPr>
        <w:ind w:left="851"/>
        <w:rPr>
          <w:rFonts w:eastAsia="Calibri"/>
          <w:noProof/>
          <w:sz w:val="24"/>
          <w:szCs w:val="24"/>
          <w:lang w:eastAsia="zh-CN"/>
        </w:rPr>
      </w:pPr>
      <w:r w:rsidRPr="00D4134A">
        <w:rPr>
          <w:rFonts w:eastAsia="Calibri"/>
          <w:noProof/>
          <w:sz w:val="24"/>
          <w:szCs w:val="24"/>
          <w:lang w:eastAsia="zh-CN"/>
        </w:rPr>
        <w:t xml:space="preserve">DK-2300 </w:t>
      </w:r>
      <w:r w:rsidRPr="00D4134A">
        <w:rPr>
          <w:rFonts w:eastAsia="Calibri"/>
          <w:sz w:val="24"/>
          <w:szCs w:val="24"/>
          <w:lang w:eastAsia="zh-CN"/>
        </w:rPr>
        <w:t>København S</w:t>
      </w:r>
    </w:p>
    <w:p w:rsidR="00D4134A" w:rsidRPr="00D4134A" w:rsidRDefault="00D4134A" w:rsidP="00D4134A">
      <w:pPr>
        <w:autoSpaceDE w:val="0"/>
        <w:autoSpaceDN w:val="0"/>
        <w:adjustRightInd w:val="0"/>
        <w:ind w:left="851"/>
        <w:rPr>
          <w:color w:val="008000"/>
          <w:sz w:val="24"/>
          <w:szCs w:val="24"/>
        </w:rPr>
      </w:pPr>
      <w:r w:rsidRPr="00D4134A">
        <w:rPr>
          <w:rFonts w:eastAsia="Calibri"/>
          <w:sz w:val="24"/>
          <w:szCs w:val="24"/>
          <w:lang w:eastAsia="zh-CN"/>
        </w:rPr>
        <w:t>Websted</w:t>
      </w:r>
      <w:r w:rsidRPr="00D4134A">
        <w:rPr>
          <w:rFonts w:eastAsia="Calibri"/>
          <w:noProof/>
          <w:sz w:val="24"/>
          <w:szCs w:val="24"/>
          <w:lang w:eastAsia="zh-CN"/>
        </w:rPr>
        <w:t>: www.meldenbivirkning.dk</w:t>
      </w:r>
    </w:p>
    <w:p w:rsidR="00BE3EF6" w:rsidRDefault="00BE3EF6">
      <w:pPr>
        <w:rPr>
          <w:sz w:val="24"/>
          <w:szCs w:val="24"/>
        </w:rPr>
      </w:pPr>
      <w:r>
        <w:rPr>
          <w:sz w:val="24"/>
          <w:szCs w:val="24"/>
        </w:rPr>
        <w:br w:type="page"/>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BE3EF6" w:rsidRPr="00BE3EF6" w:rsidRDefault="00BE3EF6" w:rsidP="00BE3EF6">
      <w:pPr>
        <w:tabs>
          <w:tab w:val="left" w:pos="851"/>
        </w:tabs>
        <w:ind w:left="851"/>
        <w:rPr>
          <w:sz w:val="24"/>
          <w:szCs w:val="24"/>
        </w:rPr>
      </w:pPr>
    </w:p>
    <w:p w:rsidR="00BE3EF6" w:rsidRPr="00BE3EF6" w:rsidRDefault="00BE3EF6" w:rsidP="00BE3EF6">
      <w:pPr>
        <w:tabs>
          <w:tab w:val="left" w:pos="851"/>
        </w:tabs>
        <w:ind w:left="851"/>
        <w:rPr>
          <w:sz w:val="24"/>
          <w:szCs w:val="24"/>
          <w:u w:val="single"/>
        </w:rPr>
      </w:pPr>
      <w:r w:rsidRPr="00BE3EF6">
        <w:rPr>
          <w:sz w:val="24"/>
          <w:szCs w:val="24"/>
          <w:u w:val="single"/>
        </w:rPr>
        <w:t>Tegn og symptomer</w:t>
      </w:r>
    </w:p>
    <w:p w:rsidR="00BE3EF6" w:rsidRPr="00BE3EF6" w:rsidRDefault="00BE3EF6" w:rsidP="00BE3EF6">
      <w:pPr>
        <w:tabs>
          <w:tab w:val="left" w:pos="851"/>
        </w:tabs>
        <w:ind w:left="851"/>
        <w:rPr>
          <w:sz w:val="24"/>
          <w:szCs w:val="24"/>
          <w:u w:val="single"/>
        </w:rPr>
      </w:pPr>
    </w:p>
    <w:p w:rsidR="00BE3EF6" w:rsidRPr="00BE3EF6" w:rsidRDefault="00BE3EF6" w:rsidP="00BE3EF6">
      <w:pPr>
        <w:tabs>
          <w:tab w:val="left" w:pos="851"/>
        </w:tabs>
        <w:ind w:left="851"/>
        <w:rPr>
          <w:sz w:val="24"/>
          <w:szCs w:val="24"/>
        </w:rPr>
      </w:pPr>
      <w:r w:rsidRPr="00BE3EF6">
        <w:rPr>
          <w:sz w:val="24"/>
          <w:szCs w:val="24"/>
        </w:rPr>
        <w:t>Den mindste dødelige dosis er ukendt, men 4,40 g har vist sig dødelig hos en rask ung voksen.</w:t>
      </w:r>
    </w:p>
    <w:p w:rsidR="00BE3EF6" w:rsidRPr="00BE3EF6" w:rsidRDefault="00BE3EF6" w:rsidP="00BE3EF6">
      <w:pPr>
        <w:tabs>
          <w:tab w:val="left" w:pos="851"/>
        </w:tabs>
        <w:ind w:left="851"/>
        <w:rPr>
          <w:sz w:val="24"/>
          <w:szCs w:val="24"/>
        </w:rPr>
      </w:pPr>
      <w:r w:rsidRPr="00BE3EF6">
        <w:rPr>
          <w:sz w:val="24"/>
          <w:szCs w:val="24"/>
        </w:rPr>
        <w:t>De kliniske symptomer omfatter: kvalme, hypotension, bradykardi, paræstesi, venstresidig grenblok, asystoli, krampeanfald og dødsfald.</w:t>
      </w:r>
    </w:p>
    <w:p w:rsidR="00BE3EF6" w:rsidRPr="00BE3EF6" w:rsidRDefault="00BE3EF6" w:rsidP="00BE3EF6">
      <w:pPr>
        <w:tabs>
          <w:tab w:val="left" w:pos="851"/>
        </w:tabs>
        <w:ind w:left="851"/>
        <w:rPr>
          <w:sz w:val="24"/>
          <w:szCs w:val="24"/>
        </w:rPr>
      </w:pPr>
    </w:p>
    <w:p w:rsidR="00BE3EF6" w:rsidRPr="00BE3EF6" w:rsidRDefault="00BE3EF6" w:rsidP="00BE3EF6">
      <w:pPr>
        <w:tabs>
          <w:tab w:val="left" w:pos="851"/>
        </w:tabs>
        <w:ind w:left="851"/>
        <w:rPr>
          <w:sz w:val="24"/>
          <w:szCs w:val="24"/>
          <w:u w:val="single"/>
        </w:rPr>
      </w:pPr>
      <w:r w:rsidRPr="00BE3EF6">
        <w:rPr>
          <w:sz w:val="24"/>
          <w:szCs w:val="24"/>
          <w:u w:val="single"/>
        </w:rPr>
        <w:t>Administration og behandling</w:t>
      </w:r>
    </w:p>
    <w:p w:rsidR="00BE3EF6" w:rsidRPr="00BE3EF6" w:rsidRDefault="00BE3EF6" w:rsidP="00BE3EF6">
      <w:pPr>
        <w:tabs>
          <w:tab w:val="left" w:pos="851"/>
        </w:tabs>
        <w:ind w:left="851"/>
        <w:rPr>
          <w:sz w:val="24"/>
          <w:szCs w:val="24"/>
          <w:u w:val="single"/>
        </w:rPr>
      </w:pPr>
    </w:p>
    <w:p w:rsidR="00BE3EF6" w:rsidRPr="00BE3EF6" w:rsidRDefault="00BE3EF6" w:rsidP="00BE3EF6">
      <w:pPr>
        <w:tabs>
          <w:tab w:val="left" w:pos="851"/>
        </w:tabs>
        <w:ind w:left="851"/>
        <w:rPr>
          <w:sz w:val="24"/>
          <w:szCs w:val="24"/>
        </w:rPr>
      </w:pPr>
      <w:r w:rsidRPr="00BE3EF6">
        <w:rPr>
          <w:sz w:val="24"/>
          <w:szCs w:val="24"/>
        </w:rPr>
        <w:t xml:space="preserve">Behandling bør være understøttende og kan omfatte aktivt kul inden for de første timer efter indtagelse af mexiletin for at mindske optagelsen. </w:t>
      </w:r>
    </w:p>
    <w:p w:rsidR="00BE3EF6" w:rsidRPr="00BE3EF6" w:rsidRDefault="00BE3EF6" w:rsidP="00BE3EF6">
      <w:pPr>
        <w:tabs>
          <w:tab w:val="left" w:pos="851"/>
        </w:tabs>
        <w:ind w:left="851"/>
        <w:rPr>
          <w:sz w:val="24"/>
          <w:szCs w:val="24"/>
        </w:rPr>
      </w:pPr>
    </w:p>
    <w:p w:rsidR="00BE3EF6" w:rsidRPr="00BE3EF6" w:rsidRDefault="00BE3EF6" w:rsidP="00BE3EF6">
      <w:pPr>
        <w:tabs>
          <w:tab w:val="left" w:pos="851"/>
        </w:tabs>
        <w:ind w:left="851"/>
        <w:rPr>
          <w:sz w:val="24"/>
          <w:szCs w:val="24"/>
        </w:rPr>
      </w:pPr>
      <w:r w:rsidRPr="00BE3EF6">
        <w:rPr>
          <w:sz w:val="24"/>
          <w:szCs w:val="24"/>
        </w:rPr>
        <w:t>Der anbefales intravenøs administration af atropin eller ipratropiumbromid. Benzodiazepiner har en beskyttende effekt mod mexiletininducerede kramper.</w:t>
      </w:r>
    </w:p>
    <w:p w:rsidR="00BE3EF6" w:rsidRPr="00BE3EF6" w:rsidRDefault="00BE3EF6" w:rsidP="00BE3EF6">
      <w:pPr>
        <w:tabs>
          <w:tab w:val="left" w:pos="851"/>
        </w:tabs>
        <w:ind w:left="851"/>
        <w:rPr>
          <w:sz w:val="24"/>
          <w:szCs w:val="24"/>
        </w:rPr>
      </w:pPr>
    </w:p>
    <w:p w:rsidR="00BE3EF6" w:rsidRPr="00BE3EF6" w:rsidRDefault="00BE3EF6" w:rsidP="00BE3EF6">
      <w:pPr>
        <w:tabs>
          <w:tab w:val="left" w:pos="851"/>
        </w:tabs>
        <w:ind w:left="851"/>
        <w:rPr>
          <w:sz w:val="24"/>
          <w:szCs w:val="24"/>
        </w:rPr>
      </w:pPr>
      <w:r w:rsidRPr="00BE3EF6">
        <w:rPr>
          <w:sz w:val="24"/>
          <w:szCs w:val="24"/>
        </w:rPr>
        <w:t>Forsuring af urinen fremmer eliminationen af mexiletin.</w:t>
      </w:r>
    </w:p>
    <w:p w:rsidR="00BE3EF6" w:rsidRPr="00BE3EF6" w:rsidRDefault="00BE3EF6" w:rsidP="00BE3EF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BE3EF6" w:rsidP="009260DE">
      <w:pPr>
        <w:tabs>
          <w:tab w:val="left" w:pos="851"/>
        </w:tabs>
        <w:ind w:left="851"/>
        <w:rPr>
          <w:sz w:val="24"/>
          <w:szCs w:val="24"/>
        </w:rPr>
      </w:pPr>
      <w:r>
        <w:rPr>
          <w:sz w:val="24"/>
          <w:szCs w:val="24"/>
        </w:rPr>
        <w:t xml:space="preserve">NBS (kun til sygehuse </w:t>
      </w:r>
      <w:r w:rsidR="007202B3">
        <w:rPr>
          <w:sz w:val="24"/>
          <w:szCs w:val="24"/>
        </w:rPr>
        <w:t>eller</w:t>
      </w:r>
      <w:r>
        <w:rPr>
          <w:sz w:val="24"/>
          <w:szCs w:val="24"/>
        </w:rPr>
        <w:t xml:space="preserve"> efter ordination af en </w:t>
      </w:r>
      <w:r w:rsidR="003B3B7B">
        <w:rPr>
          <w:sz w:val="24"/>
          <w:szCs w:val="24"/>
        </w:rPr>
        <w:t>speciallæge i kardiologi)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7202B3" w:rsidRPr="007202B3" w:rsidRDefault="007202B3" w:rsidP="007202B3">
      <w:pPr>
        <w:tabs>
          <w:tab w:val="left" w:pos="851"/>
        </w:tabs>
        <w:ind w:left="851"/>
        <w:rPr>
          <w:sz w:val="24"/>
          <w:szCs w:val="24"/>
        </w:rPr>
      </w:pPr>
      <w:r w:rsidRPr="007202B3">
        <w:rPr>
          <w:sz w:val="24"/>
          <w:szCs w:val="24"/>
        </w:rPr>
        <w:t>ATC-kode: C 01 BB 02. Hjertebehandling, antiarytmika, klasse Ib.</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7202B3" w:rsidRPr="007202B3" w:rsidRDefault="007202B3" w:rsidP="007202B3">
      <w:pPr>
        <w:tabs>
          <w:tab w:val="left" w:pos="851"/>
        </w:tabs>
        <w:ind w:left="851"/>
        <w:rPr>
          <w:sz w:val="24"/>
          <w:szCs w:val="24"/>
        </w:rPr>
      </w:pPr>
    </w:p>
    <w:p w:rsidR="007202B3" w:rsidRPr="007202B3" w:rsidRDefault="007202B3" w:rsidP="007202B3">
      <w:pPr>
        <w:tabs>
          <w:tab w:val="left" w:pos="851"/>
        </w:tabs>
        <w:ind w:left="851"/>
        <w:rPr>
          <w:sz w:val="24"/>
          <w:szCs w:val="24"/>
          <w:u w:val="single"/>
        </w:rPr>
      </w:pPr>
      <w:r w:rsidRPr="007202B3">
        <w:rPr>
          <w:sz w:val="24"/>
          <w:szCs w:val="24"/>
          <w:u w:val="single"/>
        </w:rPr>
        <w:t>Virkningsmekanisme</w:t>
      </w:r>
    </w:p>
    <w:p w:rsidR="007202B3" w:rsidRPr="007202B3" w:rsidRDefault="007202B3" w:rsidP="007202B3">
      <w:pPr>
        <w:tabs>
          <w:tab w:val="left" w:pos="851"/>
        </w:tabs>
        <w:ind w:left="851"/>
        <w:rPr>
          <w:sz w:val="24"/>
          <w:szCs w:val="24"/>
        </w:rPr>
      </w:pPr>
      <w:r w:rsidRPr="007202B3">
        <w:rPr>
          <w:sz w:val="24"/>
          <w:szCs w:val="24"/>
        </w:rPr>
        <w:t>Mexiletin er et lokalbedøvende middel, antiarytmikum, der strukturelt svarer til lidocain. Mexiletin er effektivt til undertrykkelse af induceret ventrikulær arytmi. Mexiletin, som lidocain, hæmmer den indadgående natriumstrøm og reducerer derved hastigheden på stigningen i aktionspotentialet, fase 0. Mexiletin mindsker den effektive refraktære periode (ERP) i Purkinje-fibre. Faldet i ERP er mindre end faldet i APD (aktionspotentialets varighed), hvilket resulterer i en stigning i ERP/APD-forholdet.</w:t>
      </w:r>
    </w:p>
    <w:p w:rsidR="007202B3" w:rsidRPr="007202B3" w:rsidRDefault="007202B3" w:rsidP="007202B3">
      <w:pPr>
        <w:tabs>
          <w:tab w:val="left" w:pos="851"/>
        </w:tabs>
        <w:ind w:left="851"/>
        <w:rPr>
          <w:sz w:val="24"/>
          <w:szCs w:val="24"/>
        </w:rPr>
      </w:pPr>
    </w:p>
    <w:p w:rsidR="007202B3" w:rsidRPr="007202B3" w:rsidRDefault="007202B3" w:rsidP="007202B3">
      <w:pPr>
        <w:tabs>
          <w:tab w:val="left" w:pos="851"/>
        </w:tabs>
        <w:ind w:left="851"/>
        <w:rPr>
          <w:sz w:val="24"/>
          <w:szCs w:val="24"/>
          <w:u w:val="single"/>
        </w:rPr>
      </w:pPr>
      <w:r w:rsidRPr="007202B3">
        <w:rPr>
          <w:sz w:val="24"/>
          <w:szCs w:val="24"/>
          <w:u w:val="single"/>
        </w:rPr>
        <w:t>Farmakodynamisk virkning</w:t>
      </w:r>
    </w:p>
    <w:p w:rsidR="007202B3" w:rsidRPr="007202B3" w:rsidRDefault="007202B3" w:rsidP="007202B3">
      <w:pPr>
        <w:tabs>
          <w:tab w:val="left" w:pos="851"/>
        </w:tabs>
        <w:ind w:left="851"/>
        <w:rPr>
          <w:sz w:val="24"/>
          <w:szCs w:val="24"/>
        </w:rPr>
      </w:pPr>
      <w:r w:rsidRPr="007202B3">
        <w:rPr>
          <w:sz w:val="24"/>
          <w:szCs w:val="24"/>
        </w:rPr>
        <w:t>Mexiletin ændrer sædvanligvis ikke ledningshastigheden, selv om det kan bremse ledningen hos patienter med allerede eksisterende ledningsafvigelser. Hos patienter med allerede eksisterende syg sinus-syndrom frembringer mexiletin en mere udtalt nedsættelse af sinusraten og/eller forlængelse af sinusknudens restitutionstid. Det påvirker ikke i væsentlig grad hvilemembranpotentialet eller sinusknudeautomaticitet, funktion i venstre ventrikel, systolisk arterielt blodtryk, atrioventrikulær (AV) ledningshastighed, QRS eller QT-intervaller.</w:t>
      </w:r>
    </w:p>
    <w:p w:rsidR="007202B3" w:rsidRPr="007202B3" w:rsidRDefault="007202B3" w:rsidP="007202B3">
      <w:pPr>
        <w:tabs>
          <w:tab w:val="left" w:pos="851"/>
        </w:tabs>
        <w:ind w:left="851"/>
        <w:rPr>
          <w:sz w:val="24"/>
          <w:szCs w:val="24"/>
        </w:rPr>
      </w:pPr>
    </w:p>
    <w:p w:rsidR="007202B3" w:rsidRPr="007202B3" w:rsidRDefault="007202B3" w:rsidP="007202B3">
      <w:pPr>
        <w:tabs>
          <w:tab w:val="left" w:pos="851"/>
        </w:tabs>
        <w:ind w:left="851"/>
        <w:rPr>
          <w:sz w:val="24"/>
          <w:szCs w:val="24"/>
        </w:rPr>
      </w:pPr>
      <w:r w:rsidRPr="007202B3">
        <w:rPr>
          <w:sz w:val="24"/>
          <w:szCs w:val="24"/>
        </w:rPr>
        <w:t xml:space="preserve">Hæmodynamiske studier med oral mexiletin gennemført hos patienter med normal eller unormal myokardiefunktion har vist, at lægemidlet sædvanligvis kun indvirker i mindre </w:t>
      </w:r>
      <w:r w:rsidRPr="007202B3">
        <w:rPr>
          <w:sz w:val="24"/>
          <w:szCs w:val="24"/>
        </w:rPr>
        <w:lastRenderedPageBreak/>
        <w:t>grad på hjerteydelse, pulmonalt kapillært kiletryk, endediastolisk tryk i venstre ventrikel, pulmonalt diastolisk tryk, blodtryk eller hjertefrekvens.</w:t>
      </w:r>
    </w:p>
    <w:p w:rsidR="007202B3" w:rsidRPr="007202B3" w:rsidRDefault="007202B3" w:rsidP="007202B3">
      <w:pPr>
        <w:tabs>
          <w:tab w:val="left" w:pos="851"/>
        </w:tabs>
        <w:ind w:left="851"/>
        <w:rPr>
          <w:sz w:val="24"/>
          <w:szCs w:val="24"/>
        </w:rPr>
      </w:pPr>
    </w:p>
    <w:p w:rsidR="007202B3" w:rsidRPr="007202B3" w:rsidRDefault="007202B3" w:rsidP="007202B3">
      <w:pPr>
        <w:tabs>
          <w:tab w:val="left" w:pos="851"/>
        </w:tabs>
        <w:ind w:left="851"/>
        <w:rPr>
          <w:sz w:val="24"/>
          <w:szCs w:val="24"/>
          <w:u w:val="single"/>
        </w:rPr>
      </w:pPr>
      <w:r w:rsidRPr="007202B3">
        <w:rPr>
          <w:sz w:val="24"/>
          <w:szCs w:val="24"/>
          <w:u w:val="single"/>
        </w:rPr>
        <w:t>Klinisk virkning og sikkerhed</w:t>
      </w:r>
    </w:p>
    <w:p w:rsidR="007202B3" w:rsidRPr="007202B3" w:rsidRDefault="007202B3" w:rsidP="007202B3">
      <w:pPr>
        <w:tabs>
          <w:tab w:val="left" w:pos="851"/>
        </w:tabs>
        <w:ind w:left="851"/>
        <w:rPr>
          <w:sz w:val="24"/>
          <w:szCs w:val="24"/>
        </w:rPr>
      </w:pPr>
      <w:r w:rsidRPr="007202B3">
        <w:rPr>
          <w:sz w:val="24"/>
          <w:szCs w:val="24"/>
        </w:rPr>
        <w:t>Det er ikke påvist, at antiarytmika i klasse I forbedrer overlevelsen hos patienter med ventrikulær arytmi.</w:t>
      </w:r>
    </w:p>
    <w:p w:rsidR="007202B3" w:rsidRPr="007202B3" w:rsidRDefault="007202B3" w:rsidP="007202B3">
      <w:pPr>
        <w:tabs>
          <w:tab w:val="left" w:pos="851"/>
        </w:tabs>
        <w:ind w:left="851"/>
        <w:rPr>
          <w:sz w:val="24"/>
          <w:szCs w:val="24"/>
        </w:rPr>
      </w:pPr>
    </w:p>
    <w:p w:rsidR="007202B3" w:rsidRPr="007202B3" w:rsidRDefault="007202B3" w:rsidP="007202B3">
      <w:pPr>
        <w:tabs>
          <w:tab w:val="left" w:pos="851"/>
        </w:tabs>
        <w:ind w:left="851"/>
        <w:rPr>
          <w:sz w:val="24"/>
          <w:szCs w:val="24"/>
        </w:rPr>
      </w:pPr>
      <w:r w:rsidRPr="007202B3">
        <w:rPr>
          <w:sz w:val="24"/>
          <w:szCs w:val="24"/>
        </w:rPr>
        <w:t>Der er lejlighedsvist observeret nedsættelse af sinusraten, forlængelse af sinusknudens restitutionstid, nedsat ledningshastighed og øget effektiv refraktær periode i det intraventrikulære ledningssystem hos patienter med allerede eksisterende overledningsforstyrrelser.</w:t>
      </w:r>
    </w:p>
    <w:p w:rsidR="007202B3" w:rsidRPr="007202B3" w:rsidRDefault="007202B3" w:rsidP="007202B3">
      <w:pPr>
        <w:tabs>
          <w:tab w:val="left" w:pos="851"/>
        </w:tabs>
        <w:ind w:left="851"/>
        <w:rPr>
          <w:sz w:val="24"/>
          <w:szCs w:val="24"/>
        </w:rPr>
      </w:pPr>
    </w:p>
    <w:p w:rsidR="007202B3" w:rsidRPr="007202B3" w:rsidRDefault="007202B3" w:rsidP="007202B3">
      <w:pPr>
        <w:tabs>
          <w:tab w:val="left" w:pos="851"/>
        </w:tabs>
        <w:ind w:left="851"/>
        <w:rPr>
          <w:sz w:val="24"/>
          <w:szCs w:val="24"/>
        </w:rPr>
      </w:pPr>
      <w:r w:rsidRPr="007202B3">
        <w:rPr>
          <w:sz w:val="24"/>
          <w:szCs w:val="24"/>
        </w:rPr>
        <w:t xml:space="preserve">Mexiletins antiarytmiske effekt er fastlagt i kontrollerede sammenlignende studier. </w:t>
      </w:r>
    </w:p>
    <w:p w:rsidR="007202B3" w:rsidRPr="007202B3" w:rsidRDefault="007202B3" w:rsidP="007202B3">
      <w:pPr>
        <w:tabs>
          <w:tab w:val="left" w:pos="851"/>
        </w:tabs>
        <w:ind w:left="851"/>
        <w:rPr>
          <w:sz w:val="24"/>
          <w:szCs w:val="24"/>
        </w:rPr>
      </w:pPr>
      <w:r w:rsidRPr="007202B3">
        <w:rPr>
          <w:sz w:val="24"/>
          <w:szCs w:val="24"/>
        </w:rPr>
        <w:t xml:space="preserve">Randomiserede placebokontrollerede studier har evalueret forskellige doser mexiletin (formulering med øjeblikkelig frigivelse 200-400 mg q8h og depotformulering 360 mg q12h) med primære endepunkter, forekomst af hyppig eller kompleks hjertearytmi, forekomst af hyppig eller kompleks hjerteartymi eller dødsfald og forekomst af tre eller flere præmature ventrikulære komplekser (PVC). Behandling med mexiletin udløste en signifikant reduktion i ventrikulære præmature slag, parrede slag og tilfælde af ikke-vedvarende ventrikulær takykardi sammenlignet med placebo. Opfølgning efter 1, 4 og 12 måneder indikerede, at ca. 30 % af patienterne i studierne havde en 70 % eller større reduktion i PVC. 40 % af patienterne gennemførte ikke studierne på grund af bivirkninger. </w:t>
      </w:r>
    </w:p>
    <w:p w:rsidR="007202B3" w:rsidRPr="007202B3" w:rsidRDefault="007202B3" w:rsidP="007202B3">
      <w:pPr>
        <w:tabs>
          <w:tab w:val="left" w:pos="851"/>
        </w:tabs>
        <w:ind w:left="851"/>
        <w:rPr>
          <w:sz w:val="24"/>
          <w:szCs w:val="24"/>
        </w:rPr>
      </w:pPr>
    </w:p>
    <w:p w:rsidR="007202B3" w:rsidRPr="007202B3" w:rsidRDefault="007202B3" w:rsidP="007202B3">
      <w:pPr>
        <w:tabs>
          <w:tab w:val="left" w:pos="851"/>
        </w:tabs>
        <w:ind w:left="851"/>
        <w:rPr>
          <w:sz w:val="24"/>
          <w:szCs w:val="24"/>
        </w:rPr>
      </w:pPr>
      <w:r w:rsidRPr="007202B3">
        <w:rPr>
          <w:sz w:val="24"/>
          <w:szCs w:val="24"/>
        </w:rPr>
        <w:t>I randomiserede aktivt kontrollerede studier viste mexiletin lignende effekt ved sammenligning med kinidin, procainamid og disopyramid hos patienter med lægemiddelresistente ventrikulære arytmier. Elektrokardiografiske intervaller og Holter-registreringer blev monitoreret i 3-31 måneder. Patienter, der responderede på behandlingen med mexiletin viste undertrykkelse af ventrikulær ektopisk frekvens med mindst 55-70 % og undertrykkelse af VT med 72 %.</w:t>
      </w:r>
    </w:p>
    <w:p w:rsidR="007202B3" w:rsidRPr="007202B3" w:rsidRDefault="007202B3" w:rsidP="007202B3">
      <w:pPr>
        <w:tabs>
          <w:tab w:val="left" w:pos="851"/>
        </w:tabs>
        <w:ind w:left="851"/>
        <w:rPr>
          <w:sz w:val="24"/>
          <w:szCs w:val="24"/>
        </w:rPr>
      </w:pPr>
    </w:p>
    <w:p w:rsidR="007202B3" w:rsidRPr="007202B3" w:rsidRDefault="007202B3" w:rsidP="007202B3">
      <w:pPr>
        <w:tabs>
          <w:tab w:val="left" w:pos="851"/>
        </w:tabs>
        <w:ind w:left="851"/>
        <w:rPr>
          <w:bCs/>
          <w:iCs/>
          <w:sz w:val="24"/>
          <w:szCs w:val="24"/>
          <w:u w:val="single"/>
        </w:rPr>
      </w:pPr>
      <w:r w:rsidRPr="007202B3">
        <w:rPr>
          <w:bCs/>
          <w:iCs/>
          <w:sz w:val="24"/>
          <w:szCs w:val="24"/>
          <w:u w:val="single"/>
        </w:rPr>
        <w:t>Pædiatrisk population</w:t>
      </w:r>
    </w:p>
    <w:p w:rsidR="007202B3" w:rsidRPr="007202B3" w:rsidRDefault="007202B3" w:rsidP="007202B3">
      <w:pPr>
        <w:tabs>
          <w:tab w:val="left" w:pos="851"/>
        </w:tabs>
        <w:ind w:left="851"/>
        <w:rPr>
          <w:sz w:val="24"/>
          <w:szCs w:val="24"/>
        </w:rPr>
      </w:pPr>
      <w:r w:rsidRPr="007202B3">
        <w:rPr>
          <w:sz w:val="24"/>
          <w:szCs w:val="24"/>
        </w:rPr>
        <w:t>Dopital hårde kapslers sikkerhed og virkning hos børn og unge i alderen 0-18 år er endnu ikke klarlagt.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7202B3" w:rsidRPr="007202B3" w:rsidRDefault="007202B3" w:rsidP="007202B3">
      <w:pPr>
        <w:tabs>
          <w:tab w:val="left" w:pos="851"/>
        </w:tabs>
        <w:ind w:left="851"/>
        <w:rPr>
          <w:sz w:val="24"/>
          <w:szCs w:val="24"/>
        </w:rPr>
      </w:pPr>
    </w:p>
    <w:p w:rsidR="007202B3" w:rsidRPr="007202B3" w:rsidRDefault="007202B3" w:rsidP="007202B3">
      <w:pPr>
        <w:tabs>
          <w:tab w:val="left" w:pos="851"/>
        </w:tabs>
        <w:ind w:left="851"/>
        <w:rPr>
          <w:iCs/>
          <w:sz w:val="24"/>
          <w:szCs w:val="24"/>
          <w:u w:val="single"/>
        </w:rPr>
      </w:pPr>
      <w:r w:rsidRPr="007202B3">
        <w:rPr>
          <w:iCs/>
          <w:sz w:val="24"/>
          <w:szCs w:val="24"/>
          <w:u w:val="single"/>
        </w:rPr>
        <w:t>Absorption</w:t>
      </w:r>
    </w:p>
    <w:p w:rsidR="007202B3" w:rsidRPr="007202B3" w:rsidRDefault="007202B3" w:rsidP="007202B3">
      <w:pPr>
        <w:tabs>
          <w:tab w:val="left" w:pos="851"/>
        </w:tabs>
        <w:ind w:left="851"/>
        <w:rPr>
          <w:iCs/>
          <w:sz w:val="24"/>
          <w:szCs w:val="24"/>
        </w:rPr>
      </w:pPr>
      <w:r w:rsidRPr="007202B3">
        <w:rPr>
          <w:sz w:val="24"/>
          <w:szCs w:val="24"/>
        </w:rPr>
        <w:t>Mexiletin absorberes nemt fra mave-tarm-kanalen. Maksimale plasmakoncentrationer opnås inden for 2-4 timer efter oral administration. Den systemiske biotilgængelighed for mexiletin er omkring 90 %.</w:t>
      </w:r>
    </w:p>
    <w:p w:rsidR="007202B3" w:rsidRPr="007202B3" w:rsidRDefault="007202B3" w:rsidP="007202B3">
      <w:pPr>
        <w:tabs>
          <w:tab w:val="left" w:pos="851"/>
        </w:tabs>
        <w:ind w:left="851"/>
        <w:rPr>
          <w:iCs/>
          <w:sz w:val="24"/>
          <w:szCs w:val="24"/>
        </w:rPr>
      </w:pPr>
    </w:p>
    <w:p w:rsidR="007202B3" w:rsidRPr="007202B3" w:rsidRDefault="007202B3" w:rsidP="007202B3">
      <w:pPr>
        <w:tabs>
          <w:tab w:val="left" w:pos="851"/>
        </w:tabs>
        <w:ind w:left="851"/>
        <w:rPr>
          <w:iCs/>
          <w:sz w:val="24"/>
          <w:szCs w:val="24"/>
        </w:rPr>
      </w:pPr>
      <w:r w:rsidRPr="007202B3">
        <w:rPr>
          <w:sz w:val="24"/>
          <w:szCs w:val="24"/>
        </w:rPr>
        <w:t>Det terapeutiske område er ca. 0,5 til 2,0 μg/ml.</w:t>
      </w:r>
    </w:p>
    <w:p w:rsidR="007202B3" w:rsidRPr="007202B3" w:rsidRDefault="007202B3" w:rsidP="007202B3">
      <w:pPr>
        <w:tabs>
          <w:tab w:val="left" w:pos="851"/>
        </w:tabs>
        <w:ind w:left="851"/>
        <w:rPr>
          <w:iCs/>
          <w:sz w:val="24"/>
          <w:szCs w:val="24"/>
        </w:rPr>
      </w:pPr>
    </w:p>
    <w:p w:rsidR="007202B3" w:rsidRPr="007202B3" w:rsidRDefault="007202B3" w:rsidP="007202B3">
      <w:pPr>
        <w:tabs>
          <w:tab w:val="left" w:pos="851"/>
        </w:tabs>
        <w:ind w:left="851"/>
        <w:rPr>
          <w:iCs/>
          <w:sz w:val="24"/>
          <w:szCs w:val="24"/>
        </w:rPr>
      </w:pPr>
      <w:r w:rsidRPr="007202B3">
        <w:rPr>
          <w:sz w:val="24"/>
          <w:szCs w:val="24"/>
        </w:rPr>
        <w:t>Farmakokinetikken for mexiletin er ikke påvirket af næringsoptagelse, men det tilrådes at tage mexiletin efter mad for at reducere forekomsten af gastrointestinale bivirkninger.</w:t>
      </w:r>
    </w:p>
    <w:p w:rsidR="007202B3" w:rsidRPr="007202B3" w:rsidRDefault="007202B3" w:rsidP="007202B3">
      <w:pPr>
        <w:tabs>
          <w:tab w:val="left" w:pos="851"/>
        </w:tabs>
        <w:ind w:left="851"/>
        <w:rPr>
          <w:iCs/>
          <w:sz w:val="24"/>
          <w:szCs w:val="24"/>
        </w:rPr>
      </w:pPr>
    </w:p>
    <w:p w:rsidR="007202B3" w:rsidRPr="007202B3" w:rsidRDefault="007202B3" w:rsidP="007202B3">
      <w:pPr>
        <w:tabs>
          <w:tab w:val="left" w:pos="851"/>
        </w:tabs>
        <w:ind w:left="851"/>
        <w:rPr>
          <w:iCs/>
          <w:sz w:val="24"/>
          <w:szCs w:val="24"/>
          <w:u w:val="single"/>
        </w:rPr>
      </w:pPr>
      <w:r w:rsidRPr="007202B3">
        <w:rPr>
          <w:iCs/>
          <w:sz w:val="24"/>
          <w:szCs w:val="24"/>
          <w:u w:val="single"/>
        </w:rPr>
        <w:t>Fordeling</w:t>
      </w:r>
    </w:p>
    <w:p w:rsidR="007202B3" w:rsidRPr="007202B3" w:rsidRDefault="007202B3" w:rsidP="007202B3">
      <w:pPr>
        <w:tabs>
          <w:tab w:val="left" w:pos="851"/>
        </w:tabs>
        <w:ind w:left="851"/>
        <w:rPr>
          <w:iCs/>
          <w:sz w:val="24"/>
          <w:szCs w:val="24"/>
        </w:rPr>
      </w:pPr>
      <w:r w:rsidRPr="007202B3">
        <w:rPr>
          <w:sz w:val="24"/>
          <w:szCs w:val="24"/>
        </w:rPr>
        <w:t>Det tilsyneladende fordelingsvolumen er stort (5 til 10 l/kg), hvilket afspejler den omfattende fordeling af lægemidlet i væv.</w:t>
      </w:r>
    </w:p>
    <w:p w:rsidR="007202B3" w:rsidRPr="007202B3" w:rsidRDefault="007202B3" w:rsidP="007202B3">
      <w:pPr>
        <w:tabs>
          <w:tab w:val="left" w:pos="851"/>
        </w:tabs>
        <w:ind w:left="851"/>
        <w:rPr>
          <w:iCs/>
          <w:sz w:val="24"/>
          <w:szCs w:val="24"/>
        </w:rPr>
      </w:pPr>
    </w:p>
    <w:p w:rsidR="007202B3" w:rsidRPr="007202B3" w:rsidRDefault="007202B3" w:rsidP="007202B3">
      <w:pPr>
        <w:tabs>
          <w:tab w:val="left" w:pos="851"/>
        </w:tabs>
        <w:ind w:left="851"/>
        <w:rPr>
          <w:iCs/>
          <w:sz w:val="24"/>
          <w:szCs w:val="24"/>
        </w:rPr>
      </w:pPr>
      <w:r w:rsidRPr="007202B3">
        <w:rPr>
          <w:sz w:val="24"/>
          <w:szCs w:val="24"/>
        </w:rPr>
        <w:t>Proteinbinding er estimeret til omkring 55-70 %.</w:t>
      </w:r>
    </w:p>
    <w:p w:rsidR="007202B3" w:rsidRPr="007202B3" w:rsidRDefault="007202B3" w:rsidP="007202B3">
      <w:pPr>
        <w:tabs>
          <w:tab w:val="left" w:pos="851"/>
        </w:tabs>
        <w:ind w:left="851"/>
        <w:rPr>
          <w:iCs/>
          <w:sz w:val="24"/>
          <w:szCs w:val="24"/>
        </w:rPr>
      </w:pPr>
    </w:p>
    <w:p w:rsidR="007202B3" w:rsidRPr="007202B3" w:rsidRDefault="007202B3" w:rsidP="007202B3">
      <w:pPr>
        <w:tabs>
          <w:tab w:val="left" w:pos="851"/>
        </w:tabs>
        <w:ind w:left="851"/>
        <w:rPr>
          <w:iCs/>
          <w:sz w:val="24"/>
          <w:szCs w:val="24"/>
        </w:rPr>
      </w:pPr>
      <w:r w:rsidRPr="007202B3">
        <w:rPr>
          <w:sz w:val="24"/>
          <w:szCs w:val="24"/>
        </w:rPr>
        <w:t>Mexiletin passerer moderkagebarrieren og diffunderer til modermælk.</w:t>
      </w:r>
    </w:p>
    <w:p w:rsidR="007202B3" w:rsidRPr="007202B3" w:rsidRDefault="007202B3" w:rsidP="007202B3">
      <w:pPr>
        <w:tabs>
          <w:tab w:val="left" w:pos="851"/>
        </w:tabs>
        <w:ind w:left="851"/>
        <w:rPr>
          <w:iCs/>
          <w:sz w:val="24"/>
          <w:szCs w:val="24"/>
        </w:rPr>
      </w:pPr>
    </w:p>
    <w:p w:rsidR="007202B3" w:rsidRPr="007202B3" w:rsidRDefault="007202B3" w:rsidP="007202B3">
      <w:pPr>
        <w:tabs>
          <w:tab w:val="left" w:pos="851"/>
        </w:tabs>
        <w:ind w:left="851"/>
        <w:rPr>
          <w:iCs/>
          <w:sz w:val="24"/>
          <w:szCs w:val="24"/>
          <w:u w:val="single"/>
        </w:rPr>
      </w:pPr>
      <w:r w:rsidRPr="007202B3">
        <w:rPr>
          <w:iCs/>
          <w:sz w:val="24"/>
          <w:szCs w:val="24"/>
          <w:u w:val="single"/>
        </w:rPr>
        <w:t>Biotransformation</w:t>
      </w:r>
    </w:p>
    <w:p w:rsidR="007202B3" w:rsidRPr="007202B3" w:rsidRDefault="007202B3" w:rsidP="007202B3">
      <w:pPr>
        <w:tabs>
          <w:tab w:val="left" w:pos="851"/>
        </w:tabs>
        <w:ind w:left="851"/>
        <w:rPr>
          <w:iCs/>
          <w:sz w:val="24"/>
          <w:szCs w:val="24"/>
        </w:rPr>
      </w:pPr>
      <w:r w:rsidRPr="007202B3">
        <w:rPr>
          <w:sz w:val="24"/>
          <w:szCs w:val="24"/>
        </w:rPr>
        <w:t>Mexiletin metaboliseres hovedsageligt (90 %) i leveren af CYP2D6-enzymer og er også et substrat af CYP1A2. Metaboliseringsvejene omfatter aromatisk og alifatisk hydroxylering, dealkylering, deaminering og N-oxidation. Mexiletinmetabolitter sendes til videre konjugering med glucuronsyre (fase II-metabolisme) med hovedmetabolitterne p-hydroxymexiletin, hydroxy-methylmexiletin og N-hydroxymexiletin. Den terapeutiske aktivitet skyldes moderstoffet.</w:t>
      </w:r>
    </w:p>
    <w:p w:rsidR="007202B3" w:rsidRPr="007202B3" w:rsidRDefault="007202B3" w:rsidP="007202B3">
      <w:pPr>
        <w:tabs>
          <w:tab w:val="left" w:pos="851"/>
        </w:tabs>
        <w:ind w:left="851"/>
        <w:rPr>
          <w:iCs/>
          <w:sz w:val="24"/>
          <w:szCs w:val="24"/>
        </w:rPr>
      </w:pPr>
    </w:p>
    <w:p w:rsidR="007202B3" w:rsidRPr="007202B3" w:rsidRDefault="007202B3" w:rsidP="007202B3">
      <w:pPr>
        <w:tabs>
          <w:tab w:val="left" w:pos="851"/>
        </w:tabs>
        <w:ind w:left="851"/>
        <w:rPr>
          <w:iCs/>
          <w:sz w:val="24"/>
          <w:szCs w:val="24"/>
        </w:rPr>
      </w:pPr>
      <w:r w:rsidRPr="007202B3">
        <w:rPr>
          <w:sz w:val="24"/>
          <w:szCs w:val="24"/>
        </w:rPr>
        <w:t>Mexiletins farmakokinetik er karakteriseret ved signifikant lavere samlet og renal clearance, hvilket fører til forlænget eliminationshalveringstid, højere eksponering og lavere fordelingsvolumen i dårlige CYP2D6-metabolisatorer sammenlignet med omfattende metabolisatorer.</w:t>
      </w:r>
    </w:p>
    <w:p w:rsidR="007202B3" w:rsidRPr="007202B3" w:rsidRDefault="007202B3" w:rsidP="007202B3">
      <w:pPr>
        <w:tabs>
          <w:tab w:val="left" w:pos="851"/>
        </w:tabs>
        <w:ind w:left="851"/>
        <w:rPr>
          <w:iCs/>
          <w:sz w:val="24"/>
          <w:szCs w:val="24"/>
        </w:rPr>
      </w:pPr>
    </w:p>
    <w:p w:rsidR="007202B3" w:rsidRPr="007202B3" w:rsidRDefault="007202B3" w:rsidP="007202B3">
      <w:pPr>
        <w:tabs>
          <w:tab w:val="left" w:pos="851"/>
        </w:tabs>
        <w:ind w:left="851"/>
        <w:rPr>
          <w:iCs/>
          <w:sz w:val="24"/>
          <w:szCs w:val="24"/>
          <w:u w:val="single"/>
        </w:rPr>
      </w:pPr>
      <w:r w:rsidRPr="007202B3">
        <w:rPr>
          <w:iCs/>
          <w:sz w:val="24"/>
          <w:szCs w:val="24"/>
          <w:u w:val="single"/>
        </w:rPr>
        <w:t>Elimination</w:t>
      </w:r>
    </w:p>
    <w:p w:rsidR="007202B3" w:rsidRPr="007202B3" w:rsidRDefault="007202B3" w:rsidP="007202B3">
      <w:pPr>
        <w:tabs>
          <w:tab w:val="left" w:pos="851"/>
        </w:tabs>
        <w:ind w:left="851"/>
        <w:rPr>
          <w:iCs/>
          <w:sz w:val="24"/>
          <w:szCs w:val="24"/>
        </w:rPr>
      </w:pPr>
      <w:r w:rsidRPr="007202B3">
        <w:rPr>
          <w:sz w:val="24"/>
          <w:szCs w:val="24"/>
        </w:rPr>
        <w:t>Eliminationshalveringstiden er 5-15 timer. Udskillelsen af mexiletin sker hovedsageligt som metabolitter gennem nyren (90 % af dosis, herunder 10 % som uændret mexiletin).</w:t>
      </w:r>
    </w:p>
    <w:p w:rsidR="007202B3" w:rsidRPr="007202B3" w:rsidRDefault="007202B3" w:rsidP="007202B3">
      <w:pPr>
        <w:tabs>
          <w:tab w:val="left" w:pos="851"/>
        </w:tabs>
        <w:ind w:left="851"/>
        <w:rPr>
          <w:iCs/>
          <w:sz w:val="24"/>
          <w:szCs w:val="24"/>
        </w:rPr>
      </w:pPr>
    </w:p>
    <w:p w:rsidR="007202B3" w:rsidRPr="007202B3" w:rsidRDefault="007202B3" w:rsidP="007202B3">
      <w:pPr>
        <w:tabs>
          <w:tab w:val="left" w:pos="851"/>
        </w:tabs>
        <w:ind w:left="851"/>
        <w:rPr>
          <w:iCs/>
          <w:sz w:val="24"/>
          <w:szCs w:val="24"/>
        </w:rPr>
      </w:pPr>
      <w:r w:rsidRPr="007202B3">
        <w:rPr>
          <w:sz w:val="24"/>
          <w:szCs w:val="24"/>
        </w:rPr>
        <w:t>Renal clearance varierer med pH i urinen, men har sandsynligvis ikke klinisk signifikans.</w:t>
      </w:r>
    </w:p>
    <w:p w:rsidR="007202B3" w:rsidRPr="007202B3" w:rsidRDefault="007202B3" w:rsidP="007202B3">
      <w:pPr>
        <w:tabs>
          <w:tab w:val="left" w:pos="851"/>
        </w:tabs>
        <w:ind w:left="851"/>
        <w:rPr>
          <w:iCs/>
          <w:sz w:val="24"/>
          <w:szCs w:val="24"/>
        </w:rPr>
      </w:pPr>
    </w:p>
    <w:p w:rsidR="007202B3" w:rsidRPr="007202B3" w:rsidRDefault="007202B3" w:rsidP="007202B3">
      <w:pPr>
        <w:tabs>
          <w:tab w:val="left" w:pos="851"/>
        </w:tabs>
        <w:ind w:left="851"/>
        <w:rPr>
          <w:iCs/>
          <w:sz w:val="24"/>
          <w:szCs w:val="24"/>
          <w:u w:val="single"/>
        </w:rPr>
      </w:pPr>
      <w:r w:rsidRPr="007202B3">
        <w:rPr>
          <w:iCs/>
          <w:sz w:val="24"/>
          <w:szCs w:val="24"/>
          <w:u w:val="single"/>
        </w:rPr>
        <w:t>Linearitet/non-linearitet</w:t>
      </w:r>
    </w:p>
    <w:p w:rsidR="007202B3" w:rsidRPr="007202B3" w:rsidRDefault="007202B3" w:rsidP="007202B3">
      <w:pPr>
        <w:tabs>
          <w:tab w:val="left" w:pos="851"/>
        </w:tabs>
        <w:ind w:left="851"/>
        <w:rPr>
          <w:iCs/>
          <w:sz w:val="24"/>
          <w:szCs w:val="24"/>
        </w:rPr>
      </w:pPr>
      <w:r w:rsidRPr="007202B3">
        <w:rPr>
          <w:sz w:val="24"/>
          <w:szCs w:val="24"/>
        </w:rPr>
        <w:t>Der er observeret et lineært forhold mellem mexiletindosis og plasmakoncentration i doseringsområdet 50-600 mg.</w:t>
      </w:r>
    </w:p>
    <w:p w:rsidR="007202B3" w:rsidRPr="007202B3" w:rsidRDefault="007202B3" w:rsidP="007202B3">
      <w:pPr>
        <w:tabs>
          <w:tab w:val="left" w:pos="851"/>
        </w:tabs>
        <w:ind w:left="851"/>
        <w:rPr>
          <w:iCs/>
          <w:sz w:val="24"/>
          <w:szCs w:val="24"/>
        </w:rPr>
      </w:pPr>
    </w:p>
    <w:p w:rsidR="007202B3" w:rsidRPr="007202B3" w:rsidRDefault="007202B3" w:rsidP="007202B3">
      <w:pPr>
        <w:tabs>
          <w:tab w:val="left" w:pos="851"/>
        </w:tabs>
        <w:ind w:left="851"/>
        <w:rPr>
          <w:iCs/>
          <w:sz w:val="24"/>
          <w:szCs w:val="24"/>
          <w:u w:val="single"/>
        </w:rPr>
      </w:pPr>
      <w:r w:rsidRPr="007202B3">
        <w:rPr>
          <w:iCs/>
          <w:sz w:val="24"/>
          <w:szCs w:val="24"/>
          <w:u w:val="single"/>
        </w:rPr>
        <w:t>Særlige populationer</w:t>
      </w:r>
    </w:p>
    <w:p w:rsidR="007202B3" w:rsidRPr="007202B3" w:rsidRDefault="007202B3" w:rsidP="007202B3">
      <w:pPr>
        <w:tabs>
          <w:tab w:val="left" w:pos="851"/>
        </w:tabs>
        <w:ind w:left="851"/>
        <w:rPr>
          <w:iCs/>
          <w:sz w:val="24"/>
          <w:szCs w:val="24"/>
        </w:rPr>
      </w:pPr>
      <w:r w:rsidRPr="007202B3">
        <w:rPr>
          <w:sz w:val="24"/>
          <w:szCs w:val="24"/>
        </w:rPr>
        <w:t>Nedsat leverfunktion forlænger mexiletins eliminationshalveringstid. Hos otte patienter med moderat til svær leversygdom var den gennemsnitlige halveringstid ca. 25 timer.</w:t>
      </w:r>
    </w:p>
    <w:p w:rsidR="007202B3" w:rsidRPr="007202B3" w:rsidRDefault="007202B3" w:rsidP="007202B3">
      <w:pPr>
        <w:tabs>
          <w:tab w:val="left" w:pos="851"/>
        </w:tabs>
        <w:ind w:left="851"/>
        <w:rPr>
          <w:iCs/>
          <w:sz w:val="24"/>
          <w:szCs w:val="24"/>
        </w:rPr>
      </w:pPr>
    </w:p>
    <w:p w:rsidR="007202B3" w:rsidRPr="007202B3" w:rsidRDefault="007202B3" w:rsidP="007202B3">
      <w:pPr>
        <w:tabs>
          <w:tab w:val="left" w:pos="851"/>
        </w:tabs>
        <w:ind w:left="851"/>
        <w:rPr>
          <w:iCs/>
          <w:sz w:val="24"/>
          <w:szCs w:val="24"/>
        </w:rPr>
      </w:pPr>
      <w:r w:rsidRPr="007202B3">
        <w:rPr>
          <w:sz w:val="24"/>
          <w:szCs w:val="24"/>
        </w:rPr>
        <w:t>Der er i overensstemmelse med den begrænsede renale elimination af mexiletin, kun observeret en lille ændring i halveringstiden hos patienter med nedsat nyrefunktion. Hos otte patienter med kreatininclearance på mindre end 10 ml/min, var den gennemsnitlige eliminationshalveringstid i plasma 15,7 timer, hos syv patienter med kreatininclearance mellem 11-40 ml/min var den gennemsnitlige halveringstid 13,4 timer.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0143B8" w:rsidRPr="000143B8" w:rsidRDefault="000143B8" w:rsidP="000143B8">
      <w:pPr>
        <w:tabs>
          <w:tab w:val="left" w:pos="851"/>
        </w:tabs>
        <w:ind w:left="851"/>
        <w:rPr>
          <w:sz w:val="24"/>
          <w:szCs w:val="24"/>
        </w:rPr>
      </w:pPr>
      <w:r w:rsidRPr="000143B8">
        <w:rPr>
          <w:sz w:val="24"/>
          <w:szCs w:val="24"/>
        </w:rPr>
        <w:t xml:space="preserve">Non-kliniske data viser ingen special risiko for mennesker vurderet ud fra konventionelle studier af sikkerhedsfarmakologi, toksicitet ved gentagen dosis, reproduktions- og udviklingstoksicitet. De primært observerede effekter hos rotter og/eller hunde var opkastning, diarré, tremor, ataksi, kramper og takykardi, men disse effekter er af uklar klinisk relevans. </w:t>
      </w:r>
    </w:p>
    <w:p w:rsidR="000143B8" w:rsidRPr="000143B8" w:rsidRDefault="000143B8" w:rsidP="000143B8">
      <w:pPr>
        <w:tabs>
          <w:tab w:val="left" w:pos="851"/>
        </w:tabs>
        <w:ind w:left="851"/>
        <w:rPr>
          <w:sz w:val="24"/>
          <w:szCs w:val="24"/>
        </w:rPr>
      </w:pPr>
    </w:p>
    <w:p w:rsidR="000143B8" w:rsidRPr="000143B8" w:rsidRDefault="000143B8" w:rsidP="000143B8">
      <w:pPr>
        <w:tabs>
          <w:tab w:val="left" w:pos="851"/>
        </w:tabs>
        <w:ind w:left="851"/>
        <w:rPr>
          <w:sz w:val="24"/>
          <w:szCs w:val="24"/>
        </w:rPr>
      </w:pPr>
      <w:r w:rsidRPr="000143B8">
        <w:rPr>
          <w:sz w:val="24"/>
          <w:szCs w:val="24"/>
        </w:rPr>
        <w:t>Tidligere studier hos rotter om karcinogent potentiale viste negative resultater, men det resultat er af uklar klinisk relevans, da der ikke foreligger data fra studier, der er gennemført i overensstemmelse med gældende standarder.</w:t>
      </w:r>
    </w:p>
    <w:p w:rsidR="000143B8" w:rsidRPr="000143B8" w:rsidRDefault="000143B8" w:rsidP="000143B8">
      <w:pPr>
        <w:tabs>
          <w:tab w:val="left" w:pos="851"/>
        </w:tabs>
        <w:ind w:left="851"/>
        <w:rPr>
          <w:sz w:val="24"/>
          <w:szCs w:val="24"/>
        </w:rPr>
      </w:pPr>
    </w:p>
    <w:p w:rsidR="000143B8" w:rsidRPr="000143B8" w:rsidRDefault="000143B8" w:rsidP="000143B8">
      <w:pPr>
        <w:tabs>
          <w:tab w:val="left" w:pos="851"/>
        </w:tabs>
        <w:ind w:left="851"/>
        <w:rPr>
          <w:sz w:val="24"/>
          <w:szCs w:val="24"/>
        </w:rPr>
      </w:pPr>
      <w:r w:rsidRPr="000143B8">
        <w:rPr>
          <w:sz w:val="24"/>
          <w:szCs w:val="24"/>
        </w:rPr>
        <w:t>Det negative genotoksicitetspotentiale indikerer ikke øget karcinogen risiko ved behandling med mexiletin.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DE7CF6" w:rsidRDefault="00DE7CF6" w:rsidP="00DE7CF6">
      <w:pPr>
        <w:tabs>
          <w:tab w:val="left" w:pos="851"/>
        </w:tabs>
        <w:ind w:left="851"/>
        <w:rPr>
          <w:sz w:val="24"/>
          <w:szCs w:val="24"/>
        </w:rPr>
      </w:pPr>
    </w:p>
    <w:p w:rsidR="00DE7CF6" w:rsidRDefault="009B7AE0" w:rsidP="00DE7CF6">
      <w:pPr>
        <w:tabs>
          <w:tab w:val="left" w:pos="851"/>
        </w:tabs>
        <w:ind w:left="851"/>
        <w:rPr>
          <w:sz w:val="24"/>
          <w:szCs w:val="24"/>
          <w:u w:val="single"/>
        </w:rPr>
      </w:pPr>
      <w:r>
        <w:rPr>
          <w:sz w:val="24"/>
          <w:szCs w:val="24"/>
          <w:u w:val="single"/>
        </w:rPr>
        <w:t>Kapselindhold</w:t>
      </w:r>
    </w:p>
    <w:p w:rsidR="009B7AE0" w:rsidRPr="00DE7CF6" w:rsidRDefault="009B7AE0" w:rsidP="009B7AE0">
      <w:pPr>
        <w:tabs>
          <w:tab w:val="left" w:pos="851"/>
        </w:tabs>
        <w:ind w:left="851"/>
        <w:rPr>
          <w:sz w:val="24"/>
          <w:szCs w:val="24"/>
        </w:rPr>
      </w:pPr>
      <w:r w:rsidRPr="00DE7CF6">
        <w:rPr>
          <w:sz w:val="24"/>
          <w:szCs w:val="24"/>
        </w:rPr>
        <w:t>Majsstivelse</w:t>
      </w:r>
    </w:p>
    <w:p w:rsidR="009B7AE0" w:rsidRPr="00DE7CF6" w:rsidRDefault="009B7AE0" w:rsidP="009B7AE0">
      <w:pPr>
        <w:tabs>
          <w:tab w:val="left" w:pos="851"/>
        </w:tabs>
        <w:ind w:left="851"/>
        <w:rPr>
          <w:sz w:val="24"/>
          <w:szCs w:val="24"/>
        </w:rPr>
      </w:pPr>
      <w:r w:rsidRPr="00DE7CF6">
        <w:rPr>
          <w:sz w:val="24"/>
          <w:szCs w:val="24"/>
        </w:rPr>
        <w:t>Silica, kolloid vandfri (E551)</w:t>
      </w:r>
    </w:p>
    <w:p w:rsidR="009B7AE0" w:rsidRPr="00DE7CF6" w:rsidRDefault="009B7AE0" w:rsidP="009B7AE0">
      <w:pPr>
        <w:tabs>
          <w:tab w:val="left" w:pos="851"/>
        </w:tabs>
        <w:ind w:left="851"/>
        <w:rPr>
          <w:sz w:val="24"/>
          <w:szCs w:val="24"/>
        </w:rPr>
      </w:pPr>
      <w:r w:rsidRPr="00DE7CF6">
        <w:rPr>
          <w:sz w:val="24"/>
          <w:szCs w:val="24"/>
        </w:rPr>
        <w:t>Magnesiumstearat (E572)</w:t>
      </w:r>
    </w:p>
    <w:p w:rsidR="009B7AE0" w:rsidRPr="009B7AE0" w:rsidRDefault="009B7AE0" w:rsidP="00DE7CF6">
      <w:pPr>
        <w:tabs>
          <w:tab w:val="left" w:pos="851"/>
        </w:tabs>
        <w:ind w:left="851"/>
        <w:rPr>
          <w:sz w:val="24"/>
          <w:szCs w:val="24"/>
        </w:rPr>
      </w:pPr>
    </w:p>
    <w:p w:rsidR="009B7AE0" w:rsidRDefault="009B7AE0" w:rsidP="00DE7CF6">
      <w:pPr>
        <w:tabs>
          <w:tab w:val="left" w:pos="851"/>
        </w:tabs>
        <w:ind w:left="851"/>
        <w:rPr>
          <w:sz w:val="24"/>
          <w:szCs w:val="24"/>
        </w:rPr>
      </w:pPr>
      <w:r>
        <w:rPr>
          <w:sz w:val="24"/>
          <w:szCs w:val="24"/>
          <w:u w:val="single"/>
        </w:rPr>
        <w:t>Kapselskal</w:t>
      </w:r>
    </w:p>
    <w:p w:rsidR="00DE7CF6" w:rsidRPr="00DE7CF6" w:rsidRDefault="00DE7CF6" w:rsidP="00DE7CF6">
      <w:pPr>
        <w:tabs>
          <w:tab w:val="left" w:pos="851"/>
        </w:tabs>
        <w:ind w:left="851"/>
        <w:rPr>
          <w:sz w:val="24"/>
          <w:szCs w:val="24"/>
        </w:rPr>
      </w:pPr>
      <w:r w:rsidRPr="00DE7CF6">
        <w:rPr>
          <w:sz w:val="24"/>
          <w:szCs w:val="24"/>
        </w:rPr>
        <w:t>Titaniumdioxid (E171)</w:t>
      </w:r>
    </w:p>
    <w:p w:rsidR="00DE7CF6" w:rsidRPr="00DE7CF6" w:rsidRDefault="00DE7CF6" w:rsidP="00DE7CF6">
      <w:pPr>
        <w:tabs>
          <w:tab w:val="left" w:pos="851"/>
        </w:tabs>
        <w:ind w:left="851"/>
        <w:rPr>
          <w:sz w:val="24"/>
          <w:szCs w:val="24"/>
        </w:rPr>
      </w:pPr>
      <w:r w:rsidRPr="00DE7CF6">
        <w:rPr>
          <w:sz w:val="24"/>
          <w:szCs w:val="24"/>
        </w:rPr>
        <w:t>Gelatine (E441)</w:t>
      </w:r>
    </w:p>
    <w:p w:rsidR="00F0125C" w:rsidRDefault="00F0125C" w:rsidP="00F0125C">
      <w:pPr>
        <w:tabs>
          <w:tab w:val="left" w:pos="851"/>
        </w:tabs>
        <w:ind w:left="851"/>
        <w:rPr>
          <w:sz w:val="24"/>
          <w:szCs w:val="24"/>
        </w:rPr>
      </w:pPr>
      <w:r w:rsidRPr="00DE7CF6">
        <w:rPr>
          <w:sz w:val="24"/>
          <w:szCs w:val="24"/>
        </w:rPr>
        <w:t>Indigotin (E132)</w:t>
      </w:r>
      <w:r>
        <w:rPr>
          <w:sz w:val="24"/>
          <w:szCs w:val="24"/>
        </w:rPr>
        <w:t xml:space="preserve"> (kun 100 og 200 mg)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F0125C"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F0125C">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9128D" w:rsidRPr="0059128D" w:rsidRDefault="0059128D" w:rsidP="0059128D">
      <w:pPr>
        <w:tabs>
          <w:tab w:val="left" w:pos="851"/>
        </w:tabs>
        <w:ind w:left="851"/>
        <w:rPr>
          <w:sz w:val="24"/>
          <w:szCs w:val="24"/>
        </w:rPr>
      </w:pPr>
      <w:r w:rsidRPr="0059128D">
        <w:rPr>
          <w:sz w:val="24"/>
          <w:szCs w:val="24"/>
        </w:rPr>
        <w:t>Opbevares ved temperaturer under 30 °C.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59128D" w:rsidRPr="0059128D" w:rsidRDefault="0059128D" w:rsidP="0059128D">
      <w:pPr>
        <w:tabs>
          <w:tab w:val="left" w:pos="851"/>
        </w:tabs>
        <w:ind w:left="851"/>
        <w:rPr>
          <w:sz w:val="24"/>
          <w:szCs w:val="24"/>
        </w:rPr>
      </w:pPr>
      <w:r w:rsidRPr="0059128D">
        <w:rPr>
          <w:sz w:val="24"/>
          <w:szCs w:val="24"/>
        </w:rPr>
        <w:t>PVC/PVDC/aluminiumblister</w:t>
      </w:r>
    </w:p>
    <w:p w:rsidR="0059128D" w:rsidRPr="0059128D" w:rsidRDefault="0059128D" w:rsidP="0059128D">
      <w:pPr>
        <w:tabs>
          <w:tab w:val="left" w:pos="851"/>
        </w:tabs>
        <w:ind w:left="851"/>
        <w:rPr>
          <w:sz w:val="24"/>
          <w:szCs w:val="24"/>
        </w:rPr>
      </w:pPr>
    </w:p>
    <w:p w:rsidR="0059128D" w:rsidRDefault="0059128D" w:rsidP="0059128D">
      <w:pPr>
        <w:tabs>
          <w:tab w:val="left" w:pos="851"/>
        </w:tabs>
        <w:ind w:left="851"/>
        <w:rPr>
          <w:sz w:val="24"/>
          <w:szCs w:val="24"/>
        </w:rPr>
      </w:pPr>
      <w:r w:rsidRPr="0059128D">
        <w:rPr>
          <w:sz w:val="24"/>
          <w:szCs w:val="24"/>
        </w:rPr>
        <w:t>Pakningsstørrelse</w:t>
      </w:r>
      <w:r>
        <w:rPr>
          <w:sz w:val="24"/>
          <w:szCs w:val="24"/>
        </w:rPr>
        <w:t>r</w:t>
      </w:r>
      <w:r w:rsidRPr="0059128D">
        <w:rPr>
          <w:sz w:val="24"/>
          <w:szCs w:val="24"/>
        </w:rPr>
        <w:t>: 100 hårde kapsler.</w:t>
      </w:r>
    </w:p>
    <w:p w:rsidR="0059128D" w:rsidRPr="0059128D" w:rsidRDefault="0059128D" w:rsidP="0059128D">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A04005" w:rsidRPr="00A04005" w:rsidRDefault="00A04005" w:rsidP="00A04005">
      <w:pPr>
        <w:tabs>
          <w:tab w:val="left" w:pos="851"/>
        </w:tabs>
        <w:ind w:left="851"/>
        <w:rPr>
          <w:sz w:val="24"/>
          <w:szCs w:val="24"/>
        </w:rPr>
      </w:pPr>
      <w:r w:rsidRPr="00A04005">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D0204" w:rsidRPr="003D0204" w:rsidRDefault="003D0204" w:rsidP="003D0204">
      <w:pPr>
        <w:tabs>
          <w:tab w:val="left" w:pos="851"/>
        </w:tabs>
        <w:ind w:left="851"/>
        <w:rPr>
          <w:sz w:val="24"/>
          <w:szCs w:val="24"/>
        </w:rPr>
      </w:pPr>
      <w:r w:rsidRPr="003D0204">
        <w:rPr>
          <w:sz w:val="24"/>
          <w:szCs w:val="24"/>
        </w:rPr>
        <w:t>Macure Pharma ApS</w:t>
      </w:r>
    </w:p>
    <w:p w:rsidR="003D0204" w:rsidRPr="003D0204" w:rsidRDefault="003D0204" w:rsidP="003D0204">
      <w:pPr>
        <w:tabs>
          <w:tab w:val="left" w:pos="851"/>
        </w:tabs>
        <w:ind w:left="851"/>
        <w:rPr>
          <w:sz w:val="24"/>
          <w:szCs w:val="24"/>
        </w:rPr>
      </w:pPr>
      <w:r w:rsidRPr="003D0204">
        <w:rPr>
          <w:sz w:val="24"/>
          <w:szCs w:val="24"/>
        </w:rPr>
        <w:t>Hejrevej 39</w:t>
      </w:r>
    </w:p>
    <w:p w:rsidR="003D0204" w:rsidRPr="003D0204" w:rsidRDefault="003D0204" w:rsidP="003D0204">
      <w:pPr>
        <w:tabs>
          <w:tab w:val="left" w:pos="851"/>
        </w:tabs>
        <w:ind w:left="851"/>
        <w:rPr>
          <w:sz w:val="24"/>
          <w:szCs w:val="24"/>
        </w:rPr>
      </w:pPr>
      <w:r w:rsidRPr="003D0204">
        <w:rPr>
          <w:sz w:val="24"/>
          <w:szCs w:val="24"/>
        </w:rPr>
        <w:t>2400 København NV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3D0204" w:rsidP="003D0204">
      <w:pPr>
        <w:tabs>
          <w:tab w:val="left" w:pos="851"/>
          <w:tab w:val="left" w:pos="1701"/>
        </w:tabs>
        <w:ind w:left="851"/>
        <w:rPr>
          <w:sz w:val="24"/>
          <w:szCs w:val="24"/>
        </w:rPr>
      </w:pPr>
      <w:r>
        <w:rPr>
          <w:sz w:val="24"/>
          <w:szCs w:val="24"/>
        </w:rPr>
        <w:t>50 mg:</w:t>
      </w:r>
      <w:r>
        <w:rPr>
          <w:sz w:val="24"/>
          <w:szCs w:val="24"/>
        </w:rPr>
        <w:tab/>
        <w:t>66312</w:t>
      </w:r>
    </w:p>
    <w:p w:rsidR="003D0204" w:rsidRDefault="003D0204" w:rsidP="003D0204">
      <w:pPr>
        <w:tabs>
          <w:tab w:val="left" w:pos="851"/>
          <w:tab w:val="left" w:pos="1701"/>
        </w:tabs>
        <w:ind w:left="851"/>
        <w:rPr>
          <w:sz w:val="24"/>
          <w:szCs w:val="24"/>
        </w:rPr>
      </w:pPr>
      <w:r>
        <w:rPr>
          <w:sz w:val="24"/>
          <w:szCs w:val="24"/>
        </w:rPr>
        <w:t>100 mg:</w:t>
      </w:r>
      <w:r>
        <w:rPr>
          <w:sz w:val="24"/>
          <w:szCs w:val="24"/>
        </w:rPr>
        <w:tab/>
        <w:t>66313</w:t>
      </w:r>
    </w:p>
    <w:p w:rsidR="003D0204" w:rsidRPr="00C84483" w:rsidRDefault="003D0204" w:rsidP="003D0204">
      <w:pPr>
        <w:tabs>
          <w:tab w:val="left" w:pos="851"/>
          <w:tab w:val="left" w:pos="1701"/>
        </w:tabs>
        <w:ind w:left="851"/>
        <w:rPr>
          <w:sz w:val="24"/>
          <w:szCs w:val="24"/>
        </w:rPr>
      </w:pPr>
      <w:r>
        <w:rPr>
          <w:sz w:val="24"/>
          <w:szCs w:val="24"/>
        </w:rPr>
        <w:t>200 mg:</w:t>
      </w:r>
      <w:r>
        <w:rPr>
          <w:sz w:val="24"/>
          <w:szCs w:val="24"/>
        </w:rPr>
        <w:tab/>
        <w:t>66314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4541C" w:rsidP="009260DE">
      <w:pPr>
        <w:tabs>
          <w:tab w:val="left" w:pos="851"/>
        </w:tabs>
        <w:ind w:left="851"/>
        <w:rPr>
          <w:sz w:val="24"/>
          <w:szCs w:val="24"/>
        </w:rPr>
      </w:pPr>
      <w:r>
        <w:rPr>
          <w:sz w:val="24"/>
          <w:szCs w:val="24"/>
        </w:rPr>
        <w:t>5. september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3D0204"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DFF" w:rsidRDefault="00343DFF">
      <w:r>
        <w:separator/>
      </w:r>
    </w:p>
  </w:endnote>
  <w:endnote w:type="continuationSeparator" w:id="0">
    <w:p w:rsidR="00343DFF" w:rsidRDefault="0034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84FEB">
      <w:rPr>
        <w:i/>
        <w:noProof/>
        <w:sz w:val="18"/>
        <w:szCs w:val="18"/>
      </w:rPr>
      <w:t>Dopital, hårde kapsler 50 mg, 100 mg og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DFF" w:rsidRDefault="00343DFF">
      <w:r>
        <w:separator/>
      </w:r>
    </w:p>
  </w:footnote>
  <w:footnote w:type="continuationSeparator" w:id="0">
    <w:p w:rsidR="00343DFF" w:rsidRDefault="00343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973AB"/>
    <w:multiLevelType w:val="hybridMultilevel"/>
    <w:tmpl w:val="544A249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FF"/>
    <w:rsid w:val="000143B8"/>
    <w:rsid w:val="000259B9"/>
    <w:rsid w:val="00041491"/>
    <w:rsid w:val="00050D16"/>
    <w:rsid w:val="000730CA"/>
    <w:rsid w:val="00074F2A"/>
    <w:rsid w:val="000A1CA8"/>
    <w:rsid w:val="000A466B"/>
    <w:rsid w:val="000B058C"/>
    <w:rsid w:val="000E4EE6"/>
    <w:rsid w:val="001454E2"/>
    <w:rsid w:val="00206CE8"/>
    <w:rsid w:val="0021526C"/>
    <w:rsid w:val="002402F5"/>
    <w:rsid w:val="002623A7"/>
    <w:rsid w:val="00283A2B"/>
    <w:rsid w:val="00284FEB"/>
    <w:rsid w:val="002B30AD"/>
    <w:rsid w:val="002B67F9"/>
    <w:rsid w:val="002C2C01"/>
    <w:rsid w:val="00303C55"/>
    <w:rsid w:val="00343DFF"/>
    <w:rsid w:val="0034541C"/>
    <w:rsid w:val="00357790"/>
    <w:rsid w:val="003A29AE"/>
    <w:rsid w:val="003A32D7"/>
    <w:rsid w:val="003B3B7B"/>
    <w:rsid w:val="003B4074"/>
    <w:rsid w:val="003C769A"/>
    <w:rsid w:val="003D0204"/>
    <w:rsid w:val="003E47F9"/>
    <w:rsid w:val="003F1838"/>
    <w:rsid w:val="00414B91"/>
    <w:rsid w:val="0045746C"/>
    <w:rsid w:val="0049104B"/>
    <w:rsid w:val="004E3B12"/>
    <w:rsid w:val="00532310"/>
    <w:rsid w:val="00565F0F"/>
    <w:rsid w:val="0059128D"/>
    <w:rsid w:val="00594A86"/>
    <w:rsid w:val="00596D86"/>
    <w:rsid w:val="00637F5A"/>
    <w:rsid w:val="006560B1"/>
    <w:rsid w:val="006756DD"/>
    <w:rsid w:val="006D0935"/>
    <w:rsid w:val="007202B3"/>
    <w:rsid w:val="00737275"/>
    <w:rsid w:val="00740EEC"/>
    <w:rsid w:val="0078011A"/>
    <w:rsid w:val="00782AF4"/>
    <w:rsid w:val="00790EE7"/>
    <w:rsid w:val="007B6649"/>
    <w:rsid w:val="00815C8D"/>
    <w:rsid w:val="0082576E"/>
    <w:rsid w:val="008E0F98"/>
    <w:rsid w:val="009026B3"/>
    <w:rsid w:val="00907F75"/>
    <w:rsid w:val="009260DE"/>
    <w:rsid w:val="0093258A"/>
    <w:rsid w:val="009B7AE0"/>
    <w:rsid w:val="009C7BA3"/>
    <w:rsid w:val="009D1F5A"/>
    <w:rsid w:val="00A04005"/>
    <w:rsid w:val="00A10294"/>
    <w:rsid w:val="00B003BF"/>
    <w:rsid w:val="00B373D7"/>
    <w:rsid w:val="00BE3EF6"/>
    <w:rsid w:val="00C36276"/>
    <w:rsid w:val="00C42586"/>
    <w:rsid w:val="00C60CCD"/>
    <w:rsid w:val="00C84483"/>
    <w:rsid w:val="00C95551"/>
    <w:rsid w:val="00CB20D7"/>
    <w:rsid w:val="00D020B0"/>
    <w:rsid w:val="00D11748"/>
    <w:rsid w:val="00D366CF"/>
    <w:rsid w:val="00D4134A"/>
    <w:rsid w:val="00D42A81"/>
    <w:rsid w:val="00DE7CF6"/>
    <w:rsid w:val="00E108AA"/>
    <w:rsid w:val="00E3749A"/>
    <w:rsid w:val="00E7437F"/>
    <w:rsid w:val="00E865B8"/>
    <w:rsid w:val="00E9065A"/>
    <w:rsid w:val="00EC0B9B"/>
    <w:rsid w:val="00ED5E9F"/>
    <w:rsid w:val="00F0125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F0D62"/>
  <w15:chartTrackingRefBased/>
  <w15:docId w15:val="{D35B5D96-5D37-44CB-82AE-E1FEBA85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D41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453">
      <w:bodyDiv w:val="1"/>
      <w:marLeft w:val="0"/>
      <w:marRight w:val="0"/>
      <w:marTop w:val="0"/>
      <w:marBottom w:val="0"/>
      <w:divBdr>
        <w:top w:val="none" w:sz="0" w:space="0" w:color="auto"/>
        <w:left w:val="none" w:sz="0" w:space="0" w:color="auto"/>
        <w:bottom w:val="none" w:sz="0" w:space="0" w:color="auto"/>
        <w:right w:val="none" w:sz="0" w:space="0" w:color="auto"/>
      </w:divBdr>
    </w:div>
    <w:div w:id="127407543">
      <w:bodyDiv w:val="1"/>
      <w:marLeft w:val="0"/>
      <w:marRight w:val="0"/>
      <w:marTop w:val="0"/>
      <w:marBottom w:val="0"/>
      <w:divBdr>
        <w:top w:val="none" w:sz="0" w:space="0" w:color="auto"/>
        <w:left w:val="none" w:sz="0" w:space="0" w:color="auto"/>
        <w:bottom w:val="none" w:sz="0" w:space="0" w:color="auto"/>
        <w:right w:val="none" w:sz="0" w:space="0" w:color="auto"/>
      </w:divBdr>
    </w:div>
    <w:div w:id="1404610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4444846">
      <w:bodyDiv w:val="1"/>
      <w:marLeft w:val="0"/>
      <w:marRight w:val="0"/>
      <w:marTop w:val="0"/>
      <w:marBottom w:val="0"/>
      <w:divBdr>
        <w:top w:val="none" w:sz="0" w:space="0" w:color="auto"/>
        <w:left w:val="none" w:sz="0" w:space="0" w:color="auto"/>
        <w:bottom w:val="none" w:sz="0" w:space="0" w:color="auto"/>
        <w:right w:val="none" w:sz="0" w:space="0" w:color="auto"/>
      </w:divBdr>
    </w:div>
    <w:div w:id="194738271">
      <w:bodyDiv w:val="1"/>
      <w:marLeft w:val="0"/>
      <w:marRight w:val="0"/>
      <w:marTop w:val="0"/>
      <w:marBottom w:val="0"/>
      <w:divBdr>
        <w:top w:val="none" w:sz="0" w:space="0" w:color="auto"/>
        <w:left w:val="none" w:sz="0" w:space="0" w:color="auto"/>
        <w:bottom w:val="none" w:sz="0" w:space="0" w:color="auto"/>
        <w:right w:val="none" w:sz="0" w:space="0" w:color="auto"/>
      </w:divBdr>
    </w:div>
    <w:div w:id="228922854">
      <w:bodyDiv w:val="1"/>
      <w:marLeft w:val="0"/>
      <w:marRight w:val="0"/>
      <w:marTop w:val="0"/>
      <w:marBottom w:val="0"/>
      <w:divBdr>
        <w:top w:val="none" w:sz="0" w:space="0" w:color="auto"/>
        <w:left w:val="none" w:sz="0" w:space="0" w:color="auto"/>
        <w:bottom w:val="none" w:sz="0" w:space="0" w:color="auto"/>
        <w:right w:val="none" w:sz="0" w:space="0" w:color="auto"/>
      </w:divBdr>
    </w:div>
    <w:div w:id="268784074">
      <w:bodyDiv w:val="1"/>
      <w:marLeft w:val="0"/>
      <w:marRight w:val="0"/>
      <w:marTop w:val="0"/>
      <w:marBottom w:val="0"/>
      <w:divBdr>
        <w:top w:val="none" w:sz="0" w:space="0" w:color="auto"/>
        <w:left w:val="none" w:sz="0" w:space="0" w:color="auto"/>
        <w:bottom w:val="none" w:sz="0" w:space="0" w:color="auto"/>
        <w:right w:val="none" w:sz="0" w:space="0" w:color="auto"/>
      </w:divBdr>
    </w:div>
    <w:div w:id="380445229">
      <w:bodyDiv w:val="1"/>
      <w:marLeft w:val="0"/>
      <w:marRight w:val="0"/>
      <w:marTop w:val="0"/>
      <w:marBottom w:val="0"/>
      <w:divBdr>
        <w:top w:val="none" w:sz="0" w:space="0" w:color="auto"/>
        <w:left w:val="none" w:sz="0" w:space="0" w:color="auto"/>
        <w:bottom w:val="none" w:sz="0" w:space="0" w:color="auto"/>
        <w:right w:val="none" w:sz="0" w:space="0" w:color="auto"/>
      </w:divBdr>
    </w:div>
    <w:div w:id="397482291">
      <w:bodyDiv w:val="1"/>
      <w:marLeft w:val="0"/>
      <w:marRight w:val="0"/>
      <w:marTop w:val="0"/>
      <w:marBottom w:val="0"/>
      <w:divBdr>
        <w:top w:val="none" w:sz="0" w:space="0" w:color="auto"/>
        <w:left w:val="none" w:sz="0" w:space="0" w:color="auto"/>
        <w:bottom w:val="none" w:sz="0" w:space="0" w:color="auto"/>
        <w:right w:val="none" w:sz="0" w:space="0" w:color="auto"/>
      </w:divBdr>
    </w:div>
    <w:div w:id="501238719">
      <w:bodyDiv w:val="1"/>
      <w:marLeft w:val="0"/>
      <w:marRight w:val="0"/>
      <w:marTop w:val="0"/>
      <w:marBottom w:val="0"/>
      <w:divBdr>
        <w:top w:val="none" w:sz="0" w:space="0" w:color="auto"/>
        <w:left w:val="none" w:sz="0" w:space="0" w:color="auto"/>
        <w:bottom w:val="none" w:sz="0" w:space="0" w:color="auto"/>
        <w:right w:val="none" w:sz="0" w:space="0" w:color="auto"/>
      </w:divBdr>
    </w:div>
    <w:div w:id="615140854">
      <w:bodyDiv w:val="1"/>
      <w:marLeft w:val="0"/>
      <w:marRight w:val="0"/>
      <w:marTop w:val="0"/>
      <w:marBottom w:val="0"/>
      <w:divBdr>
        <w:top w:val="none" w:sz="0" w:space="0" w:color="auto"/>
        <w:left w:val="none" w:sz="0" w:space="0" w:color="auto"/>
        <w:bottom w:val="none" w:sz="0" w:space="0" w:color="auto"/>
        <w:right w:val="none" w:sz="0" w:space="0" w:color="auto"/>
      </w:divBdr>
    </w:div>
    <w:div w:id="679697711">
      <w:bodyDiv w:val="1"/>
      <w:marLeft w:val="0"/>
      <w:marRight w:val="0"/>
      <w:marTop w:val="0"/>
      <w:marBottom w:val="0"/>
      <w:divBdr>
        <w:top w:val="none" w:sz="0" w:space="0" w:color="auto"/>
        <w:left w:val="none" w:sz="0" w:space="0" w:color="auto"/>
        <w:bottom w:val="none" w:sz="0" w:space="0" w:color="auto"/>
        <w:right w:val="none" w:sz="0" w:space="0" w:color="auto"/>
      </w:divBdr>
    </w:div>
    <w:div w:id="717634463">
      <w:bodyDiv w:val="1"/>
      <w:marLeft w:val="0"/>
      <w:marRight w:val="0"/>
      <w:marTop w:val="0"/>
      <w:marBottom w:val="0"/>
      <w:divBdr>
        <w:top w:val="none" w:sz="0" w:space="0" w:color="auto"/>
        <w:left w:val="none" w:sz="0" w:space="0" w:color="auto"/>
        <w:bottom w:val="none" w:sz="0" w:space="0" w:color="auto"/>
        <w:right w:val="none" w:sz="0" w:space="0" w:color="auto"/>
      </w:divBdr>
    </w:div>
    <w:div w:id="867253238">
      <w:bodyDiv w:val="1"/>
      <w:marLeft w:val="0"/>
      <w:marRight w:val="0"/>
      <w:marTop w:val="0"/>
      <w:marBottom w:val="0"/>
      <w:divBdr>
        <w:top w:val="none" w:sz="0" w:space="0" w:color="auto"/>
        <w:left w:val="none" w:sz="0" w:space="0" w:color="auto"/>
        <w:bottom w:val="none" w:sz="0" w:space="0" w:color="auto"/>
        <w:right w:val="none" w:sz="0" w:space="0" w:color="auto"/>
      </w:divBdr>
    </w:div>
    <w:div w:id="883905332">
      <w:bodyDiv w:val="1"/>
      <w:marLeft w:val="0"/>
      <w:marRight w:val="0"/>
      <w:marTop w:val="0"/>
      <w:marBottom w:val="0"/>
      <w:divBdr>
        <w:top w:val="none" w:sz="0" w:space="0" w:color="auto"/>
        <w:left w:val="none" w:sz="0" w:space="0" w:color="auto"/>
        <w:bottom w:val="none" w:sz="0" w:space="0" w:color="auto"/>
        <w:right w:val="none" w:sz="0" w:space="0" w:color="auto"/>
      </w:divBdr>
    </w:div>
    <w:div w:id="902569101">
      <w:bodyDiv w:val="1"/>
      <w:marLeft w:val="0"/>
      <w:marRight w:val="0"/>
      <w:marTop w:val="0"/>
      <w:marBottom w:val="0"/>
      <w:divBdr>
        <w:top w:val="none" w:sz="0" w:space="0" w:color="auto"/>
        <w:left w:val="none" w:sz="0" w:space="0" w:color="auto"/>
        <w:bottom w:val="none" w:sz="0" w:space="0" w:color="auto"/>
        <w:right w:val="none" w:sz="0" w:space="0" w:color="auto"/>
      </w:divBdr>
    </w:div>
    <w:div w:id="951520115">
      <w:bodyDiv w:val="1"/>
      <w:marLeft w:val="0"/>
      <w:marRight w:val="0"/>
      <w:marTop w:val="0"/>
      <w:marBottom w:val="0"/>
      <w:divBdr>
        <w:top w:val="none" w:sz="0" w:space="0" w:color="auto"/>
        <w:left w:val="none" w:sz="0" w:space="0" w:color="auto"/>
        <w:bottom w:val="none" w:sz="0" w:space="0" w:color="auto"/>
        <w:right w:val="none" w:sz="0" w:space="0" w:color="auto"/>
      </w:divBdr>
    </w:div>
    <w:div w:id="1108088579">
      <w:bodyDiv w:val="1"/>
      <w:marLeft w:val="0"/>
      <w:marRight w:val="0"/>
      <w:marTop w:val="0"/>
      <w:marBottom w:val="0"/>
      <w:divBdr>
        <w:top w:val="none" w:sz="0" w:space="0" w:color="auto"/>
        <w:left w:val="none" w:sz="0" w:space="0" w:color="auto"/>
        <w:bottom w:val="none" w:sz="0" w:space="0" w:color="auto"/>
        <w:right w:val="none" w:sz="0" w:space="0" w:color="auto"/>
      </w:divBdr>
    </w:div>
    <w:div w:id="1170632885">
      <w:bodyDiv w:val="1"/>
      <w:marLeft w:val="0"/>
      <w:marRight w:val="0"/>
      <w:marTop w:val="0"/>
      <w:marBottom w:val="0"/>
      <w:divBdr>
        <w:top w:val="none" w:sz="0" w:space="0" w:color="auto"/>
        <w:left w:val="none" w:sz="0" w:space="0" w:color="auto"/>
        <w:bottom w:val="none" w:sz="0" w:space="0" w:color="auto"/>
        <w:right w:val="none" w:sz="0" w:space="0" w:color="auto"/>
      </w:divBdr>
    </w:div>
    <w:div w:id="1200777077">
      <w:bodyDiv w:val="1"/>
      <w:marLeft w:val="0"/>
      <w:marRight w:val="0"/>
      <w:marTop w:val="0"/>
      <w:marBottom w:val="0"/>
      <w:divBdr>
        <w:top w:val="none" w:sz="0" w:space="0" w:color="auto"/>
        <w:left w:val="none" w:sz="0" w:space="0" w:color="auto"/>
        <w:bottom w:val="none" w:sz="0" w:space="0" w:color="auto"/>
        <w:right w:val="none" w:sz="0" w:space="0" w:color="auto"/>
      </w:divBdr>
    </w:div>
    <w:div w:id="1203322993">
      <w:bodyDiv w:val="1"/>
      <w:marLeft w:val="0"/>
      <w:marRight w:val="0"/>
      <w:marTop w:val="0"/>
      <w:marBottom w:val="0"/>
      <w:divBdr>
        <w:top w:val="none" w:sz="0" w:space="0" w:color="auto"/>
        <w:left w:val="none" w:sz="0" w:space="0" w:color="auto"/>
        <w:bottom w:val="none" w:sz="0" w:space="0" w:color="auto"/>
        <w:right w:val="none" w:sz="0" w:space="0" w:color="auto"/>
      </w:divBdr>
    </w:div>
    <w:div w:id="1216813451">
      <w:bodyDiv w:val="1"/>
      <w:marLeft w:val="0"/>
      <w:marRight w:val="0"/>
      <w:marTop w:val="0"/>
      <w:marBottom w:val="0"/>
      <w:divBdr>
        <w:top w:val="none" w:sz="0" w:space="0" w:color="auto"/>
        <w:left w:val="none" w:sz="0" w:space="0" w:color="auto"/>
        <w:bottom w:val="none" w:sz="0" w:space="0" w:color="auto"/>
        <w:right w:val="none" w:sz="0" w:space="0" w:color="auto"/>
      </w:divBdr>
    </w:div>
    <w:div w:id="1249004315">
      <w:bodyDiv w:val="1"/>
      <w:marLeft w:val="0"/>
      <w:marRight w:val="0"/>
      <w:marTop w:val="0"/>
      <w:marBottom w:val="0"/>
      <w:divBdr>
        <w:top w:val="none" w:sz="0" w:space="0" w:color="auto"/>
        <w:left w:val="none" w:sz="0" w:space="0" w:color="auto"/>
        <w:bottom w:val="none" w:sz="0" w:space="0" w:color="auto"/>
        <w:right w:val="none" w:sz="0" w:space="0" w:color="auto"/>
      </w:divBdr>
    </w:div>
    <w:div w:id="1365867235">
      <w:bodyDiv w:val="1"/>
      <w:marLeft w:val="0"/>
      <w:marRight w:val="0"/>
      <w:marTop w:val="0"/>
      <w:marBottom w:val="0"/>
      <w:divBdr>
        <w:top w:val="none" w:sz="0" w:space="0" w:color="auto"/>
        <w:left w:val="none" w:sz="0" w:space="0" w:color="auto"/>
        <w:bottom w:val="none" w:sz="0" w:space="0" w:color="auto"/>
        <w:right w:val="none" w:sz="0" w:space="0" w:color="auto"/>
      </w:divBdr>
    </w:div>
    <w:div w:id="1376655445">
      <w:bodyDiv w:val="1"/>
      <w:marLeft w:val="0"/>
      <w:marRight w:val="0"/>
      <w:marTop w:val="0"/>
      <w:marBottom w:val="0"/>
      <w:divBdr>
        <w:top w:val="none" w:sz="0" w:space="0" w:color="auto"/>
        <w:left w:val="none" w:sz="0" w:space="0" w:color="auto"/>
        <w:bottom w:val="none" w:sz="0" w:space="0" w:color="auto"/>
        <w:right w:val="none" w:sz="0" w:space="0" w:color="auto"/>
      </w:divBdr>
    </w:div>
    <w:div w:id="1383752508">
      <w:bodyDiv w:val="1"/>
      <w:marLeft w:val="0"/>
      <w:marRight w:val="0"/>
      <w:marTop w:val="0"/>
      <w:marBottom w:val="0"/>
      <w:divBdr>
        <w:top w:val="none" w:sz="0" w:space="0" w:color="auto"/>
        <w:left w:val="none" w:sz="0" w:space="0" w:color="auto"/>
        <w:bottom w:val="none" w:sz="0" w:space="0" w:color="auto"/>
        <w:right w:val="none" w:sz="0" w:space="0" w:color="auto"/>
      </w:divBdr>
    </w:div>
    <w:div w:id="1447232709">
      <w:bodyDiv w:val="1"/>
      <w:marLeft w:val="0"/>
      <w:marRight w:val="0"/>
      <w:marTop w:val="0"/>
      <w:marBottom w:val="0"/>
      <w:divBdr>
        <w:top w:val="none" w:sz="0" w:space="0" w:color="auto"/>
        <w:left w:val="none" w:sz="0" w:space="0" w:color="auto"/>
        <w:bottom w:val="none" w:sz="0" w:space="0" w:color="auto"/>
        <w:right w:val="none" w:sz="0" w:space="0" w:color="auto"/>
      </w:divBdr>
    </w:div>
    <w:div w:id="1515463426">
      <w:bodyDiv w:val="1"/>
      <w:marLeft w:val="0"/>
      <w:marRight w:val="0"/>
      <w:marTop w:val="0"/>
      <w:marBottom w:val="0"/>
      <w:divBdr>
        <w:top w:val="none" w:sz="0" w:space="0" w:color="auto"/>
        <w:left w:val="none" w:sz="0" w:space="0" w:color="auto"/>
        <w:bottom w:val="none" w:sz="0" w:space="0" w:color="auto"/>
        <w:right w:val="none" w:sz="0" w:space="0" w:color="auto"/>
      </w:divBdr>
    </w:div>
    <w:div w:id="1605650071">
      <w:bodyDiv w:val="1"/>
      <w:marLeft w:val="0"/>
      <w:marRight w:val="0"/>
      <w:marTop w:val="0"/>
      <w:marBottom w:val="0"/>
      <w:divBdr>
        <w:top w:val="none" w:sz="0" w:space="0" w:color="auto"/>
        <w:left w:val="none" w:sz="0" w:space="0" w:color="auto"/>
        <w:bottom w:val="none" w:sz="0" w:space="0" w:color="auto"/>
        <w:right w:val="none" w:sz="0" w:space="0" w:color="auto"/>
      </w:divBdr>
    </w:div>
    <w:div w:id="1668361104">
      <w:bodyDiv w:val="1"/>
      <w:marLeft w:val="0"/>
      <w:marRight w:val="0"/>
      <w:marTop w:val="0"/>
      <w:marBottom w:val="0"/>
      <w:divBdr>
        <w:top w:val="none" w:sz="0" w:space="0" w:color="auto"/>
        <w:left w:val="none" w:sz="0" w:space="0" w:color="auto"/>
        <w:bottom w:val="none" w:sz="0" w:space="0" w:color="auto"/>
        <w:right w:val="none" w:sz="0" w:space="0" w:color="auto"/>
      </w:divBdr>
    </w:div>
    <w:div w:id="1671832162">
      <w:bodyDiv w:val="1"/>
      <w:marLeft w:val="0"/>
      <w:marRight w:val="0"/>
      <w:marTop w:val="0"/>
      <w:marBottom w:val="0"/>
      <w:divBdr>
        <w:top w:val="none" w:sz="0" w:space="0" w:color="auto"/>
        <w:left w:val="none" w:sz="0" w:space="0" w:color="auto"/>
        <w:bottom w:val="none" w:sz="0" w:space="0" w:color="auto"/>
        <w:right w:val="none" w:sz="0" w:space="0" w:color="auto"/>
      </w:divBdr>
    </w:div>
    <w:div w:id="1697536164">
      <w:bodyDiv w:val="1"/>
      <w:marLeft w:val="0"/>
      <w:marRight w:val="0"/>
      <w:marTop w:val="0"/>
      <w:marBottom w:val="0"/>
      <w:divBdr>
        <w:top w:val="none" w:sz="0" w:space="0" w:color="auto"/>
        <w:left w:val="none" w:sz="0" w:space="0" w:color="auto"/>
        <w:bottom w:val="none" w:sz="0" w:space="0" w:color="auto"/>
        <w:right w:val="none" w:sz="0" w:space="0" w:color="auto"/>
      </w:divBdr>
    </w:div>
    <w:div w:id="1778673091">
      <w:bodyDiv w:val="1"/>
      <w:marLeft w:val="0"/>
      <w:marRight w:val="0"/>
      <w:marTop w:val="0"/>
      <w:marBottom w:val="0"/>
      <w:divBdr>
        <w:top w:val="none" w:sz="0" w:space="0" w:color="auto"/>
        <w:left w:val="none" w:sz="0" w:space="0" w:color="auto"/>
        <w:bottom w:val="none" w:sz="0" w:space="0" w:color="auto"/>
        <w:right w:val="none" w:sz="0" w:space="0" w:color="auto"/>
      </w:divBdr>
    </w:div>
    <w:div w:id="1787188733">
      <w:bodyDiv w:val="1"/>
      <w:marLeft w:val="0"/>
      <w:marRight w:val="0"/>
      <w:marTop w:val="0"/>
      <w:marBottom w:val="0"/>
      <w:divBdr>
        <w:top w:val="none" w:sz="0" w:space="0" w:color="auto"/>
        <w:left w:val="none" w:sz="0" w:space="0" w:color="auto"/>
        <w:bottom w:val="none" w:sz="0" w:space="0" w:color="auto"/>
        <w:right w:val="none" w:sz="0" w:space="0" w:color="auto"/>
      </w:divBdr>
    </w:div>
    <w:div w:id="1859420016">
      <w:bodyDiv w:val="1"/>
      <w:marLeft w:val="0"/>
      <w:marRight w:val="0"/>
      <w:marTop w:val="0"/>
      <w:marBottom w:val="0"/>
      <w:divBdr>
        <w:top w:val="none" w:sz="0" w:space="0" w:color="auto"/>
        <w:left w:val="none" w:sz="0" w:space="0" w:color="auto"/>
        <w:bottom w:val="none" w:sz="0" w:space="0" w:color="auto"/>
        <w:right w:val="none" w:sz="0" w:space="0" w:color="auto"/>
      </w:divBdr>
    </w:div>
    <w:div w:id="1913929117">
      <w:bodyDiv w:val="1"/>
      <w:marLeft w:val="0"/>
      <w:marRight w:val="0"/>
      <w:marTop w:val="0"/>
      <w:marBottom w:val="0"/>
      <w:divBdr>
        <w:top w:val="none" w:sz="0" w:space="0" w:color="auto"/>
        <w:left w:val="none" w:sz="0" w:space="0" w:color="auto"/>
        <w:bottom w:val="none" w:sz="0" w:space="0" w:color="auto"/>
        <w:right w:val="none" w:sz="0" w:space="0" w:color="auto"/>
      </w:divBdr>
    </w:div>
    <w:div w:id="1936786688">
      <w:bodyDiv w:val="1"/>
      <w:marLeft w:val="0"/>
      <w:marRight w:val="0"/>
      <w:marTop w:val="0"/>
      <w:marBottom w:val="0"/>
      <w:divBdr>
        <w:top w:val="none" w:sz="0" w:space="0" w:color="auto"/>
        <w:left w:val="none" w:sz="0" w:space="0" w:color="auto"/>
        <w:bottom w:val="none" w:sz="0" w:space="0" w:color="auto"/>
        <w:right w:val="none" w:sz="0" w:space="0" w:color="auto"/>
      </w:divBdr>
    </w:div>
    <w:div w:id="1979262618">
      <w:bodyDiv w:val="1"/>
      <w:marLeft w:val="0"/>
      <w:marRight w:val="0"/>
      <w:marTop w:val="0"/>
      <w:marBottom w:val="0"/>
      <w:divBdr>
        <w:top w:val="none" w:sz="0" w:space="0" w:color="auto"/>
        <w:left w:val="none" w:sz="0" w:space="0" w:color="auto"/>
        <w:bottom w:val="none" w:sz="0" w:space="0" w:color="auto"/>
        <w:right w:val="none" w:sz="0" w:space="0" w:color="auto"/>
      </w:divBdr>
    </w:div>
    <w:div w:id="2009677297">
      <w:bodyDiv w:val="1"/>
      <w:marLeft w:val="0"/>
      <w:marRight w:val="0"/>
      <w:marTop w:val="0"/>
      <w:marBottom w:val="0"/>
      <w:divBdr>
        <w:top w:val="none" w:sz="0" w:space="0" w:color="auto"/>
        <w:left w:val="none" w:sz="0" w:space="0" w:color="auto"/>
        <w:bottom w:val="none" w:sz="0" w:space="0" w:color="auto"/>
        <w:right w:val="none" w:sz="0" w:space="0" w:color="auto"/>
      </w:divBdr>
    </w:div>
    <w:div w:id="202115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34</TotalTime>
  <Pages>11</Pages>
  <Words>3007</Words>
  <Characters>20555</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2021062920 mt</dc:description>
  <cp:lastModifiedBy>Hanne Thy Iversen</cp:lastModifiedBy>
  <cp:revision>11</cp:revision>
  <cp:lastPrinted>2012-08-22T08:53:00Z</cp:lastPrinted>
  <dcterms:created xsi:type="dcterms:W3CDTF">2022-09-02T13:33:00Z</dcterms:created>
  <dcterms:modified xsi:type="dcterms:W3CDTF">2022-09-05T08:45:00Z</dcterms:modified>
</cp:coreProperties>
</file>