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6BD" w:rsidRPr="002F43F3" w:rsidRDefault="00AF76BD" w:rsidP="00AF76BD">
      <w:pPr>
        <w:rPr>
          <w:sz w:val="24"/>
          <w:szCs w:val="24"/>
        </w:rPr>
      </w:pPr>
      <w:r w:rsidRPr="002F43F3">
        <w:rPr>
          <w:noProof/>
          <w:sz w:val="24"/>
          <w:szCs w:val="24"/>
          <w:lang w:eastAsia="da-DK"/>
        </w:rPr>
        <w:drawing>
          <wp:anchor distT="0" distB="0" distL="114300" distR="114300" simplePos="0" relativeHeight="251659264" behindDoc="0" locked="0" layoutInCell="1" allowOverlap="1" wp14:anchorId="480D270D" wp14:editId="3BA005C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2F43F3">
        <w:rPr>
          <w:sz w:val="24"/>
          <w:szCs w:val="24"/>
        </w:rPr>
        <w:br w:type="textWrapping" w:clear="all"/>
      </w:r>
    </w:p>
    <w:p w:rsidR="00AF76BD" w:rsidRPr="002F43F3" w:rsidRDefault="00AF76BD" w:rsidP="00AF76BD">
      <w:pPr>
        <w:pStyle w:val="Titel"/>
        <w:tabs>
          <w:tab w:val="right" w:pos="9356"/>
        </w:tabs>
        <w:jc w:val="left"/>
        <w:rPr>
          <w:b w:val="0"/>
          <w:szCs w:val="24"/>
          <w:lang w:eastAsia="en-US"/>
        </w:rPr>
      </w:pPr>
      <w:r w:rsidRPr="002F43F3">
        <w:rPr>
          <w:b w:val="0"/>
          <w:szCs w:val="24"/>
          <w:lang w:eastAsia="en-US"/>
        </w:rPr>
        <w:tab/>
      </w:r>
      <w:r w:rsidR="00F50CBC">
        <w:rPr>
          <w:szCs w:val="24"/>
        </w:rPr>
        <w:t>20</w:t>
      </w:r>
      <w:r w:rsidR="001F19B2">
        <w:rPr>
          <w:szCs w:val="24"/>
        </w:rPr>
        <w:t>. februar 2025</w:t>
      </w:r>
    </w:p>
    <w:p w:rsidR="00AF76BD" w:rsidRPr="002F43F3" w:rsidRDefault="00AF76BD" w:rsidP="00AF76BD">
      <w:pPr>
        <w:pStyle w:val="Titel"/>
        <w:tabs>
          <w:tab w:val="left" w:pos="8222"/>
        </w:tabs>
        <w:jc w:val="left"/>
        <w:rPr>
          <w:b w:val="0"/>
          <w:szCs w:val="24"/>
        </w:rPr>
      </w:pPr>
    </w:p>
    <w:p w:rsidR="006836F0" w:rsidRPr="002F43F3" w:rsidRDefault="006836F0" w:rsidP="00AF76BD">
      <w:pPr>
        <w:pStyle w:val="Titel"/>
        <w:jc w:val="left"/>
        <w:rPr>
          <w:b w:val="0"/>
          <w:szCs w:val="24"/>
        </w:rPr>
      </w:pPr>
    </w:p>
    <w:p w:rsidR="00AF76BD" w:rsidRPr="002F43F3" w:rsidRDefault="00AF76BD" w:rsidP="00AF76BD">
      <w:pPr>
        <w:jc w:val="center"/>
        <w:rPr>
          <w:b/>
          <w:sz w:val="24"/>
          <w:szCs w:val="24"/>
        </w:rPr>
      </w:pPr>
      <w:r w:rsidRPr="002F43F3">
        <w:rPr>
          <w:b/>
          <w:sz w:val="24"/>
          <w:szCs w:val="24"/>
        </w:rPr>
        <w:t>PRODUKTRESUMÉ</w:t>
      </w:r>
    </w:p>
    <w:p w:rsidR="00AF76BD" w:rsidRPr="002F43F3" w:rsidRDefault="00AF76BD" w:rsidP="00AF76BD">
      <w:pPr>
        <w:jc w:val="center"/>
        <w:rPr>
          <w:b/>
          <w:sz w:val="24"/>
          <w:szCs w:val="24"/>
        </w:rPr>
      </w:pPr>
    </w:p>
    <w:p w:rsidR="00AF76BD" w:rsidRPr="002F43F3" w:rsidRDefault="00AF76BD" w:rsidP="00AF76BD">
      <w:pPr>
        <w:jc w:val="center"/>
        <w:rPr>
          <w:b/>
          <w:sz w:val="24"/>
          <w:szCs w:val="24"/>
        </w:rPr>
      </w:pPr>
      <w:r w:rsidRPr="002F43F3">
        <w:rPr>
          <w:b/>
          <w:sz w:val="24"/>
          <w:szCs w:val="24"/>
        </w:rPr>
        <w:t>for</w:t>
      </w:r>
    </w:p>
    <w:p w:rsidR="00AF76BD" w:rsidRPr="002F43F3" w:rsidRDefault="00AF76BD" w:rsidP="00362119">
      <w:pPr>
        <w:rPr>
          <w:b/>
          <w:sz w:val="24"/>
          <w:szCs w:val="24"/>
        </w:rPr>
      </w:pPr>
    </w:p>
    <w:p w:rsidR="0073799B" w:rsidRDefault="00AF76BD" w:rsidP="00AF76BD">
      <w:pPr>
        <w:jc w:val="center"/>
        <w:rPr>
          <w:b/>
          <w:sz w:val="24"/>
          <w:szCs w:val="24"/>
        </w:rPr>
      </w:pPr>
      <w:r w:rsidRPr="002F43F3">
        <w:rPr>
          <w:b/>
          <w:sz w:val="24"/>
          <w:szCs w:val="24"/>
        </w:rPr>
        <w:t>Dotagraf, injektionsvæske, opløsning</w:t>
      </w:r>
    </w:p>
    <w:p w:rsidR="00AF76BD" w:rsidRPr="002F43F3" w:rsidRDefault="00AF76BD" w:rsidP="00AF76BD">
      <w:pPr>
        <w:jc w:val="center"/>
        <w:rPr>
          <w:b/>
          <w:sz w:val="24"/>
          <w:szCs w:val="24"/>
        </w:rPr>
      </w:pPr>
      <w:r w:rsidRPr="002F43F3">
        <w:rPr>
          <w:b/>
          <w:sz w:val="24"/>
          <w:szCs w:val="24"/>
        </w:rPr>
        <w:t>(10 ml, 15 ml og 20 ml hætteglas)</w:t>
      </w:r>
    </w:p>
    <w:p w:rsidR="00AF76BD" w:rsidRPr="002F43F3" w:rsidRDefault="00AF76BD" w:rsidP="00AF76BD">
      <w:pPr>
        <w:jc w:val="both"/>
        <w:rPr>
          <w:sz w:val="24"/>
          <w:szCs w:val="24"/>
        </w:rPr>
      </w:pPr>
    </w:p>
    <w:p w:rsidR="00AF76BD" w:rsidRPr="002F43F3" w:rsidRDefault="00AF76BD" w:rsidP="00AF76BD">
      <w:pPr>
        <w:ind w:left="851" w:right="-1" w:hanging="851"/>
        <w:jc w:val="both"/>
        <w:rPr>
          <w:sz w:val="24"/>
          <w:szCs w:val="24"/>
        </w:rPr>
      </w:pPr>
    </w:p>
    <w:p w:rsidR="00AF76BD" w:rsidRPr="002F43F3" w:rsidRDefault="00AF76BD" w:rsidP="00AF76BD">
      <w:pPr>
        <w:ind w:left="851" w:right="-1" w:hanging="851"/>
        <w:rPr>
          <w:b/>
          <w:sz w:val="24"/>
          <w:szCs w:val="24"/>
        </w:rPr>
      </w:pPr>
      <w:r w:rsidRPr="002F43F3">
        <w:rPr>
          <w:b/>
          <w:sz w:val="24"/>
          <w:szCs w:val="24"/>
        </w:rPr>
        <w:t>0.</w:t>
      </w:r>
      <w:r w:rsidRPr="002F43F3">
        <w:rPr>
          <w:b/>
          <w:sz w:val="24"/>
          <w:szCs w:val="24"/>
        </w:rPr>
        <w:tab/>
        <w:t>D.SP.NR.</w:t>
      </w:r>
    </w:p>
    <w:p w:rsidR="00AF76BD" w:rsidRPr="002F43F3" w:rsidRDefault="00AF76BD" w:rsidP="00AF76BD">
      <w:pPr>
        <w:ind w:left="851" w:right="-1"/>
        <w:rPr>
          <w:sz w:val="24"/>
          <w:szCs w:val="24"/>
        </w:rPr>
      </w:pPr>
      <w:r w:rsidRPr="002F43F3">
        <w:rPr>
          <w:sz w:val="24"/>
          <w:szCs w:val="24"/>
        </w:rPr>
        <w:t>30226</w:t>
      </w:r>
    </w:p>
    <w:p w:rsidR="00AF76BD" w:rsidRPr="002F43F3" w:rsidRDefault="00AF76BD" w:rsidP="00AF76BD">
      <w:pPr>
        <w:ind w:left="851" w:right="-1" w:hanging="851"/>
        <w:rPr>
          <w:sz w:val="24"/>
          <w:szCs w:val="24"/>
        </w:rPr>
      </w:pPr>
    </w:p>
    <w:p w:rsidR="00AF76BD" w:rsidRPr="002F43F3" w:rsidRDefault="00AF76BD" w:rsidP="00AF76BD">
      <w:pPr>
        <w:ind w:left="851" w:right="-1" w:hanging="851"/>
        <w:rPr>
          <w:b/>
          <w:sz w:val="24"/>
          <w:szCs w:val="24"/>
        </w:rPr>
      </w:pPr>
      <w:r w:rsidRPr="002F43F3">
        <w:rPr>
          <w:b/>
          <w:sz w:val="24"/>
          <w:szCs w:val="24"/>
        </w:rPr>
        <w:t>1.</w:t>
      </w:r>
      <w:r w:rsidRPr="002F43F3">
        <w:rPr>
          <w:b/>
          <w:sz w:val="24"/>
          <w:szCs w:val="24"/>
        </w:rPr>
        <w:tab/>
        <w:t>LÆGEMIDLETS NAVN</w:t>
      </w:r>
    </w:p>
    <w:p w:rsidR="00AF76BD" w:rsidRPr="002F43F3" w:rsidRDefault="00AF76BD" w:rsidP="00AF76BD">
      <w:pPr>
        <w:ind w:left="851" w:right="-1"/>
        <w:rPr>
          <w:sz w:val="24"/>
          <w:szCs w:val="24"/>
        </w:rPr>
      </w:pPr>
      <w:r w:rsidRPr="002F43F3">
        <w:rPr>
          <w:sz w:val="24"/>
          <w:szCs w:val="24"/>
        </w:rPr>
        <w:t>Dotagraf</w:t>
      </w:r>
    </w:p>
    <w:p w:rsidR="00AF76BD" w:rsidRPr="002F43F3" w:rsidRDefault="00AF76BD" w:rsidP="00AF76BD">
      <w:pPr>
        <w:ind w:left="851" w:right="-1" w:hanging="851"/>
        <w:rPr>
          <w:sz w:val="24"/>
          <w:szCs w:val="24"/>
        </w:rPr>
      </w:pPr>
    </w:p>
    <w:p w:rsidR="00AF76BD" w:rsidRPr="002F43F3" w:rsidRDefault="00AF76BD" w:rsidP="00AF76BD">
      <w:pPr>
        <w:ind w:left="851" w:right="-1" w:hanging="851"/>
        <w:rPr>
          <w:b/>
          <w:sz w:val="24"/>
          <w:szCs w:val="24"/>
        </w:rPr>
      </w:pPr>
      <w:r w:rsidRPr="002F43F3">
        <w:rPr>
          <w:b/>
          <w:sz w:val="24"/>
          <w:szCs w:val="24"/>
        </w:rPr>
        <w:t>2.</w:t>
      </w:r>
      <w:r w:rsidRPr="002F43F3">
        <w:rPr>
          <w:b/>
          <w:sz w:val="24"/>
          <w:szCs w:val="24"/>
        </w:rPr>
        <w:tab/>
        <w:t>KVALITATIV OG KVANTITATIV SAMMENSÆTNING</w:t>
      </w:r>
    </w:p>
    <w:p w:rsidR="00AF76BD" w:rsidRPr="002F43F3" w:rsidRDefault="00AF76BD" w:rsidP="00AF76BD">
      <w:pPr>
        <w:spacing w:line="260" w:lineRule="exact"/>
        <w:ind w:left="851" w:right="-1"/>
        <w:rPr>
          <w:sz w:val="24"/>
          <w:szCs w:val="24"/>
        </w:rPr>
      </w:pPr>
      <w:r w:rsidRPr="002F43F3">
        <w:rPr>
          <w:sz w:val="24"/>
          <w:szCs w:val="24"/>
        </w:rPr>
        <w:t xml:space="preserve">1 ml injektionsvæske, opløsning, indeholder 279,32 mg </w:t>
      </w:r>
      <w:proofErr w:type="spellStart"/>
      <w:r w:rsidRPr="002F43F3">
        <w:rPr>
          <w:sz w:val="24"/>
          <w:szCs w:val="24"/>
        </w:rPr>
        <w:t>gadoterinsyre</w:t>
      </w:r>
      <w:proofErr w:type="spellEnd"/>
      <w:r w:rsidRPr="002F43F3">
        <w:rPr>
          <w:sz w:val="24"/>
          <w:szCs w:val="24"/>
        </w:rPr>
        <w:t xml:space="preserve"> (som </w:t>
      </w:r>
      <w:proofErr w:type="spellStart"/>
      <w:r w:rsidRPr="002F43F3">
        <w:rPr>
          <w:sz w:val="24"/>
          <w:szCs w:val="24"/>
        </w:rPr>
        <w:t>megluminsalt</w:t>
      </w:r>
      <w:proofErr w:type="spellEnd"/>
      <w:r w:rsidRPr="002F43F3">
        <w:rPr>
          <w:sz w:val="24"/>
          <w:szCs w:val="24"/>
        </w:rPr>
        <w:t>) svarende til 0,5 mmol.</w:t>
      </w:r>
    </w:p>
    <w:p w:rsidR="00AF76BD" w:rsidRPr="002F43F3" w:rsidRDefault="00AF76BD" w:rsidP="00AF76BD">
      <w:pPr>
        <w:spacing w:line="260" w:lineRule="exact"/>
        <w:ind w:left="851" w:right="-1"/>
        <w:rPr>
          <w:sz w:val="24"/>
          <w:szCs w:val="24"/>
        </w:rPr>
      </w:pPr>
      <w:r w:rsidRPr="002F43F3">
        <w:rPr>
          <w:sz w:val="24"/>
          <w:szCs w:val="24"/>
        </w:rPr>
        <w:t xml:space="preserve">10 ml injektionsvæske, opløsning, indeholder 2793,2 mg </w:t>
      </w:r>
      <w:proofErr w:type="spellStart"/>
      <w:r w:rsidRPr="002F43F3">
        <w:rPr>
          <w:sz w:val="24"/>
          <w:szCs w:val="24"/>
        </w:rPr>
        <w:t>gadoterinsyre</w:t>
      </w:r>
      <w:proofErr w:type="spellEnd"/>
      <w:r w:rsidRPr="002F43F3">
        <w:rPr>
          <w:sz w:val="24"/>
          <w:szCs w:val="24"/>
        </w:rPr>
        <w:t xml:space="preserve"> (som </w:t>
      </w:r>
      <w:proofErr w:type="spellStart"/>
      <w:r w:rsidRPr="002F43F3">
        <w:rPr>
          <w:sz w:val="24"/>
          <w:szCs w:val="24"/>
        </w:rPr>
        <w:t>megluminsalt</w:t>
      </w:r>
      <w:proofErr w:type="spellEnd"/>
      <w:r w:rsidRPr="002F43F3">
        <w:rPr>
          <w:sz w:val="24"/>
          <w:szCs w:val="24"/>
        </w:rPr>
        <w:t>) svarende til 5 mmol.</w:t>
      </w:r>
    </w:p>
    <w:p w:rsidR="00AF76BD" w:rsidRPr="002F43F3" w:rsidRDefault="00AF76BD" w:rsidP="00AF76BD">
      <w:pPr>
        <w:spacing w:line="260" w:lineRule="exact"/>
        <w:ind w:left="851" w:right="-1"/>
        <w:rPr>
          <w:sz w:val="24"/>
          <w:szCs w:val="24"/>
        </w:rPr>
      </w:pPr>
      <w:r w:rsidRPr="002F43F3">
        <w:rPr>
          <w:sz w:val="24"/>
          <w:szCs w:val="24"/>
        </w:rPr>
        <w:t xml:space="preserve">15 ml injektionsvæske, opløsning, indeholder 4189,8 mg </w:t>
      </w:r>
      <w:proofErr w:type="spellStart"/>
      <w:r w:rsidRPr="002F43F3">
        <w:rPr>
          <w:sz w:val="24"/>
          <w:szCs w:val="24"/>
        </w:rPr>
        <w:t>gadoterinsyre</w:t>
      </w:r>
      <w:proofErr w:type="spellEnd"/>
      <w:r w:rsidRPr="002F43F3">
        <w:rPr>
          <w:sz w:val="24"/>
          <w:szCs w:val="24"/>
        </w:rPr>
        <w:t xml:space="preserve"> (som </w:t>
      </w:r>
      <w:proofErr w:type="spellStart"/>
      <w:r w:rsidRPr="002F43F3">
        <w:rPr>
          <w:sz w:val="24"/>
          <w:szCs w:val="24"/>
        </w:rPr>
        <w:t>megluminsalt</w:t>
      </w:r>
      <w:proofErr w:type="spellEnd"/>
      <w:r w:rsidRPr="002F43F3">
        <w:rPr>
          <w:sz w:val="24"/>
          <w:szCs w:val="24"/>
        </w:rPr>
        <w:t>) svarende til 7,5 mmol.</w:t>
      </w:r>
    </w:p>
    <w:p w:rsidR="00AF76BD" w:rsidRPr="002F43F3" w:rsidRDefault="00AF76BD" w:rsidP="00AF76BD">
      <w:pPr>
        <w:spacing w:line="260" w:lineRule="exact"/>
        <w:ind w:left="851" w:right="-1"/>
        <w:rPr>
          <w:sz w:val="24"/>
          <w:szCs w:val="24"/>
        </w:rPr>
      </w:pPr>
      <w:r w:rsidRPr="002F43F3">
        <w:rPr>
          <w:sz w:val="24"/>
          <w:szCs w:val="24"/>
        </w:rPr>
        <w:t xml:space="preserve">20 ml injektionsvæske, opløsning, indeholder 5586,4 mg </w:t>
      </w:r>
      <w:proofErr w:type="spellStart"/>
      <w:r w:rsidRPr="002F43F3">
        <w:rPr>
          <w:sz w:val="24"/>
          <w:szCs w:val="24"/>
        </w:rPr>
        <w:t>gadoterinsyre</w:t>
      </w:r>
      <w:proofErr w:type="spellEnd"/>
      <w:r w:rsidRPr="002F43F3">
        <w:rPr>
          <w:sz w:val="24"/>
          <w:szCs w:val="24"/>
        </w:rPr>
        <w:t xml:space="preserve"> (som </w:t>
      </w:r>
      <w:proofErr w:type="spellStart"/>
      <w:r w:rsidRPr="002F43F3">
        <w:rPr>
          <w:sz w:val="24"/>
          <w:szCs w:val="24"/>
        </w:rPr>
        <w:t>megluminsalt</w:t>
      </w:r>
      <w:proofErr w:type="spellEnd"/>
      <w:r w:rsidRPr="002F43F3">
        <w:rPr>
          <w:sz w:val="24"/>
          <w:szCs w:val="24"/>
        </w:rPr>
        <w:t>) svarende til 10 mmol.</w:t>
      </w:r>
    </w:p>
    <w:p w:rsidR="00AF76BD" w:rsidRPr="002F43F3" w:rsidRDefault="00AF76BD" w:rsidP="00AF76BD">
      <w:pPr>
        <w:spacing w:line="260" w:lineRule="exact"/>
        <w:ind w:left="851" w:right="-1" w:hanging="851"/>
        <w:rPr>
          <w:sz w:val="24"/>
          <w:szCs w:val="24"/>
        </w:rPr>
      </w:pPr>
    </w:p>
    <w:p w:rsidR="00AF76BD" w:rsidRPr="002F43F3" w:rsidRDefault="00AF76BD" w:rsidP="00AF76BD">
      <w:pPr>
        <w:spacing w:line="260" w:lineRule="exact"/>
        <w:ind w:left="851" w:right="-1"/>
        <w:rPr>
          <w:sz w:val="24"/>
          <w:szCs w:val="24"/>
        </w:rPr>
      </w:pPr>
      <w:r w:rsidRPr="002F43F3">
        <w:rPr>
          <w:sz w:val="24"/>
          <w:szCs w:val="24"/>
        </w:rPr>
        <w:t>Alle hjælpestoffer er anført under pkt. 6.1.</w:t>
      </w:r>
    </w:p>
    <w:p w:rsidR="00AF76BD" w:rsidRPr="002F43F3" w:rsidRDefault="00AF76BD" w:rsidP="00AF76BD">
      <w:pPr>
        <w:ind w:left="851" w:right="-1" w:hanging="851"/>
        <w:rPr>
          <w:sz w:val="24"/>
          <w:szCs w:val="24"/>
        </w:rPr>
      </w:pPr>
    </w:p>
    <w:p w:rsidR="00AF76BD" w:rsidRPr="002F43F3" w:rsidRDefault="00AF76BD" w:rsidP="00AF76BD">
      <w:pPr>
        <w:ind w:left="851" w:right="-1" w:hanging="851"/>
        <w:rPr>
          <w:b/>
          <w:sz w:val="24"/>
          <w:szCs w:val="24"/>
        </w:rPr>
      </w:pPr>
      <w:r w:rsidRPr="002F43F3">
        <w:rPr>
          <w:b/>
          <w:sz w:val="24"/>
          <w:szCs w:val="24"/>
        </w:rPr>
        <w:t>3.</w:t>
      </w:r>
      <w:r w:rsidRPr="002F43F3">
        <w:rPr>
          <w:b/>
          <w:sz w:val="24"/>
          <w:szCs w:val="24"/>
        </w:rPr>
        <w:tab/>
        <w:t>LÆGEMIDDELFORM</w:t>
      </w:r>
    </w:p>
    <w:p w:rsidR="00AF76BD" w:rsidRDefault="00AF76BD" w:rsidP="00AF76BD">
      <w:pPr>
        <w:spacing w:line="260" w:lineRule="exact"/>
        <w:ind w:left="851" w:right="-1"/>
        <w:rPr>
          <w:sz w:val="24"/>
          <w:szCs w:val="24"/>
        </w:rPr>
      </w:pPr>
      <w:r w:rsidRPr="002F43F3">
        <w:rPr>
          <w:sz w:val="24"/>
          <w:szCs w:val="24"/>
        </w:rPr>
        <w:t>Injektionsvæske, opløsning</w:t>
      </w:r>
    </w:p>
    <w:p w:rsidR="0073799B" w:rsidRPr="002F43F3" w:rsidRDefault="0073799B" w:rsidP="00AF76BD">
      <w:pPr>
        <w:spacing w:line="260" w:lineRule="exact"/>
        <w:ind w:left="851" w:right="-1"/>
        <w:rPr>
          <w:sz w:val="24"/>
          <w:szCs w:val="24"/>
        </w:rPr>
      </w:pPr>
    </w:p>
    <w:p w:rsidR="00AF76BD" w:rsidRPr="002F43F3" w:rsidRDefault="00AF76BD" w:rsidP="00AF76BD">
      <w:pPr>
        <w:spacing w:line="260" w:lineRule="exact"/>
        <w:ind w:left="851" w:right="-1"/>
        <w:rPr>
          <w:sz w:val="24"/>
          <w:szCs w:val="24"/>
        </w:rPr>
      </w:pPr>
      <w:r w:rsidRPr="002F43F3">
        <w:rPr>
          <w:sz w:val="24"/>
          <w:szCs w:val="24"/>
        </w:rPr>
        <w:t>Klar, farveløs til gul opløsning.</w:t>
      </w:r>
    </w:p>
    <w:p w:rsidR="00AF76BD" w:rsidRPr="002F43F3" w:rsidRDefault="00AF76BD" w:rsidP="00AF76BD">
      <w:pPr>
        <w:spacing w:line="260" w:lineRule="exact"/>
        <w:ind w:left="851" w:right="-1" w:hanging="851"/>
        <w:rPr>
          <w:sz w:val="24"/>
          <w:szCs w:val="24"/>
        </w:rPr>
      </w:pPr>
    </w:p>
    <w:tbl>
      <w:tblPr>
        <w:tblW w:w="0" w:type="auto"/>
        <w:tblInd w:w="843" w:type="dxa"/>
        <w:tblLayout w:type="fixed"/>
        <w:tblCellMar>
          <w:left w:w="0" w:type="dxa"/>
          <w:right w:w="0" w:type="dxa"/>
        </w:tblCellMar>
        <w:tblLook w:val="01E0" w:firstRow="1" w:lastRow="1" w:firstColumn="1" w:lastColumn="1" w:noHBand="0" w:noVBand="0"/>
      </w:tblPr>
      <w:tblGrid>
        <w:gridCol w:w="3260"/>
        <w:gridCol w:w="2169"/>
      </w:tblGrid>
      <w:tr w:rsidR="00AF76BD" w:rsidRPr="0073799B" w:rsidTr="003B4BCE">
        <w:tc>
          <w:tcPr>
            <w:tcW w:w="3260" w:type="dxa"/>
            <w:tcBorders>
              <w:top w:val="single" w:sz="6" w:space="0" w:color="000000"/>
              <w:left w:val="single" w:sz="6" w:space="0" w:color="000000"/>
              <w:bottom w:val="single" w:sz="6" w:space="0" w:color="000000"/>
              <w:right w:val="single" w:sz="6" w:space="0" w:color="000000"/>
            </w:tcBorders>
          </w:tcPr>
          <w:p w:rsidR="00AF76BD" w:rsidRPr="0073799B" w:rsidRDefault="00AF76BD" w:rsidP="003B4BCE">
            <w:pPr>
              <w:spacing w:before="40" w:after="40"/>
              <w:ind w:left="168" w:right="-1"/>
              <w:rPr>
                <w:b/>
                <w:sz w:val="24"/>
                <w:szCs w:val="24"/>
              </w:rPr>
            </w:pPr>
            <w:r w:rsidRPr="0073799B">
              <w:rPr>
                <w:b/>
                <w:sz w:val="24"/>
                <w:szCs w:val="24"/>
              </w:rPr>
              <w:t>Koncentration af kontraststof</w:t>
            </w:r>
          </w:p>
        </w:tc>
        <w:tc>
          <w:tcPr>
            <w:tcW w:w="2169" w:type="dxa"/>
            <w:tcBorders>
              <w:top w:val="single" w:sz="6" w:space="0" w:color="000000"/>
              <w:left w:val="single" w:sz="6" w:space="0" w:color="000000"/>
              <w:bottom w:val="single" w:sz="6" w:space="0" w:color="000000"/>
              <w:right w:val="single" w:sz="6" w:space="0" w:color="000000"/>
            </w:tcBorders>
          </w:tcPr>
          <w:p w:rsidR="00AF76BD" w:rsidRPr="0073799B" w:rsidRDefault="00AF76BD" w:rsidP="003B4BCE">
            <w:pPr>
              <w:spacing w:before="40" w:after="40"/>
              <w:ind w:left="168" w:right="-1"/>
              <w:rPr>
                <w:b/>
                <w:sz w:val="24"/>
                <w:szCs w:val="24"/>
              </w:rPr>
            </w:pPr>
            <w:r w:rsidRPr="0073799B">
              <w:rPr>
                <w:b/>
                <w:sz w:val="24"/>
                <w:szCs w:val="24"/>
              </w:rPr>
              <w:t>279,32 mg/ml</w:t>
            </w:r>
          </w:p>
          <w:p w:rsidR="00AF76BD" w:rsidRPr="0073799B" w:rsidRDefault="00AF76BD" w:rsidP="003B4BCE">
            <w:pPr>
              <w:spacing w:before="40" w:after="40"/>
              <w:ind w:left="168" w:right="-1"/>
              <w:rPr>
                <w:b/>
                <w:sz w:val="24"/>
                <w:szCs w:val="24"/>
              </w:rPr>
            </w:pPr>
            <w:r w:rsidRPr="0073799B">
              <w:rPr>
                <w:b/>
                <w:sz w:val="24"/>
                <w:szCs w:val="24"/>
              </w:rPr>
              <w:t>0,5 mmol/ml</w:t>
            </w:r>
          </w:p>
        </w:tc>
      </w:tr>
      <w:tr w:rsidR="00AF76BD" w:rsidRPr="002F43F3" w:rsidTr="003B4BCE">
        <w:tc>
          <w:tcPr>
            <w:tcW w:w="3260" w:type="dxa"/>
            <w:tcBorders>
              <w:top w:val="single" w:sz="6" w:space="0" w:color="000000"/>
              <w:left w:val="single" w:sz="6" w:space="0" w:color="000000"/>
              <w:bottom w:val="single" w:sz="6" w:space="0" w:color="000000"/>
              <w:right w:val="single" w:sz="6" w:space="0" w:color="000000"/>
            </w:tcBorders>
          </w:tcPr>
          <w:p w:rsidR="00AF76BD" w:rsidRPr="002F43F3" w:rsidRDefault="00AF76BD" w:rsidP="003B4BCE">
            <w:pPr>
              <w:spacing w:before="40" w:after="40"/>
              <w:ind w:left="168" w:right="-1"/>
              <w:rPr>
                <w:sz w:val="24"/>
                <w:szCs w:val="24"/>
              </w:rPr>
            </w:pPr>
            <w:proofErr w:type="spellStart"/>
            <w:r w:rsidRPr="002F43F3">
              <w:rPr>
                <w:sz w:val="24"/>
                <w:szCs w:val="24"/>
              </w:rPr>
              <w:t>Osmolalitet</w:t>
            </w:r>
            <w:proofErr w:type="spellEnd"/>
            <w:r w:rsidRPr="002F43F3">
              <w:rPr>
                <w:sz w:val="24"/>
                <w:szCs w:val="24"/>
              </w:rPr>
              <w:t xml:space="preserve"> ved 37 °C</w:t>
            </w:r>
          </w:p>
        </w:tc>
        <w:tc>
          <w:tcPr>
            <w:tcW w:w="2169" w:type="dxa"/>
            <w:tcBorders>
              <w:top w:val="single" w:sz="6" w:space="0" w:color="000000"/>
              <w:left w:val="single" w:sz="6" w:space="0" w:color="000000"/>
              <w:bottom w:val="single" w:sz="6" w:space="0" w:color="000000"/>
              <w:right w:val="single" w:sz="6" w:space="0" w:color="000000"/>
            </w:tcBorders>
          </w:tcPr>
          <w:p w:rsidR="00AF76BD" w:rsidRPr="002F43F3" w:rsidRDefault="00AF76BD" w:rsidP="003B4BCE">
            <w:pPr>
              <w:spacing w:before="40" w:after="40"/>
              <w:ind w:left="168" w:right="-1"/>
              <w:rPr>
                <w:sz w:val="24"/>
                <w:szCs w:val="24"/>
              </w:rPr>
            </w:pPr>
            <w:r w:rsidRPr="002F43F3">
              <w:rPr>
                <w:sz w:val="24"/>
                <w:szCs w:val="24"/>
              </w:rPr>
              <w:t>1,35 </w:t>
            </w:r>
            <w:proofErr w:type="spellStart"/>
            <w:r w:rsidRPr="002F43F3">
              <w:rPr>
                <w:sz w:val="24"/>
                <w:szCs w:val="24"/>
              </w:rPr>
              <w:t>Osm</w:t>
            </w:r>
            <w:proofErr w:type="spellEnd"/>
            <w:r w:rsidRPr="002F43F3">
              <w:rPr>
                <w:sz w:val="24"/>
                <w:szCs w:val="24"/>
              </w:rPr>
              <w:t>/kg H</w:t>
            </w:r>
            <w:r w:rsidRPr="002F43F3">
              <w:rPr>
                <w:sz w:val="24"/>
                <w:szCs w:val="24"/>
                <w:vertAlign w:val="subscript"/>
              </w:rPr>
              <w:t>2</w:t>
            </w:r>
            <w:r w:rsidRPr="002F43F3">
              <w:rPr>
                <w:sz w:val="24"/>
                <w:szCs w:val="24"/>
              </w:rPr>
              <w:t>O</w:t>
            </w:r>
          </w:p>
        </w:tc>
      </w:tr>
      <w:tr w:rsidR="00AF76BD" w:rsidRPr="002F43F3" w:rsidTr="003B4BCE">
        <w:tc>
          <w:tcPr>
            <w:tcW w:w="3260" w:type="dxa"/>
            <w:tcBorders>
              <w:top w:val="single" w:sz="6" w:space="0" w:color="000000"/>
              <w:left w:val="single" w:sz="6" w:space="0" w:color="000000"/>
              <w:bottom w:val="single" w:sz="6" w:space="0" w:color="000000"/>
              <w:right w:val="single" w:sz="6" w:space="0" w:color="000000"/>
            </w:tcBorders>
          </w:tcPr>
          <w:p w:rsidR="00AF76BD" w:rsidRPr="002F43F3" w:rsidRDefault="00AF76BD" w:rsidP="003B4BCE">
            <w:pPr>
              <w:spacing w:before="40" w:after="40"/>
              <w:ind w:left="168" w:right="-1"/>
              <w:rPr>
                <w:sz w:val="24"/>
                <w:szCs w:val="24"/>
              </w:rPr>
            </w:pPr>
            <w:r w:rsidRPr="002F43F3">
              <w:rPr>
                <w:sz w:val="24"/>
                <w:szCs w:val="24"/>
              </w:rPr>
              <w:t>Viskositet ved 37 °C</w:t>
            </w:r>
          </w:p>
        </w:tc>
        <w:tc>
          <w:tcPr>
            <w:tcW w:w="2169" w:type="dxa"/>
            <w:tcBorders>
              <w:top w:val="single" w:sz="6" w:space="0" w:color="000000"/>
              <w:left w:val="single" w:sz="6" w:space="0" w:color="000000"/>
              <w:bottom w:val="single" w:sz="6" w:space="0" w:color="000000"/>
              <w:right w:val="single" w:sz="6" w:space="0" w:color="000000"/>
            </w:tcBorders>
          </w:tcPr>
          <w:p w:rsidR="00AF76BD" w:rsidRPr="002F43F3" w:rsidRDefault="00AF76BD" w:rsidP="003B4BCE">
            <w:pPr>
              <w:spacing w:before="40" w:after="40"/>
              <w:ind w:left="168" w:right="-1"/>
              <w:rPr>
                <w:sz w:val="24"/>
                <w:szCs w:val="24"/>
              </w:rPr>
            </w:pPr>
            <w:r w:rsidRPr="002F43F3">
              <w:rPr>
                <w:sz w:val="24"/>
                <w:szCs w:val="24"/>
              </w:rPr>
              <w:t>1,8 </w:t>
            </w:r>
            <w:proofErr w:type="spellStart"/>
            <w:r w:rsidRPr="002F43F3">
              <w:rPr>
                <w:sz w:val="24"/>
                <w:szCs w:val="24"/>
              </w:rPr>
              <w:t>mPas</w:t>
            </w:r>
            <w:proofErr w:type="spellEnd"/>
          </w:p>
        </w:tc>
      </w:tr>
      <w:tr w:rsidR="00AF76BD" w:rsidRPr="002F43F3" w:rsidTr="003B4BCE">
        <w:tc>
          <w:tcPr>
            <w:tcW w:w="3260" w:type="dxa"/>
            <w:tcBorders>
              <w:top w:val="single" w:sz="6" w:space="0" w:color="000000"/>
              <w:left w:val="single" w:sz="6" w:space="0" w:color="000000"/>
              <w:bottom w:val="single" w:sz="6" w:space="0" w:color="000000"/>
              <w:right w:val="single" w:sz="6" w:space="0" w:color="000000"/>
            </w:tcBorders>
          </w:tcPr>
          <w:p w:rsidR="00AF76BD" w:rsidRPr="002F43F3" w:rsidRDefault="00AF76BD" w:rsidP="003B4BCE">
            <w:pPr>
              <w:spacing w:before="40" w:after="40"/>
              <w:ind w:left="168" w:right="-1"/>
              <w:rPr>
                <w:sz w:val="24"/>
                <w:szCs w:val="24"/>
              </w:rPr>
            </w:pPr>
            <w:r w:rsidRPr="002F43F3">
              <w:rPr>
                <w:sz w:val="24"/>
                <w:szCs w:val="24"/>
              </w:rPr>
              <w:t>pH-værdi</w:t>
            </w:r>
          </w:p>
        </w:tc>
        <w:tc>
          <w:tcPr>
            <w:tcW w:w="2169" w:type="dxa"/>
            <w:tcBorders>
              <w:top w:val="single" w:sz="6" w:space="0" w:color="000000"/>
              <w:left w:val="single" w:sz="6" w:space="0" w:color="000000"/>
              <w:bottom w:val="single" w:sz="6" w:space="0" w:color="000000"/>
              <w:right w:val="single" w:sz="6" w:space="0" w:color="000000"/>
            </w:tcBorders>
          </w:tcPr>
          <w:p w:rsidR="00AF76BD" w:rsidRPr="002F43F3" w:rsidRDefault="00AF76BD" w:rsidP="003B4BCE">
            <w:pPr>
              <w:spacing w:before="40" w:after="40"/>
              <w:ind w:left="168" w:right="-1"/>
              <w:rPr>
                <w:sz w:val="24"/>
                <w:szCs w:val="24"/>
              </w:rPr>
            </w:pPr>
            <w:r w:rsidRPr="002F43F3">
              <w:rPr>
                <w:sz w:val="24"/>
                <w:szCs w:val="24"/>
              </w:rPr>
              <w:t>6,5-8,0</w:t>
            </w:r>
          </w:p>
        </w:tc>
      </w:tr>
    </w:tbl>
    <w:p w:rsidR="00AF76BD" w:rsidRPr="002F43F3" w:rsidRDefault="00AF76BD" w:rsidP="00AF76BD">
      <w:pPr>
        <w:spacing w:line="260" w:lineRule="exact"/>
        <w:ind w:left="851" w:right="-1" w:hanging="851"/>
        <w:rPr>
          <w:sz w:val="24"/>
          <w:szCs w:val="24"/>
        </w:rPr>
      </w:pPr>
    </w:p>
    <w:p w:rsidR="00AF76BD" w:rsidRPr="002F43F3" w:rsidRDefault="00AF76BD" w:rsidP="00AF76BD">
      <w:pPr>
        <w:ind w:left="851" w:right="-1" w:hanging="851"/>
        <w:rPr>
          <w:sz w:val="24"/>
          <w:szCs w:val="24"/>
        </w:rPr>
      </w:pPr>
    </w:p>
    <w:p w:rsidR="00AF76BD" w:rsidRPr="002F43F3" w:rsidRDefault="00AF76BD" w:rsidP="00AF76BD">
      <w:pPr>
        <w:ind w:left="851" w:right="-1" w:hanging="851"/>
        <w:rPr>
          <w:b/>
          <w:sz w:val="24"/>
          <w:szCs w:val="24"/>
        </w:rPr>
      </w:pPr>
      <w:r w:rsidRPr="002F43F3">
        <w:rPr>
          <w:b/>
          <w:sz w:val="24"/>
          <w:szCs w:val="24"/>
        </w:rPr>
        <w:t>4.</w:t>
      </w:r>
      <w:r w:rsidRPr="002F43F3">
        <w:rPr>
          <w:b/>
          <w:sz w:val="24"/>
          <w:szCs w:val="24"/>
        </w:rPr>
        <w:tab/>
        <w:t>KLINISKE OPLYSNINGER</w:t>
      </w:r>
    </w:p>
    <w:p w:rsidR="00AF76BD" w:rsidRPr="002F43F3" w:rsidRDefault="00AF76BD" w:rsidP="00AF76BD">
      <w:pPr>
        <w:ind w:left="851" w:right="-1" w:hanging="851"/>
        <w:rPr>
          <w:b/>
          <w:sz w:val="24"/>
          <w:szCs w:val="24"/>
        </w:rPr>
      </w:pPr>
    </w:p>
    <w:p w:rsidR="00AF76BD" w:rsidRPr="002F43F3" w:rsidRDefault="00AF76BD" w:rsidP="00AF76BD">
      <w:pPr>
        <w:ind w:left="851" w:right="-1" w:hanging="851"/>
        <w:rPr>
          <w:b/>
          <w:sz w:val="24"/>
          <w:szCs w:val="24"/>
          <w:u w:val="single"/>
        </w:rPr>
      </w:pPr>
      <w:r w:rsidRPr="002F43F3">
        <w:rPr>
          <w:b/>
          <w:sz w:val="24"/>
          <w:szCs w:val="24"/>
        </w:rPr>
        <w:t>4.1</w:t>
      </w:r>
      <w:r w:rsidRPr="002F43F3">
        <w:rPr>
          <w:b/>
          <w:sz w:val="24"/>
          <w:szCs w:val="24"/>
        </w:rPr>
        <w:tab/>
        <w:t>Terapeutiske indikationer</w:t>
      </w:r>
    </w:p>
    <w:p w:rsidR="00AF76BD" w:rsidRPr="002F43F3" w:rsidRDefault="00AF76BD" w:rsidP="00AF76BD">
      <w:pPr>
        <w:ind w:left="851" w:right="-1"/>
        <w:rPr>
          <w:sz w:val="24"/>
          <w:szCs w:val="24"/>
        </w:rPr>
      </w:pPr>
      <w:r w:rsidRPr="002F43F3">
        <w:rPr>
          <w:sz w:val="24"/>
          <w:szCs w:val="24"/>
        </w:rPr>
        <w:t>Dette lægemiddel er kun til diagnostisk brug.</w:t>
      </w:r>
    </w:p>
    <w:p w:rsidR="00AF76BD" w:rsidRPr="002F43F3" w:rsidRDefault="00AF76BD" w:rsidP="00AF76BD">
      <w:pPr>
        <w:ind w:left="851" w:right="-1" w:hanging="851"/>
        <w:rPr>
          <w:sz w:val="24"/>
          <w:szCs w:val="24"/>
        </w:rPr>
      </w:pPr>
    </w:p>
    <w:p w:rsidR="00AF76BD" w:rsidRPr="002F43F3" w:rsidRDefault="00AF76BD" w:rsidP="00AF76BD">
      <w:pPr>
        <w:ind w:left="851" w:right="-1"/>
        <w:rPr>
          <w:sz w:val="24"/>
          <w:szCs w:val="24"/>
        </w:rPr>
      </w:pPr>
      <w:r w:rsidRPr="002F43F3">
        <w:rPr>
          <w:sz w:val="24"/>
          <w:szCs w:val="24"/>
        </w:rPr>
        <w:t>Dotagraf er et kontrastmiddel indiceret til kontrastforstærkning ved magnetisk resonansscanning (MR-scanning) for bedre visualisering/afgrænsning hos:</w:t>
      </w:r>
    </w:p>
    <w:p w:rsidR="00AF76BD" w:rsidRPr="002F43F3" w:rsidRDefault="00AF76BD" w:rsidP="00AF76BD">
      <w:pPr>
        <w:ind w:left="851" w:right="-1"/>
        <w:rPr>
          <w:i/>
          <w:sz w:val="24"/>
          <w:szCs w:val="24"/>
        </w:rPr>
      </w:pPr>
    </w:p>
    <w:p w:rsidR="00AF76BD" w:rsidRPr="006A691C" w:rsidRDefault="00AF76BD" w:rsidP="00AF76BD">
      <w:pPr>
        <w:ind w:left="851" w:right="-1"/>
        <w:rPr>
          <w:sz w:val="24"/>
          <w:szCs w:val="24"/>
          <w:u w:val="single"/>
        </w:rPr>
      </w:pPr>
      <w:bookmarkStart w:id="0" w:name="_Hlk524518052"/>
      <w:r w:rsidRPr="006A691C">
        <w:rPr>
          <w:sz w:val="24"/>
          <w:szCs w:val="24"/>
          <w:u w:val="single"/>
        </w:rPr>
        <w:t>Voksne og børn (0-18 år)</w:t>
      </w:r>
      <w:bookmarkEnd w:id="0"/>
    </w:p>
    <w:p w:rsidR="00AF76BD" w:rsidRPr="002F43F3" w:rsidRDefault="00AF76BD" w:rsidP="006A691C">
      <w:pPr>
        <w:pStyle w:val="Listeafsnit"/>
        <w:numPr>
          <w:ilvl w:val="0"/>
          <w:numId w:val="6"/>
        </w:numPr>
        <w:spacing w:after="0" w:line="240" w:lineRule="auto"/>
        <w:ind w:left="1134" w:right="-1" w:hanging="283"/>
        <w:rPr>
          <w:rFonts w:ascii="Times New Roman" w:hAnsi="Times New Roman" w:cs="Times New Roman"/>
          <w:sz w:val="24"/>
          <w:szCs w:val="24"/>
        </w:rPr>
      </w:pPr>
      <w:r w:rsidRPr="002F43F3">
        <w:rPr>
          <w:rFonts w:ascii="Times New Roman" w:hAnsi="Times New Roman" w:cs="Times New Roman"/>
          <w:sz w:val="24"/>
          <w:szCs w:val="24"/>
        </w:rPr>
        <w:t>MR-scanning af centralnervesystemet, herunder af læsioner i hjerne, rygsøjle og omgivende væv</w:t>
      </w:r>
    </w:p>
    <w:p w:rsidR="00AF76BD" w:rsidRPr="002F43F3" w:rsidRDefault="00AF76BD" w:rsidP="006A691C">
      <w:pPr>
        <w:pStyle w:val="Listeafsnit"/>
        <w:numPr>
          <w:ilvl w:val="0"/>
          <w:numId w:val="6"/>
        </w:numPr>
        <w:spacing w:after="0" w:line="240" w:lineRule="auto"/>
        <w:ind w:left="1134" w:right="-1" w:hanging="283"/>
        <w:rPr>
          <w:rFonts w:ascii="Times New Roman" w:hAnsi="Times New Roman" w:cs="Times New Roman"/>
          <w:sz w:val="24"/>
          <w:szCs w:val="24"/>
        </w:rPr>
      </w:pPr>
      <w:bookmarkStart w:id="1" w:name="_Hlk524518394"/>
      <w:r w:rsidRPr="002F43F3">
        <w:rPr>
          <w:rFonts w:ascii="Times New Roman" w:hAnsi="Times New Roman" w:cs="Times New Roman"/>
          <w:sz w:val="24"/>
          <w:szCs w:val="24"/>
        </w:rPr>
        <w:t>Helkrops-MR-scanning</w:t>
      </w:r>
      <w:bookmarkEnd w:id="1"/>
      <w:r w:rsidRPr="002F43F3">
        <w:rPr>
          <w:rFonts w:ascii="Times New Roman" w:hAnsi="Times New Roman" w:cs="Times New Roman"/>
          <w:sz w:val="24"/>
          <w:szCs w:val="24"/>
        </w:rPr>
        <w:t>, herunder af læsioner i lever, nyrer, bugspytkirtel, bækken, lunger, hjerte, bryst og bevægeapparat</w:t>
      </w:r>
    </w:p>
    <w:p w:rsidR="00AF76BD" w:rsidRPr="002F43F3" w:rsidRDefault="00AF76BD" w:rsidP="00AF76BD">
      <w:pPr>
        <w:pStyle w:val="Listeafsnit"/>
        <w:ind w:right="-1"/>
        <w:rPr>
          <w:rFonts w:ascii="Times New Roman" w:hAnsi="Times New Roman" w:cs="Times New Roman"/>
          <w:i/>
          <w:sz w:val="24"/>
          <w:szCs w:val="24"/>
        </w:rPr>
      </w:pPr>
    </w:p>
    <w:p w:rsidR="00AF76BD" w:rsidRPr="006A691C" w:rsidRDefault="00AF76BD" w:rsidP="00AF76BD">
      <w:pPr>
        <w:pStyle w:val="Listeafsnit"/>
        <w:ind w:right="-1" w:firstLine="131"/>
        <w:rPr>
          <w:rFonts w:ascii="Times New Roman" w:hAnsi="Times New Roman" w:cs="Times New Roman"/>
          <w:sz w:val="24"/>
          <w:szCs w:val="24"/>
          <w:u w:val="single"/>
        </w:rPr>
      </w:pPr>
      <w:r w:rsidRPr="006A691C">
        <w:rPr>
          <w:rFonts w:ascii="Times New Roman" w:hAnsi="Times New Roman" w:cs="Times New Roman"/>
          <w:sz w:val="24"/>
          <w:szCs w:val="24"/>
          <w:u w:val="single"/>
        </w:rPr>
        <w:t>Voksne</w:t>
      </w:r>
    </w:p>
    <w:p w:rsidR="00AF76BD" w:rsidRPr="002F43F3" w:rsidRDefault="00AF76BD" w:rsidP="006A691C">
      <w:pPr>
        <w:pStyle w:val="Listeafsnit"/>
        <w:numPr>
          <w:ilvl w:val="0"/>
          <w:numId w:val="6"/>
        </w:numPr>
        <w:spacing w:after="0" w:line="240" w:lineRule="auto"/>
        <w:ind w:left="1134" w:right="-1" w:hanging="283"/>
        <w:rPr>
          <w:rFonts w:ascii="Times New Roman" w:hAnsi="Times New Roman" w:cs="Times New Roman"/>
          <w:sz w:val="24"/>
          <w:szCs w:val="24"/>
        </w:rPr>
      </w:pPr>
      <w:r w:rsidRPr="002F43F3">
        <w:rPr>
          <w:rFonts w:ascii="Times New Roman" w:hAnsi="Times New Roman" w:cs="Times New Roman"/>
          <w:sz w:val="24"/>
          <w:szCs w:val="24"/>
        </w:rPr>
        <w:t>MR-</w:t>
      </w:r>
      <w:proofErr w:type="spellStart"/>
      <w:r w:rsidRPr="002F43F3">
        <w:rPr>
          <w:rFonts w:ascii="Times New Roman" w:hAnsi="Times New Roman" w:cs="Times New Roman"/>
          <w:sz w:val="24"/>
          <w:szCs w:val="24"/>
        </w:rPr>
        <w:t>angiografi</w:t>
      </w:r>
      <w:proofErr w:type="spellEnd"/>
      <w:r w:rsidRPr="002F43F3">
        <w:rPr>
          <w:rFonts w:ascii="Times New Roman" w:hAnsi="Times New Roman" w:cs="Times New Roman"/>
          <w:sz w:val="24"/>
          <w:szCs w:val="24"/>
        </w:rPr>
        <w:t>, herunder af læsioner eller stenoser i ikke-</w:t>
      </w:r>
      <w:proofErr w:type="spellStart"/>
      <w:r w:rsidRPr="002F43F3">
        <w:rPr>
          <w:rFonts w:ascii="Times New Roman" w:hAnsi="Times New Roman" w:cs="Times New Roman"/>
          <w:sz w:val="24"/>
          <w:szCs w:val="24"/>
        </w:rPr>
        <w:t>koronare</w:t>
      </w:r>
      <w:proofErr w:type="spellEnd"/>
      <w:r w:rsidRPr="002F43F3">
        <w:rPr>
          <w:rFonts w:ascii="Times New Roman" w:hAnsi="Times New Roman" w:cs="Times New Roman"/>
          <w:sz w:val="24"/>
          <w:szCs w:val="24"/>
        </w:rPr>
        <w:t xml:space="preserve"> arterier.</w:t>
      </w:r>
    </w:p>
    <w:p w:rsidR="00AF76BD" w:rsidRPr="002F43F3" w:rsidRDefault="00AF76BD" w:rsidP="00AF76BD">
      <w:pPr>
        <w:ind w:left="851" w:right="-1" w:hanging="851"/>
        <w:rPr>
          <w:sz w:val="24"/>
          <w:szCs w:val="24"/>
        </w:rPr>
      </w:pPr>
    </w:p>
    <w:p w:rsidR="00AF76BD" w:rsidRPr="002F43F3" w:rsidRDefault="00AF76BD" w:rsidP="00AF76BD">
      <w:pPr>
        <w:ind w:left="851" w:right="-1"/>
        <w:rPr>
          <w:sz w:val="24"/>
          <w:szCs w:val="24"/>
        </w:rPr>
      </w:pPr>
      <w:r w:rsidRPr="002F43F3">
        <w:rPr>
          <w:sz w:val="24"/>
          <w:szCs w:val="24"/>
        </w:rPr>
        <w:t>Dotagraf må kun anvendes, når den diagnostiske information er essentiel og ikke tilgængelig med ikke-kontrastforstærket MR-scanning.</w:t>
      </w:r>
    </w:p>
    <w:p w:rsidR="00AF76BD" w:rsidRPr="002F43F3" w:rsidRDefault="00AF76BD" w:rsidP="00AF76BD">
      <w:pPr>
        <w:ind w:left="851" w:right="-1" w:hanging="851"/>
        <w:rPr>
          <w:sz w:val="24"/>
          <w:szCs w:val="24"/>
        </w:rPr>
      </w:pPr>
    </w:p>
    <w:p w:rsidR="00AF76BD" w:rsidRPr="002F43F3" w:rsidRDefault="00AF76BD" w:rsidP="00AF76BD">
      <w:pPr>
        <w:ind w:left="851" w:right="-1" w:hanging="851"/>
        <w:rPr>
          <w:b/>
          <w:sz w:val="24"/>
          <w:szCs w:val="24"/>
        </w:rPr>
      </w:pPr>
      <w:r w:rsidRPr="002F43F3">
        <w:rPr>
          <w:b/>
          <w:sz w:val="24"/>
          <w:szCs w:val="24"/>
        </w:rPr>
        <w:t>4.2</w:t>
      </w:r>
      <w:r w:rsidRPr="002F43F3">
        <w:rPr>
          <w:b/>
          <w:sz w:val="24"/>
          <w:szCs w:val="24"/>
        </w:rPr>
        <w:tab/>
        <w:t xml:space="preserve">Dosering og </w:t>
      </w:r>
      <w:r w:rsidR="002B1D8E">
        <w:rPr>
          <w:b/>
          <w:sz w:val="24"/>
          <w:szCs w:val="24"/>
        </w:rPr>
        <w:t>administration</w:t>
      </w:r>
    </w:p>
    <w:p w:rsidR="006A691C" w:rsidRDefault="006A691C" w:rsidP="00AF76BD">
      <w:pPr>
        <w:spacing w:line="260" w:lineRule="exact"/>
        <w:ind w:left="851" w:right="-1"/>
        <w:rPr>
          <w:sz w:val="24"/>
          <w:szCs w:val="24"/>
          <w:u w:val="single"/>
        </w:rPr>
      </w:pPr>
    </w:p>
    <w:p w:rsidR="00AF76BD" w:rsidRPr="006A691C" w:rsidRDefault="00AF76BD" w:rsidP="00AF76BD">
      <w:pPr>
        <w:spacing w:line="260" w:lineRule="exact"/>
        <w:ind w:left="851" w:right="-1"/>
        <w:rPr>
          <w:b/>
          <w:sz w:val="24"/>
          <w:szCs w:val="24"/>
        </w:rPr>
      </w:pPr>
      <w:r w:rsidRPr="006A691C">
        <w:rPr>
          <w:b/>
          <w:sz w:val="24"/>
          <w:szCs w:val="24"/>
        </w:rPr>
        <w:t>Dosering</w:t>
      </w:r>
    </w:p>
    <w:p w:rsidR="00AF76BD" w:rsidRPr="002F43F3" w:rsidRDefault="00AF76BD" w:rsidP="00AF76BD">
      <w:pPr>
        <w:ind w:left="851" w:right="-1"/>
        <w:rPr>
          <w:sz w:val="24"/>
          <w:szCs w:val="24"/>
        </w:rPr>
      </w:pPr>
      <w:r w:rsidRPr="002F43F3">
        <w:rPr>
          <w:sz w:val="24"/>
          <w:szCs w:val="24"/>
        </w:rPr>
        <w:t>Der skal anvendes den laveste dosis, som giver en tilstrækkelig forstærkning til diagnostiske formål. Dosis skal beregnes baseret på patientens legemsvægt, og den må ikke overskride den anbefalede dosis pr. kg legemsvægt, som beskrives i dette pkt.</w:t>
      </w:r>
    </w:p>
    <w:p w:rsidR="00AF76BD" w:rsidRPr="002F43F3" w:rsidRDefault="00AF76BD" w:rsidP="00AF76BD">
      <w:pPr>
        <w:ind w:left="851" w:right="-1"/>
        <w:rPr>
          <w:sz w:val="24"/>
          <w:szCs w:val="24"/>
        </w:rPr>
      </w:pPr>
    </w:p>
    <w:p w:rsidR="00AF76BD" w:rsidRPr="002F43F3" w:rsidRDefault="00AF76BD" w:rsidP="00AF76BD">
      <w:pPr>
        <w:ind w:left="851" w:right="-1"/>
        <w:rPr>
          <w:i/>
          <w:sz w:val="24"/>
          <w:szCs w:val="24"/>
        </w:rPr>
      </w:pPr>
      <w:r w:rsidRPr="002F43F3">
        <w:rPr>
          <w:i/>
          <w:sz w:val="24"/>
          <w:szCs w:val="24"/>
        </w:rPr>
        <w:t>MR-scanning af hjerne og rygmarv</w:t>
      </w:r>
    </w:p>
    <w:p w:rsidR="00AF76BD" w:rsidRPr="002F43F3" w:rsidRDefault="00AF76BD" w:rsidP="00AF76BD">
      <w:pPr>
        <w:ind w:left="851" w:right="-1"/>
        <w:rPr>
          <w:sz w:val="24"/>
          <w:szCs w:val="24"/>
        </w:rPr>
      </w:pPr>
      <w:r w:rsidRPr="002F43F3">
        <w:rPr>
          <w:sz w:val="24"/>
          <w:szCs w:val="24"/>
        </w:rPr>
        <w:t>Ved neurologiske undersøgelser kan dosis variere fra 0,1 til 0,3 mmol/kg legemsvægt svarende til 0,2-0,6 ml/kg legemsvægt. Efter administration af 0,1 mmol/kg legemsvægt hos patienter med en hjernetumor kan en yderligere dosis på 0,2 mmol/kg legemsvægt forbedre karakteriseringen af tumoren og lette den terapeutiske beslutningsproces.</w:t>
      </w:r>
    </w:p>
    <w:p w:rsidR="00AF76BD" w:rsidRPr="002F43F3" w:rsidRDefault="00AF76BD" w:rsidP="00AF76BD">
      <w:pPr>
        <w:ind w:left="851" w:right="-1"/>
        <w:rPr>
          <w:sz w:val="24"/>
          <w:szCs w:val="24"/>
        </w:rPr>
      </w:pPr>
    </w:p>
    <w:p w:rsidR="00AF76BD" w:rsidRPr="002F43F3" w:rsidRDefault="00AF76BD" w:rsidP="00AF76BD">
      <w:pPr>
        <w:ind w:left="851" w:right="-1"/>
        <w:rPr>
          <w:i/>
          <w:sz w:val="24"/>
          <w:szCs w:val="24"/>
        </w:rPr>
      </w:pPr>
      <w:r w:rsidRPr="002F43F3">
        <w:rPr>
          <w:i/>
          <w:sz w:val="24"/>
          <w:szCs w:val="24"/>
        </w:rPr>
        <w:t xml:space="preserve">Helkrops-MR-scanning og </w:t>
      </w:r>
      <w:proofErr w:type="spellStart"/>
      <w:r w:rsidRPr="002F43F3">
        <w:rPr>
          <w:i/>
          <w:sz w:val="24"/>
          <w:szCs w:val="24"/>
        </w:rPr>
        <w:t>angiografi</w:t>
      </w:r>
      <w:proofErr w:type="spellEnd"/>
    </w:p>
    <w:p w:rsidR="00AF76BD" w:rsidRPr="002F43F3" w:rsidRDefault="00AF76BD" w:rsidP="00AF76BD">
      <w:pPr>
        <w:ind w:left="851" w:right="-1"/>
        <w:rPr>
          <w:sz w:val="24"/>
          <w:szCs w:val="24"/>
        </w:rPr>
      </w:pPr>
      <w:r w:rsidRPr="002F43F3">
        <w:rPr>
          <w:sz w:val="24"/>
          <w:szCs w:val="24"/>
        </w:rPr>
        <w:t>Den anbefalede dosis til intravenøs injektion er 0,1 mmol/kg legemsvægt (dvs. 0,2 ml/kg legemsvægt) for at opnå en tilstrækkelig diagnostisk kontrast.</w:t>
      </w:r>
    </w:p>
    <w:p w:rsidR="00AF76BD" w:rsidRPr="002F43F3" w:rsidRDefault="00AF76BD" w:rsidP="00AF76BD">
      <w:pPr>
        <w:ind w:left="851" w:right="-1"/>
        <w:rPr>
          <w:sz w:val="24"/>
          <w:szCs w:val="24"/>
        </w:rPr>
      </w:pPr>
      <w:proofErr w:type="spellStart"/>
      <w:r w:rsidRPr="002F43F3">
        <w:rPr>
          <w:sz w:val="24"/>
          <w:szCs w:val="24"/>
        </w:rPr>
        <w:t>Angiografi</w:t>
      </w:r>
      <w:proofErr w:type="spellEnd"/>
      <w:r w:rsidRPr="002F43F3">
        <w:rPr>
          <w:sz w:val="24"/>
          <w:szCs w:val="24"/>
        </w:rPr>
        <w:t xml:space="preserve">: Under særlige omstændigheder (f.eks. hvis der ikke kan opnås tilfredsstillende billeder af et større </w:t>
      </w:r>
      <w:proofErr w:type="spellStart"/>
      <w:r w:rsidRPr="002F43F3">
        <w:rPr>
          <w:sz w:val="24"/>
          <w:szCs w:val="24"/>
        </w:rPr>
        <w:t>vaskulært</w:t>
      </w:r>
      <w:proofErr w:type="spellEnd"/>
      <w:r w:rsidRPr="002F43F3">
        <w:rPr>
          <w:sz w:val="24"/>
          <w:szCs w:val="24"/>
        </w:rPr>
        <w:t xml:space="preserve"> område) kan indgift af endnu en injektion på 0,1 mmol/kg legemsvægt svarende til 0,2 ml/kg legemsvægt være nødvendig. Hvis det forventes at bruge 2 på hinanden følgende doser af Dotagraf, før </w:t>
      </w:r>
      <w:proofErr w:type="spellStart"/>
      <w:r w:rsidRPr="002F43F3">
        <w:rPr>
          <w:sz w:val="24"/>
          <w:szCs w:val="24"/>
        </w:rPr>
        <w:t>angiografien</w:t>
      </w:r>
      <w:proofErr w:type="spellEnd"/>
      <w:r w:rsidRPr="002F43F3">
        <w:rPr>
          <w:sz w:val="24"/>
          <w:szCs w:val="24"/>
        </w:rPr>
        <w:t xml:space="preserve"> påbegyndes, kan det være en fordel at anvende 0,05 mmol/kg legemsvægt svarende til 0,1 ml/kg legemsvægt for hver dosis, afhængigt af det tilgængelige billeddiagnostiske udstyr.</w:t>
      </w:r>
    </w:p>
    <w:p w:rsidR="00AF76BD" w:rsidRPr="002F43F3" w:rsidRDefault="00AF76BD" w:rsidP="00AF76BD">
      <w:pPr>
        <w:ind w:left="851" w:right="-1"/>
        <w:rPr>
          <w:b/>
          <w:sz w:val="24"/>
          <w:szCs w:val="24"/>
        </w:rPr>
      </w:pPr>
    </w:p>
    <w:p w:rsidR="00AF76BD" w:rsidRPr="002F43F3" w:rsidRDefault="00AF76BD" w:rsidP="00AF76BD">
      <w:pPr>
        <w:ind w:left="851" w:right="-1"/>
        <w:rPr>
          <w:sz w:val="24"/>
          <w:szCs w:val="24"/>
          <w:u w:val="single"/>
        </w:rPr>
      </w:pPr>
      <w:r w:rsidRPr="002F43F3">
        <w:rPr>
          <w:sz w:val="24"/>
          <w:szCs w:val="24"/>
          <w:u w:val="single"/>
        </w:rPr>
        <w:t>Særlige populationer</w:t>
      </w:r>
    </w:p>
    <w:p w:rsidR="00AF76BD" w:rsidRPr="002F43F3" w:rsidRDefault="00AF76BD" w:rsidP="00AF76BD">
      <w:pPr>
        <w:ind w:left="851" w:right="-1"/>
        <w:rPr>
          <w:sz w:val="24"/>
          <w:szCs w:val="24"/>
          <w:u w:val="single"/>
        </w:rPr>
      </w:pPr>
    </w:p>
    <w:p w:rsidR="00AF76BD" w:rsidRPr="002F43F3" w:rsidRDefault="00AF76BD" w:rsidP="00AF76BD">
      <w:pPr>
        <w:ind w:left="851" w:right="-1"/>
        <w:rPr>
          <w:i/>
          <w:sz w:val="24"/>
          <w:szCs w:val="24"/>
        </w:rPr>
      </w:pPr>
      <w:r w:rsidRPr="002F43F3">
        <w:rPr>
          <w:i/>
          <w:sz w:val="24"/>
          <w:szCs w:val="24"/>
        </w:rPr>
        <w:t>Nedsat nyrefunktion</w:t>
      </w:r>
    </w:p>
    <w:p w:rsidR="00AF76BD" w:rsidRPr="002F43F3" w:rsidRDefault="00AF76BD" w:rsidP="00AF76BD">
      <w:pPr>
        <w:ind w:left="851" w:right="-1"/>
        <w:rPr>
          <w:sz w:val="24"/>
          <w:szCs w:val="24"/>
        </w:rPr>
      </w:pPr>
      <w:r w:rsidRPr="002F43F3">
        <w:rPr>
          <w:sz w:val="24"/>
          <w:szCs w:val="24"/>
        </w:rPr>
        <w:t>Dosis til voksne kan anvendes hos patienter med let til moderat nedsat nyrefunktion (GFR ≥ 30 ml/min/1,73 m</w:t>
      </w:r>
      <w:r w:rsidRPr="002F43F3">
        <w:rPr>
          <w:sz w:val="24"/>
          <w:szCs w:val="24"/>
          <w:vertAlign w:val="superscript"/>
        </w:rPr>
        <w:t>2</w:t>
      </w:r>
      <w:r w:rsidRPr="002F43F3">
        <w:rPr>
          <w:sz w:val="24"/>
          <w:szCs w:val="24"/>
        </w:rPr>
        <w:t>).</w:t>
      </w:r>
    </w:p>
    <w:p w:rsidR="00AF76BD" w:rsidRPr="002F43F3" w:rsidRDefault="00AF76BD" w:rsidP="00AF76BD">
      <w:pPr>
        <w:ind w:left="851" w:right="-1"/>
        <w:rPr>
          <w:sz w:val="24"/>
          <w:szCs w:val="24"/>
        </w:rPr>
      </w:pPr>
    </w:p>
    <w:p w:rsidR="00AF76BD" w:rsidRPr="002F43F3" w:rsidRDefault="00AF76BD" w:rsidP="00AF76BD">
      <w:pPr>
        <w:ind w:left="851" w:right="-1"/>
        <w:rPr>
          <w:sz w:val="24"/>
          <w:szCs w:val="24"/>
        </w:rPr>
      </w:pPr>
      <w:r w:rsidRPr="002F43F3">
        <w:rPr>
          <w:sz w:val="24"/>
          <w:szCs w:val="24"/>
        </w:rPr>
        <w:t>Dotagraf må kun anvendes hos patienter med alvorligt nedsat nyrefunktion (GFR &lt; 30 ml/min/1,73 m</w:t>
      </w:r>
      <w:r w:rsidRPr="002F43F3">
        <w:rPr>
          <w:sz w:val="24"/>
          <w:szCs w:val="24"/>
          <w:vertAlign w:val="superscript"/>
        </w:rPr>
        <w:t>2</w:t>
      </w:r>
      <w:r w:rsidRPr="002F43F3">
        <w:rPr>
          <w:sz w:val="24"/>
          <w:szCs w:val="24"/>
        </w:rPr>
        <w:t xml:space="preserve">) og hos patienter i den perioperative fase af </w:t>
      </w:r>
      <w:proofErr w:type="gramStart"/>
      <w:r w:rsidRPr="002F43F3">
        <w:rPr>
          <w:sz w:val="24"/>
          <w:szCs w:val="24"/>
        </w:rPr>
        <w:t>en  levertransplantation</w:t>
      </w:r>
      <w:proofErr w:type="gramEnd"/>
      <w:r w:rsidRPr="002F43F3">
        <w:rPr>
          <w:sz w:val="24"/>
          <w:szCs w:val="24"/>
        </w:rPr>
        <w:t xml:space="preserve"> efter omhyggelig vurdering af benefit/</w:t>
      </w:r>
      <w:proofErr w:type="spellStart"/>
      <w:r w:rsidRPr="002F43F3">
        <w:rPr>
          <w:sz w:val="24"/>
          <w:szCs w:val="24"/>
        </w:rPr>
        <w:t>risk</w:t>
      </w:r>
      <w:proofErr w:type="spellEnd"/>
      <w:r w:rsidRPr="002F43F3">
        <w:rPr>
          <w:sz w:val="24"/>
          <w:szCs w:val="24"/>
        </w:rPr>
        <w:t xml:space="preserve">-forholdet og hvis den diagnostiske information er vigtig og ikke kan opnås uden brug af kontrastforstærket MR-scanning (se pkt. 4.4). Hvis det er nødvendigt at anvende Dotagraf, må dosis ikke overstige 0,1 mmol/kg legemsvægt. Der må ikke anvendes mere end én dosis under en scanning. På grund af manglende </w:t>
      </w:r>
      <w:r w:rsidRPr="002F43F3">
        <w:rPr>
          <w:sz w:val="24"/>
          <w:szCs w:val="24"/>
        </w:rPr>
        <w:lastRenderedPageBreak/>
        <w:t>informationer om gentagen administration må Dotagraf-injektioner ikke gentages, medmindre tidsrummet mellem injektionerne er mindst 7 dage.</w:t>
      </w:r>
    </w:p>
    <w:p w:rsidR="00AF76BD" w:rsidRPr="002F43F3" w:rsidRDefault="00AF76BD" w:rsidP="00AF76BD">
      <w:pPr>
        <w:ind w:left="851" w:right="-1"/>
        <w:rPr>
          <w:sz w:val="24"/>
          <w:szCs w:val="24"/>
          <w:u w:val="single"/>
        </w:rPr>
      </w:pPr>
    </w:p>
    <w:p w:rsidR="00AF76BD" w:rsidRPr="002F43F3" w:rsidRDefault="00AF76BD" w:rsidP="00AF76BD">
      <w:pPr>
        <w:ind w:left="851" w:right="-1"/>
        <w:rPr>
          <w:i/>
          <w:sz w:val="24"/>
          <w:szCs w:val="24"/>
        </w:rPr>
      </w:pPr>
      <w:r w:rsidRPr="002F43F3">
        <w:rPr>
          <w:i/>
          <w:sz w:val="24"/>
          <w:szCs w:val="24"/>
        </w:rPr>
        <w:t>Ældre (65 år og derover)</w:t>
      </w:r>
    </w:p>
    <w:p w:rsidR="00AF76BD" w:rsidRPr="002F43F3" w:rsidRDefault="00AF76BD" w:rsidP="00AF76BD">
      <w:pPr>
        <w:ind w:left="851" w:right="-1"/>
        <w:rPr>
          <w:sz w:val="24"/>
          <w:szCs w:val="24"/>
        </w:rPr>
      </w:pPr>
      <w:r w:rsidRPr="002F43F3">
        <w:rPr>
          <w:sz w:val="24"/>
          <w:szCs w:val="24"/>
        </w:rPr>
        <w:t>Det er ikke nødvendigt at tilpasse dosis. Der skal udvises forsigtighed hos ældre patienter (se pkt. 4.4).</w:t>
      </w:r>
    </w:p>
    <w:p w:rsidR="00AF76BD" w:rsidRPr="002F43F3" w:rsidRDefault="00AF76BD" w:rsidP="00AF76BD">
      <w:pPr>
        <w:ind w:left="851" w:right="-1"/>
        <w:rPr>
          <w:sz w:val="24"/>
          <w:szCs w:val="24"/>
          <w:u w:val="single"/>
        </w:rPr>
      </w:pPr>
    </w:p>
    <w:p w:rsidR="00AF76BD" w:rsidRPr="002F43F3" w:rsidRDefault="00AF76BD" w:rsidP="00AF76BD">
      <w:pPr>
        <w:keepNext/>
        <w:ind w:left="851"/>
        <w:rPr>
          <w:i/>
          <w:sz w:val="24"/>
          <w:szCs w:val="24"/>
        </w:rPr>
      </w:pPr>
      <w:r w:rsidRPr="002F43F3">
        <w:rPr>
          <w:i/>
          <w:sz w:val="24"/>
          <w:szCs w:val="24"/>
        </w:rPr>
        <w:t>Nedsat leverfunktion</w:t>
      </w:r>
    </w:p>
    <w:p w:rsidR="00AF76BD" w:rsidRPr="002F43F3" w:rsidRDefault="00AF76BD" w:rsidP="00AF76BD">
      <w:pPr>
        <w:ind w:left="851" w:right="-1"/>
        <w:rPr>
          <w:sz w:val="24"/>
          <w:szCs w:val="24"/>
        </w:rPr>
      </w:pPr>
      <w:r w:rsidRPr="002F43F3">
        <w:rPr>
          <w:sz w:val="24"/>
          <w:szCs w:val="24"/>
        </w:rPr>
        <w:t>Dosis til voksne kan anvendes hos disse patienter. Det anbefales at udvise forsigtighed, især i den perioperative fase ved levertransplantation (se ovenfor under Nedsat nyrefunktion).</w:t>
      </w:r>
    </w:p>
    <w:p w:rsidR="00AF76BD" w:rsidRPr="002F43F3" w:rsidRDefault="00AF76BD" w:rsidP="00AF76BD">
      <w:pPr>
        <w:ind w:left="851" w:right="-1"/>
        <w:rPr>
          <w:b/>
          <w:sz w:val="24"/>
          <w:szCs w:val="24"/>
        </w:rPr>
      </w:pPr>
    </w:p>
    <w:p w:rsidR="00AF76BD" w:rsidRPr="002F43F3" w:rsidRDefault="00AF76BD" w:rsidP="00AF76BD">
      <w:pPr>
        <w:ind w:left="851" w:right="-1"/>
        <w:rPr>
          <w:i/>
          <w:sz w:val="24"/>
          <w:szCs w:val="24"/>
        </w:rPr>
      </w:pPr>
      <w:r w:rsidRPr="002F43F3">
        <w:rPr>
          <w:i/>
          <w:sz w:val="24"/>
          <w:szCs w:val="24"/>
        </w:rPr>
        <w:t>Pædiatrisk population</w:t>
      </w:r>
    </w:p>
    <w:p w:rsidR="00AF76BD" w:rsidRPr="002F43F3" w:rsidRDefault="00AF76BD" w:rsidP="00AF76BD">
      <w:pPr>
        <w:ind w:left="851" w:right="-1"/>
        <w:rPr>
          <w:sz w:val="24"/>
          <w:szCs w:val="24"/>
        </w:rPr>
      </w:pPr>
      <w:r w:rsidRPr="002F43F3">
        <w:rPr>
          <w:sz w:val="24"/>
          <w:szCs w:val="24"/>
        </w:rPr>
        <w:t>MR-scanning af hjerne og rygmarv/helkrops-MR-scanning: den anbefalede og maksimale dosis af Dotagraf er 0,1 mmol/kg legemsvægt. Der bør ikke anvendes mere end én dosis i forbindelse med en scanning.</w:t>
      </w:r>
    </w:p>
    <w:p w:rsidR="00AF76BD" w:rsidRPr="002F43F3" w:rsidRDefault="00AF76BD" w:rsidP="00AF76BD">
      <w:pPr>
        <w:ind w:left="851" w:right="-1"/>
        <w:rPr>
          <w:sz w:val="24"/>
          <w:szCs w:val="24"/>
        </w:rPr>
      </w:pPr>
    </w:p>
    <w:p w:rsidR="00AF76BD" w:rsidRPr="002F43F3" w:rsidRDefault="00AF76BD" w:rsidP="00AF76BD">
      <w:pPr>
        <w:ind w:left="851" w:right="-1"/>
        <w:rPr>
          <w:sz w:val="24"/>
          <w:szCs w:val="24"/>
        </w:rPr>
      </w:pPr>
      <w:r w:rsidRPr="002F43F3">
        <w:rPr>
          <w:sz w:val="24"/>
          <w:szCs w:val="24"/>
        </w:rPr>
        <w:t>Som følge af den umodne nyrefunktion hos nyfødte op til 4 uger og spædbørn op til 1 år må Dotagraf kun anvendes hos disse patienter efter nøje overvejelse og i doser på højst 0,1 mmol/kg legemsvægt. Der må ikke anvendes mere end én dosis under en scanning. På grund af manglende information om gentagen administration må Dotagraf-injektioner ikke gentages, medmindre tidsrummet mellem injektionerne er mindst 7 dage.</w:t>
      </w:r>
    </w:p>
    <w:p w:rsidR="00AF76BD" w:rsidRPr="002F43F3" w:rsidRDefault="00AF76BD" w:rsidP="00AF76BD">
      <w:pPr>
        <w:ind w:left="851" w:right="-1"/>
        <w:rPr>
          <w:sz w:val="24"/>
          <w:szCs w:val="24"/>
        </w:rPr>
      </w:pPr>
    </w:p>
    <w:p w:rsidR="00AF76BD" w:rsidRPr="002F43F3" w:rsidRDefault="00AF76BD" w:rsidP="00AF76BD">
      <w:pPr>
        <w:ind w:left="851" w:right="-1"/>
        <w:rPr>
          <w:sz w:val="24"/>
          <w:szCs w:val="24"/>
        </w:rPr>
      </w:pPr>
      <w:r w:rsidRPr="002F43F3">
        <w:rPr>
          <w:sz w:val="24"/>
          <w:szCs w:val="24"/>
        </w:rPr>
        <w:t xml:space="preserve">Dotagraf må ikke anvendes til </w:t>
      </w:r>
      <w:proofErr w:type="spellStart"/>
      <w:r w:rsidRPr="002F43F3">
        <w:rPr>
          <w:sz w:val="24"/>
          <w:szCs w:val="24"/>
        </w:rPr>
        <w:t>angiografi</w:t>
      </w:r>
      <w:proofErr w:type="spellEnd"/>
      <w:r w:rsidRPr="002F43F3">
        <w:rPr>
          <w:sz w:val="24"/>
          <w:szCs w:val="24"/>
        </w:rPr>
        <w:t xml:space="preserve"> hos børn under 18 år på grund af utilstrækkelige data om virkning og sikkerhed ved denne indikation.</w:t>
      </w:r>
    </w:p>
    <w:p w:rsidR="00AF76BD" w:rsidRPr="002F43F3" w:rsidRDefault="00AF76BD" w:rsidP="00AF76BD">
      <w:pPr>
        <w:ind w:left="851" w:right="-1"/>
        <w:rPr>
          <w:sz w:val="24"/>
          <w:szCs w:val="24"/>
        </w:rPr>
      </w:pPr>
    </w:p>
    <w:p w:rsidR="00AF76BD" w:rsidRPr="002F43F3" w:rsidRDefault="00AF76BD" w:rsidP="00AF76BD">
      <w:pPr>
        <w:ind w:left="851" w:right="-1"/>
        <w:rPr>
          <w:sz w:val="24"/>
          <w:szCs w:val="24"/>
        </w:rPr>
      </w:pPr>
      <w:r w:rsidRPr="002F43F3">
        <w:rPr>
          <w:b/>
          <w:sz w:val="24"/>
          <w:szCs w:val="24"/>
        </w:rPr>
        <w:t>Administration</w:t>
      </w:r>
    </w:p>
    <w:p w:rsidR="00AF76BD" w:rsidRPr="002F43F3" w:rsidRDefault="00AF76BD" w:rsidP="00AF76BD">
      <w:pPr>
        <w:ind w:left="851" w:right="-1"/>
        <w:rPr>
          <w:sz w:val="24"/>
          <w:szCs w:val="24"/>
        </w:rPr>
      </w:pPr>
      <w:r w:rsidRPr="002F43F3">
        <w:rPr>
          <w:sz w:val="24"/>
          <w:szCs w:val="24"/>
        </w:rPr>
        <w:t xml:space="preserve">Lægemidlet er udelukkende beregnet til intravenøs anvendelse. </w:t>
      </w:r>
    </w:p>
    <w:p w:rsidR="00AF76BD" w:rsidRPr="002F43F3" w:rsidRDefault="00AF76BD" w:rsidP="00AF76BD">
      <w:pPr>
        <w:ind w:left="851" w:right="-1"/>
        <w:rPr>
          <w:sz w:val="24"/>
          <w:szCs w:val="24"/>
        </w:rPr>
      </w:pPr>
      <w:r w:rsidRPr="002F43F3">
        <w:rPr>
          <w:sz w:val="24"/>
          <w:szCs w:val="24"/>
        </w:rPr>
        <w:t>Infusionshastighed: 3-5 ml/min (højere infusionshastigheder på op til 120 ml/min, dvs. 2 ml/</w:t>
      </w:r>
      <w:proofErr w:type="spellStart"/>
      <w:r w:rsidRPr="002F43F3">
        <w:rPr>
          <w:sz w:val="24"/>
          <w:szCs w:val="24"/>
        </w:rPr>
        <w:t>sek</w:t>
      </w:r>
      <w:proofErr w:type="spellEnd"/>
      <w:r w:rsidRPr="002F43F3">
        <w:rPr>
          <w:sz w:val="24"/>
          <w:szCs w:val="24"/>
        </w:rPr>
        <w:t xml:space="preserve">, kan anvendes ved </w:t>
      </w:r>
      <w:proofErr w:type="spellStart"/>
      <w:r w:rsidRPr="002F43F3">
        <w:rPr>
          <w:sz w:val="24"/>
          <w:szCs w:val="24"/>
        </w:rPr>
        <w:t>angiografi</w:t>
      </w:r>
      <w:proofErr w:type="spellEnd"/>
      <w:r w:rsidRPr="002F43F3">
        <w:rPr>
          <w:sz w:val="24"/>
          <w:szCs w:val="24"/>
        </w:rPr>
        <w:t>).</w:t>
      </w:r>
    </w:p>
    <w:p w:rsidR="00AF76BD" w:rsidRPr="002F43F3" w:rsidRDefault="00AF76BD" w:rsidP="00AF76BD">
      <w:pPr>
        <w:ind w:left="851" w:right="-1"/>
        <w:rPr>
          <w:sz w:val="24"/>
          <w:szCs w:val="24"/>
        </w:rPr>
      </w:pPr>
      <w:r w:rsidRPr="002F43F3">
        <w:rPr>
          <w:sz w:val="24"/>
          <w:szCs w:val="24"/>
        </w:rPr>
        <w:t>Optimal scanning: Inden for 45 minutter efter injektion</w:t>
      </w:r>
    </w:p>
    <w:p w:rsidR="00AF76BD" w:rsidRPr="002F43F3" w:rsidRDefault="00AF76BD" w:rsidP="00AF76BD">
      <w:pPr>
        <w:ind w:left="851" w:right="-1"/>
        <w:rPr>
          <w:sz w:val="24"/>
          <w:szCs w:val="24"/>
        </w:rPr>
      </w:pPr>
      <w:r w:rsidRPr="002F43F3">
        <w:rPr>
          <w:sz w:val="24"/>
          <w:szCs w:val="24"/>
        </w:rPr>
        <w:t>Optimal billedsekvens: T1-vægtet</w:t>
      </w:r>
    </w:p>
    <w:p w:rsidR="00AF76BD" w:rsidRPr="002F43F3" w:rsidRDefault="00AF76BD" w:rsidP="00AF76BD">
      <w:pPr>
        <w:ind w:left="851" w:right="-1"/>
        <w:rPr>
          <w:sz w:val="24"/>
          <w:szCs w:val="24"/>
        </w:rPr>
      </w:pPr>
      <w:proofErr w:type="spellStart"/>
      <w:r w:rsidRPr="002F43F3">
        <w:rPr>
          <w:sz w:val="24"/>
          <w:szCs w:val="24"/>
        </w:rPr>
        <w:t>Intravaskulær</w:t>
      </w:r>
      <w:proofErr w:type="spellEnd"/>
      <w:r w:rsidRPr="002F43F3">
        <w:rPr>
          <w:sz w:val="24"/>
          <w:szCs w:val="24"/>
        </w:rPr>
        <w:t xml:space="preserve"> indgift af kontraststof bør om muligt ske, mens patienten ligger ned. Efter indgiften bør patienten holdes under opsyn i mindst 30 minutter, da erfaringen har vist, at størstedelen af bivirkningerne forekommer i dette tidsrum.</w:t>
      </w:r>
    </w:p>
    <w:p w:rsidR="00AF76BD" w:rsidRPr="002F43F3" w:rsidRDefault="00AF76BD" w:rsidP="00AF76BD">
      <w:pPr>
        <w:ind w:left="851" w:right="-1"/>
        <w:rPr>
          <w:sz w:val="24"/>
          <w:szCs w:val="24"/>
        </w:rPr>
      </w:pPr>
    </w:p>
    <w:p w:rsidR="00AF76BD" w:rsidRPr="002F43F3" w:rsidRDefault="00AF76BD" w:rsidP="00AF76BD">
      <w:pPr>
        <w:ind w:left="851" w:right="-1"/>
        <w:rPr>
          <w:sz w:val="24"/>
          <w:szCs w:val="24"/>
        </w:rPr>
      </w:pPr>
      <w:r w:rsidRPr="002F43F3">
        <w:rPr>
          <w:sz w:val="24"/>
          <w:szCs w:val="24"/>
        </w:rPr>
        <w:t>Klargør en injektionssprøjte med en kanyle. Fjern plastikskiven. Rengør proppen med en spritserviet, og før kanylen gennem proppen. Træk den mængde op, der er nødvendig til undersøgelsen, og injicér den intravenøst.</w:t>
      </w:r>
    </w:p>
    <w:p w:rsidR="00AF76BD" w:rsidRPr="002F43F3" w:rsidRDefault="00AF76BD" w:rsidP="00AF76BD">
      <w:pPr>
        <w:ind w:left="851" w:right="-1"/>
        <w:rPr>
          <w:sz w:val="24"/>
          <w:szCs w:val="24"/>
        </w:rPr>
      </w:pPr>
      <w:r w:rsidRPr="002F43F3">
        <w:rPr>
          <w:sz w:val="24"/>
          <w:szCs w:val="24"/>
        </w:rPr>
        <w:t>Kun til engangsbrug; eventuelle rester af opløsningen skal bortskaffes.</w:t>
      </w:r>
    </w:p>
    <w:p w:rsidR="00AF76BD" w:rsidRPr="002F43F3" w:rsidRDefault="00AF76BD" w:rsidP="00AF76BD">
      <w:pPr>
        <w:ind w:left="851" w:right="-1"/>
        <w:rPr>
          <w:sz w:val="24"/>
          <w:szCs w:val="24"/>
        </w:rPr>
      </w:pPr>
      <w:r w:rsidRPr="002F43F3">
        <w:rPr>
          <w:sz w:val="24"/>
          <w:szCs w:val="24"/>
        </w:rPr>
        <w:t>Injektionsvæsken skal inspiceres visuelt før brug. Kun en klar opløsning uden synlige partikler må bruges.</w:t>
      </w:r>
    </w:p>
    <w:p w:rsidR="00AF76BD" w:rsidRPr="002F43F3" w:rsidRDefault="00AF76BD" w:rsidP="00AF76BD">
      <w:pPr>
        <w:ind w:left="851" w:right="-1"/>
        <w:rPr>
          <w:sz w:val="24"/>
          <w:szCs w:val="24"/>
        </w:rPr>
      </w:pPr>
    </w:p>
    <w:p w:rsidR="00AF76BD" w:rsidRPr="006A691C" w:rsidRDefault="00AF76BD" w:rsidP="00AF76BD">
      <w:pPr>
        <w:ind w:left="851" w:right="-1"/>
        <w:rPr>
          <w:sz w:val="24"/>
          <w:szCs w:val="24"/>
          <w:u w:val="single"/>
        </w:rPr>
      </w:pPr>
      <w:r w:rsidRPr="006A691C">
        <w:rPr>
          <w:sz w:val="24"/>
          <w:szCs w:val="24"/>
          <w:u w:val="single"/>
        </w:rPr>
        <w:t>Pædiatrisk population</w:t>
      </w:r>
    </w:p>
    <w:p w:rsidR="00AF76BD" w:rsidRPr="002F43F3" w:rsidRDefault="00AF76BD" w:rsidP="00AF76BD">
      <w:pPr>
        <w:ind w:left="851" w:right="-1"/>
        <w:rPr>
          <w:sz w:val="24"/>
          <w:szCs w:val="24"/>
        </w:rPr>
      </w:pPr>
      <w:r w:rsidRPr="002F43F3">
        <w:rPr>
          <w:sz w:val="24"/>
          <w:szCs w:val="24"/>
        </w:rPr>
        <w:t>Afhængigt af den mængde Dotagraf, der skal indgives til et barn, foretrækkes det at anvende Dotagraf i hætteglas i en engangssprøjte af passende størrelse, for at opnå en bedre præcision af det injicerede volumen.</w:t>
      </w:r>
    </w:p>
    <w:p w:rsidR="00AF76BD" w:rsidRPr="002F43F3" w:rsidRDefault="00AF76BD" w:rsidP="00AF76BD">
      <w:pPr>
        <w:ind w:left="851" w:right="-1"/>
        <w:rPr>
          <w:sz w:val="24"/>
          <w:szCs w:val="24"/>
        </w:rPr>
      </w:pPr>
      <w:r w:rsidRPr="002F43F3">
        <w:rPr>
          <w:sz w:val="24"/>
          <w:szCs w:val="24"/>
        </w:rPr>
        <w:t>Hos nyfødte og spædbørn bør den nødvendige dosis indgives manuelt.</w:t>
      </w:r>
    </w:p>
    <w:p w:rsidR="00AF76BD" w:rsidRPr="002F43F3" w:rsidRDefault="00AF76BD" w:rsidP="00AF76BD">
      <w:pPr>
        <w:ind w:left="851" w:right="-1" w:hanging="851"/>
        <w:rPr>
          <w:sz w:val="24"/>
          <w:szCs w:val="24"/>
        </w:rPr>
      </w:pPr>
    </w:p>
    <w:p w:rsidR="00AF76BD" w:rsidRPr="002F43F3" w:rsidRDefault="00AF76BD" w:rsidP="00AF76BD">
      <w:pPr>
        <w:keepNext/>
        <w:ind w:left="851" w:hanging="851"/>
        <w:rPr>
          <w:b/>
          <w:sz w:val="24"/>
          <w:szCs w:val="24"/>
        </w:rPr>
      </w:pPr>
      <w:r w:rsidRPr="002F43F3">
        <w:rPr>
          <w:b/>
          <w:sz w:val="24"/>
          <w:szCs w:val="24"/>
        </w:rPr>
        <w:lastRenderedPageBreak/>
        <w:t>4.3</w:t>
      </w:r>
      <w:r w:rsidRPr="002F43F3">
        <w:rPr>
          <w:b/>
          <w:sz w:val="24"/>
          <w:szCs w:val="24"/>
        </w:rPr>
        <w:tab/>
        <w:t>Kontraindikationer</w:t>
      </w:r>
    </w:p>
    <w:p w:rsidR="00AF76BD" w:rsidRPr="002F43F3" w:rsidRDefault="00AF76BD" w:rsidP="00AF76BD">
      <w:pPr>
        <w:spacing w:before="2" w:line="241" w:lineRule="auto"/>
        <w:ind w:left="851" w:right="-1"/>
        <w:rPr>
          <w:sz w:val="24"/>
          <w:szCs w:val="24"/>
        </w:rPr>
      </w:pPr>
      <w:r w:rsidRPr="002F43F3">
        <w:rPr>
          <w:sz w:val="24"/>
          <w:szCs w:val="24"/>
        </w:rPr>
        <w:t xml:space="preserve">Overfølsomhed over for </w:t>
      </w:r>
      <w:proofErr w:type="spellStart"/>
      <w:r w:rsidRPr="002F43F3">
        <w:rPr>
          <w:sz w:val="24"/>
          <w:szCs w:val="24"/>
        </w:rPr>
        <w:t>gadoterinsyre</w:t>
      </w:r>
      <w:proofErr w:type="spellEnd"/>
      <w:r w:rsidRPr="002F43F3">
        <w:rPr>
          <w:sz w:val="24"/>
          <w:szCs w:val="24"/>
        </w:rPr>
        <w:t xml:space="preserve">, </w:t>
      </w:r>
      <w:proofErr w:type="spellStart"/>
      <w:r w:rsidRPr="002F43F3">
        <w:rPr>
          <w:sz w:val="24"/>
          <w:szCs w:val="24"/>
        </w:rPr>
        <w:t>meglumin</w:t>
      </w:r>
      <w:proofErr w:type="spellEnd"/>
      <w:r w:rsidRPr="002F43F3">
        <w:rPr>
          <w:sz w:val="24"/>
          <w:szCs w:val="24"/>
        </w:rPr>
        <w:t xml:space="preserve"> eller lægemidler, der indeholder gadolinium.</w:t>
      </w:r>
    </w:p>
    <w:p w:rsidR="00AF76BD" w:rsidRPr="002F43F3" w:rsidRDefault="00AF76BD" w:rsidP="00AF76BD">
      <w:pPr>
        <w:ind w:left="851" w:right="-1" w:hanging="851"/>
        <w:rPr>
          <w:sz w:val="24"/>
          <w:szCs w:val="24"/>
        </w:rPr>
      </w:pPr>
    </w:p>
    <w:p w:rsidR="00AF76BD" w:rsidRPr="002F43F3" w:rsidRDefault="00AF76BD" w:rsidP="00AF76BD">
      <w:pPr>
        <w:ind w:left="851" w:right="-1" w:hanging="851"/>
        <w:rPr>
          <w:b/>
          <w:sz w:val="24"/>
          <w:szCs w:val="24"/>
        </w:rPr>
      </w:pPr>
      <w:r w:rsidRPr="002F43F3">
        <w:rPr>
          <w:b/>
          <w:sz w:val="24"/>
          <w:szCs w:val="24"/>
        </w:rPr>
        <w:t>4.4</w:t>
      </w:r>
      <w:r w:rsidRPr="002F43F3">
        <w:rPr>
          <w:b/>
          <w:sz w:val="24"/>
          <w:szCs w:val="24"/>
        </w:rPr>
        <w:tab/>
        <w:t>Særlige advarsler og forsigtighedsregler vedrørende brugen</w:t>
      </w:r>
    </w:p>
    <w:p w:rsidR="002B1D8E" w:rsidRPr="002F43F3" w:rsidRDefault="002B1D8E" w:rsidP="002B1D8E">
      <w:pPr>
        <w:ind w:left="851" w:right="-1"/>
        <w:rPr>
          <w:sz w:val="24"/>
          <w:szCs w:val="24"/>
        </w:rPr>
      </w:pPr>
      <w:proofErr w:type="spellStart"/>
      <w:r w:rsidRPr="00DF3FF2">
        <w:rPr>
          <w:sz w:val="24"/>
          <w:szCs w:val="24"/>
        </w:rPr>
        <w:t>Gadoterinsyre</w:t>
      </w:r>
      <w:proofErr w:type="spellEnd"/>
      <w:r w:rsidRPr="00DF3FF2">
        <w:rPr>
          <w:sz w:val="24"/>
          <w:szCs w:val="24"/>
        </w:rPr>
        <w:t xml:space="preserve"> må ikke anvendes </w:t>
      </w:r>
      <w:proofErr w:type="spellStart"/>
      <w:r w:rsidRPr="00DF3FF2">
        <w:rPr>
          <w:sz w:val="24"/>
          <w:szCs w:val="24"/>
        </w:rPr>
        <w:t>intratekalt</w:t>
      </w:r>
      <w:proofErr w:type="spellEnd"/>
      <w:r w:rsidRPr="00DF3FF2">
        <w:rPr>
          <w:sz w:val="24"/>
          <w:szCs w:val="24"/>
        </w:rPr>
        <w:t xml:space="preserve">. Alvorlige, livstruende og dødelige tilfælde, primært med neurologiske reaktioner (f.eks. koma, encefalopati, krampeanfald), er blevet indberettet med </w:t>
      </w:r>
      <w:proofErr w:type="spellStart"/>
      <w:r w:rsidRPr="00DF3FF2">
        <w:rPr>
          <w:sz w:val="24"/>
          <w:szCs w:val="24"/>
        </w:rPr>
        <w:t>intratekal</w:t>
      </w:r>
      <w:proofErr w:type="spellEnd"/>
      <w:r w:rsidRPr="00DF3FF2">
        <w:rPr>
          <w:sz w:val="24"/>
          <w:szCs w:val="24"/>
        </w:rPr>
        <w:t xml:space="preserve"> anvendelse.</w:t>
      </w:r>
      <w:r>
        <w:rPr>
          <w:sz w:val="24"/>
          <w:szCs w:val="24"/>
        </w:rPr>
        <w:t xml:space="preserve"> </w:t>
      </w:r>
      <w:proofErr w:type="spellStart"/>
      <w:r>
        <w:rPr>
          <w:sz w:val="24"/>
          <w:szCs w:val="24"/>
        </w:rPr>
        <w:t>Gadoterinsyre</w:t>
      </w:r>
      <w:proofErr w:type="spellEnd"/>
      <w:r>
        <w:rPr>
          <w:sz w:val="24"/>
          <w:szCs w:val="24"/>
        </w:rPr>
        <w:t xml:space="preserve"> m</w:t>
      </w:r>
      <w:r w:rsidRPr="002F43F3">
        <w:rPr>
          <w:sz w:val="24"/>
          <w:szCs w:val="24"/>
        </w:rPr>
        <w:t xml:space="preserve">å kun administreres ved intravenøs injektion. </w:t>
      </w:r>
    </w:p>
    <w:p w:rsidR="002B1D8E" w:rsidRPr="002F43F3" w:rsidRDefault="002B1D8E" w:rsidP="002B1D8E">
      <w:pPr>
        <w:ind w:left="851" w:right="-1"/>
        <w:rPr>
          <w:sz w:val="24"/>
          <w:szCs w:val="24"/>
        </w:rPr>
      </w:pPr>
      <w:proofErr w:type="spellStart"/>
      <w:r w:rsidRPr="002F43F3">
        <w:rPr>
          <w:sz w:val="24"/>
          <w:szCs w:val="24"/>
        </w:rPr>
        <w:t>Ekstravasation</w:t>
      </w:r>
      <w:proofErr w:type="spellEnd"/>
      <w:r w:rsidRPr="002F43F3">
        <w:rPr>
          <w:sz w:val="24"/>
          <w:szCs w:val="24"/>
        </w:rPr>
        <w:t>, kan resultere i lokale reaktioner, som kræver behandling.</w:t>
      </w:r>
    </w:p>
    <w:p w:rsidR="00AF76BD" w:rsidRPr="002F43F3" w:rsidRDefault="00AF76BD" w:rsidP="00AF76BD">
      <w:pPr>
        <w:ind w:left="851" w:right="-1"/>
        <w:rPr>
          <w:sz w:val="24"/>
          <w:szCs w:val="24"/>
        </w:rPr>
      </w:pPr>
    </w:p>
    <w:p w:rsidR="00AF76BD" w:rsidRPr="002F43F3" w:rsidRDefault="00AF76BD" w:rsidP="00AF76BD">
      <w:pPr>
        <w:ind w:left="851" w:right="-1"/>
        <w:rPr>
          <w:sz w:val="24"/>
          <w:szCs w:val="24"/>
        </w:rPr>
      </w:pPr>
      <w:r w:rsidRPr="002F43F3">
        <w:rPr>
          <w:sz w:val="24"/>
          <w:szCs w:val="24"/>
        </w:rPr>
        <w:t xml:space="preserve">Der skal tages de sædvanlige forholdsregler for MR-scanning som f.eks. udelukkelse af patienter med pacemaker, </w:t>
      </w:r>
      <w:proofErr w:type="spellStart"/>
      <w:r w:rsidRPr="002F43F3">
        <w:rPr>
          <w:sz w:val="24"/>
          <w:szCs w:val="24"/>
        </w:rPr>
        <w:t>ferromagnetiske</w:t>
      </w:r>
      <w:proofErr w:type="spellEnd"/>
      <w:r w:rsidRPr="002F43F3">
        <w:rPr>
          <w:sz w:val="24"/>
          <w:szCs w:val="24"/>
        </w:rPr>
        <w:t xml:space="preserve"> karklemmer, infusionspumper, nervestimulatorer, </w:t>
      </w:r>
      <w:proofErr w:type="spellStart"/>
      <w:r w:rsidRPr="002F43F3">
        <w:rPr>
          <w:sz w:val="24"/>
          <w:szCs w:val="24"/>
        </w:rPr>
        <w:t>cochlear</w:t>
      </w:r>
      <w:proofErr w:type="spellEnd"/>
      <w:r w:rsidRPr="002F43F3">
        <w:rPr>
          <w:sz w:val="24"/>
          <w:szCs w:val="24"/>
        </w:rPr>
        <w:t>-implantater eller formodede metalliske fremmedlegemer i kroppen, især i øjnene.</w:t>
      </w:r>
    </w:p>
    <w:p w:rsidR="00AF76BD" w:rsidRPr="002F43F3" w:rsidRDefault="00AF76BD" w:rsidP="00AF76BD">
      <w:pPr>
        <w:ind w:left="851" w:right="-1"/>
        <w:rPr>
          <w:b/>
          <w:sz w:val="24"/>
          <w:szCs w:val="24"/>
        </w:rPr>
      </w:pPr>
    </w:p>
    <w:p w:rsidR="00AF76BD" w:rsidRPr="00781F4D" w:rsidRDefault="00AF76BD" w:rsidP="00AF76BD">
      <w:pPr>
        <w:ind w:left="851" w:right="-1"/>
        <w:rPr>
          <w:sz w:val="24"/>
          <w:szCs w:val="24"/>
          <w:u w:val="single"/>
        </w:rPr>
      </w:pPr>
      <w:r w:rsidRPr="00781F4D">
        <w:rPr>
          <w:sz w:val="24"/>
          <w:szCs w:val="24"/>
          <w:u w:val="single"/>
        </w:rPr>
        <w:t>Overfølsomhed</w:t>
      </w:r>
    </w:p>
    <w:p w:rsidR="00AF76BD" w:rsidRPr="002F43F3" w:rsidRDefault="00AF76BD" w:rsidP="00781F4D">
      <w:pPr>
        <w:pStyle w:val="Listeafsnit"/>
        <w:numPr>
          <w:ilvl w:val="0"/>
          <w:numId w:val="7"/>
        </w:numPr>
        <w:spacing w:after="0" w:line="240" w:lineRule="auto"/>
        <w:ind w:left="1134" w:right="-1" w:hanging="283"/>
        <w:rPr>
          <w:rFonts w:ascii="Times New Roman" w:eastAsia="Times New Roman" w:hAnsi="Times New Roman" w:cs="Times New Roman"/>
          <w:sz w:val="24"/>
          <w:szCs w:val="24"/>
        </w:rPr>
      </w:pPr>
      <w:r w:rsidRPr="002F43F3">
        <w:rPr>
          <w:rFonts w:ascii="Times New Roman" w:hAnsi="Times New Roman" w:cs="Times New Roman"/>
          <w:sz w:val="24"/>
          <w:szCs w:val="24"/>
        </w:rPr>
        <w:t xml:space="preserve">Ligesom med andre gadoliniumholdige kontrastmidler kan der forekomme overfølsomhedsreaktioner, herunder livstruende (se pkt. 4.8). Overfølsomhedsreaktioner kan være enten allergiske (bestegnes som </w:t>
      </w:r>
      <w:proofErr w:type="spellStart"/>
      <w:r w:rsidRPr="002F43F3">
        <w:rPr>
          <w:rFonts w:ascii="Times New Roman" w:hAnsi="Times New Roman" w:cs="Times New Roman"/>
          <w:sz w:val="24"/>
          <w:szCs w:val="24"/>
        </w:rPr>
        <w:t>anafylaktiske</w:t>
      </w:r>
      <w:proofErr w:type="spellEnd"/>
      <w:r w:rsidRPr="002F43F3">
        <w:rPr>
          <w:rFonts w:ascii="Times New Roman" w:hAnsi="Times New Roman" w:cs="Times New Roman"/>
          <w:sz w:val="24"/>
          <w:szCs w:val="24"/>
        </w:rPr>
        <w:t xml:space="preserve"> reaktioner, hvis de er alvorlige) eller ikke-allergiske. De kan være enten øjeblikkelige (efter mindre end 60 minutter) eller forsinkede (efter op til 7 dage). </w:t>
      </w:r>
      <w:proofErr w:type="spellStart"/>
      <w:r w:rsidRPr="002F43F3">
        <w:rPr>
          <w:rFonts w:ascii="Times New Roman" w:hAnsi="Times New Roman" w:cs="Times New Roman"/>
          <w:sz w:val="24"/>
          <w:szCs w:val="24"/>
        </w:rPr>
        <w:t>Anafylaktiske</w:t>
      </w:r>
      <w:proofErr w:type="spellEnd"/>
      <w:r w:rsidRPr="002F43F3">
        <w:rPr>
          <w:rFonts w:ascii="Times New Roman" w:hAnsi="Times New Roman" w:cs="Times New Roman"/>
          <w:sz w:val="24"/>
          <w:szCs w:val="24"/>
        </w:rPr>
        <w:t xml:space="preserve"> reaktioner fremkommer øjeblikkeligt og kan være livsfarlige. De er uafhængige af dosen, kan indtræffe efter selv den første dosis af produktet og er ofte uforudsigelige.</w:t>
      </w:r>
    </w:p>
    <w:p w:rsidR="00AF76BD" w:rsidRPr="002F43F3" w:rsidRDefault="00AF76BD" w:rsidP="00781F4D">
      <w:pPr>
        <w:pStyle w:val="Listeafsnit"/>
        <w:numPr>
          <w:ilvl w:val="0"/>
          <w:numId w:val="7"/>
        </w:numPr>
        <w:spacing w:after="0" w:line="240" w:lineRule="auto"/>
        <w:ind w:left="1134" w:right="-1" w:hanging="283"/>
        <w:rPr>
          <w:rFonts w:ascii="Times New Roman" w:eastAsia="Times New Roman" w:hAnsi="Times New Roman" w:cs="Times New Roman"/>
          <w:sz w:val="24"/>
          <w:szCs w:val="24"/>
        </w:rPr>
      </w:pPr>
      <w:r w:rsidRPr="002F43F3">
        <w:rPr>
          <w:rFonts w:ascii="Times New Roman" w:hAnsi="Times New Roman" w:cs="Times New Roman"/>
          <w:sz w:val="24"/>
          <w:szCs w:val="24"/>
        </w:rPr>
        <w:t>Der er altid en risiko for overfølsomhed uanset den injicerede dosis.</w:t>
      </w:r>
    </w:p>
    <w:p w:rsidR="00AF76BD" w:rsidRPr="002F43F3" w:rsidRDefault="00AF76BD" w:rsidP="00781F4D">
      <w:pPr>
        <w:pStyle w:val="Listeafsnit"/>
        <w:numPr>
          <w:ilvl w:val="0"/>
          <w:numId w:val="7"/>
        </w:numPr>
        <w:spacing w:after="0" w:line="240" w:lineRule="auto"/>
        <w:ind w:left="1134" w:right="-1" w:hanging="283"/>
        <w:rPr>
          <w:rFonts w:ascii="Times New Roman" w:eastAsia="Times New Roman" w:hAnsi="Times New Roman" w:cs="Times New Roman"/>
          <w:sz w:val="24"/>
          <w:szCs w:val="24"/>
        </w:rPr>
      </w:pPr>
      <w:r w:rsidRPr="002F43F3">
        <w:rPr>
          <w:rFonts w:ascii="Times New Roman" w:hAnsi="Times New Roman" w:cs="Times New Roman"/>
          <w:sz w:val="24"/>
          <w:szCs w:val="24"/>
        </w:rPr>
        <w:t xml:space="preserve">Patienter, som allerede har oplevet en reaktion i forbindelse med tidligere indgivelse af et gadoliniumholdigt MR-kontrastmiddel, har en øget risiko for at udvikle en anden reaktion ved senere </w:t>
      </w:r>
      <w:bookmarkStart w:id="2" w:name="_Hlk524691091"/>
      <w:r w:rsidRPr="002F43F3">
        <w:rPr>
          <w:rFonts w:ascii="Times New Roman" w:hAnsi="Times New Roman" w:cs="Times New Roman"/>
          <w:sz w:val="24"/>
          <w:szCs w:val="24"/>
        </w:rPr>
        <w:t>indgivelse af samme produkt eller muligvis andre produkter, og betragtes derfor som tilhørende en højrisikogrupp</w:t>
      </w:r>
      <w:bookmarkEnd w:id="2"/>
      <w:r w:rsidRPr="002F43F3">
        <w:rPr>
          <w:rFonts w:ascii="Times New Roman" w:hAnsi="Times New Roman" w:cs="Times New Roman"/>
          <w:sz w:val="24"/>
          <w:szCs w:val="24"/>
        </w:rPr>
        <w:t xml:space="preserve">e. </w:t>
      </w:r>
    </w:p>
    <w:p w:rsidR="00AF76BD" w:rsidRPr="002F43F3" w:rsidRDefault="00AF76BD" w:rsidP="00781F4D">
      <w:pPr>
        <w:pStyle w:val="Listeafsnit"/>
        <w:numPr>
          <w:ilvl w:val="0"/>
          <w:numId w:val="7"/>
        </w:numPr>
        <w:spacing w:after="0" w:line="240" w:lineRule="auto"/>
        <w:ind w:left="1134" w:right="-1" w:hanging="283"/>
        <w:rPr>
          <w:rFonts w:ascii="Times New Roman" w:eastAsia="Times New Roman" w:hAnsi="Times New Roman" w:cs="Times New Roman"/>
          <w:sz w:val="24"/>
          <w:szCs w:val="24"/>
        </w:rPr>
      </w:pPr>
      <w:r w:rsidRPr="002F43F3">
        <w:rPr>
          <w:rFonts w:ascii="Times New Roman" w:hAnsi="Times New Roman" w:cs="Times New Roman"/>
          <w:sz w:val="24"/>
          <w:szCs w:val="24"/>
        </w:rPr>
        <w:t xml:space="preserve">Injektionen af </w:t>
      </w:r>
      <w:proofErr w:type="spellStart"/>
      <w:r w:rsidRPr="002F43F3">
        <w:rPr>
          <w:rFonts w:ascii="Times New Roman" w:hAnsi="Times New Roman" w:cs="Times New Roman"/>
          <w:sz w:val="24"/>
          <w:szCs w:val="24"/>
        </w:rPr>
        <w:t>gadoterinsyre</w:t>
      </w:r>
      <w:proofErr w:type="spellEnd"/>
      <w:r w:rsidRPr="002F43F3">
        <w:t xml:space="preserve"> </w:t>
      </w:r>
      <w:r w:rsidRPr="002F43F3">
        <w:rPr>
          <w:rFonts w:ascii="Times New Roman" w:hAnsi="Times New Roman" w:cs="Times New Roman"/>
          <w:sz w:val="24"/>
          <w:szCs w:val="24"/>
        </w:rPr>
        <w:t xml:space="preserve">kan forværre symptomerne tilknyttet eksisterende astma. Hos patienter med astma, der ikke er stabiliseret af en behandling, skal beslutningen om at anvende </w:t>
      </w:r>
      <w:proofErr w:type="spellStart"/>
      <w:r w:rsidRPr="002F43F3">
        <w:rPr>
          <w:rFonts w:ascii="Times New Roman" w:hAnsi="Times New Roman" w:cs="Times New Roman"/>
          <w:sz w:val="24"/>
          <w:szCs w:val="24"/>
        </w:rPr>
        <w:t>gadoterinsyre</w:t>
      </w:r>
      <w:proofErr w:type="spellEnd"/>
      <w:r w:rsidRPr="002F43F3">
        <w:rPr>
          <w:rFonts w:ascii="Times New Roman" w:hAnsi="Times New Roman" w:cs="Times New Roman"/>
          <w:sz w:val="24"/>
          <w:szCs w:val="24"/>
        </w:rPr>
        <w:t xml:space="preserve"> tages efter nøje vurdering af benefit/</w:t>
      </w:r>
      <w:proofErr w:type="spellStart"/>
      <w:r w:rsidRPr="002F43F3">
        <w:rPr>
          <w:rFonts w:ascii="Times New Roman" w:hAnsi="Times New Roman" w:cs="Times New Roman"/>
          <w:sz w:val="24"/>
          <w:szCs w:val="24"/>
        </w:rPr>
        <w:t>risk</w:t>
      </w:r>
      <w:proofErr w:type="spellEnd"/>
      <w:r w:rsidRPr="002F43F3">
        <w:rPr>
          <w:rFonts w:ascii="Times New Roman" w:hAnsi="Times New Roman" w:cs="Times New Roman"/>
          <w:sz w:val="24"/>
          <w:szCs w:val="24"/>
        </w:rPr>
        <w:t>-forholdet.</w:t>
      </w:r>
    </w:p>
    <w:p w:rsidR="00AF76BD" w:rsidRPr="002F43F3" w:rsidRDefault="00AF76BD" w:rsidP="00781F4D">
      <w:pPr>
        <w:pStyle w:val="Listeafsnit"/>
        <w:numPr>
          <w:ilvl w:val="0"/>
          <w:numId w:val="7"/>
        </w:numPr>
        <w:spacing w:before="2" w:after="0" w:line="240" w:lineRule="auto"/>
        <w:ind w:left="1134" w:right="-1" w:hanging="283"/>
        <w:rPr>
          <w:rFonts w:ascii="Times New Roman" w:eastAsia="Times New Roman" w:hAnsi="Times New Roman" w:cs="Times New Roman"/>
          <w:sz w:val="24"/>
          <w:szCs w:val="24"/>
        </w:rPr>
      </w:pPr>
      <w:r w:rsidRPr="002F43F3">
        <w:rPr>
          <w:rFonts w:ascii="Times New Roman" w:hAnsi="Times New Roman" w:cs="Times New Roman"/>
          <w:sz w:val="24"/>
          <w:szCs w:val="24"/>
        </w:rPr>
        <w:t>Erfaring fra anvendelsen af jodholdige kontrastmidler viser, at overfølsomheds</w:t>
      </w:r>
      <w:r w:rsidRPr="002F43F3">
        <w:rPr>
          <w:rFonts w:ascii="Times New Roman" w:hAnsi="Times New Roman" w:cs="Times New Roman"/>
          <w:sz w:val="24"/>
          <w:szCs w:val="24"/>
        </w:rPr>
        <w:softHyphen/>
        <w:t xml:space="preserve">reaktioner kan forværres hos patienter, der er i behandling med betablokkere, især hvis de samtidig lider af bronkial astma. Disse patienter kan være refraktære over for standardbehandling af overfølsomhedsreaktioner med beta-agonister. </w:t>
      </w:r>
    </w:p>
    <w:p w:rsidR="00AF76BD" w:rsidRPr="002F43F3" w:rsidRDefault="00AF76BD" w:rsidP="00781F4D">
      <w:pPr>
        <w:pStyle w:val="Listeafsnit"/>
        <w:numPr>
          <w:ilvl w:val="0"/>
          <w:numId w:val="7"/>
        </w:numPr>
        <w:spacing w:before="2" w:after="0" w:line="240" w:lineRule="auto"/>
        <w:ind w:left="1134" w:right="-1" w:hanging="283"/>
        <w:rPr>
          <w:rFonts w:ascii="Times New Roman" w:eastAsia="Times New Roman" w:hAnsi="Times New Roman" w:cs="Times New Roman"/>
          <w:sz w:val="24"/>
          <w:szCs w:val="24"/>
        </w:rPr>
      </w:pPr>
      <w:r w:rsidRPr="002F43F3">
        <w:rPr>
          <w:rFonts w:ascii="Times New Roman" w:hAnsi="Times New Roman" w:cs="Times New Roman"/>
          <w:sz w:val="24"/>
          <w:szCs w:val="24"/>
        </w:rPr>
        <w:t xml:space="preserve">Før der injiceres kontrastmiddel, skal patienten udspørges om deres historik med hensyn til allergi (f.eks. skaldyrsallergi, høfeber, nældefeber), følsomhed over for kontrastmidler og bronkial astma, eftersom rapporterede bivirkninger over for kontrastmidler er højere hos disse patienter, og præmedicinering med antihistaminer og/eller </w:t>
      </w:r>
      <w:proofErr w:type="spellStart"/>
      <w:r w:rsidRPr="002F43F3">
        <w:rPr>
          <w:rFonts w:ascii="Times New Roman" w:hAnsi="Times New Roman" w:cs="Times New Roman"/>
          <w:sz w:val="24"/>
          <w:szCs w:val="24"/>
        </w:rPr>
        <w:t>glukokortikoider</w:t>
      </w:r>
      <w:proofErr w:type="spellEnd"/>
      <w:r w:rsidRPr="002F43F3">
        <w:rPr>
          <w:rFonts w:ascii="Times New Roman" w:hAnsi="Times New Roman" w:cs="Times New Roman"/>
          <w:sz w:val="24"/>
          <w:szCs w:val="24"/>
        </w:rPr>
        <w:t xml:space="preserve"> kan overvejes.</w:t>
      </w:r>
    </w:p>
    <w:p w:rsidR="00AF76BD" w:rsidRPr="002F43F3" w:rsidRDefault="00AF76BD" w:rsidP="00781F4D">
      <w:pPr>
        <w:pStyle w:val="Listeafsnit"/>
        <w:numPr>
          <w:ilvl w:val="0"/>
          <w:numId w:val="7"/>
        </w:numPr>
        <w:spacing w:after="0" w:line="240" w:lineRule="auto"/>
        <w:ind w:left="1134" w:right="-1" w:hanging="283"/>
        <w:rPr>
          <w:rFonts w:ascii="Times New Roman" w:eastAsia="Times New Roman" w:hAnsi="Times New Roman" w:cs="Times New Roman"/>
          <w:sz w:val="24"/>
          <w:szCs w:val="24"/>
        </w:rPr>
      </w:pPr>
      <w:r w:rsidRPr="002F43F3">
        <w:rPr>
          <w:rFonts w:ascii="Times New Roman" w:hAnsi="Times New Roman" w:cs="Times New Roman"/>
          <w:sz w:val="24"/>
          <w:szCs w:val="24"/>
        </w:rPr>
        <w:t>En læge skal føre tilsyn under undersøgelsen. Hvis der forekommer overfølsomheds</w:t>
      </w:r>
      <w:r w:rsidRPr="002F43F3">
        <w:rPr>
          <w:rFonts w:ascii="Times New Roman" w:hAnsi="Times New Roman" w:cs="Times New Roman"/>
          <w:sz w:val="24"/>
          <w:szCs w:val="24"/>
        </w:rPr>
        <w:softHyphen/>
        <w:t xml:space="preserve">reaktioner, skal indgiften af kontraststoffet ophøre øjeblikkeligt, og om nødvendigt skal specifik behandling iværksættes. Der skal derfor opretholdes en veneadgang under hele undersøgelsen. Med henblik på øjeblikkelig nødbehandling skal der være umiddelbar adgang til passende lægemidler (f.eks. adrenalin og antihistaminer), en </w:t>
      </w:r>
      <w:proofErr w:type="spellStart"/>
      <w:r w:rsidRPr="002F43F3">
        <w:rPr>
          <w:rFonts w:ascii="Times New Roman" w:hAnsi="Times New Roman" w:cs="Times New Roman"/>
          <w:sz w:val="24"/>
          <w:szCs w:val="24"/>
        </w:rPr>
        <w:t>endotracheal</w:t>
      </w:r>
      <w:proofErr w:type="spellEnd"/>
      <w:r w:rsidRPr="002F43F3">
        <w:rPr>
          <w:rFonts w:ascii="Times New Roman" w:hAnsi="Times New Roman" w:cs="Times New Roman"/>
          <w:sz w:val="24"/>
          <w:szCs w:val="24"/>
        </w:rPr>
        <w:t xml:space="preserve"> slange og en respirator.</w:t>
      </w:r>
    </w:p>
    <w:p w:rsidR="00AF76BD" w:rsidRDefault="00AF76BD" w:rsidP="00AF76BD">
      <w:pPr>
        <w:ind w:left="851" w:right="-1"/>
        <w:rPr>
          <w:sz w:val="24"/>
          <w:szCs w:val="24"/>
        </w:rPr>
      </w:pPr>
    </w:p>
    <w:p w:rsidR="002B1D8E" w:rsidRDefault="002B1D8E" w:rsidP="00AF76BD">
      <w:pPr>
        <w:ind w:left="851" w:right="-1"/>
        <w:rPr>
          <w:sz w:val="24"/>
          <w:szCs w:val="24"/>
        </w:rPr>
      </w:pPr>
    </w:p>
    <w:p w:rsidR="002B1D8E" w:rsidRDefault="002B1D8E" w:rsidP="00AF76BD">
      <w:pPr>
        <w:ind w:left="851" w:right="-1"/>
        <w:rPr>
          <w:sz w:val="24"/>
          <w:szCs w:val="24"/>
        </w:rPr>
      </w:pPr>
    </w:p>
    <w:p w:rsidR="002B1D8E" w:rsidRPr="002F43F3" w:rsidRDefault="002B1D8E" w:rsidP="00AF76BD">
      <w:pPr>
        <w:ind w:left="851" w:right="-1"/>
        <w:rPr>
          <w:sz w:val="24"/>
          <w:szCs w:val="24"/>
        </w:rPr>
      </w:pPr>
    </w:p>
    <w:p w:rsidR="00AF76BD" w:rsidRPr="002F43F3" w:rsidRDefault="00AF76BD" w:rsidP="00AF76BD">
      <w:pPr>
        <w:ind w:left="851" w:right="-1"/>
        <w:rPr>
          <w:sz w:val="24"/>
          <w:szCs w:val="24"/>
          <w:u w:val="single"/>
        </w:rPr>
      </w:pPr>
      <w:r w:rsidRPr="002F43F3">
        <w:rPr>
          <w:sz w:val="24"/>
          <w:szCs w:val="24"/>
          <w:u w:val="single"/>
        </w:rPr>
        <w:lastRenderedPageBreak/>
        <w:t>Nedsat nyrefunktion</w:t>
      </w:r>
    </w:p>
    <w:p w:rsidR="00AF76BD" w:rsidRPr="002F43F3" w:rsidRDefault="00AF76BD" w:rsidP="00AF76BD">
      <w:pPr>
        <w:ind w:left="851" w:right="-1"/>
        <w:rPr>
          <w:b/>
          <w:sz w:val="24"/>
          <w:szCs w:val="24"/>
        </w:rPr>
      </w:pPr>
      <w:r w:rsidRPr="002F43F3">
        <w:rPr>
          <w:b/>
          <w:sz w:val="24"/>
          <w:szCs w:val="24"/>
        </w:rPr>
        <w:t>Før indgift af Dotagraf anbefales det, at alle patienter screenes for nedsat nyrefunktion ved hjælp af laboratorieprøver.</w:t>
      </w:r>
    </w:p>
    <w:p w:rsidR="00AF76BD" w:rsidRPr="002F43F3" w:rsidRDefault="00AF76BD" w:rsidP="00AF76BD">
      <w:pPr>
        <w:ind w:left="851" w:right="-1"/>
        <w:rPr>
          <w:sz w:val="24"/>
          <w:szCs w:val="24"/>
        </w:rPr>
      </w:pPr>
    </w:p>
    <w:p w:rsidR="00AF76BD" w:rsidRPr="002F43F3" w:rsidRDefault="00AF76BD" w:rsidP="00AF76BD">
      <w:pPr>
        <w:ind w:left="851" w:right="-1"/>
        <w:rPr>
          <w:sz w:val="24"/>
          <w:szCs w:val="24"/>
        </w:rPr>
      </w:pPr>
      <w:r w:rsidRPr="002F43F3">
        <w:rPr>
          <w:sz w:val="24"/>
          <w:szCs w:val="24"/>
        </w:rPr>
        <w:t xml:space="preserve">Der er indberettet tilfælde af </w:t>
      </w:r>
      <w:proofErr w:type="spellStart"/>
      <w:r w:rsidRPr="002F43F3">
        <w:rPr>
          <w:sz w:val="24"/>
          <w:szCs w:val="24"/>
        </w:rPr>
        <w:t>nefrogen</w:t>
      </w:r>
      <w:proofErr w:type="spellEnd"/>
      <w:r w:rsidRPr="002F43F3">
        <w:rPr>
          <w:sz w:val="24"/>
          <w:szCs w:val="24"/>
        </w:rPr>
        <w:t xml:space="preserve"> systemisk fibrose (NSF) ved brug af visse gadoliniumholdige kontrastmidler hos patienter med akut eller kronisk alvorligt nedsat nyrefunktion (GFR &lt; 30 ml/min/1,73 m</w:t>
      </w:r>
      <w:r w:rsidRPr="002F43F3">
        <w:rPr>
          <w:sz w:val="24"/>
          <w:szCs w:val="24"/>
          <w:vertAlign w:val="superscript"/>
        </w:rPr>
        <w:t>2</w:t>
      </w:r>
      <w:r w:rsidRPr="002F43F3">
        <w:rPr>
          <w:sz w:val="24"/>
          <w:szCs w:val="24"/>
        </w:rPr>
        <w:t>). Patienter, der skal have en levertransplantation, er i en særlig risikogruppe, da forekomsten af akut nyresvigt er høj i denne gruppe. Da der potentielt kan opstå NSF ved anvendelse af Dotagraf, bør det derfor kun anvendes hos patienter med alvorligt nedsat nyrefunktion og hos patienter i den perioperative fase ved levertransplantation efter omhyggelig vurdering af benefit/</w:t>
      </w:r>
      <w:proofErr w:type="spellStart"/>
      <w:r w:rsidRPr="002F43F3">
        <w:rPr>
          <w:sz w:val="24"/>
          <w:szCs w:val="24"/>
        </w:rPr>
        <w:t>risk</w:t>
      </w:r>
      <w:proofErr w:type="spellEnd"/>
      <w:r w:rsidRPr="002F43F3">
        <w:rPr>
          <w:sz w:val="24"/>
          <w:szCs w:val="24"/>
        </w:rPr>
        <w:t>-forholdet, og hvis den diagnostiske information er særdeles vigtig og ikke kan fremskaffes ved brug af ikke-kontrastforstærket MR-scanning.</w:t>
      </w:r>
    </w:p>
    <w:p w:rsidR="00AF76BD" w:rsidRPr="002F43F3" w:rsidRDefault="00AF76BD" w:rsidP="00AF76BD">
      <w:pPr>
        <w:ind w:left="851" w:right="-1"/>
        <w:rPr>
          <w:sz w:val="24"/>
          <w:szCs w:val="24"/>
        </w:rPr>
      </w:pPr>
    </w:p>
    <w:p w:rsidR="00AF76BD" w:rsidRPr="002F43F3" w:rsidRDefault="00AF76BD" w:rsidP="00AF76BD">
      <w:pPr>
        <w:ind w:left="851" w:right="-1"/>
        <w:rPr>
          <w:sz w:val="24"/>
          <w:szCs w:val="24"/>
        </w:rPr>
      </w:pPr>
      <w:r w:rsidRPr="002F43F3">
        <w:rPr>
          <w:sz w:val="24"/>
          <w:szCs w:val="24"/>
        </w:rPr>
        <w:t xml:space="preserve">Anvendelse af hæmodialyse kort tid efter indgift af </w:t>
      </w:r>
      <w:proofErr w:type="spellStart"/>
      <w:r w:rsidRPr="002F43F3">
        <w:rPr>
          <w:sz w:val="24"/>
          <w:szCs w:val="24"/>
        </w:rPr>
        <w:t>gadoterinsyre</w:t>
      </w:r>
      <w:proofErr w:type="spellEnd"/>
      <w:r w:rsidRPr="002F43F3">
        <w:rPr>
          <w:sz w:val="24"/>
          <w:szCs w:val="24"/>
        </w:rPr>
        <w:t xml:space="preserve"> kan anvendes til at fjerne </w:t>
      </w:r>
      <w:proofErr w:type="spellStart"/>
      <w:r w:rsidRPr="002F43F3">
        <w:rPr>
          <w:sz w:val="24"/>
          <w:szCs w:val="24"/>
        </w:rPr>
        <w:t>gadoterinsyre</w:t>
      </w:r>
      <w:proofErr w:type="spellEnd"/>
      <w:r w:rsidRPr="002F43F3">
        <w:rPr>
          <w:sz w:val="24"/>
          <w:szCs w:val="24"/>
        </w:rPr>
        <w:t xml:space="preserve"> fra kroppen. Der er ikke oplysninger, der understøtter iværksættelse af hæmodialyse til forebyggelse eller behandling af NSF hos patienter, der ikke allerede får hæmodialysebehandling.</w:t>
      </w:r>
    </w:p>
    <w:p w:rsidR="00AF76BD" w:rsidRPr="002F43F3" w:rsidRDefault="00AF76BD" w:rsidP="00AF76BD">
      <w:pPr>
        <w:ind w:left="851" w:right="-1"/>
        <w:rPr>
          <w:sz w:val="24"/>
          <w:szCs w:val="24"/>
        </w:rPr>
      </w:pPr>
    </w:p>
    <w:p w:rsidR="00AF76BD" w:rsidRPr="002F43F3" w:rsidRDefault="00AF76BD" w:rsidP="00AF76BD">
      <w:pPr>
        <w:ind w:left="851" w:right="-1"/>
        <w:rPr>
          <w:sz w:val="24"/>
          <w:szCs w:val="24"/>
          <w:u w:val="single"/>
        </w:rPr>
      </w:pPr>
      <w:r w:rsidRPr="002F43F3">
        <w:rPr>
          <w:sz w:val="24"/>
          <w:szCs w:val="24"/>
          <w:u w:val="single"/>
        </w:rPr>
        <w:t>Ældre</w:t>
      </w:r>
    </w:p>
    <w:p w:rsidR="00AF76BD" w:rsidRPr="002F43F3" w:rsidRDefault="00AF76BD" w:rsidP="00AF76BD">
      <w:pPr>
        <w:ind w:left="851" w:right="-1"/>
        <w:rPr>
          <w:sz w:val="24"/>
          <w:szCs w:val="24"/>
        </w:rPr>
      </w:pPr>
      <w:r w:rsidRPr="002F43F3">
        <w:rPr>
          <w:sz w:val="24"/>
          <w:szCs w:val="24"/>
        </w:rPr>
        <w:t xml:space="preserve">Da </w:t>
      </w:r>
      <w:proofErr w:type="spellStart"/>
      <w:r w:rsidRPr="002F43F3">
        <w:rPr>
          <w:sz w:val="24"/>
          <w:szCs w:val="24"/>
        </w:rPr>
        <w:t>clearance</w:t>
      </w:r>
      <w:proofErr w:type="spellEnd"/>
      <w:r w:rsidRPr="002F43F3">
        <w:rPr>
          <w:sz w:val="24"/>
          <w:szCs w:val="24"/>
        </w:rPr>
        <w:t xml:space="preserve"> af </w:t>
      </w:r>
      <w:proofErr w:type="spellStart"/>
      <w:r w:rsidRPr="002F43F3">
        <w:rPr>
          <w:sz w:val="24"/>
          <w:szCs w:val="24"/>
        </w:rPr>
        <w:t>gadoterinsyre</w:t>
      </w:r>
      <w:proofErr w:type="spellEnd"/>
      <w:r w:rsidRPr="002F43F3">
        <w:rPr>
          <w:sz w:val="24"/>
          <w:szCs w:val="24"/>
        </w:rPr>
        <w:t xml:space="preserve"> gennem nyrerne kan være svækket hos ældre, er det særligt vigtigt at screene patienter i alderen 65 år og derover for nedsat nyrefunktion.</w:t>
      </w:r>
    </w:p>
    <w:p w:rsidR="00AF76BD" w:rsidRPr="002F43F3" w:rsidRDefault="00AF76BD" w:rsidP="00AF76BD">
      <w:pPr>
        <w:ind w:left="851" w:right="-1"/>
        <w:rPr>
          <w:sz w:val="24"/>
          <w:szCs w:val="24"/>
        </w:rPr>
      </w:pPr>
    </w:p>
    <w:p w:rsidR="00AF76BD" w:rsidRPr="002F43F3" w:rsidRDefault="00AF76BD" w:rsidP="00AF76BD">
      <w:pPr>
        <w:ind w:left="851" w:right="-1"/>
        <w:rPr>
          <w:sz w:val="24"/>
          <w:szCs w:val="24"/>
          <w:u w:val="single"/>
        </w:rPr>
      </w:pPr>
      <w:r w:rsidRPr="002F43F3">
        <w:rPr>
          <w:sz w:val="24"/>
          <w:szCs w:val="24"/>
          <w:u w:val="single"/>
        </w:rPr>
        <w:t>Pædiatrisk population</w:t>
      </w:r>
    </w:p>
    <w:p w:rsidR="00AF76BD" w:rsidRPr="002F43F3" w:rsidRDefault="00AF76BD" w:rsidP="00AF76BD">
      <w:pPr>
        <w:ind w:left="851" w:right="-1"/>
        <w:rPr>
          <w:sz w:val="24"/>
          <w:szCs w:val="24"/>
        </w:rPr>
      </w:pPr>
    </w:p>
    <w:p w:rsidR="00AF76BD" w:rsidRPr="002F43F3" w:rsidRDefault="00AF76BD" w:rsidP="00AF76BD">
      <w:pPr>
        <w:ind w:left="851" w:right="-1"/>
        <w:rPr>
          <w:i/>
          <w:sz w:val="24"/>
          <w:szCs w:val="24"/>
        </w:rPr>
      </w:pPr>
      <w:r w:rsidRPr="002F43F3">
        <w:rPr>
          <w:i/>
          <w:sz w:val="24"/>
          <w:szCs w:val="24"/>
        </w:rPr>
        <w:t>Nyfødte og spædbørn</w:t>
      </w:r>
    </w:p>
    <w:p w:rsidR="00AF76BD" w:rsidRPr="002F43F3" w:rsidRDefault="00AF76BD" w:rsidP="00AF76BD">
      <w:pPr>
        <w:ind w:left="851" w:right="-1"/>
        <w:rPr>
          <w:sz w:val="24"/>
          <w:szCs w:val="24"/>
        </w:rPr>
      </w:pPr>
      <w:r w:rsidRPr="002F43F3">
        <w:rPr>
          <w:sz w:val="24"/>
          <w:szCs w:val="24"/>
        </w:rPr>
        <w:t>Som følge af den umodne nyrefunktion hos nyfødte op til 4 uger og spædbørn op til 1 år må Dotagraf kun bruges hos disse patienter efter nøje overvejelse.</w:t>
      </w:r>
    </w:p>
    <w:p w:rsidR="00AF76BD" w:rsidRPr="002F43F3" w:rsidRDefault="00AF76BD" w:rsidP="00AF76BD">
      <w:pPr>
        <w:ind w:left="851" w:right="-1"/>
        <w:rPr>
          <w:sz w:val="24"/>
          <w:szCs w:val="24"/>
        </w:rPr>
      </w:pPr>
    </w:p>
    <w:p w:rsidR="00AF76BD" w:rsidRPr="002F43F3" w:rsidRDefault="00AF76BD" w:rsidP="00AF76BD">
      <w:pPr>
        <w:ind w:left="851" w:right="-1"/>
        <w:rPr>
          <w:sz w:val="24"/>
          <w:szCs w:val="24"/>
          <w:u w:val="single"/>
        </w:rPr>
      </w:pPr>
      <w:proofErr w:type="spellStart"/>
      <w:r w:rsidRPr="002F43F3">
        <w:rPr>
          <w:sz w:val="24"/>
          <w:szCs w:val="24"/>
          <w:u w:val="single"/>
        </w:rPr>
        <w:t>Kardiovaskulær</w:t>
      </w:r>
      <w:proofErr w:type="spellEnd"/>
      <w:r w:rsidRPr="002F43F3">
        <w:rPr>
          <w:sz w:val="24"/>
          <w:szCs w:val="24"/>
          <w:u w:val="single"/>
        </w:rPr>
        <w:t xml:space="preserve"> sygdom</w:t>
      </w:r>
    </w:p>
    <w:p w:rsidR="00AF76BD" w:rsidRPr="002F43F3" w:rsidRDefault="00AF76BD" w:rsidP="00AF76BD">
      <w:pPr>
        <w:ind w:left="851" w:right="-1"/>
        <w:rPr>
          <w:sz w:val="24"/>
          <w:szCs w:val="24"/>
        </w:rPr>
      </w:pPr>
      <w:r w:rsidRPr="002F43F3">
        <w:rPr>
          <w:sz w:val="24"/>
          <w:szCs w:val="24"/>
        </w:rPr>
        <w:t xml:space="preserve">Hos patienter med svær </w:t>
      </w:r>
      <w:proofErr w:type="spellStart"/>
      <w:r w:rsidRPr="002F43F3">
        <w:rPr>
          <w:sz w:val="24"/>
          <w:szCs w:val="24"/>
        </w:rPr>
        <w:t>kardiovaskulær</w:t>
      </w:r>
      <w:proofErr w:type="spellEnd"/>
      <w:r w:rsidRPr="002F43F3">
        <w:rPr>
          <w:sz w:val="24"/>
          <w:szCs w:val="24"/>
        </w:rPr>
        <w:t xml:space="preserve"> sygdom må Dotagraf kun indgives efter omhyggelig vurdering af benefit/</w:t>
      </w:r>
      <w:proofErr w:type="spellStart"/>
      <w:r w:rsidRPr="002F43F3">
        <w:rPr>
          <w:sz w:val="24"/>
          <w:szCs w:val="24"/>
        </w:rPr>
        <w:t>risk</w:t>
      </w:r>
      <w:proofErr w:type="spellEnd"/>
      <w:r w:rsidRPr="002F43F3">
        <w:rPr>
          <w:sz w:val="24"/>
          <w:szCs w:val="24"/>
        </w:rPr>
        <w:t>-forholdet, da der indtil videre kun er begrænsede data tilgængelige.</w:t>
      </w:r>
    </w:p>
    <w:p w:rsidR="00AF76BD" w:rsidRPr="002F43F3" w:rsidRDefault="00AF76BD" w:rsidP="00AF76BD">
      <w:pPr>
        <w:ind w:left="851" w:right="-1"/>
        <w:rPr>
          <w:sz w:val="24"/>
          <w:szCs w:val="24"/>
        </w:rPr>
      </w:pPr>
    </w:p>
    <w:p w:rsidR="00AF76BD" w:rsidRPr="002F43F3" w:rsidRDefault="00AF76BD" w:rsidP="00AF76BD">
      <w:pPr>
        <w:ind w:left="851" w:right="-1"/>
        <w:rPr>
          <w:sz w:val="24"/>
          <w:szCs w:val="24"/>
          <w:u w:val="single"/>
        </w:rPr>
      </w:pPr>
      <w:r w:rsidRPr="002F43F3">
        <w:rPr>
          <w:sz w:val="24"/>
          <w:szCs w:val="24"/>
          <w:u w:val="single"/>
        </w:rPr>
        <w:t>Forstyrrelser i centralnervesystemet</w:t>
      </w:r>
    </w:p>
    <w:p w:rsidR="00AF76BD" w:rsidRPr="002F43F3" w:rsidRDefault="00AF76BD" w:rsidP="00AF76BD">
      <w:pPr>
        <w:ind w:left="851" w:right="-1"/>
        <w:rPr>
          <w:sz w:val="24"/>
          <w:szCs w:val="24"/>
        </w:rPr>
      </w:pPr>
      <w:r w:rsidRPr="002F43F3">
        <w:rPr>
          <w:sz w:val="24"/>
          <w:szCs w:val="24"/>
        </w:rPr>
        <w:t xml:space="preserve">Ligesom med andre </w:t>
      </w:r>
      <w:proofErr w:type="spellStart"/>
      <w:r w:rsidRPr="002F43F3">
        <w:rPr>
          <w:sz w:val="24"/>
          <w:szCs w:val="24"/>
        </w:rPr>
        <w:t>gadolinium-holdige</w:t>
      </w:r>
      <w:proofErr w:type="spellEnd"/>
      <w:r w:rsidRPr="002F43F3">
        <w:rPr>
          <w:sz w:val="24"/>
          <w:szCs w:val="24"/>
        </w:rPr>
        <w:t xml:space="preserve"> kontrastmidler er det nødvendigt at udvise særlig forsigtighed hos patienter med tendens til krampeanfald. Der bør træffes sikkerhedsforanstaltninger som f.eks. tæt overvågning. Alt udstyr og lægemidler til at behandle eventuelle krampeanfald skal være gjort klar forinden.</w:t>
      </w:r>
    </w:p>
    <w:p w:rsidR="00AF76BD" w:rsidRPr="002F43F3" w:rsidRDefault="00AF76BD" w:rsidP="00AF76BD">
      <w:pPr>
        <w:ind w:left="851" w:right="-1" w:hanging="851"/>
        <w:rPr>
          <w:sz w:val="24"/>
          <w:szCs w:val="24"/>
        </w:rPr>
      </w:pPr>
    </w:p>
    <w:p w:rsidR="00AF76BD" w:rsidRPr="002F43F3" w:rsidRDefault="00AF76BD" w:rsidP="00AF76BD">
      <w:pPr>
        <w:ind w:left="851" w:right="-1" w:hanging="851"/>
        <w:rPr>
          <w:b/>
          <w:sz w:val="24"/>
          <w:szCs w:val="24"/>
        </w:rPr>
      </w:pPr>
      <w:r w:rsidRPr="002F43F3">
        <w:rPr>
          <w:b/>
          <w:sz w:val="24"/>
          <w:szCs w:val="24"/>
        </w:rPr>
        <w:t>4.5</w:t>
      </w:r>
      <w:r w:rsidRPr="002F43F3">
        <w:rPr>
          <w:b/>
          <w:sz w:val="24"/>
          <w:szCs w:val="24"/>
        </w:rPr>
        <w:tab/>
        <w:t>Interaktion med andre lægemidler og andre former for interaktion</w:t>
      </w:r>
    </w:p>
    <w:p w:rsidR="00AF76BD" w:rsidRPr="002F43F3" w:rsidRDefault="00AF76BD" w:rsidP="00AF76BD">
      <w:pPr>
        <w:spacing w:before="2" w:line="241" w:lineRule="auto"/>
        <w:ind w:left="851" w:right="-1"/>
        <w:rPr>
          <w:sz w:val="24"/>
          <w:szCs w:val="24"/>
        </w:rPr>
      </w:pPr>
      <w:r w:rsidRPr="002F43F3">
        <w:rPr>
          <w:sz w:val="24"/>
          <w:szCs w:val="24"/>
        </w:rPr>
        <w:t>Der er ikke set interaktioner med andre lægemidler. Der er ikke udført formelle interaktionsundersøgelser.</w:t>
      </w:r>
    </w:p>
    <w:p w:rsidR="00AF76BD" w:rsidRPr="002F43F3" w:rsidRDefault="00AF76BD" w:rsidP="00AF76BD">
      <w:pPr>
        <w:spacing w:before="2" w:line="241" w:lineRule="auto"/>
        <w:ind w:left="851" w:right="-1"/>
        <w:rPr>
          <w:sz w:val="24"/>
          <w:szCs w:val="24"/>
        </w:rPr>
      </w:pPr>
    </w:p>
    <w:p w:rsidR="00AF76BD" w:rsidRPr="002F43F3" w:rsidRDefault="00AF76BD" w:rsidP="00AF76BD">
      <w:pPr>
        <w:spacing w:before="2"/>
        <w:ind w:left="851" w:right="-1"/>
        <w:rPr>
          <w:sz w:val="24"/>
          <w:szCs w:val="24"/>
          <w:u w:val="single"/>
        </w:rPr>
      </w:pPr>
      <w:r w:rsidRPr="002F43F3">
        <w:rPr>
          <w:sz w:val="24"/>
          <w:szCs w:val="24"/>
          <w:u w:val="single"/>
        </w:rPr>
        <w:t>Andre lægemidler, der skal tages i betragtning</w:t>
      </w:r>
    </w:p>
    <w:p w:rsidR="00AF76BD" w:rsidRPr="002F43F3" w:rsidRDefault="00AF76BD" w:rsidP="00AF76BD">
      <w:pPr>
        <w:spacing w:before="2"/>
        <w:ind w:left="851" w:right="-1"/>
        <w:rPr>
          <w:sz w:val="24"/>
          <w:szCs w:val="24"/>
        </w:rPr>
      </w:pPr>
      <w:r w:rsidRPr="002F43F3">
        <w:rPr>
          <w:sz w:val="24"/>
          <w:szCs w:val="24"/>
        </w:rPr>
        <w:t xml:space="preserve">Betablokkere, </w:t>
      </w:r>
      <w:proofErr w:type="spellStart"/>
      <w:r w:rsidRPr="002F43F3">
        <w:rPr>
          <w:sz w:val="24"/>
          <w:szCs w:val="24"/>
        </w:rPr>
        <w:t>vasoaktive</w:t>
      </w:r>
      <w:proofErr w:type="spellEnd"/>
      <w:r w:rsidRPr="002F43F3">
        <w:rPr>
          <w:sz w:val="24"/>
          <w:szCs w:val="24"/>
        </w:rPr>
        <w:t xml:space="preserve"> stoffer, </w:t>
      </w:r>
      <w:proofErr w:type="spellStart"/>
      <w:r w:rsidRPr="002F43F3">
        <w:rPr>
          <w:sz w:val="24"/>
          <w:szCs w:val="24"/>
        </w:rPr>
        <w:t>angiotensinkonverterende</w:t>
      </w:r>
      <w:proofErr w:type="spellEnd"/>
      <w:r w:rsidRPr="002F43F3">
        <w:rPr>
          <w:sz w:val="24"/>
          <w:szCs w:val="24"/>
        </w:rPr>
        <w:t xml:space="preserve"> </w:t>
      </w:r>
      <w:proofErr w:type="spellStart"/>
      <w:r w:rsidRPr="002F43F3">
        <w:rPr>
          <w:sz w:val="24"/>
          <w:szCs w:val="24"/>
        </w:rPr>
        <w:t>enzymhæmmere</w:t>
      </w:r>
      <w:proofErr w:type="spellEnd"/>
      <w:r w:rsidRPr="002F43F3">
        <w:rPr>
          <w:sz w:val="24"/>
          <w:szCs w:val="24"/>
        </w:rPr>
        <w:t xml:space="preserve"> og </w:t>
      </w:r>
      <w:proofErr w:type="spellStart"/>
      <w:r w:rsidRPr="002F43F3">
        <w:rPr>
          <w:sz w:val="24"/>
          <w:szCs w:val="24"/>
        </w:rPr>
        <w:t>angiotensin</w:t>
      </w:r>
      <w:proofErr w:type="spellEnd"/>
      <w:r w:rsidRPr="002F43F3">
        <w:rPr>
          <w:sz w:val="24"/>
          <w:szCs w:val="24"/>
        </w:rPr>
        <w:t xml:space="preserve"> II-receptorantagonister: Disse lægemidlers mekanismer for </w:t>
      </w:r>
      <w:proofErr w:type="spellStart"/>
      <w:r w:rsidRPr="002F43F3">
        <w:rPr>
          <w:sz w:val="24"/>
          <w:szCs w:val="24"/>
        </w:rPr>
        <w:t>kardiovaskulær</w:t>
      </w:r>
      <w:proofErr w:type="spellEnd"/>
      <w:r w:rsidRPr="002F43F3">
        <w:rPr>
          <w:sz w:val="24"/>
          <w:szCs w:val="24"/>
        </w:rPr>
        <w:t xml:space="preserve"> kompensation ved blodtryksforstyrrelser kan forringes: Radiologen skal informeres før injektion af gadoliniumkomplekser, og genoplivningsudstyr skal være til rådighed.</w:t>
      </w:r>
    </w:p>
    <w:p w:rsidR="00AF76BD" w:rsidRPr="002F43F3" w:rsidRDefault="00AF76BD" w:rsidP="00AF76BD">
      <w:pPr>
        <w:ind w:left="851" w:right="-1" w:hanging="851"/>
        <w:rPr>
          <w:sz w:val="24"/>
          <w:szCs w:val="24"/>
        </w:rPr>
      </w:pPr>
    </w:p>
    <w:p w:rsidR="00AF76BD" w:rsidRPr="002F43F3" w:rsidRDefault="00AF76BD" w:rsidP="00AF76BD">
      <w:pPr>
        <w:keepNext/>
        <w:ind w:left="851" w:hanging="851"/>
        <w:rPr>
          <w:b/>
          <w:sz w:val="24"/>
          <w:szCs w:val="24"/>
        </w:rPr>
      </w:pPr>
      <w:r w:rsidRPr="002F43F3">
        <w:rPr>
          <w:b/>
          <w:sz w:val="24"/>
          <w:szCs w:val="24"/>
        </w:rPr>
        <w:lastRenderedPageBreak/>
        <w:t>4.6</w:t>
      </w:r>
      <w:r w:rsidRPr="002F43F3">
        <w:rPr>
          <w:b/>
          <w:sz w:val="24"/>
          <w:szCs w:val="24"/>
        </w:rPr>
        <w:tab/>
      </w:r>
      <w:r w:rsidR="002B1D8E">
        <w:rPr>
          <w:b/>
          <w:sz w:val="24"/>
          <w:szCs w:val="24"/>
        </w:rPr>
        <w:t>Fertilitet, g</w:t>
      </w:r>
      <w:r w:rsidRPr="002F43F3">
        <w:rPr>
          <w:b/>
          <w:sz w:val="24"/>
          <w:szCs w:val="24"/>
        </w:rPr>
        <w:t>raviditet og amning</w:t>
      </w:r>
    </w:p>
    <w:p w:rsidR="00781F4D" w:rsidRDefault="00781F4D" w:rsidP="00AF76BD">
      <w:pPr>
        <w:keepNext/>
        <w:spacing w:before="2"/>
        <w:ind w:left="851"/>
        <w:rPr>
          <w:sz w:val="24"/>
          <w:szCs w:val="24"/>
          <w:u w:val="single"/>
        </w:rPr>
      </w:pPr>
    </w:p>
    <w:p w:rsidR="002B1D8E" w:rsidRPr="002F43F3" w:rsidRDefault="002B1D8E" w:rsidP="002B1D8E">
      <w:pPr>
        <w:keepNext/>
        <w:spacing w:before="2"/>
        <w:ind w:left="851"/>
        <w:rPr>
          <w:sz w:val="24"/>
          <w:szCs w:val="24"/>
          <w:u w:val="single"/>
        </w:rPr>
      </w:pPr>
      <w:r w:rsidRPr="002F43F3">
        <w:rPr>
          <w:sz w:val="24"/>
          <w:szCs w:val="24"/>
          <w:u w:val="single"/>
        </w:rPr>
        <w:t>Graviditet</w:t>
      </w:r>
    </w:p>
    <w:p w:rsidR="002B1D8E" w:rsidRPr="002F43F3" w:rsidRDefault="002B1D8E" w:rsidP="002B1D8E">
      <w:pPr>
        <w:spacing w:before="2"/>
        <w:ind w:left="851" w:right="-1"/>
        <w:rPr>
          <w:sz w:val="24"/>
          <w:szCs w:val="24"/>
        </w:rPr>
      </w:pPr>
      <w:r>
        <w:rPr>
          <w:sz w:val="24"/>
          <w:szCs w:val="24"/>
        </w:rPr>
        <w:t xml:space="preserve">Data om </w:t>
      </w:r>
      <w:r w:rsidRPr="002F43F3">
        <w:rPr>
          <w:sz w:val="24"/>
          <w:szCs w:val="24"/>
        </w:rPr>
        <w:t xml:space="preserve">anvendelse af </w:t>
      </w:r>
      <w:r w:rsidRPr="004F6A94">
        <w:rPr>
          <w:sz w:val="24"/>
          <w:szCs w:val="24"/>
        </w:rPr>
        <w:t>gadoliniumbaserede kontrastmidler, herunder</w:t>
      </w:r>
      <w:r>
        <w:rPr>
          <w:sz w:val="24"/>
          <w:szCs w:val="24"/>
        </w:rPr>
        <w:t xml:space="preserve"> </w:t>
      </w:r>
      <w:proofErr w:type="spellStart"/>
      <w:r w:rsidRPr="002F43F3">
        <w:rPr>
          <w:sz w:val="24"/>
          <w:szCs w:val="24"/>
        </w:rPr>
        <w:t>gadoterinsyre</w:t>
      </w:r>
      <w:proofErr w:type="spellEnd"/>
      <w:r w:rsidRPr="002F43F3">
        <w:rPr>
          <w:sz w:val="24"/>
          <w:szCs w:val="24"/>
        </w:rPr>
        <w:t xml:space="preserve"> </w:t>
      </w:r>
      <w:r>
        <w:rPr>
          <w:sz w:val="24"/>
          <w:szCs w:val="24"/>
        </w:rPr>
        <w:t>hos</w:t>
      </w:r>
      <w:r w:rsidRPr="002F43F3">
        <w:rPr>
          <w:sz w:val="24"/>
          <w:szCs w:val="24"/>
        </w:rPr>
        <w:t xml:space="preserve"> gravide kvinder</w:t>
      </w:r>
      <w:r>
        <w:rPr>
          <w:sz w:val="24"/>
          <w:szCs w:val="24"/>
        </w:rPr>
        <w:t xml:space="preserve"> er </w:t>
      </w:r>
      <w:r w:rsidRPr="00377B2A">
        <w:rPr>
          <w:sz w:val="24"/>
          <w:szCs w:val="24"/>
        </w:rPr>
        <w:t>begrænset</w:t>
      </w:r>
      <w:r w:rsidRPr="002F43F3">
        <w:rPr>
          <w:sz w:val="24"/>
          <w:szCs w:val="24"/>
        </w:rPr>
        <w:t>.</w:t>
      </w:r>
      <w:r>
        <w:rPr>
          <w:sz w:val="24"/>
          <w:szCs w:val="24"/>
        </w:rPr>
        <w:t xml:space="preserve"> </w:t>
      </w:r>
      <w:r w:rsidRPr="00377B2A">
        <w:rPr>
          <w:sz w:val="24"/>
          <w:szCs w:val="24"/>
        </w:rPr>
        <w:t>Gadolinium kan krydse placentaen. Det er uvist om eksponering for gadolinium er forbundet med bivirkninger hos fostret.</w:t>
      </w:r>
      <w:r w:rsidRPr="002F43F3">
        <w:rPr>
          <w:sz w:val="24"/>
          <w:szCs w:val="24"/>
        </w:rPr>
        <w:t xml:space="preserve"> Dyreforsøg indikerer hverken direkte eller indirekte skadelige virkninger, hvad angår reproduktionstoksicitet (se pkt. 5.3). </w:t>
      </w:r>
      <w:proofErr w:type="spellStart"/>
      <w:r w:rsidRPr="002F43F3">
        <w:rPr>
          <w:sz w:val="24"/>
          <w:szCs w:val="24"/>
        </w:rPr>
        <w:t>Gadoterinsyre</w:t>
      </w:r>
      <w:proofErr w:type="spellEnd"/>
      <w:r w:rsidRPr="002F43F3">
        <w:rPr>
          <w:sz w:val="24"/>
          <w:szCs w:val="24"/>
        </w:rPr>
        <w:t xml:space="preserve"> passerer langsomt gennem placenta. Dotagraf bør ikke anvendes under graviditet, medmindre kvindens kliniske tilstand kræver anvendelse af </w:t>
      </w:r>
      <w:proofErr w:type="spellStart"/>
      <w:r w:rsidRPr="002F43F3">
        <w:rPr>
          <w:sz w:val="24"/>
          <w:szCs w:val="24"/>
        </w:rPr>
        <w:t>gadoterinsyre</w:t>
      </w:r>
      <w:proofErr w:type="spellEnd"/>
      <w:r w:rsidRPr="002F43F3">
        <w:rPr>
          <w:sz w:val="24"/>
          <w:szCs w:val="24"/>
        </w:rPr>
        <w:t>.</w:t>
      </w:r>
    </w:p>
    <w:p w:rsidR="002B1D8E" w:rsidRDefault="002B1D8E" w:rsidP="00AF76BD">
      <w:pPr>
        <w:spacing w:before="2"/>
        <w:ind w:left="851" w:right="-1"/>
        <w:rPr>
          <w:sz w:val="24"/>
          <w:szCs w:val="24"/>
          <w:u w:val="single"/>
        </w:rPr>
      </w:pPr>
    </w:p>
    <w:p w:rsidR="00AF76BD" w:rsidRPr="002F43F3" w:rsidRDefault="00AF76BD" w:rsidP="00AF76BD">
      <w:pPr>
        <w:spacing w:before="2"/>
        <w:ind w:left="851" w:right="-1"/>
        <w:rPr>
          <w:sz w:val="24"/>
          <w:szCs w:val="24"/>
          <w:u w:val="single"/>
        </w:rPr>
      </w:pPr>
      <w:r w:rsidRPr="002F43F3">
        <w:rPr>
          <w:sz w:val="24"/>
          <w:szCs w:val="24"/>
          <w:u w:val="single"/>
        </w:rPr>
        <w:t>Amning</w:t>
      </w:r>
    </w:p>
    <w:p w:rsidR="00AF76BD" w:rsidRPr="002F43F3" w:rsidRDefault="00AF76BD" w:rsidP="00AF76BD">
      <w:pPr>
        <w:spacing w:before="2"/>
        <w:ind w:left="851" w:right="-1"/>
        <w:rPr>
          <w:sz w:val="24"/>
          <w:szCs w:val="24"/>
        </w:rPr>
      </w:pPr>
      <w:proofErr w:type="spellStart"/>
      <w:r w:rsidRPr="002F43F3">
        <w:rPr>
          <w:sz w:val="24"/>
          <w:szCs w:val="24"/>
        </w:rPr>
        <w:t>Gadolinium-holdige</w:t>
      </w:r>
      <w:proofErr w:type="spellEnd"/>
      <w:r w:rsidRPr="002F43F3">
        <w:rPr>
          <w:sz w:val="24"/>
          <w:szCs w:val="24"/>
        </w:rPr>
        <w:t xml:space="preserve"> kontrastmidler udskilles i modermælk i meget små mængder (se pkt. 5.3). Ved kliniske doser forventes der ingen påvirkning af spædbarnet på grund af den lille mængde, der udskilles i modermælken, og lav optagelse fra tarmen. Lægen og den ammende moder bør i samråd vurdere, hvorvidt amning skal ophøre i 24 timer efter indgift af Dotagraf.</w:t>
      </w:r>
    </w:p>
    <w:p w:rsidR="00AF76BD" w:rsidRPr="002F43F3" w:rsidRDefault="00AF76BD" w:rsidP="00AF76BD">
      <w:pPr>
        <w:ind w:left="851" w:right="-1" w:hanging="851"/>
        <w:rPr>
          <w:sz w:val="24"/>
          <w:szCs w:val="24"/>
        </w:rPr>
      </w:pPr>
    </w:p>
    <w:p w:rsidR="00AF76BD" w:rsidRPr="002F43F3" w:rsidRDefault="00AF76BD" w:rsidP="00AF76BD">
      <w:pPr>
        <w:ind w:left="851" w:right="-1" w:hanging="851"/>
        <w:rPr>
          <w:b/>
          <w:sz w:val="24"/>
          <w:szCs w:val="24"/>
        </w:rPr>
      </w:pPr>
      <w:r w:rsidRPr="002F43F3">
        <w:rPr>
          <w:b/>
          <w:sz w:val="24"/>
          <w:szCs w:val="24"/>
        </w:rPr>
        <w:t>4.7</w:t>
      </w:r>
      <w:r w:rsidRPr="002F43F3">
        <w:rPr>
          <w:b/>
          <w:sz w:val="24"/>
          <w:szCs w:val="24"/>
        </w:rPr>
        <w:tab/>
        <w:t xml:space="preserve">Virkning på evnen til at føre motorkøretøj </w:t>
      </w:r>
      <w:r w:rsidR="002B1D8E">
        <w:rPr>
          <w:b/>
          <w:sz w:val="24"/>
          <w:szCs w:val="24"/>
        </w:rPr>
        <w:t>og</w:t>
      </w:r>
      <w:r w:rsidRPr="002F43F3">
        <w:rPr>
          <w:b/>
          <w:sz w:val="24"/>
          <w:szCs w:val="24"/>
        </w:rPr>
        <w:t xml:space="preserve"> betjene maskiner</w:t>
      </w:r>
    </w:p>
    <w:p w:rsidR="00AF76BD" w:rsidRPr="002F43F3" w:rsidRDefault="00AF76BD" w:rsidP="00AF76BD">
      <w:pPr>
        <w:spacing w:before="2" w:line="241" w:lineRule="auto"/>
        <w:ind w:left="851" w:right="-1"/>
        <w:rPr>
          <w:sz w:val="24"/>
          <w:szCs w:val="24"/>
        </w:rPr>
      </w:pPr>
      <w:r w:rsidRPr="002F43F3">
        <w:rPr>
          <w:sz w:val="24"/>
          <w:szCs w:val="24"/>
        </w:rPr>
        <w:t>Ikke mærkning.</w:t>
      </w:r>
    </w:p>
    <w:p w:rsidR="00AF76BD" w:rsidRPr="002F43F3" w:rsidRDefault="00AF76BD" w:rsidP="00AF76BD">
      <w:pPr>
        <w:spacing w:before="2" w:line="241" w:lineRule="auto"/>
        <w:ind w:left="851" w:right="-1"/>
        <w:rPr>
          <w:sz w:val="24"/>
          <w:szCs w:val="24"/>
        </w:rPr>
      </w:pPr>
      <w:r w:rsidRPr="002F43F3">
        <w:rPr>
          <w:sz w:val="24"/>
          <w:szCs w:val="24"/>
        </w:rPr>
        <w:t>Der er ikke foretaget undersøgelser af påvirkningen af evnen til at føre motorkøretøj eller betjene maskiner. Ambulante patienter bør tage højde for, at de kan opleve kvalme, mens de kører eller betjener maskiner.</w:t>
      </w:r>
    </w:p>
    <w:p w:rsidR="00AF76BD" w:rsidRPr="002F43F3" w:rsidRDefault="00AF76BD" w:rsidP="00AF76BD">
      <w:pPr>
        <w:ind w:left="851" w:right="-1" w:hanging="851"/>
        <w:rPr>
          <w:sz w:val="24"/>
          <w:szCs w:val="24"/>
        </w:rPr>
      </w:pPr>
    </w:p>
    <w:p w:rsidR="00AF76BD" w:rsidRPr="002F43F3" w:rsidRDefault="00AF76BD" w:rsidP="00AF76BD">
      <w:pPr>
        <w:ind w:left="851" w:right="-1" w:hanging="851"/>
        <w:rPr>
          <w:b/>
          <w:sz w:val="24"/>
          <w:szCs w:val="24"/>
        </w:rPr>
      </w:pPr>
      <w:r w:rsidRPr="002F43F3">
        <w:rPr>
          <w:b/>
          <w:sz w:val="24"/>
          <w:szCs w:val="24"/>
        </w:rPr>
        <w:t>4.8</w:t>
      </w:r>
      <w:r w:rsidRPr="002F43F3">
        <w:rPr>
          <w:b/>
          <w:sz w:val="24"/>
          <w:szCs w:val="24"/>
        </w:rPr>
        <w:tab/>
        <w:t>Bivirkninger</w:t>
      </w:r>
    </w:p>
    <w:p w:rsidR="00AF76BD" w:rsidRPr="002F43F3" w:rsidRDefault="00AF76BD" w:rsidP="00AF76BD">
      <w:pPr>
        <w:spacing w:before="2"/>
        <w:ind w:left="851" w:right="-1"/>
        <w:rPr>
          <w:sz w:val="24"/>
          <w:szCs w:val="24"/>
        </w:rPr>
      </w:pPr>
      <w:r w:rsidRPr="002F43F3">
        <w:rPr>
          <w:sz w:val="24"/>
          <w:szCs w:val="24"/>
        </w:rPr>
        <w:t xml:space="preserve">Bivirkningerne ved brug af </w:t>
      </w:r>
      <w:proofErr w:type="spellStart"/>
      <w:r w:rsidRPr="002F43F3">
        <w:rPr>
          <w:sz w:val="24"/>
          <w:szCs w:val="24"/>
        </w:rPr>
        <w:t>gadoterinsyre</w:t>
      </w:r>
      <w:proofErr w:type="spellEnd"/>
      <w:r w:rsidRPr="002F43F3">
        <w:rPr>
          <w:sz w:val="24"/>
          <w:szCs w:val="24"/>
        </w:rPr>
        <w:t xml:space="preserve"> er normalt lette til moderate og forbigående. Reaktioner på injektionsstedet, kvalme og hovedpine er de hyppigst observerede reaktioner.</w:t>
      </w:r>
    </w:p>
    <w:p w:rsidR="00AF76BD" w:rsidRPr="002F43F3" w:rsidRDefault="00AF76BD" w:rsidP="00AF76BD">
      <w:pPr>
        <w:spacing w:before="2"/>
        <w:ind w:left="851" w:right="-1"/>
        <w:rPr>
          <w:sz w:val="24"/>
          <w:szCs w:val="24"/>
        </w:rPr>
      </w:pPr>
    </w:p>
    <w:p w:rsidR="00AF76BD" w:rsidRPr="002F43F3" w:rsidRDefault="00AF76BD" w:rsidP="00AF76BD">
      <w:pPr>
        <w:spacing w:before="2"/>
        <w:ind w:left="851" w:right="-1"/>
        <w:rPr>
          <w:sz w:val="24"/>
          <w:szCs w:val="24"/>
        </w:rPr>
      </w:pPr>
      <w:r w:rsidRPr="002F43F3">
        <w:rPr>
          <w:sz w:val="24"/>
          <w:szCs w:val="24"/>
        </w:rPr>
        <w:t xml:space="preserve">I de kliniske studier var kvalme, hovedpine, reaktioner på injektionsstedet, kuldefølelse, hypotension, </w:t>
      </w:r>
      <w:proofErr w:type="spellStart"/>
      <w:r w:rsidRPr="002F43F3">
        <w:rPr>
          <w:sz w:val="24"/>
          <w:szCs w:val="24"/>
        </w:rPr>
        <w:t>somnolens</w:t>
      </w:r>
      <w:proofErr w:type="spellEnd"/>
      <w:r w:rsidRPr="002F43F3">
        <w:rPr>
          <w:sz w:val="24"/>
          <w:szCs w:val="24"/>
        </w:rPr>
        <w:t xml:space="preserve">, svimmelhed, varmefølelse, brændende fornemmelse, udslæt, asteni, </w:t>
      </w:r>
      <w:proofErr w:type="spellStart"/>
      <w:r w:rsidRPr="002F43F3">
        <w:rPr>
          <w:sz w:val="24"/>
          <w:szCs w:val="24"/>
        </w:rPr>
        <w:t>dysgeusi</w:t>
      </w:r>
      <w:proofErr w:type="spellEnd"/>
      <w:r w:rsidRPr="002F43F3">
        <w:rPr>
          <w:sz w:val="24"/>
          <w:szCs w:val="24"/>
        </w:rPr>
        <w:t xml:space="preserve"> og hypertension de hyppigste, ikke almindelige bivirkninger (≥ 1/1.000 til &lt; 1/100).</w:t>
      </w:r>
    </w:p>
    <w:p w:rsidR="00AF76BD" w:rsidRPr="002F43F3" w:rsidRDefault="00AF76BD" w:rsidP="00AF76BD">
      <w:pPr>
        <w:spacing w:before="2"/>
        <w:ind w:left="851" w:right="-1"/>
        <w:rPr>
          <w:sz w:val="24"/>
          <w:szCs w:val="24"/>
        </w:rPr>
      </w:pPr>
    </w:p>
    <w:p w:rsidR="00AF76BD" w:rsidRPr="002F43F3" w:rsidRDefault="00AF76BD" w:rsidP="00AF76BD">
      <w:pPr>
        <w:spacing w:before="2"/>
        <w:ind w:left="851" w:right="-1"/>
        <w:rPr>
          <w:sz w:val="24"/>
          <w:szCs w:val="24"/>
        </w:rPr>
      </w:pPr>
      <w:r w:rsidRPr="002F43F3">
        <w:rPr>
          <w:sz w:val="24"/>
          <w:szCs w:val="24"/>
        </w:rPr>
        <w:t xml:space="preserve">Efter markedsføringen er de hyppigst indberettede bivirkninger efter indgift af </w:t>
      </w:r>
      <w:proofErr w:type="spellStart"/>
      <w:r w:rsidRPr="002F43F3">
        <w:rPr>
          <w:sz w:val="24"/>
          <w:szCs w:val="24"/>
        </w:rPr>
        <w:t>gadoterinsyre</w:t>
      </w:r>
      <w:proofErr w:type="spellEnd"/>
      <w:r w:rsidRPr="002F43F3">
        <w:rPr>
          <w:sz w:val="24"/>
          <w:szCs w:val="24"/>
        </w:rPr>
        <w:t xml:space="preserve"> kvalme, opkastning, </w:t>
      </w:r>
      <w:proofErr w:type="spellStart"/>
      <w:r w:rsidRPr="002F43F3">
        <w:rPr>
          <w:sz w:val="24"/>
          <w:szCs w:val="24"/>
        </w:rPr>
        <w:t>pruritus</w:t>
      </w:r>
      <w:proofErr w:type="spellEnd"/>
      <w:r w:rsidRPr="002F43F3">
        <w:rPr>
          <w:sz w:val="24"/>
          <w:szCs w:val="24"/>
        </w:rPr>
        <w:t xml:space="preserve"> og overfølsomhedsreaktioner.</w:t>
      </w:r>
    </w:p>
    <w:p w:rsidR="00AF76BD" w:rsidRPr="002F43F3" w:rsidRDefault="00AF76BD" w:rsidP="00AF76BD">
      <w:pPr>
        <w:spacing w:before="2"/>
        <w:ind w:left="851" w:right="-1"/>
        <w:rPr>
          <w:sz w:val="24"/>
          <w:szCs w:val="24"/>
        </w:rPr>
      </w:pPr>
    </w:p>
    <w:p w:rsidR="00AF76BD" w:rsidRPr="002F43F3" w:rsidRDefault="00AF76BD" w:rsidP="00AF76BD">
      <w:pPr>
        <w:spacing w:before="2"/>
        <w:ind w:left="851" w:right="-1"/>
        <w:rPr>
          <w:sz w:val="24"/>
          <w:szCs w:val="24"/>
        </w:rPr>
      </w:pPr>
      <w:r w:rsidRPr="002F43F3">
        <w:rPr>
          <w:sz w:val="24"/>
          <w:szCs w:val="24"/>
        </w:rPr>
        <w:t>De hyppigst observerede overfølsomhedsreaktioner er hudreaktioner, der kan være lokale, udbredte eller generaliserede.</w:t>
      </w:r>
    </w:p>
    <w:p w:rsidR="00AF76BD" w:rsidRPr="002F43F3" w:rsidRDefault="00AF76BD" w:rsidP="00AF76BD">
      <w:pPr>
        <w:spacing w:before="2"/>
        <w:ind w:left="851" w:right="-1"/>
        <w:rPr>
          <w:sz w:val="24"/>
          <w:szCs w:val="24"/>
        </w:rPr>
      </w:pPr>
    </w:p>
    <w:p w:rsidR="00AF76BD" w:rsidRPr="002F43F3" w:rsidRDefault="00AF76BD" w:rsidP="00AF76BD">
      <w:pPr>
        <w:spacing w:before="2"/>
        <w:ind w:left="851" w:right="-1"/>
        <w:rPr>
          <w:sz w:val="24"/>
          <w:szCs w:val="24"/>
        </w:rPr>
      </w:pPr>
      <w:r w:rsidRPr="002F43F3">
        <w:rPr>
          <w:sz w:val="24"/>
          <w:szCs w:val="24"/>
        </w:rPr>
        <w:t>Disse reaktioner opstår oftest med det samme (under injektionen eller inden for én time efter påbegyndelse af injektionen) eller nogle gange forsinket (én time til flere dage efter injektionen), i dette tilfælde som hudreaktioner.</w:t>
      </w:r>
    </w:p>
    <w:p w:rsidR="00AF76BD" w:rsidRPr="002F43F3" w:rsidRDefault="00AF76BD" w:rsidP="00AF76BD">
      <w:pPr>
        <w:spacing w:before="2"/>
        <w:ind w:left="851" w:right="-1"/>
        <w:rPr>
          <w:sz w:val="24"/>
          <w:szCs w:val="24"/>
        </w:rPr>
      </w:pPr>
    </w:p>
    <w:p w:rsidR="00AF76BD" w:rsidRPr="002F43F3" w:rsidRDefault="00AF76BD" w:rsidP="00AF76BD">
      <w:pPr>
        <w:spacing w:before="2"/>
        <w:ind w:left="851" w:right="-1"/>
        <w:rPr>
          <w:sz w:val="24"/>
          <w:szCs w:val="24"/>
        </w:rPr>
      </w:pPr>
      <w:r w:rsidRPr="002F43F3">
        <w:rPr>
          <w:sz w:val="24"/>
          <w:szCs w:val="24"/>
        </w:rPr>
        <w:t xml:space="preserve">Øjeblikkelige reaktioner omfatter en eller flere bivirkninger, der optræder samtidigt eller efter hinanden, og som oftest er hudreaktioner, problemer med vejrtrækningen, </w:t>
      </w:r>
      <w:proofErr w:type="spellStart"/>
      <w:r w:rsidRPr="002F43F3">
        <w:rPr>
          <w:sz w:val="24"/>
          <w:szCs w:val="24"/>
        </w:rPr>
        <w:t>gastrointestinale</w:t>
      </w:r>
      <w:proofErr w:type="spellEnd"/>
      <w:r w:rsidRPr="002F43F3">
        <w:rPr>
          <w:sz w:val="24"/>
          <w:szCs w:val="24"/>
        </w:rPr>
        <w:t xml:space="preserve">, </w:t>
      </w:r>
      <w:proofErr w:type="spellStart"/>
      <w:r w:rsidRPr="002F43F3">
        <w:rPr>
          <w:sz w:val="24"/>
          <w:szCs w:val="24"/>
        </w:rPr>
        <w:t>artikulære</w:t>
      </w:r>
      <w:proofErr w:type="spellEnd"/>
      <w:r w:rsidRPr="002F43F3">
        <w:rPr>
          <w:sz w:val="24"/>
          <w:szCs w:val="24"/>
        </w:rPr>
        <w:t xml:space="preserve"> og/eller </w:t>
      </w:r>
      <w:proofErr w:type="spellStart"/>
      <w:r w:rsidRPr="002F43F3">
        <w:rPr>
          <w:sz w:val="24"/>
          <w:szCs w:val="24"/>
        </w:rPr>
        <w:t>kardiovaskulære</w:t>
      </w:r>
      <w:proofErr w:type="spellEnd"/>
      <w:r w:rsidRPr="002F43F3">
        <w:rPr>
          <w:sz w:val="24"/>
          <w:szCs w:val="24"/>
        </w:rPr>
        <w:t xml:space="preserve"> bivirkninger. Hvert af disse tegn kan være en advarsel om et begyndende </w:t>
      </w:r>
      <w:proofErr w:type="spellStart"/>
      <w:r w:rsidRPr="002F43F3">
        <w:rPr>
          <w:sz w:val="24"/>
          <w:szCs w:val="24"/>
        </w:rPr>
        <w:t>shock</w:t>
      </w:r>
      <w:proofErr w:type="spellEnd"/>
      <w:r w:rsidRPr="002F43F3">
        <w:rPr>
          <w:sz w:val="24"/>
          <w:szCs w:val="24"/>
        </w:rPr>
        <w:t>, og i meget sjældne tilfælde kan det medføre døden.</w:t>
      </w:r>
    </w:p>
    <w:p w:rsidR="00AF76BD" w:rsidRPr="002F43F3" w:rsidRDefault="00AF76BD" w:rsidP="00AF76BD">
      <w:pPr>
        <w:spacing w:before="2"/>
        <w:ind w:left="851" w:right="-1"/>
        <w:rPr>
          <w:sz w:val="24"/>
          <w:szCs w:val="24"/>
        </w:rPr>
      </w:pPr>
    </w:p>
    <w:p w:rsidR="00AF76BD" w:rsidRPr="002F43F3" w:rsidRDefault="00AF76BD" w:rsidP="00AF76BD">
      <w:pPr>
        <w:spacing w:before="2"/>
        <w:ind w:left="851" w:right="-1"/>
        <w:rPr>
          <w:sz w:val="24"/>
          <w:szCs w:val="24"/>
        </w:rPr>
      </w:pPr>
      <w:r w:rsidRPr="002F43F3">
        <w:rPr>
          <w:sz w:val="24"/>
          <w:szCs w:val="24"/>
        </w:rPr>
        <w:lastRenderedPageBreak/>
        <w:t xml:space="preserve">Der er indberettet enkeltstående tilfælde af NSF ved anvendelse af </w:t>
      </w:r>
      <w:proofErr w:type="spellStart"/>
      <w:r w:rsidRPr="002F43F3">
        <w:rPr>
          <w:sz w:val="24"/>
          <w:szCs w:val="24"/>
        </w:rPr>
        <w:t>gadoterinsyre</w:t>
      </w:r>
      <w:proofErr w:type="spellEnd"/>
      <w:r w:rsidRPr="002F43F3">
        <w:rPr>
          <w:sz w:val="24"/>
          <w:szCs w:val="24"/>
        </w:rPr>
        <w:t xml:space="preserve">, og de fleste tilfælde vedrørte patienter, der samtidig fik behandling med andre </w:t>
      </w:r>
      <w:proofErr w:type="spellStart"/>
      <w:r w:rsidRPr="002F43F3">
        <w:rPr>
          <w:sz w:val="24"/>
          <w:szCs w:val="24"/>
        </w:rPr>
        <w:t>gadolinium-holdige</w:t>
      </w:r>
      <w:proofErr w:type="spellEnd"/>
      <w:r w:rsidRPr="002F43F3">
        <w:rPr>
          <w:sz w:val="24"/>
          <w:szCs w:val="24"/>
        </w:rPr>
        <w:t xml:space="preserve"> kontrastmidler (se pkt. 4.4).</w:t>
      </w:r>
    </w:p>
    <w:p w:rsidR="00AF76BD" w:rsidRPr="002F43F3" w:rsidRDefault="00AF76BD" w:rsidP="00AF76BD">
      <w:pPr>
        <w:spacing w:before="2"/>
        <w:ind w:left="851" w:right="-1"/>
        <w:rPr>
          <w:sz w:val="24"/>
          <w:szCs w:val="24"/>
        </w:rPr>
      </w:pPr>
    </w:p>
    <w:p w:rsidR="00AF76BD" w:rsidRPr="002F43F3" w:rsidRDefault="00AF76BD" w:rsidP="00AF76BD">
      <w:pPr>
        <w:spacing w:before="2"/>
        <w:ind w:left="851" w:right="-1"/>
        <w:rPr>
          <w:sz w:val="24"/>
          <w:szCs w:val="24"/>
        </w:rPr>
      </w:pPr>
      <w:r w:rsidRPr="002F43F3">
        <w:rPr>
          <w:sz w:val="24"/>
          <w:szCs w:val="24"/>
        </w:rPr>
        <w:t xml:space="preserve">Bivirkningerne opstilles i tabellen nedenfor i henhold til systemorganklasse og følgende hyppigheder: </w:t>
      </w:r>
      <w:r w:rsidR="00575A50">
        <w:rPr>
          <w:sz w:val="24"/>
          <w:szCs w:val="24"/>
        </w:rPr>
        <w:t>M</w:t>
      </w:r>
      <w:r w:rsidRPr="002F43F3">
        <w:rPr>
          <w:sz w:val="24"/>
          <w:szCs w:val="24"/>
        </w:rPr>
        <w:t>eget almindelig (≥ 1/10), almindelig (≥ 1/100 til &lt; 1/10), ikke almindelig (≥ 1/1.000 til &lt; 1/100), sjælden (≥ 1/10.000 til &lt; 1/1.000), meget sjælden (&lt; 1/10.000) og ikke kendt (kan ikke estimeres ud fra forhåndenværende data). Dataene stammer fra de tilgængelige kliniske undersøgelser med 2822 patienter eller fra en samling af observationsstudier med 185.500 patienter.</w:t>
      </w:r>
    </w:p>
    <w:p w:rsidR="00AF76BD" w:rsidRPr="002F43F3" w:rsidRDefault="00AF76BD" w:rsidP="00AF76BD">
      <w:pPr>
        <w:spacing w:before="2"/>
        <w:ind w:left="851" w:right="-1" w:hanging="851"/>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512"/>
        <w:gridCol w:w="6116"/>
      </w:tblGrid>
      <w:tr w:rsidR="00AF76BD" w:rsidRPr="002F43F3" w:rsidTr="003B4BCE">
        <w:tc>
          <w:tcPr>
            <w:tcW w:w="1824" w:type="pct"/>
            <w:tcBorders>
              <w:top w:val="single" w:sz="4" w:space="0" w:color="auto"/>
              <w:left w:val="single" w:sz="4" w:space="0" w:color="auto"/>
              <w:bottom w:val="single" w:sz="4" w:space="0" w:color="auto"/>
              <w:right w:val="single" w:sz="4" w:space="0" w:color="auto"/>
            </w:tcBorders>
            <w:hideMark/>
          </w:tcPr>
          <w:p w:rsidR="00AF76BD" w:rsidRPr="002F43F3" w:rsidRDefault="00AF76BD" w:rsidP="003B4BCE">
            <w:pPr>
              <w:spacing w:before="60" w:after="60"/>
              <w:ind w:left="52" w:right="-1"/>
              <w:rPr>
                <w:b/>
                <w:sz w:val="24"/>
                <w:szCs w:val="24"/>
              </w:rPr>
            </w:pPr>
            <w:r w:rsidRPr="002F43F3">
              <w:rPr>
                <w:b/>
                <w:sz w:val="24"/>
                <w:szCs w:val="24"/>
              </w:rPr>
              <w:t>Systemorganklasse</w:t>
            </w:r>
          </w:p>
        </w:tc>
        <w:tc>
          <w:tcPr>
            <w:tcW w:w="3176" w:type="pct"/>
            <w:tcBorders>
              <w:top w:val="single" w:sz="4" w:space="0" w:color="auto"/>
              <w:left w:val="single" w:sz="4" w:space="0" w:color="auto"/>
              <w:bottom w:val="single" w:sz="4" w:space="0" w:color="auto"/>
              <w:right w:val="single" w:sz="4" w:space="0" w:color="auto"/>
            </w:tcBorders>
            <w:hideMark/>
          </w:tcPr>
          <w:p w:rsidR="00AF76BD" w:rsidRPr="002F43F3" w:rsidRDefault="00AF76BD" w:rsidP="003B4BCE">
            <w:pPr>
              <w:spacing w:before="60" w:after="60"/>
              <w:ind w:left="52" w:right="-1"/>
              <w:rPr>
                <w:b/>
                <w:sz w:val="24"/>
                <w:szCs w:val="24"/>
              </w:rPr>
            </w:pPr>
            <w:r w:rsidRPr="002F43F3">
              <w:rPr>
                <w:b/>
                <w:sz w:val="24"/>
                <w:szCs w:val="24"/>
              </w:rPr>
              <w:t>Hyppighed af bivirkninger</w:t>
            </w:r>
          </w:p>
        </w:tc>
      </w:tr>
      <w:tr w:rsidR="00AF76BD" w:rsidRPr="002F43F3" w:rsidTr="003B4BCE">
        <w:tc>
          <w:tcPr>
            <w:tcW w:w="1824" w:type="pct"/>
            <w:tcBorders>
              <w:top w:val="single" w:sz="4" w:space="0" w:color="auto"/>
              <w:left w:val="single" w:sz="4" w:space="0" w:color="auto"/>
              <w:bottom w:val="single" w:sz="4" w:space="0" w:color="auto"/>
              <w:right w:val="single" w:sz="4" w:space="0" w:color="auto"/>
            </w:tcBorders>
            <w:hideMark/>
          </w:tcPr>
          <w:p w:rsidR="00AF76BD" w:rsidRPr="002F43F3" w:rsidRDefault="00AF76BD" w:rsidP="003B4BCE">
            <w:pPr>
              <w:spacing w:before="40" w:after="40"/>
              <w:ind w:left="52" w:right="-1"/>
              <w:rPr>
                <w:sz w:val="24"/>
                <w:szCs w:val="24"/>
              </w:rPr>
            </w:pPr>
            <w:r w:rsidRPr="002F43F3">
              <w:rPr>
                <w:sz w:val="24"/>
                <w:szCs w:val="24"/>
              </w:rPr>
              <w:t>Immunsystemet</w:t>
            </w:r>
          </w:p>
        </w:tc>
        <w:tc>
          <w:tcPr>
            <w:tcW w:w="3176" w:type="pct"/>
            <w:tcBorders>
              <w:top w:val="single" w:sz="4" w:space="0" w:color="auto"/>
              <w:left w:val="single" w:sz="4" w:space="0" w:color="auto"/>
              <w:bottom w:val="single" w:sz="4" w:space="0" w:color="auto"/>
              <w:right w:val="single" w:sz="4" w:space="0" w:color="auto"/>
            </w:tcBorders>
            <w:hideMark/>
          </w:tcPr>
          <w:p w:rsidR="00AF76BD" w:rsidRPr="002F43F3" w:rsidRDefault="00AF76BD" w:rsidP="003B4BCE">
            <w:pPr>
              <w:spacing w:before="40" w:after="40"/>
              <w:ind w:left="52" w:right="-1"/>
              <w:rPr>
                <w:sz w:val="24"/>
                <w:szCs w:val="24"/>
              </w:rPr>
            </w:pPr>
            <w:r w:rsidRPr="002F43F3">
              <w:rPr>
                <w:sz w:val="24"/>
                <w:szCs w:val="24"/>
              </w:rPr>
              <w:t xml:space="preserve">Ikke almindelig: </w:t>
            </w:r>
            <w:r w:rsidR="00575A50">
              <w:rPr>
                <w:sz w:val="24"/>
                <w:szCs w:val="24"/>
              </w:rPr>
              <w:t>O</w:t>
            </w:r>
            <w:r w:rsidRPr="002F43F3">
              <w:rPr>
                <w:sz w:val="24"/>
                <w:szCs w:val="24"/>
              </w:rPr>
              <w:t xml:space="preserve">verfølsomhed </w:t>
            </w:r>
          </w:p>
          <w:p w:rsidR="00AF76BD" w:rsidRPr="002F43F3" w:rsidRDefault="00AF76BD" w:rsidP="003B4BCE">
            <w:pPr>
              <w:spacing w:before="40" w:after="40"/>
              <w:ind w:left="52" w:right="-1"/>
              <w:rPr>
                <w:sz w:val="24"/>
                <w:szCs w:val="24"/>
              </w:rPr>
            </w:pPr>
            <w:r w:rsidRPr="002F43F3">
              <w:rPr>
                <w:sz w:val="24"/>
                <w:szCs w:val="24"/>
              </w:rPr>
              <w:t xml:space="preserve">Meget sjælden: </w:t>
            </w:r>
            <w:proofErr w:type="spellStart"/>
            <w:r w:rsidR="00575A50">
              <w:rPr>
                <w:sz w:val="24"/>
                <w:szCs w:val="24"/>
              </w:rPr>
              <w:t>A</w:t>
            </w:r>
            <w:r w:rsidRPr="002F43F3">
              <w:rPr>
                <w:sz w:val="24"/>
                <w:szCs w:val="24"/>
              </w:rPr>
              <w:t>nafylaktisk</w:t>
            </w:r>
            <w:proofErr w:type="spellEnd"/>
            <w:r w:rsidRPr="002F43F3">
              <w:rPr>
                <w:sz w:val="24"/>
                <w:szCs w:val="24"/>
              </w:rPr>
              <w:t xml:space="preserve"> reaktion, </w:t>
            </w:r>
            <w:proofErr w:type="spellStart"/>
            <w:r w:rsidRPr="002F43F3">
              <w:rPr>
                <w:sz w:val="24"/>
                <w:szCs w:val="24"/>
              </w:rPr>
              <w:t>anafylaktoid</w:t>
            </w:r>
            <w:proofErr w:type="spellEnd"/>
            <w:r w:rsidRPr="002F43F3">
              <w:rPr>
                <w:sz w:val="24"/>
                <w:szCs w:val="24"/>
              </w:rPr>
              <w:t xml:space="preserve"> reaktion</w:t>
            </w:r>
          </w:p>
        </w:tc>
      </w:tr>
      <w:tr w:rsidR="00AF76BD" w:rsidRPr="002F43F3" w:rsidTr="003B4BCE">
        <w:tc>
          <w:tcPr>
            <w:tcW w:w="1824" w:type="pct"/>
            <w:tcBorders>
              <w:top w:val="single" w:sz="4" w:space="0" w:color="auto"/>
              <w:left w:val="single" w:sz="4" w:space="0" w:color="auto"/>
              <w:bottom w:val="single" w:sz="4" w:space="0" w:color="auto"/>
              <w:right w:val="single" w:sz="4" w:space="0" w:color="auto"/>
            </w:tcBorders>
            <w:hideMark/>
          </w:tcPr>
          <w:p w:rsidR="00AF76BD" w:rsidRPr="002F43F3" w:rsidRDefault="00AF76BD" w:rsidP="003B4BCE">
            <w:pPr>
              <w:spacing w:before="40" w:after="40"/>
              <w:ind w:left="52" w:right="-1"/>
              <w:rPr>
                <w:sz w:val="24"/>
                <w:szCs w:val="24"/>
              </w:rPr>
            </w:pPr>
            <w:r w:rsidRPr="002F43F3">
              <w:rPr>
                <w:sz w:val="24"/>
                <w:szCs w:val="24"/>
              </w:rPr>
              <w:t>Psykiske forstyrrelser</w:t>
            </w:r>
          </w:p>
        </w:tc>
        <w:tc>
          <w:tcPr>
            <w:tcW w:w="3176" w:type="pct"/>
            <w:tcBorders>
              <w:top w:val="single" w:sz="4" w:space="0" w:color="auto"/>
              <w:left w:val="single" w:sz="4" w:space="0" w:color="auto"/>
              <w:bottom w:val="single" w:sz="4" w:space="0" w:color="auto"/>
              <w:right w:val="single" w:sz="4" w:space="0" w:color="auto"/>
            </w:tcBorders>
            <w:hideMark/>
          </w:tcPr>
          <w:p w:rsidR="00AF76BD" w:rsidRPr="002F43F3" w:rsidRDefault="00AF76BD" w:rsidP="003B4BCE">
            <w:pPr>
              <w:spacing w:before="40" w:after="40"/>
              <w:ind w:left="52" w:right="-1"/>
              <w:rPr>
                <w:sz w:val="24"/>
                <w:szCs w:val="24"/>
              </w:rPr>
            </w:pPr>
            <w:r w:rsidRPr="002F43F3">
              <w:rPr>
                <w:sz w:val="24"/>
                <w:szCs w:val="24"/>
              </w:rPr>
              <w:t xml:space="preserve">Sjælden: </w:t>
            </w:r>
            <w:r w:rsidR="00575A50">
              <w:rPr>
                <w:sz w:val="24"/>
                <w:szCs w:val="24"/>
              </w:rPr>
              <w:t>A</w:t>
            </w:r>
            <w:r w:rsidRPr="002F43F3">
              <w:rPr>
                <w:sz w:val="24"/>
                <w:szCs w:val="24"/>
              </w:rPr>
              <w:t>ngst</w:t>
            </w:r>
          </w:p>
          <w:p w:rsidR="00AF76BD" w:rsidRPr="002F43F3" w:rsidRDefault="00AF76BD" w:rsidP="003B4BCE">
            <w:pPr>
              <w:spacing w:before="40" w:after="40"/>
              <w:ind w:left="52" w:right="-1"/>
              <w:rPr>
                <w:sz w:val="24"/>
                <w:szCs w:val="24"/>
              </w:rPr>
            </w:pPr>
            <w:r w:rsidRPr="002F43F3">
              <w:rPr>
                <w:sz w:val="24"/>
                <w:szCs w:val="24"/>
              </w:rPr>
              <w:t xml:space="preserve">Meget sjælden: </w:t>
            </w:r>
            <w:r w:rsidR="00575A50">
              <w:rPr>
                <w:sz w:val="24"/>
                <w:szCs w:val="24"/>
              </w:rPr>
              <w:t>U</w:t>
            </w:r>
            <w:r w:rsidRPr="002F43F3">
              <w:rPr>
                <w:sz w:val="24"/>
                <w:szCs w:val="24"/>
              </w:rPr>
              <w:t xml:space="preserve">ro </w:t>
            </w:r>
          </w:p>
        </w:tc>
      </w:tr>
      <w:tr w:rsidR="00AF76BD" w:rsidRPr="002F43F3" w:rsidTr="003B4BCE">
        <w:tc>
          <w:tcPr>
            <w:tcW w:w="1824" w:type="pct"/>
            <w:tcBorders>
              <w:top w:val="single" w:sz="4" w:space="0" w:color="auto"/>
              <w:left w:val="single" w:sz="4" w:space="0" w:color="auto"/>
              <w:bottom w:val="single" w:sz="4" w:space="0" w:color="auto"/>
              <w:right w:val="single" w:sz="4" w:space="0" w:color="auto"/>
            </w:tcBorders>
            <w:hideMark/>
          </w:tcPr>
          <w:p w:rsidR="00AF76BD" w:rsidRPr="002F43F3" w:rsidRDefault="00AF76BD" w:rsidP="003B4BCE">
            <w:pPr>
              <w:spacing w:before="40" w:after="40"/>
              <w:ind w:left="52" w:right="-1"/>
              <w:rPr>
                <w:sz w:val="24"/>
                <w:szCs w:val="24"/>
              </w:rPr>
            </w:pPr>
            <w:r w:rsidRPr="002F43F3">
              <w:rPr>
                <w:sz w:val="24"/>
                <w:szCs w:val="24"/>
              </w:rPr>
              <w:t>Nervesystemet</w:t>
            </w:r>
          </w:p>
        </w:tc>
        <w:tc>
          <w:tcPr>
            <w:tcW w:w="3176" w:type="pct"/>
            <w:tcBorders>
              <w:top w:val="single" w:sz="4" w:space="0" w:color="auto"/>
              <w:left w:val="single" w:sz="4" w:space="0" w:color="auto"/>
              <w:bottom w:val="single" w:sz="4" w:space="0" w:color="auto"/>
              <w:right w:val="single" w:sz="4" w:space="0" w:color="auto"/>
            </w:tcBorders>
            <w:hideMark/>
          </w:tcPr>
          <w:p w:rsidR="00AF76BD" w:rsidRPr="002F43F3" w:rsidRDefault="00AF76BD" w:rsidP="003B4BCE">
            <w:pPr>
              <w:spacing w:before="40" w:after="40"/>
              <w:ind w:left="52" w:right="-1"/>
              <w:rPr>
                <w:sz w:val="24"/>
                <w:szCs w:val="24"/>
              </w:rPr>
            </w:pPr>
            <w:r w:rsidRPr="002F43F3">
              <w:rPr>
                <w:sz w:val="24"/>
                <w:szCs w:val="24"/>
              </w:rPr>
              <w:t xml:space="preserve">Ikke almindelig: </w:t>
            </w:r>
            <w:r w:rsidR="00575A50">
              <w:rPr>
                <w:sz w:val="24"/>
                <w:szCs w:val="24"/>
              </w:rPr>
              <w:t>H</w:t>
            </w:r>
            <w:r w:rsidRPr="002F43F3">
              <w:rPr>
                <w:sz w:val="24"/>
                <w:szCs w:val="24"/>
              </w:rPr>
              <w:t xml:space="preserve">ovedpine, </w:t>
            </w:r>
            <w:proofErr w:type="spellStart"/>
            <w:r w:rsidRPr="002F43F3">
              <w:rPr>
                <w:sz w:val="24"/>
                <w:szCs w:val="24"/>
              </w:rPr>
              <w:t>dysgeusi</w:t>
            </w:r>
            <w:proofErr w:type="spellEnd"/>
            <w:r w:rsidRPr="002F43F3">
              <w:rPr>
                <w:sz w:val="24"/>
                <w:szCs w:val="24"/>
              </w:rPr>
              <w:t xml:space="preserve">, svimmelhed, </w:t>
            </w:r>
            <w:proofErr w:type="spellStart"/>
            <w:r w:rsidRPr="002F43F3">
              <w:rPr>
                <w:sz w:val="24"/>
                <w:szCs w:val="24"/>
              </w:rPr>
              <w:t>somnolens</w:t>
            </w:r>
            <w:proofErr w:type="spellEnd"/>
            <w:r w:rsidRPr="002F43F3">
              <w:rPr>
                <w:sz w:val="24"/>
                <w:szCs w:val="24"/>
              </w:rPr>
              <w:t xml:space="preserve">, </w:t>
            </w:r>
            <w:proofErr w:type="spellStart"/>
            <w:r w:rsidRPr="002F43F3">
              <w:rPr>
                <w:sz w:val="24"/>
                <w:szCs w:val="24"/>
              </w:rPr>
              <w:t>paræstesi</w:t>
            </w:r>
            <w:proofErr w:type="spellEnd"/>
            <w:r w:rsidRPr="002F43F3">
              <w:rPr>
                <w:sz w:val="24"/>
                <w:szCs w:val="24"/>
              </w:rPr>
              <w:t xml:space="preserve"> (herunder brændende fornemmelse)</w:t>
            </w:r>
          </w:p>
          <w:p w:rsidR="00AF76BD" w:rsidRPr="002F43F3" w:rsidRDefault="00AF76BD" w:rsidP="003B4BCE">
            <w:pPr>
              <w:spacing w:before="40" w:after="40"/>
              <w:ind w:left="52" w:right="-1"/>
              <w:rPr>
                <w:sz w:val="24"/>
                <w:szCs w:val="24"/>
              </w:rPr>
            </w:pPr>
            <w:r w:rsidRPr="002F43F3">
              <w:rPr>
                <w:sz w:val="24"/>
                <w:szCs w:val="24"/>
              </w:rPr>
              <w:t xml:space="preserve">Sjælden: </w:t>
            </w:r>
            <w:r w:rsidR="00575A50">
              <w:rPr>
                <w:sz w:val="24"/>
                <w:szCs w:val="24"/>
              </w:rPr>
              <w:t>N</w:t>
            </w:r>
            <w:r w:rsidRPr="002F43F3">
              <w:rPr>
                <w:sz w:val="24"/>
                <w:szCs w:val="24"/>
              </w:rPr>
              <w:t>ær-besvimelse</w:t>
            </w:r>
          </w:p>
          <w:p w:rsidR="00AF76BD" w:rsidRPr="002F43F3" w:rsidRDefault="00AF76BD" w:rsidP="003B4BCE">
            <w:pPr>
              <w:spacing w:before="40" w:after="40"/>
              <w:ind w:left="52" w:right="-1"/>
              <w:rPr>
                <w:sz w:val="24"/>
                <w:szCs w:val="24"/>
              </w:rPr>
            </w:pPr>
            <w:r w:rsidRPr="002F43F3">
              <w:rPr>
                <w:sz w:val="24"/>
                <w:szCs w:val="24"/>
              </w:rPr>
              <w:t xml:space="preserve">Meget sjælden: </w:t>
            </w:r>
            <w:r w:rsidR="00575A50">
              <w:rPr>
                <w:sz w:val="24"/>
                <w:szCs w:val="24"/>
              </w:rPr>
              <w:t>K</w:t>
            </w:r>
            <w:r w:rsidRPr="002F43F3">
              <w:rPr>
                <w:sz w:val="24"/>
                <w:szCs w:val="24"/>
              </w:rPr>
              <w:t xml:space="preserve">oma, krampeanfald, besvimelse, </w:t>
            </w:r>
            <w:proofErr w:type="spellStart"/>
            <w:r w:rsidRPr="002F43F3">
              <w:rPr>
                <w:sz w:val="24"/>
                <w:szCs w:val="24"/>
              </w:rPr>
              <w:t>tremor</w:t>
            </w:r>
            <w:proofErr w:type="spellEnd"/>
            <w:r w:rsidRPr="002F43F3">
              <w:rPr>
                <w:sz w:val="24"/>
                <w:szCs w:val="24"/>
              </w:rPr>
              <w:t xml:space="preserve">, </w:t>
            </w:r>
            <w:proofErr w:type="spellStart"/>
            <w:r w:rsidRPr="002F43F3">
              <w:rPr>
                <w:sz w:val="24"/>
                <w:szCs w:val="24"/>
              </w:rPr>
              <w:t>parosmi</w:t>
            </w:r>
            <w:proofErr w:type="spellEnd"/>
          </w:p>
        </w:tc>
      </w:tr>
      <w:tr w:rsidR="00AF76BD" w:rsidRPr="002F43F3" w:rsidTr="003B4BCE">
        <w:tc>
          <w:tcPr>
            <w:tcW w:w="1824" w:type="pct"/>
            <w:tcBorders>
              <w:top w:val="single" w:sz="4" w:space="0" w:color="auto"/>
              <w:left w:val="single" w:sz="4" w:space="0" w:color="auto"/>
              <w:bottom w:val="single" w:sz="4" w:space="0" w:color="auto"/>
              <w:right w:val="single" w:sz="4" w:space="0" w:color="auto"/>
            </w:tcBorders>
            <w:hideMark/>
          </w:tcPr>
          <w:p w:rsidR="00AF76BD" w:rsidRPr="002F43F3" w:rsidRDefault="00AF76BD" w:rsidP="003B4BCE">
            <w:pPr>
              <w:spacing w:before="40" w:after="40"/>
              <w:ind w:left="52" w:right="-1"/>
              <w:rPr>
                <w:sz w:val="24"/>
                <w:szCs w:val="24"/>
              </w:rPr>
            </w:pPr>
            <w:r w:rsidRPr="002F43F3">
              <w:rPr>
                <w:sz w:val="24"/>
                <w:szCs w:val="24"/>
              </w:rPr>
              <w:t>Øjne</w:t>
            </w:r>
          </w:p>
        </w:tc>
        <w:tc>
          <w:tcPr>
            <w:tcW w:w="3176" w:type="pct"/>
            <w:tcBorders>
              <w:top w:val="single" w:sz="4" w:space="0" w:color="auto"/>
              <w:left w:val="single" w:sz="4" w:space="0" w:color="auto"/>
              <w:bottom w:val="single" w:sz="4" w:space="0" w:color="auto"/>
              <w:right w:val="single" w:sz="4" w:space="0" w:color="auto"/>
            </w:tcBorders>
            <w:hideMark/>
          </w:tcPr>
          <w:p w:rsidR="00AF76BD" w:rsidRPr="002F43F3" w:rsidRDefault="00AF76BD" w:rsidP="003B4BCE">
            <w:pPr>
              <w:spacing w:before="40" w:after="40"/>
              <w:ind w:left="52" w:right="-1"/>
              <w:rPr>
                <w:sz w:val="24"/>
                <w:szCs w:val="24"/>
              </w:rPr>
            </w:pPr>
            <w:r w:rsidRPr="002F43F3">
              <w:rPr>
                <w:sz w:val="24"/>
                <w:szCs w:val="24"/>
              </w:rPr>
              <w:t xml:space="preserve">Sjælden: </w:t>
            </w:r>
            <w:r w:rsidR="00575A50">
              <w:rPr>
                <w:sz w:val="24"/>
                <w:szCs w:val="24"/>
              </w:rPr>
              <w:t>Ø</w:t>
            </w:r>
            <w:r w:rsidRPr="002F43F3">
              <w:rPr>
                <w:sz w:val="24"/>
                <w:szCs w:val="24"/>
              </w:rPr>
              <w:t>jenlågsødem</w:t>
            </w:r>
          </w:p>
          <w:p w:rsidR="00AF76BD" w:rsidRPr="002F43F3" w:rsidRDefault="00AF76BD" w:rsidP="003B4BCE">
            <w:pPr>
              <w:spacing w:before="40" w:after="40"/>
              <w:ind w:left="52" w:right="-1"/>
              <w:rPr>
                <w:sz w:val="24"/>
                <w:szCs w:val="24"/>
              </w:rPr>
            </w:pPr>
            <w:r w:rsidRPr="002F43F3">
              <w:rPr>
                <w:sz w:val="24"/>
                <w:szCs w:val="24"/>
              </w:rPr>
              <w:t xml:space="preserve">Meget sjælden: </w:t>
            </w:r>
            <w:proofErr w:type="spellStart"/>
            <w:r w:rsidR="00575A50">
              <w:rPr>
                <w:sz w:val="24"/>
                <w:szCs w:val="24"/>
              </w:rPr>
              <w:t>K</w:t>
            </w:r>
            <w:r w:rsidRPr="002F43F3">
              <w:rPr>
                <w:sz w:val="24"/>
                <w:szCs w:val="24"/>
              </w:rPr>
              <w:t>onjunktivitis</w:t>
            </w:r>
            <w:proofErr w:type="spellEnd"/>
            <w:r w:rsidRPr="002F43F3">
              <w:rPr>
                <w:sz w:val="24"/>
                <w:szCs w:val="24"/>
              </w:rPr>
              <w:t xml:space="preserve">, </w:t>
            </w:r>
            <w:proofErr w:type="spellStart"/>
            <w:r w:rsidRPr="002F43F3">
              <w:rPr>
                <w:sz w:val="24"/>
                <w:szCs w:val="24"/>
              </w:rPr>
              <w:t>okulær</w:t>
            </w:r>
            <w:proofErr w:type="spellEnd"/>
            <w:r w:rsidRPr="002F43F3">
              <w:rPr>
                <w:sz w:val="24"/>
                <w:szCs w:val="24"/>
              </w:rPr>
              <w:t xml:space="preserve"> </w:t>
            </w:r>
            <w:proofErr w:type="spellStart"/>
            <w:r w:rsidRPr="002F43F3">
              <w:rPr>
                <w:sz w:val="24"/>
                <w:szCs w:val="24"/>
              </w:rPr>
              <w:t>hyperæmi</w:t>
            </w:r>
            <w:proofErr w:type="spellEnd"/>
            <w:r w:rsidRPr="002F43F3">
              <w:rPr>
                <w:sz w:val="24"/>
                <w:szCs w:val="24"/>
              </w:rPr>
              <w:t>, sløret syn, øget tåreflåd</w:t>
            </w:r>
          </w:p>
        </w:tc>
      </w:tr>
      <w:tr w:rsidR="00AF76BD" w:rsidRPr="002F43F3" w:rsidTr="003B4BCE">
        <w:tc>
          <w:tcPr>
            <w:tcW w:w="1824" w:type="pct"/>
            <w:tcBorders>
              <w:top w:val="single" w:sz="4" w:space="0" w:color="auto"/>
              <w:left w:val="single" w:sz="4" w:space="0" w:color="auto"/>
              <w:bottom w:val="single" w:sz="4" w:space="0" w:color="auto"/>
              <w:right w:val="single" w:sz="4" w:space="0" w:color="auto"/>
            </w:tcBorders>
            <w:hideMark/>
          </w:tcPr>
          <w:p w:rsidR="00AF76BD" w:rsidRPr="002F43F3" w:rsidRDefault="00AF76BD" w:rsidP="003B4BCE">
            <w:pPr>
              <w:spacing w:before="40" w:after="40"/>
              <w:ind w:left="52" w:right="-1"/>
              <w:rPr>
                <w:sz w:val="24"/>
                <w:szCs w:val="24"/>
              </w:rPr>
            </w:pPr>
            <w:r w:rsidRPr="002F43F3">
              <w:rPr>
                <w:sz w:val="24"/>
                <w:szCs w:val="24"/>
              </w:rPr>
              <w:t>Hjerteforstyrrelser</w:t>
            </w:r>
          </w:p>
        </w:tc>
        <w:tc>
          <w:tcPr>
            <w:tcW w:w="3176" w:type="pct"/>
            <w:tcBorders>
              <w:top w:val="single" w:sz="4" w:space="0" w:color="auto"/>
              <w:left w:val="single" w:sz="4" w:space="0" w:color="auto"/>
              <w:bottom w:val="single" w:sz="4" w:space="0" w:color="auto"/>
              <w:right w:val="single" w:sz="4" w:space="0" w:color="auto"/>
            </w:tcBorders>
            <w:hideMark/>
          </w:tcPr>
          <w:p w:rsidR="00AF76BD" w:rsidRPr="002F43F3" w:rsidRDefault="00AF76BD" w:rsidP="003B4BCE">
            <w:pPr>
              <w:spacing w:before="40" w:after="40"/>
              <w:ind w:left="52" w:right="-1"/>
              <w:rPr>
                <w:sz w:val="24"/>
                <w:szCs w:val="24"/>
              </w:rPr>
            </w:pPr>
            <w:r w:rsidRPr="002F43F3">
              <w:rPr>
                <w:sz w:val="24"/>
                <w:szCs w:val="24"/>
              </w:rPr>
              <w:t xml:space="preserve">Sjælden: </w:t>
            </w:r>
            <w:proofErr w:type="spellStart"/>
            <w:r w:rsidR="00575A50">
              <w:rPr>
                <w:sz w:val="24"/>
                <w:szCs w:val="24"/>
              </w:rPr>
              <w:t>P</w:t>
            </w:r>
            <w:r w:rsidRPr="002F43F3">
              <w:rPr>
                <w:sz w:val="24"/>
                <w:szCs w:val="24"/>
              </w:rPr>
              <w:t>alpitationer</w:t>
            </w:r>
            <w:proofErr w:type="spellEnd"/>
          </w:p>
          <w:p w:rsidR="00AF76BD" w:rsidRPr="002F43F3" w:rsidRDefault="00AF76BD" w:rsidP="003B4BCE">
            <w:pPr>
              <w:spacing w:before="40" w:after="40"/>
              <w:ind w:left="52" w:right="-1"/>
              <w:rPr>
                <w:sz w:val="24"/>
                <w:szCs w:val="24"/>
              </w:rPr>
            </w:pPr>
            <w:r w:rsidRPr="002F43F3">
              <w:rPr>
                <w:sz w:val="24"/>
                <w:szCs w:val="24"/>
              </w:rPr>
              <w:t xml:space="preserve">Meget sjælden: </w:t>
            </w:r>
            <w:proofErr w:type="spellStart"/>
            <w:r w:rsidR="00575A50">
              <w:rPr>
                <w:sz w:val="24"/>
                <w:szCs w:val="24"/>
              </w:rPr>
              <w:t>T</w:t>
            </w:r>
            <w:r w:rsidRPr="002F43F3">
              <w:rPr>
                <w:sz w:val="24"/>
                <w:szCs w:val="24"/>
              </w:rPr>
              <w:t>akykardi</w:t>
            </w:r>
            <w:proofErr w:type="spellEnd"/>
            <w:r w:rsidRPr="002F43F3">
              <w:rPr>
                <w:sz w:val="24"/>
                <w:szCs w:val="24"/>
              </w:rPr>
              <w:t xml:space="preserve">, hjertestop, </w:t>
            </w:r>
            <w:proofErr w:type="spellStart"/>
            <w:r w:rsidRPr="002F43F3">
              <w:rPr>
                <w:sz w:val="24"/>
                <w:szCs w:val="24"/>
              </w:rPr>
              <w:t>arytmi</w:t>
            </w:r>
            <w:proofErr w:type="spellEnd"/>
            <w:r w:rsidRPr="002F43F3">
              <w:rPr>
                <w:sz w:val="24"/>
                <w:szCs w:val="24"/>
              </w:rPr>
              <w:t>, bradykardi</w:t>
            </w:r>
          </w:p>
        </w:tc>
      </w:tr>
      <w:tr w:rsidR="00AF76BD" w:rsidRPr="002F43F3" w:rsidTr="003B4BCE">
        <w:tc>
          <w:tcPr>
            <w:tcW w:w="1824" w:type="pct"/>
            <w:tcBorders>
              <w:top w:val="single" w:sz="4" w:space="0" w:color="auto"/>
              <w:left w:val="single" w:sz="4" w:space="0" w:color="auto"/>
              <w:bottom w:val="single" w:sz="4" w:space="0" w:color="auto"/>
              <w:right w:val="single" w:sz="4" w:space="0" w:color="auto"/>
            </w:tcBorders>
            <w:hideMark/>
          </w:tcPr>
          <w:p w:rsidR="00AF76BD" w:rsidRPr="002F43F3" w:rsidRDefault="00AF76BD" w:rsidP="003B4BCE">
            <w:pPr>
              <w:spacing w:before="40" w:after="40"/>
              <w:ind w:left="52" w:right="-1"/>
              <w:rPr>
                <w:sz w:val="24"/>
                <w:szCs w:val="24"/>
              </w:rPr>
            </w:pPr>
            <w:proofErr w:type="spellStart"/>
            <w:r w:rsidRPr="002F43F3">
              <w:rPr>
                <w:sz w:val="24"/>
                <w:szCs w:val="24"/>
              </w:rPr>
              <w:t>Vaskulære</w:t>
            </w:r>
            <w:proofErr w:type="spellEnd"/>
            <w:r w:rsidRPr="002F43F3">
              <w:rPr>
                <w:sz w:val="24"/>
                <w:szCs w:val="24"/>
              </w:rPr>
              <w:t xml:space="preserve"> sygdomme</w:t>
            </w:r>
          </w:p>
        </w:tc>
        <w:tc>
          <w:tcPr>
            <w:tcW w:w="3176" w:type="pct"/>
            <w:tcBorders>
              <w:top w:val="single" w:sz="4" w:space="0" w:color="auto"/>
              <w:left w:val="single" w:sz="4" w:space="0" w:color="auto"/>
              <w:bottom w:val="single" w:sz="4" w:space="0" w:color="auto"/>
              <w:right w:val="single" w:sz="4" w:space="0" w:color="auto"/>
            </w:tcBorders>
            <w:hideMark/>
          </w:tcPr>
          <w:p w:rsidR="00AF76BD" w:rsidRPr="002F43F3" w:rsidRDefault="00AF76BD" w:rsidP="003B4BCE">
            <w:pPr>
              <w:spacing w:before="40" w:after="40"/>
              <w:ind w:left="52" w:right="-1"/>
              <w:rPr>
                <w:sz w:val="24"/>
                <w:szCs w:val="24"/>
              </w:rPr>
            </w:pPr>
            <w:r w:rsidRPr="002F43F3">
              <w:rPr>
                <w:sz w:val="24"/>
                <w:szCs w:val="24"/>
              </w:rPr>
              <w:t xml:space="preserve">Ikke almindelig: </w:t>
            </w:r>
            <w:r w:rsidR="00575A50">
              <w:rPr>
                <w:sz w:val="24"/>
                <w:szCs w:val="24"/>
              </w:rPr>
              <w:t>H</w:t>
            </w:r>
            <w:r w:rsidRPr="002F43F3">
              <w:rPr>
                <w:sz w:val="24"/>
                <w:szCs w:val="24"/>
              </w:rPr>
              <w:t>ypotension, hypertension</w:t>
            </w:r>
          </w:p>
          <w:p w:rsidR="00AF76BD" w:rsidRPr="002F43F3" w:rsidRDefault="00AF76BD" w:rsidP="003B4BCE">
            <w:pPr>
              <w:spacing w:before="40" w:after="40"/>
              <w:ind w:left="52" w:right="-1"/>
              <w:rPr>
                <w:sz w:val="24"/>
                <w:szCs w:val="24"/>
              </w:rPr>
            </w:pPr>
            <w:r w:rsidRPr="002F43F3">
              <w:rPr>
                <w:sz w:val="24"/>
                <w:szCs w:val="24"/>
              </w:rPr>
              <w:t xml:space="preserve">Meget sjælden: </w:t>
            </w:r>
            <w:r w:rsidR="00575A50">
              <w:rPr>
                <w:sz w:val="24"/>
                <w:szCs w:val="24"/>
              </w:rPr>
              <w:t>B</w:t>
            </w:r>
            <w:r w:rsidRPr="002F43F3">
              <w:rPr>
                <w:sz w:val="24"/>
                <w:szCs w:val="24"/>
              </w:rPr>
              <w:t>leghed, vasodilatation</w:t>
            </w:r>
          </w:p>
        </w:tc>
      </w:tr>
      <w:tr w:rsidR="00AF76BD" w:rsidRPr="002F43F3" w:rsidTr="003B4BCE">
        <w:tc>
          <w:tcPr>
            <w:tcW w:w="1824" w:type="pct"/>
            <w:tcBorders>
              <w:top w:val="single" w:sz="4" w:space="0" w:color="auto"/>
              <w:left w:val="single" w:sz="4" w:space="0" w:color="auto"/>
              <w:bottom w:val="single" w:sz="4" w:space="0" w:color="auto"/>
              <w:right w:val="single" w:sz="4" w:space="0" w:color="auto"/>
            </w:tcBorders>
            <w:hideMark/>
          </w:tcPr>
          <w:p w:rsidR="00AF76BD" w:rsidRPr="002F43F3" w:rsidRDefault="00AF76BD" w:rsidP="003B4BCE">
            <w:pPr>
              <w:spacing w:before="40" w:after="40"/>
              <w:ind w:left="52" w:right="-1"/>
              <w:rPr>
                <w:sz w:val="24"/>
                <w:szCs w:val="24"/>
              </w:rPr>
            </w:pPr>
            <w:r w:rsidRPr="002F43F3">
              <w:rPr>
                <w:sz w:val="24"/>
                <w:szCs w:val="24"/>
              </w:rPr>
              <w:t xml:space="preserve">Luftveje, thorax og </w:t>
            </w:r>
            <w:proofErr w:type="spellStart"/>
            <w:r w:rsidRPr="002F43F3">
              <w:rPr>
                <w:sz w:val="24"/>
                <w:szCs w:val="24"/>
              </w:rPr>
              <w:t>mediastinum</w:t>
            </w:r>
            <w:proofErr w:type="spellEnd"/>
          </w:p>
        </w:tc>
        <w:tc>
          <w:tcPr>
            <w:tcW w:w="3176" w:type="pct"/>
            <w:tcBorders>
              <w:top w:val="single" w:sz="4" w:space="0" w:color="auto"/>
              <w:left w:val="single" w:sz="4" w:space="0" w:color="auto"/>
              <w:bottom w:val="single" w:sz="4" w:space="0" w:color="auto"/>
              <w:right w:val="single" w:sz="4" w:space="0" w:color="auto"/>
            </w:tcBorders>
            <w:hideMark/>
          </w:tcPr>
          <w:p w:rsidR="00AF76BD" w:rsidRPr="002F43F3" w:rsidRDefault="00AF76BD" w:rsidP="003B4BCE">
            <w:pPr>
              <w:spacing w:before="40" w:after="40"/>
              <w:ind w:left="52" w:right="-1"/>
              <w:rPr>
                <w:sz w:val="24"/>
                <w:szCs w:val="24"/>
              </w:rPr>
            </w:pPr>
            <w:r w:rsidRPr="002F43F3">
              <w:rPr>
                <w:sz w:val="24"/>
                <w:szCs w:val="24"/>
              </w:rPr>
              <w:t xml:space="preserve">Sjælden: </w:t>
            </w:r>
            <w:proofErr w:type="spellStart"/>
            <w:r w:rsidR="00575A50">
              <w:rPr>
                <w:sz w:val="24"/>
                <w:szCs w:val="24"/>
              </w:rPr>
              <w:t>N</w:t>
            </w:r>
            <w:r w:rsidRPr="002F43F3">
              <w:rPr>
                <w:sz w:val="24"/>
                <w:szCs w:val="24"/>
              </w:rPr>
              <w:t>ysen</w:t>
            </w:r>
            <w:proofErr w:type="spellEnd"/>
          </w:p>
          <w:p w:rsidR="00AF76BD" w:rsidRPr="002F43F3" w:rsidRDefault="00AF76BD" w:rsidP="003B4BCE">
            <w:pPr>
              <w:spacing w:before="40" w:after="40"/>
              <w:ind w:left="52" w:right="-1"/>
              <w:rPr>
                <w:sz w:val="24"/>
                <w:szCs w:val="24"/>
              </w:rPr>
            </w:pPr>
            <w:r w:rsidRPr="002F43F3">
              <w:rPr>
                <w:sz w:val="24"/>
                <w:szCs w:val="24"/>
              </w:rPr>
              <w:t xml:space="preserve">Meget sjælden: </w:t>
            </w:r>
            <w:r w:rsidR="00575A50">
              <w:rPr>
                <w:sz w:val="24"/>
                <w:szCs w:val="24"/>
              </w:rPr>
              <w:t>H</w:t>
            </w:r>
            <w:r w:rsidRPr="002F43F3">
              <w:rPr>
                <w:sz w:val="24"/>
                <w:szCs w:val="24"/>
              </w:rPr>
              <w:t xml:space="preserve">oste, dyspnø, tilstoppet næse, vejrtrækningsstop, </w:t>
            </w:r>
            <w:proofErr w:type="spellStart"/>
            <w:r w:rsidRPr="002F43F3">
              <w:rPr>
                <w:sz w:val="24"/>
                <w:szCs w:val="24"/>
              </w:rPr>
              <w:t>bronkospasme</w:t>
            </w:r>
            <w:proofErr w:type="spellEnd"/>
            <w:r w:rsidRPr="002F43F3">
              <w:rPr>
                <w:sz w:val="24"/>
                <w:szCs w:val="24"/>
              </w:rPr>
              <w:t xml:space="preserve">, </w:t>
            </w:r>
            <w:proofErr w:type="spellStart"/>
            <w:r w:rsidRPr="002F43F3">
              <w:rPr>
                <w:sz w:val="24"/>
                <w:szCs w:val="24"/>
              </w:rPr>
              <w:t>laryngospasme</w:t>
            </w:r>
            <w:proofErr w:type="spellEnd"/>
            <w:r w:rsidRPr="002F43F3">
              <w:rPr>
                <w:sz w:val="24"/>
                <w:szCs w:val="24"/>
              </w:rPr>
              <w:t>, ødem i svælget, tør hals, lungeødem</w:t>
            </w:r>
          </w:p>
        </w:tc>
      </w:tr>
      <w:tr w:rsidR="00AF76BD" w:rsidRPr="002F43F3" w:rsidTr="003B4BCE">
        <w:trPr>
          <w:trHeight w:val="676"/>
        </w:trPr>
        <w:tc>
          <w:tcPr>
            <w:tcW w:w="1824" w:type="pct"/>
            <w:tcBorders>
              <w:top w:val="single" w:sz="4" w:space="0" w:color="auto"/>
              <w:left w:val="single" w:sz="4" w:space="0" w:color="auto"/>
              <w:bottom w:val="single" w:sz="4" w:space="0" w:color="auto"/>
              <w:right w:val="single" w:sz="4" w:space="0" w:color="auto"/>
            </w:tcBorders>
            <w:hideMark/>
          </w:tcPr>
          <w:p w:rsidR="00AF76BD" w:rsidRPr="002F43F3" w:rsidRDefault="00AF76BD" w:rsidP="003B4BCE">
            <w:pPr>
              <w:spacing w:before="40" w:after="40"/>
              <w:ind w:left="52" w:right="-1"/>
              <w:rPr>
                <w:sz w:val="24"/>
                <w:szCs w:val="24"/>
              </w:rPr>
            </w:pPr>
            <w:r w:rsidRPr="002F43F3">
              <w:rPr>
                <w:sz w:val="24"/>
                <w:szCs w:val="24"/>
              </w:rPr>
              <w:t>Mave-tarm-kanalen</w:t>
            </w:r>
          </w:p>
        </w:tc>
        <w:tc>
          <w:tcPr>
            <w:tcW w:w="3176" w:type="pct"/>
            <w:tcBorders>
              <w:top w:val="single" w:sz="4" w:space="0" w:color="auto"/>
              <w:left w:val="single" w:sz="4" w:space="0" w:color="auto"/>
              <w:bottom w:val="single" w:sz="4" w:space="0" w:color="auto"/>
              <w:right w:val="single" w:sz="4" w:space="0" w:color="auto"/>
            </w:tcBorders>
            <w:hideMark/>
          </w:tcPr>
          <w:p w:rsidR="00AF76BD" w:rsidRPr="002F43F3" w:rsidRDefault="00AF76BD" w:rsidP="003B4BCE">
            <w:pPr>
              <w:spacing w:before="40" w:after="40"/>
              <w:ind w:left="52" w:right="-1"/>
              <w:rPr>
                <w:sz w:val="24"/>
                <w:szCs w:val="24"/>
              </w:rPr>
            </w:pPr>
            <w:r w:rsidRPr="002F43F3">
              <w:rPr>
                <w:sz w:val="24"/>
                <w:szCs w:val="24"/>
              </w:rPr>
              <w:t xml:space="preserve">Ikke-almindelig: </w:t>
            </w:r>
            <w:r w:rsidR="00575A50">
              <w:rPr>
                <w:sz w:val="24"/>
                <w:szCs w:val="24"/>
              </w:rPr>
              <w:t>K</w:t>
            </w:r>
            <w:r w:rsidRPr="002F43F3">
              <w:rPr>
                <w:sz w:val="24"/>
                <w:szCs w:val="24"/>
              </w:rPr>
              <w:t>valme, mavesmerter</w:t>
            </w:r>
          </w:p>
          <w:p w:rsidR="00AF76BD" w:rsidRPr="002F43F3" w:rsidRDefault="00AF76BD" w:rsidP="003B4BCE">
            <w:pPr>
              <w:spacing w:before="40" w:after="40"/>
              <w:ind w:left="52" w:right="-1"/>
              <w:rPr>
                <w:sz w:val="24"/>
                <w:szCs w:val="24"/>
              </w:rPr>
            </w:pPr>
            <w:r w:rsidRPr="002F43F3">
              <w:rPr>
                <w:sz w:val="24"/>
                <w:szCs w:val="24"/>
              </w:rPr>
              <w:t xml:space="preserve">Sjælden: </w:t>
            </w:r>
            <w:r w:rsidR="00575A50">
              <w:rPr>
                <w:sz w:val="24"/>
                <w:szCs w:val="24"/>
              </w:rPr>
              <w:t>O</w:t>
            </w:r>
            <w:r w:rsidRPr="002F43F3">
              <w:rPr>
                <w:sz w:val="24"/>
                <w:szCs w:val="24"/>
              </w:rPr>
              <w:t xml:space="preserve">pkastning, </w:t>
            </w:r>
            <w:proofErr w:type="spellStart"/>
            <w:r w:rsidRPr="002F43F3">
              <w:rPr>
                <w:sz w:val="24"/>
                <w:szCs w:val="24"/>
              </w:rPr>
              <w:t>diaré</w:t>
            </w:r>
            <w:proofErr w:type="spellEnd"/>
            <w:r w:rsidRPr="002F43F3">
              <w:rPr>
                <w:sz w:val="24"/>
                <w:szCs w:val="24"/>
              </w:rPr>
              <w:t>, øget spytsekretion</w:t>
            </w:r>
          </w:p>
        </w:tc>
      </w:tr>
      <w:tr w:rsidR="00AF76BD" w:rsidRPr="002F43F3" w:rsidTr="003B4BCE">
        <w:tc>
          <w:tcPr>
            <w:tcW w:w="1824" w:type="pct"/>
            <w:tcBorders>
              <w:top w:val="single" w:sz="6" w:space="0" w:color="000000"/>
              <w:left w:val="single" w:sz="6" w:space="0" w:color="000000"/>
              <w:bottom w:val="single" w:sz="6" w:space="0" w:color="000000"/>
              <w:right w:val="single" w:sz="6" w:space="0" w:color="000000"/>
            </w:tcBorders>
            <w:hideMark/>
          </w:tcPr>
          <w:p w:rsidR="00AF76BD" w:rsidRPr="002F43F3" w:rsidRDefault="00AF76BD" w:rsidP="003B4BCE">
            <w:pPr>
              <w:spacing w:before="40" w:after="40"/>
              <w:ind w:left="52" w:right="-1"/>
              <w:rPr>
                <w:sz w:val="24"/>
                <w:szCs w:val="24"/>
              </w:rPr>
            </w:pPr>
            <w:r w:rsidRPr="002F43F3">
              <w:rPr>
                <w:sz w:val="24"/>
                <w:szCs w:val="24"/>
              </w:rPr>
              <w:t>Hud og subkutane væv</w:t>
            </w:r>
          </w:p>
        </w:tc>
        <w:tc>
          <w:tcPr>
            <w:tcW w:w="3176" w:type="pct"/>
            <w:tcBorders>
              <w:top w:val="single" w:sz="6" w:space="0" w:color="000000"/>
              <w:left w:val="single" w:sz="6" w:space="0" w:color="000000"/>
              <w:bottom w:val="single" w:sz="6" w:space="0" w:color="000000"/>
              <w:right w:val="single" w:sz="6" w:space="0" w:color="000000"/>
            </w:tcBorders>
            <w:hideMark/>
          </w:tcPr>
          <w:p w:rsidR="00AF76BD" w:rsidRPr="002F43F3" w:rsidRDefault="00AF76BD" w:rsidP="003B4BCE">
            <w:pPr>
              <w:spacing w:before="40" w:after="40"/>
              <w:ind w:left="52" w:right="-1"/>
              <w:rPr>
                <w:sz w:val="24"/>
                <w:szCs w:val="24"/>
              </w:rPr>
            </w:pPr>
            <w:r w:rsidRPr="002F43F3">
              <w:rPr>
                <w:sz w:val="24"/>
                <w:szCs w:val="24"/>
              </w:rPr>
              <w:t xml:space="preserve">Ikke almindelig: </w:t>
            </w:r>
            <w:r w:rsidR="00575A50">
              <w:rPr>
                <w:sz w:val="24"/>
                <w:szCs w:val="24"/>
              </w:rPr>
              <w:t>U</w:t>
            </w:r>
            <w:r w:rsidRPr="002F43F3">
              <w:rPr>
                <w:sz w:val="24"/>
                <w:szCs w:val="24"/>
              </w:rPr>
              <w:t xml:space="preserve">dslæt </w:t>
            </w:r>
          </w:p>
          <w:p w:rsidR="00AF76BD" w:rsidRPr="002F43F3" w:rsidRDefault="00AF76BD" w:rsidP="003B4BCE">
            <w:pPr>
              <w:spacing w:before="40" w:after="40"/>
              <w:ind w:left="52" w:right="-1"/>
              <w:rPr>
                <w:sz w:val="24"/>
                <w:szCs w:val="24"/>
              </w:rPr>
            </w:pPr>
            <w:r w:rsidRPr="002F43F3">
              <w:rPr>
                <w:sz w:val="24"/>
                <w:szCs w:val="24"/>
              </w:rPr>
              <w:t xml:space="preserve">Sjælden: </w:t>
            </w:r>
            <w:proofErr w:type="spellStart"/>
            <w:r w:rsidR="00575A50">
              <w:rPr>
                <w:sz w:val="24"/>
                <w:szCs w:val="24"/>
              </w:rPr>
              <w:t>U</w:t>
            </w:r>
            <w:r w:rsidRPr="002F43F3">
              <w:rPr>
                <w:sz w:val="24"/>
                <w:szCs w:val="24"/>
              </w:rPr>
              <w:t>rticaria</w:t>
            </w:r>
            <w:proofErr w:type="spellEnd"/>
            <w:r w:rsidRPr="002F43F3">
              <w:rPr>
                <w:sz w:val="24"/>
                <w:szCs w:val="24"/>
              </w:rPr>
              <w:t xml:space="preserve">, </w:t>
            </w:r>
            <w:proofErr w:type="spellStart"/>
            <w:r w:rsidRPr="002F43F3">
              <w:rPr>
                <w:sz w:val="24"/>
                <w:szCs w:val="24"/>
              </w:rPr>
              <w:t>pruritus</w:t>
            </w:r>
            <w:proofErr w:type="spellEnd"/>
            <w:r w:rsidRPr="002F43F3">
              <w:rPr>
                <w:sz w:val="24"/>
                <w:szCs w:val="24"/>
              </w:rPr>
              <w:t xml:space="preserve">, </w:t>
            </w:r>
            <w:proofErr w:type="spellStart"/>
            <w:r w:rsidRPr="002F43F3">
              <w:rPr>
                <w:sz w:val="24"/>
                <w:szCs w:val="24"/>
              </w:rPr>
              <w:t>hyperhidrose</w:t>
            </w:r>
            <w:proofErr w:type="spellEnd"/>
            <w:r w:rsidRPr="002F43F3">
              <w:rPr>
                <w:sz w:val="24"/>
                <w:szCs w:val="24"/>
              </w:rPr>
              <w:t xml:space="preserve"> </w:t>
            </w:r>
          </w:p>
          <w:p w:rsidR="00AF76BD" w:rsidRPr="002F43F3" w:rsidRDefault="00AF76BD" w:rsidP="003B4BCE">
            <w:pPr>
              <w:spacing w:before="40" w:after="40"/>
              <w:ind w:left="52" w:right="-1"/>
              <w:rPr>
                <w:sz w:val="24"/>
                <w:szCs w:val="24"/>
              </w:rPr>
            </w:pPr>
            <w:r w:rsidRPr="002F43F3">
              <w:rPr>
                <w:sz w:val="24"/>
                <w:szCs w:val="24"/>
              </w:rPr>
              <w:t xml:space="preserve">Meget sjælden: </w:t>
            </w:r>
            <w:proofErr w:type="spellStart"/>
            <w:r w:rsidR="0053381E">
              <w:rPr>
                <w:sz w:val="24"/>
                <w:szCs w:val="24"/>
              </w:rPr>
              <w:t>E</w:t>
            </w:r>
            <w:r w:rsidRPr="002F43F3">
              <w:rPr>
                <w:sz w:val="24"/>
                <w:szCs w:val="24"/>
              </w:rPr>
              <w:t>rytem</w:t>
            </w:r>
            <w:proofErr w:type="spellEnd"/>
            <w:r w:rsidRPr="002F43F3">
              <w:rPr>
                <w:sz w:val="24"/>
                <w:szCs w:val="24"/>
              </w:rPr>
              <w:t xml:space="preserve">, </w:t>
            </w:r>
            <w:proofErr w:type="spellStart"/>
            <w:r w:rsidRPr="002F43F3">
              <w:rPr>
                <w:sz w:val="24"/>
                <w:szCs w:val="24"/>
              </w:rPr>
              <w:t>angioødem</w:t>
            </w:r>
            <w:proofErr w:type="spellEnd"/>
            <w:r w:rsidRPr="002F43F3">
              <w:rPr>
                <w:sz w:val="24"/>
                <w:szCs w:val="24"/>
              </w:rPr>
              <w:t>, eksem</w:t>
            </w:r>
          </w:p>
          <w:p w:rsidR="00AF76BD" w:rsidRPr="002F43F3" w:rsidRDefault="00AF76BD" w:rsidP="003B4BCE">
            <w:pPr>
              <w:spacing w:before="40" w:after="40"/>
              <w:ind w:left="52" w:right="-1"/>
              <w:rPr>
                <w:sz w:val="24"/>
                <w:szCs w:val="24"/>
              </w:rPr>
            </w:pPr>
            <w:r w:rsidRPr="002F43F3">
              <w:rPr>
                <w:sz w:val="24"/>
                <w:szCs w:val="24"/>
              </w:rPr>
              <w:t xml:space="preserve">Ikke kendt: </w:t>
            </w:r>
            <w:proofErr w:type="spellStart"/>
            <w:r w:rsidR="0053381E">
              <w:rPr>
                <w:sz w:val="24"/>
                <w:szCs w:val="24"/>
              </w:rPr>
              <w:t>N</w:t>
            </w:r>
            <w:r w:rsidRPr="002F43F3">
              <w:rPr>
                <w:sz w:val="24"/>
                <w:szCs w:val="24"/>
              </w:rPr>
              <w:t>efrogen</w:t>
            </w:r>
            <w:proofErr w:type="spellEnd"/>
            <w:r w:rsidRPr="002F43F3">
              <w:rPr>
                <w:sz w:val="24"/>
                <w:szCs w:val="24"/>
              </w:rPr>
              <w:t xml:space="preserve"> systemisk fibrose (NSF)</w:t>
            </w:r>
          </w:p>
        </w:tc>
      </w:tr>
      <w:tr w:rsidR="00AF76BD" w:rsidRPr="002F43F3" w:rsidTr="003B4BCE">
        <w:tc>
          <w:tcPr>
            <w:tcW w:w="1824" w:type="pct"/>
            <w:tcBorders>
              <w:top w:val="single" w:sz="6" w:space="0" w:color="000000"/>
              <w:left w:val="single" w:sz="6" w:space="0" w:color="000000"/>
              <w:bottom w:val="single" w:sz="6" w:space="0" w:color="000000"/>
              <w:right w:val="single" w:sz="6" w:space="0" w:color="000000"/>
            </w:tcBorders>
            <w:hideMark/>
          </w:tcPr>
          <w:p w:rsidR="00AF76BD" w:rsidRPr="002F43F3" w:rsidRDefault="00AF76BD" w:rsidP="003B4BCE">
            <w:pPr>
              <w:spacing w:before="40" w:after="40"/>
              <w:ind w:left="52" w:right="-1"/>
              <w:rPr>
                <w:sz w:val="24"/>
                <w:szCs w:val="24"/>
              </w:rPr>
            </w:pPr>
            <w:r w:rsidRPr="002F43F3">
              <w:rPr>
                <w:sz w:val="24"/>
                <w:szCs w:val="24"/>
              </w:rPr>
              <w:t>Knogler, led, muskler og bindevæv</w:t>
            </w:r>
          </w:p>
        </w:tc>
        <w:tc>
          <w:tcPr>
            <w:tcW w:w="3176" w:type="pct"/>
            <w:tcBorders>
              <w:top w:val="single" w:sz="6" w:space="0" w:color="000000"/>
              <w:left w:val="single" w:sz="6" w:space="0" w:color="000000"/>
              <w:bottom w:val="single" w:sz="6" w:space="0" w:color="000000"/>
              <w:right w:val="single" w:sz="6" w:space="0" w:color="000000"/>
            </w:tcBorders>
            <w:hideMark/>
          </w:tcPr>
          <w:p w:rsidR="00AF76BD" w:rsidRPr="002F43F3" w:rsidRDefault="00AF76BD" w:rsidP="003B4BCE">
            <w:pPr>
              <w:spacing w:before="40" w:after="40"/>
              <w:ind w:left="52" w:right="-1"/>
              <w:rPr>
                <w:sz w:val="24"/>
                <w:szCs w:val="24"/>
              </w:rPr>
            </w:pPr>
            <w:r w:rsidRPr="002F43F3">
              <w:rPr>
                <w:sz w:val="24"/>
                <w:szCs w:val="24"/>
              </w:rPr>
              <w:t xml:space="preserve">Meget sjælden: </w:t>
            </w:r>
            <w:r w:rsidR="0053381E">
              <w:rPr>
                <w:sz w:val="24"/>
                <w:szCs w:val="24"/>
              </w:rPr>
              <w:t>M</w:t>
            </w:r>
            <w:r w:rsidRPr="002F43F3">
              <w:rPr>
                <w:sz w:val="24"/>
                <w:szCs w:val="24"/>
              </w:rPr>
              <w:t>uskelkramper, muskelsvaghed, rygsmerter</w:t>
            </w:r>
          </w:p>
        </w:tc>
      </w:tr>
      <w:tr w:rsidR="00AF76BD" w:rsidRPr="002F43F3" w:rsidTr="003B4BCE">
        <w:tc>
          <w:tcPr>
            <w:tcW w:w="1824" w:type="pct"/>
            <w:tcBorders>
              <w:top w:val="single" w:sz="6" w:space="0" w:color="000000"/>
              <w:left w:val="single" w:sz="6" w:space="0" w:color="000000"/>
              <w:bottom w:val="single" w:sz="6" w:space="0" w:color="000000"/>
              <w:right w:val="single" w:sz="6" w:space="0" w:color="000000"/>
            </w:tcBorders>
            <w:hideMark/>
          </w:tcPr>
          <w:p w:rsidR="00AF76BD" w:rsidRPr="002F43F3" w:rsidRDefault="00AF76BD" w:rsidP="003B4BCE">
            <w:pPr>
              <w:spacing w:before="40" w:after="40"/>
              <w:ind w:left="52" w:right="-1"/>
              <w:rPr>
                <w:sz w:val="24"/>
                <w:szCs w:val="24"/>
              </w:rPr>
            </w:pPr>
            <w:r w:rsidRPr="002F43F3">
              <w:rPr>
                <w:sz w:val="24"/>
                <w:szCs w:val="24"/>
              </w:rPr>
              <w:t>Almene symptomer og reaktioner på administrationsstedet</w:t>
            </w:r>
          </w:p>
        </w:tc>
        <w:tc>
          <w:tcPr>
            <w:tcW w:w="3176" w:type="pct"/>
            <w:tcBorders>
              <w:top w:val="single" w:sz="6" w:space="0" w:color="000000"/>
              <w:left w:val="single" w:sz="6" w:space="0" w:color="000000"/>
              <w:bottom w:val="single" w:sz="6" w:space="0" w:color="000000"/>
              <w:right w:val="single" w:sz="6" w:space="0" w:color="000000"/>
            </w:tcBorders>
            <w:hideMark/>
          </w:tcPr>
          <w:p w:rsidR="00AF76BD" w:rsidRPr="002F43F3" w:rsidRDefault="00AF76BD" w:rsidP="003B4BCE">
            <w:pPr>
              <w:spacing w:before="40" w:after="40"/>
              <w:ind w:left="52" w:right="-1"/>
              <w:rPr>
                <w:sz w:val="24"/>
                <w:szCs w:val="24"/>
              </w:rPr>
            </w:pPr>
            <w:r w:rsidRPr="002F43F3">
              <w:rPr>
                <w:sz w:val="24"/>
                <w:szCs w:val="24"/>
              </w:rPr>
              <w:t xml:space="preserve">Ikke almindelig: </w:t>
            </w:r>
            <w:r w:rsidR="0053381E">
              <w:rPr>
                <w:sz w:val="24"/>
                <w:szCs w:val="24"/>
              </w:rPr>
              <w:t>V</w:t>
            </w:r>
            <w:r w:rsidRPr="002F43F3">
              <w:rPr>
                <w:sz w:val="24"/>
                <w:szCs w:val="24"/>
              </w:rPr>
              <w:t>armefølelse eller kuldefølelse, asteni, reaktioner på injektionsstedet (</w:t>
            </w:r>
            <w:proofErr w:type="spellStart"/>
            <w:r w:rsidRPr="002F43F3">
              <w:rPr>
                <w:sz w:val="24"/>
                <w:szCs w:val="24"/>
              </w:rPr>
              <w:t>ekstravasation</w:t>
            </w:r>
            <w:proofErr w:type="spellEnd"/>
            <w:r w:rsidRPr="002F43F3">
              <w:rPr>
                <w:sz w:val="24"/>
                <w:szCs w:val="24"/>
              </w:rPr>
              <w:t>, smerter, ubehag, ødem, inflammation, kulde)</w:t>
            </w:r>
          </w:p>
          <w:p w:rsidR="00AF76BD" w:rsidRPr="002F43F3" w:rsidRDefault="00AF76BD" w:rsidP="003B4BCE">
            <w:pPr>
              <w:spacing w:before="40" w:after="40"/>
              <w:ind w:left="52" w:right="-1"/>
              <w:rPr>
                <w:sz w:val="24"/>
                <w:szCs w:val="24"/>
              </w:rPr>
            </w:pPr>
            <w:r w:rsidRPr="002F43F3">
              <w:rPr>
                <w:sz w:val="24"/>
                <w:szCs w:val="24"/>
              </w:rPr>
              <w:t xml:space="preserve">Sjælden: </w:t>
            </w:r>
            <w:r w:rsidR="0053381E">
              <w:rPr>
                <w:sz w:val="24"/>
                <w:szCs w:val="24"/>
              </w:rPr>
              <w:t>S</w:t>
            </w:r>
            <w:r w:rsidRPr="002F43F3">
              <w:rPr>
                <w:sz w:val="24"/>
                <w:szCs w:val="24"/>
              </w:rPr>
              <w:t>merter i brystkassen, kulderystelser</w:t>
            </w:r>
          </w:p>
          <w:p w:rsidR="00AF76BD" w:rsidRPr="002F43F3" w:rsidRDefault="00AF76BD" w:rsidP="003B4BCE">
            <w:pPr>
              <w:spacing w:before="40" w:after="40"/>
              <w:ind w:left="52" w:right="-1"/>
              <w:rPr>
                <w:sz w:val="24"/>
                <w:szCs w:val="24"/>
              </w:rPr>
            </w:pPr>
            <w:r w:rsidRPr="002F43F3">
              <w:rPr>
                <w:sz w:val="24"/>
                <w:szCs w:val="24"/>
              </w:rPr>
              <w:lastRenderedPageBreak/>
              <w:t xml:space="preserve">Meget sjælden: </w:t>
            </w:r>
            <w:r w:rsidR="0053381E">
              <w:rPr>
                <w:sz w:val="24"/>
                <w:szCs w:val="24"/>
              </w:rPr>
              <w:t>U</w:t>
            </w:r>
            <w:r w:rsidRPr="002F43F3">
              <w:rPr>
                <w:sz w:val="24"/>
                <w:szCs w:val="24"/>
              </w:rPr>
              <w:t xml:space="preserve">tilpashed, ubehag i brystet, </w:t>
            </w:r>
            <w:proofErr w:type="spellStart"/>
            <w:r w:rsidRPr="002F43F3">
              <w:rPr>
                <w:sz w:val="24"/>
                <w:szCs w:val="24"/>
              </w:rPr>
              <w:t>pyreksi</w:t>
            </w:r>
            <w:proofErr w:type="spellEnd"/>
            <w:r w:rsidRPr="002F43F3">
              <w:rPr>
                <w:sz w:val="24"/>
                <w:szCs w:val="24"/>
              </w:rPr>
              <w:t xml:space="preserve">, ansigtsødem, nekrose på injektionsstedet (i forbindelse med </w:t>
            </w:r>
            <w:proofErr w:type="spellStart"/>
            <w:r w:rsidRPr="002F43F3">
              <w:rPr>
                <w:sz w:val="24"/>
                <w:szCs w:val="24"/>
              </w:rPr>
              <w:t>ekstravasation</w:t>
            </w:r>
            <w:proofErr w:type="spellEnd"/>
            <w:r w:rsidRPr="002F43F3">
              <w:rPr>
                <w:sz w:val="24"/>
                <w:szCs w:val="24"/>
              </w:rPr>
              <w:t xml:space="preserve">), </w:t>
            </w:r>
            <w:proofErr w:type="spellStart"/>
            <w:r w:rsidRPr="002F43F3">
              <w:rPr>
                <w:sz w:val="24"/>
                <w:szCs w:val="24"/>
              </w:rPr>
              <w:t>flebitis</w:t>
            </w:r>
            <w:proofErr w:type="spellEnd"/>
            <w:r w:rsidRPr="002F43F3">
              <w:rPr>
                <w:sz w:val="24"/>
                <w:szCs w:val="24"/>
              </w:rPr>
              <w:t xml:space="preserve"> overfladisk</w:t>
            </w:r>
          </w:p>
        </w:tc>
      </w:tr>
      <w:tr w:rsidR="00AF76BD" w:rsidRPr="002F43F3" w:rsidTr="003B4BCE">
        <w:tc>
          <w:tcPr>
            <w:tcW w:w="1824" w:type="pct"/>
            <w:tcBorders>
              <w:top w:val="single" w:sz="6" w:space="0" w:color="000000"/>
              <w:left w:val="single" w:sz="6" w:space="0" w:color="000000"/>
              <w:bottom w:val="single" w:sz="6" w:space="0" w:color="000000"/>
              <w:right w:val="single" w:sz="6" w:space="0" w:color="000000"/>
            </w:tcBorders>
            <w:hideMark/>
          </w:tcPr>
          <w:p w:rsidR="00AF76BD" w:rsidRPr="002F43F3" w:rsidRDefault="00AF76BD" w:rsidP="003B4BCE">
            <w:pPr>
              <w:spacing w:before="40" w:after="40"/>
              <w:ind w:left="52" w:right="-1"/>
              <w:rPr>
                <w:sz w:val="24"/>
                <w:szCs w:val="24"/>
              </w:rPr>
            </w:pPr>
            <w:r w:rsidRPr="002F43F3">
              <w:rPr>
                <w:sz w:val="24"/>
                <w:szCs w:val="24"/>
              </w:rPr>
              <w:lastRenderedPageBreak/>
              <w:t>Undersøgelser</w:t>
            </w:r>
          </w:p>
        </w:tc>
        <w:tc>
          <w:tcPr>
            <w:tcW w:w="3176" w:type="pct"/>
            <w:tcBorders>
              <w:top w:val="single" w:sz="6" w:space="0" w:color="000000"/>
              <w:left w:val="single" w:sz="6" w:space="0" w:color="000000"/>
              <w:bottom w:val="single" w:sz="6" w:space="0" w:color="000000"/>
              <w:right w:val="single" w:sz="6" w:space="0" w:color="000000"/>
            </w:tcBorders>
            <w:hideMark/>
          </w:tcPr>
          <w:p w:rsidR="00AF76BD" w:rsidRPr="002F43F3" w:rsidRDefault="00AF76BD" w:rsidP="003B4BCE">
            <w:pPr>
              <w:spacing w:before="40" w:after="40"/>
              <w:ind w:left="52" w:right="-1"/>
              <w:rPr>
                <w:sz w:val="24"/>
                <w:szCs w:val="24"/>
              </w:rPr>
            </w:pPr>
            <w:r w:rsidRPr="002F43F3">
              <w:rPr>
                <w:sz w:val="24"/>
                <w:szCs w:val="24"/>
              </w:rPr>
              <w:t xml:space="preserve">Meget sjælden: </w:t>
            </w:r>
            <w:r w:rsidR="0053381E">
              <w:rPr>
                <w:sz w:val="24"/>
                <w:szCs w:val="24"/>
              </w:rPr>
              <w:t>N</w:t>
            </w:r>
            <w:r w:rsidRPr="002F43F3">
              <w:rPr>
                <w:sz w:val="24"/>
                <w:szCs w:val="24"/>
              </w:rPr>
              <w:t>edsat iltmætning</w:t>
            </w:r>
          </w:p>
        </w:tc>
      </w:tr>
    </w:tbl>
    <w:p w:rsidR="00AF76BD" w:rsidRPr="002F43F3" w:rsidRDefault="00AF76BD" w:rsidP="00AF76BD">
      <w:pPr>
        <w:spacing w:before="2"/>
        <w:ind w:left="851" w:right="-1" w:hanging="851"/>
        <w:jc w:val="both"/>
        <w:rPr>
          <w:sz w:val="24"/>
          <w:szCs w:val="24"/>
        </w:rPr>
      </w:pPr>
    </w:p>
    <w:p w:rsidR="00AF76BD" w:rsidRPr="002F43F3" w:rsidRDefault="00AF76BD" w:rsidP="00AF76BD">
      <w:pPr>
        <w:spacing w:before="2"/>
        <w:ind w:left="851" w:right="-1"/>
        <w:rPr>
          <w:sz w:val="24"/>
          <w:szCs w:val="24"/>
        </w:rPr>
      </w:pPr>
      <w:r w:rsidRPr="002F43F3">
        <w:rPr>
          <w:sz w:val="24"/>
          <w:szCs w:val="24"/>
        </w:rPr>
        <w:t>Følgende bivirkninger er indberettet i forbindelse med brug af andre intravenøse MR- kontrastmidler:</w:t>
      </w:r>
    </w:p>
    <w:p w:rsidR="00AF76BD" w:rsidRPr="002F43F3" w:rsidRDefault="00AF76BD" w:rsidP="00AF76BD">
      <w:pPr>
        <w:spacing w:before="2"/>
        <w:ind w:left="851" w:right="-1"/>
        <w:rPr>
          <w:sz w:val="24"/>
          <w:szCs w:val="24"/>
        </w:rPr>
      </w:pPr>
    </w:p>
    <w:tbl>
      <w:tblPr>
        <w:tblW w:w="5000" w:type="pct"/>
        <w:tblCellMar>
          <w:left w:w="0" w:type="dxa"/>
          <w:right w:w="0" w:type="dxa"/>
        </w:tblCellMar>
        <w:tblLook w:val="01E0" w:firstRow="1" w:lastRow="1" w:firstColumn="1" w:lastColumn="1" w:noHBand="0" w:noVBand="0"/>
      </w:tblPr>
      <w:tblGrid>
        <w:gridCol w:w="4420"/>
        <w:gridCol w:w="5202"/>
      </w:tblGrid>
      <w:tr w:rsidR="00AF76BD" w:rsidRPr="002F43F3" w:rsidTr="003B4BCE">
        <w:tc>
          <w:tcPr>
            <w:tcW w:w="2297" w:type="pct"/>
            <w:tcBorders>
              <w:top w:val="single" w:sz="6" w:space="0" w:color="000000"/>
              <w:left w:val="single" w:sz="6" w:space="0" w:color="000000"/>
              <w:bottom w:val="single" w:sz="6" w:space="0" w:color="000000"/>
              <w:right w:val="single" w:sz="6" w:space="0" w:color="000000"/>
            </w:tcBorders>
            <w:hideMark/>
          </w:tcPr>
          <w:p w:rsidR="00AF76BD" w:rsidRPr="002F43F3" w:rsidRDefault="00AF76BD" w:rsidP="003B4BCE">
            <w:pPr>
              <w:spacing w:before="60" w:after="60"/>
              <w:ind w:left="118" w:right="-1"/>
              <w:rPr>
                <w:b/>
                <w:sz w:val="24"/>
                <w:szCs w:val="24"/>
              </w:rPr>
            </w:pPr>
            <w:r w:rsidRPr="002F43F3">
              <w:rPr>
                <w:b/>
                <w:sz w:val="24"/>
                <w:szCs w:val="24"/>
              </w:rPr>
              <w:t>Systemorganklasse</w:t>
            </w:r>
          </w:p>
        </w:tc>
        <w:tc>
          <w:tcPr>
            <w:tcW w:w="2703" w:type="pct"/>
            <w:tcBorders>
              <w:top w:val="single" w:sz="6" w:space="0" w:color="000000"/>
              <w:left w:val="single" w:sz="6" w:space="0" w:color="000000"/>
              <w:bottom w:val="single" w:sz="6" w:space="0" w:color="000000"/>
              <w:right w:val="single" w:sz="6" w:space="0" w:color="000000"/>
            </w:tcBorders>
            <w:hideMark/>
          </w:tcPr>
          <w:p w:rsidR="00AF76BD" w:rsidRPr="002F43F3" w:rsidRDefault="00AF76BD" w:rsidP="003B4BCE">
            <w:pPr>
              <w:spacing w:before="60" w:after="60"/>
              <w:ind w:left="118" w:right="-1"/>
              <w:rPr>
                <w:b/>
                <w:sz w:val="24"/>
                <w:szCs w:val="24"/>
              </w:rPr>
            </w:pPr>
            <w:r w:rsidRPr="002F43F3">
              <w:rPr>
                <w:b/>
                <w:sz w:val="24"/>
                <w:szCs w:val="24"/>
              </w:rPr>
              <w:t>Bivirkning</w:t>
            </w:r>
          </w:p>
        </w:tc>
      </w:tr>
      <w:tr w:rsidR="00AF76BD" w:rsidRPr="002F43F3" w:rsidTr="003B4BCE">
        <w:tc>
          <w:tcPr>
            <w:tcW w:w="2297" w:type="pct"/>
            <w:tcBorders>
              <w:top w:val="single" w:sz="6" w:space="0" w:color="000000"/>
              <w:left w:val="single" w:sz="6" w:space="0" w:color="000000"/>
              <w:bottom w:val="single" w:sz="6" w:space="0" w:color="000000"/>
              <w:right w:val="single" w:sz="6" w:space="0" w:color="000000"/>
            </w:tcBorders>
            <w:hideMark/>
          </w:tcPr>
          <w:p w:rsidR="00AF76BD" w:rsidRPr="002F43F3" w:rsidRDefault="00AF76BD" w:rsidP="003B4BCE">
            <w:pPr>
              <w:spacing w:before="40" w:after="40"/>
              <w:ind w:left="118" w:right="-1"/>
              <w:rPr>
                <w:sz w:val="24"/>
                <w:szCs w:val="24"/>
              </w:rPr>
            </w:pPr>
            <w:r w:rsidRPr="002F43F3">
              <w:rPr>
                <w:sz w:val="24"/>
                <w:szCs w:val="24"/>
              </w:rPr>
              <w:t>Blod og lymfesystem</w:t>
            </w:r>
          </w:p>
        </w:tc>
        <w:tc>
          <w:tcPr>
            <w:tcW w:w="2703" w:type="pct"/>
            <w:tcBorders>
              <w:top w:val="single" w:sz="6" w:space="0" w:color="000000"/>
              <w:left w:val="single" w:sz="6" w:space="0" w:color="000000"/>
              <w:bottom w:val="single" w:sz="6" w:space="0" w:color="000000"/>
              <w:right w:val="single" w:sz="6" w:space="0" w:color="000000"/>
            </w:tcBorders>
            <w:hideMark/>
          </w:tcPr>
          <w:p w:rsidR="00AF76BD" w:rsidRPr="002F43F3" w:rsidRDefault="00AF76BD" w:rsidP="003B4BCE">
            <w:pPr>
              <w:spacing w:before="40" w:after="40"/>
              <w:ind w:left="118" w:right="-1"/>
              <w:rPr>
                <w:sz w:val="24"/>
                <w:szCs w:val="24"/>
              </w:rPr>
            </w:pPr>
            <w:proofErr w:type="spellStart"/>
            <w:r w:rsidRPr="002F43F3">
              <w:rPr>
                <w:sz w:val="24"/>
                <w:szCs w:val="24"/>
              </w:rPr>
              <w:t>hæmolyse</w:t>
            </w:r>
            <w:proofErr w:type="spellEnd"/>
          </w:p>
        </w:tc>
      </w:tr>
      <w:tr w:rsidR="00AF76BD" w:rsidRPr="002F43F3" w:rsidTr="003B4BCE">
        <w:tc>
          <w:tcPr>
            <w:tcW w:w="2297" w:type="pct"/>
            <w:tcBorders>
              <w:top w:val="single" w:sz="6" w:space="0" w:color="000000"/>
              <w:left w:val="single" w:sz="6" w:space="0" w:color="000000"/>
              <w:bottom w:val="single" w:sz="6" w:space="0" w:color="000000"/>
              <w:right w:val="single" w:sz="6" w:space="0" w:color="000000"/>
            </w:tcBorders>
            <w:hideMark/>
          </w:tcPr>
          <w:p w:rsidR="00AF76BD" w:rsidRPr="002F43F3" w:rsidRDefault="00AF76BD" w:rsidP="003B4BCE">
            <w:pPr>
              <w:spacing w:before="40" w:after="40"/>
              <w:ind w:left="118" w:right="-1"/>
              <w:rPr>
                <w:sz w:val="24"/>
                <w:szCs w:val="24"/>
              </w:rPr>
            </w:pPr>
            <w:r w:rsidRPr="002F43F3">
              <w:rPr>
                <w:sz w:val="24"/>
                <w:szCs w:val="24"/>
              </w:rPr>
              <w:t>Psykiske forstyrrelser</w:t>
            </w:r>
          </w:p>
        </w:tc>
        <w:tc>
          <w:tcPr>
            <w:tcW w:w="2703" w:type="pct"/>
            <w:tcBorders>
              <w:top w:val="single" w:sz="6" w:space="0" w:color="000000"/>
              <w:left w:val="single" w:sz="6" w:space="0" w:color="000000"/>
              <w:bottom w:val="single" w:sz="6" w:space="0" w:color="000000"/>
              <w:right w:val="single" w:sz="6" w:space="0" w:color="000000"/>
            </w:tcBorders>
            <w:hideMark/>
          </w:tcPr>
          <w:p w:rsidR="00AF76BD" w:rsidRPr="002F43F3" w:rsidRDefault="00AF76BD" w:rsidP="003B4BCE">
            <w:pPr>
              <w:spacing w:before="40" w:after="40"/>
              <w:ind w:left="118" w:right="-1"/>
              <w:rPr>
                <w:sz w:val="24"/>
                <w:szCs w:val="24"/>
              </w:rPr>
            </w:pPr>
            <w:r w:rsidRPr="002F43F3">
              <w:rPr>
                <w:sz w:val="24"/>
                <w:szCs w:val="24"/>
              </w:rPr>
              <w:t>forvirring</w:t>
            </w:r>
          </w:p>
        </w:tc>
      </w:tr>
      <w:tr w:rsidR="00AF76BD" w:rsidRPr="002F43F3" w:rsidTr="003B4BCE">
        <w:tc>
          <w:tcPr>
            <w:tcW w:w="2297" w:type="pct"/>
            <w:tcBorders>
              <w:top w:val="single" w:sz="6" w:space="0" w:color="000000"/>
              <w:left w:val="single" w:sz="6" w:space="0" w:color="000000"/>
              <w:bottom w:val="single" w:sz="6" w:space="0" w:color="000000"/>
              <w:right w:val="single" w:sz="6" w:space="0" w:color="000000"/>
            </w:tcBorders>
            <w:hideMark/>
          </w:tcPr>
          <w:p w:rsidR="00AF76BD" w:rsidRPr="002F43F3" w:rsidRDefault="00AF76BD" w:rsidP="003B4BCE">
            <w:pPr>
              <w:spacing w:before="40" w:after="40"/>
              <w:ind w:left="118" w:right="-1"/>
              <w:rPr>
                <w:sz w:val="24"/>
                <w:szCs w:val="24"/>
              </w:rPr>
            </w:pPr>
            <w:r w:rsidRPr="002F43F3">
              <w:rPr>
                <w:sz w:val="24"/>
                <w:szCs w:val="24"/>
              </w:rPr>
              <w:t>Øjne</w:t>
            </w:r>
          </w:p>
        </w:tc>
        <w:tc>
          <w:tcPr>
            <w:tcW w:w="2703" w:type="pct"/>
            <w:tcBorders>
              <w:top w:val="single" w:sz="6" w:space="0" w:color="000000"/>
              <w:left w:val="single" w:sz="6" w:space="0" w:color="000000"/>
              <w:bottom w:val="single" w:sz="6" w:space="0" w:color="000000"/>
              <w:right w:val="single" w:sz="6" w:space="0" w:color="000000"/>
            </w:tcBorders>
            <w:hideMark/>
          </w:tcPr>
          <w:p w:rsidR="00AF76BD" w:rsidRPr="002F43F3" w:rsidRDefault="00AF76BD" w:rsidP="003B4BCE">
            <w:pPr>
              <w:spacing w:before="40" w:after="40"/>
              <w:ind w:left="118" w:right="-1"/>
              <w:rPr>
                <w:sz w:val="24"/>
                <w:szCs w:val="24"/>
              </w:rPr>
            </w:pPr>
            <w:r w:rsidRPr="002F43F3">
              <w:rPr>
                <w:sz w:val="24"/>
                <w:szCs w:val="24"/>
              </w:rPr>
              <w:t>forbigående blindhed, øjensmerter</w:t>
            </w:r>
          </w:p>
        </w:tc>
      </w:tr>
      <w:tr w:rsidR="00AF76BD" w:rsidRPr="002F43F3" w:rsidTr="003B4BCE">
        <w:tc>
          <w:tcPr>
            <w:tcW w:w="2297" w:type="pct"/>
            <w:tcBorders>
              <w:top w:val="single" w:sz="6" w:space="0" w:color="000000"/>
              <w:left w:val="single" w:sz="6" w:space="0" w:color="000000"/>
              <w:bottom w:val="single" w:sz="6" w:space="0" w:color="000000"/>
              <w:right w:val="single" w:sz="6" w:space="0" w:color="000000"/>
            </w:tcBorders>
            <w:hideMark/>
          </w:tcPr>
          <w:p w:rsidR="00AF76BD" w:rsidRPr="002F43F3" w:rsidRDefault="00AF76BD" w:rsidP="003B4BCE">
            <w:pPr>
              <w:spacing w:before="40" w:after="40"/>
              <w:ind w:left="118" w:right="-1"/>
              <w:rPr>
                <w:sz w:val="24"/>
                <w:szCs w:val="24"/>
              </w:rPr>
            </w:pPr>
            <w:r w:rsidRPr="002F43F3">
              <w:rPr>
                <w:sz w:val="24"/>
                <w:szCs w:val="24"/>
              </w:rPr>
              <w:t>Øre og labyrint</w:t>
            </w:r>
          </w:p>
        </w:tc>
        <w:tc>
          <w:tcPr>
            <w:tcW w:w="2703" w:type="pct"/>
            <w:tcBorders>
              <w:top w:val="single" w:sz="6" w:space="0" w:color="000000"/>
              <w:left w:val="single" w:sz="6" w:space="0" w:color="000000"/>
              <w:bottom w:val="single" w:sz="6" w:space="0" w:color="000000"/>
              <w:right w:val="single" w:sz="6" w:space="0" w:color="000000"/>
            </w:tcBorders>
            <w:hideMark/>
          </w:tcPr>
          <w:p w:rsidR="00AF76BD" w:rsidRPr="002F43F3" w:rsidRDefault="00AF76BD" w:rsidP="003B4BCE">
            <w:pPr>
              <w:spacing w:before="40" w:after="40"/>
              <w:ind w:left="118" w:right="-1"/>
              <w:rPr>
                <w:sz w:val="24"/>
                <w:szCs w:val="24"/>
              </w:rPr>
            </w:pPr>
            <w:r w:rsidRPr="002F43F3">
              <w:rPr>
                <w:sz w:val="24"/>
                <w:szCs w:val="24"/>
              </w:rPr>
              <w:t>tinnitus, øresmerter</w:t>
            </w:r>
          </w:p>
        </w:tc>
      </w:tr>
      <w:tr w:rsidR="00AF76BD" w:rsidRPr="002F43F3" w:rsidTr="003B4BCE">
        <w:tc>
          <w:tcPr>
            <w:tcW w:w="2297" w:type="pct"/>
            <w:tcBorders>
              <w:top w:val="single" w:sz="6" w:space="0" w:color="000000"/>
              <w:left w:val="single" w:sz="6" w:space="0" w:color="000000"/>
              <w:bottom w:val="single" w:sz="6" w:space="0" w:color="000000"/>
              <w:right w:val="single" w:sz="6" w:space="0" w:color="000000"/>
            </w:tcBorders>
            <w:hideMark/>
          </w:tcPr>
          <w:p w:rsidR="00AF76BD" w:rsidRPr="002F43F3" w:rsidRDefault="00AF76BD" w:rsidP="003B4BCE">
            <w:pPr>
              <w:spacing w:before="40" w:after="40"/>
              <w:ind w:left="118" w:right="-1"/>
              <w:rPr>
                <w:sz w:val="24"/>
                <w:szCs w:val="24"/>
              </w:rPr>
            </w:pPr>
            <w:r w:rsidRPr="002F43F3">
              <w:rPr>
                <w:sz w:val="24"/>
                <w:szCs w:val="24"/>
              </w:rPr>
              <w:t xml:space="preserve">Luftveje, thorax og </w:t>
            </w:r>
            <w:proofErr w:type="spellStart"/>
            <w:r w:rsidRPr="002F43F3">
              <w:rPr>
                <w:sz w:val="24"/>
                <w:szCs w:val="24"/>
              </w:rPr>
              <w:t>mediastinum</w:t>
            </w:r>
            <w:proofErr w:type="spellEnd"/>
          </w:p>
        </w:tc>
        <w:tc>
          <w:tcPr>
            <w:tcW w:w="2703" w:type="pct"/>
            <w:tcBorders>
              <w:top w:val="single" w:sz="6" w:space="0" w:color="000000"/>
              <w:left w:val="single" w:sz="6" w:space="0" w:color="000000"/>
              <w:bottom w:val="single" w:sz="6" w:space="0" w:color="000000"/>
              <w:right w:val="single" w:sz="6" w:space="0" w:color="000000"/>
            </w:tcBorders>
            <w:hideMark/>
          </w:tcPr>
          <w:p w:rsidR="00AF76BD" w:rsidRPr="002F43F3" w:rsidRDefault="00AF76BD" w:rsidP="003B4BCE">
            <w:pPr>
              <w:spacing w:before="40" w:after="40"/>
              <w:ind w:left="118" w:right="-1"/>
              <w:rPr>
                <w:sz w:val="24"/>
                <w:szCs w:val="24"/>
              </w:rPr>
            </w:pPr>
            <w:r w:rsidRPr="002F43F3">
              <w:rPr>
                <w:sz w:val="24"/>
                <w:szCs w:val="24"/>
              </w:rPr>
              <w:t>astma</w:t>
            </w:r>
          </w:p>
        </w:tc>
      </w:tr>
      <w:tr w:rsidR="00AF76BD" w:rsidRPr="002F43F3" w:rsidTr="003B4BCE">
        <w:tc>
          <w:tcPr>
            <w:tcW w:w="2297" w:type="pct"/>
            <w:tcBorders>
              <w:top w:val="single" w:sz="6" w:space="0" w:color="000000"/>
              <w:left w:val="single" w:sz="6" w:space="0" w:color="000000"/>
              <w:bottom w:val="single" w:sz="6" w:space="0" w:color="000000"/>
              <w:right w:val="single" w:sz="6" w:space="0" w:color="000000"/>
            </w:tcBorders>
            <w:hideMark/>
          </w:tcPr>
          <w:p w:rsidR="00AF76BD" w:rsidRPr="002F43F3" w:rsidRDefault="00AF76BD" w:rsidP="003B4BCE">
            <w:pPr>
              <w:spacing w:before="40" w:after="40"/>
              <w:ind w:left="118" w:right="-1"/>
              <w:rPr>
                <w:sz w:val="24"/>
                <w:szCs w:val="24"/>
              </w:rPr>
            </w:pPr>
            <w:r w:rsidRPr="002F43F3">
              <w:rPr>
                <w:sz w:val="24"/>
                <w:szCs w:val="24"/>
              </w:rPr>
              <w:t>Mave-tarm-kanalen</w:t>
            </w:r>
          </w:p>
        </w:tc>
        <w:tc>
          <w:tcPr>
            <w:tcW w:w="2703" w:type="pct"/>
            <w:tcBorders>
              <w:top w:val="single" w:sz="6" w:space="0" w:color="000000"/>
              <w:left w:val="single" w:sz="6" w:space="0" w:color="000000"/>
              <w:bottom w:val="single" w:sz="6" w:space="0" w:color="000000"/>
              <w:right w:val="single" w:sz="6" w:space="0" w:color="000000"/>
            </w:tcBorders>
            <w:hideMark/>
          </w:tcPr>
          <w:p w:rsidR="00AF76BD" w:rsidRPr="002F43F3" w:rsidRDefault="00AF76BD" w:rsidP="003B4BCE">
            <w:pPr>
              <w:spacing w:before="40" w:after="40"/>
              <w:ind w:left="118" w:right="-1"/>
              <w:rPr>
                <w:sz w:val="24"/>
                <w:szCs w:val="24"/>
              </w:rPr>
            </w:pPr>
            <w:r w:rsidRPr="002F43F3">
              <w:rPr>
                <w:sz w:val="24"/>
                <w:szCs w:val="24"/>
              </w:rPr>
              <w:t>mundtørhed</w:t>
            </w:r>
          </w:p>
        </w:tc>
      </w:tr>
      <w:tr w:rsidR="00AF76BD" w:rsidRPr="002F43F3" w:rsidTr="003B4BCE">
        <w:tc>
          <w:tcPr>
            <w:tcW w:w="2297" w:type="pct"/>
            <w:tcBorders>
              <w:top w:val="single" w:sz="6" w:space="0" w:color="000000"/>
              <w:left w:val="single" w:sz="6" w:space="0" w:color="000000"/>
              <w:bottom w:val="single" w:sz="6" w:space="0" w:color="000000"/>
              <w:right w:val="single" w:sz="6" w:space="0" w:color="000000"/>
            </w:tcBorders>
            <w:hideMark/>
          </w:tcPr>
          <w:p w:rsidR="00AF76BD" w:rsidRPr="002F43F3" w:rsidRDefault="00AF76BD" w:rsidP="003B4BCE">
            <w:pPr>
              <w:spacing w:before="40" w:after="40"/>
              <w:ind w:left="118" w:right="-1"/>
              <w:rPr>
                <w:sz w:val="24"/>
                <w:szCs w:val="24"/>
              </w:rPr>
            </w:pPr>
            <w:r w:rsidRPr="002F43F3">
              <w:rPr>
                <w:sz w:val="24"/>
                <w:szCs w:val="24"/>
              </w:rPr>
              <w:t>Hud og subkutane væv</w:t>
            </w:r>
          </w:p>
        </w:tc>
        <w:tc>
          <w:tcPr>
            <w:tcW w:w="2703" w:type="pct"/>
            <w:tcBorders>
              <w:top w:val="single" w:sz="6" w:space="0" w:color="000000"/>
              <w:left w:val="single" w:sz="6" w:space="0" w:color="000000"/>
              <w:bottom w:val="single" w:sz="6" w:space="0" w:color="000000"/>
              <w:right w:val="single" w:sz="6" w:space="0" w:color="000000"/>
            </w:tcBorders>
            <w:hideMark/>
          </w:tcPr>
          <w:p w:rsidR="00AF76BD" w:rsidRPr="002F43F3" w:rsidRDefault="00AF76BD" w:rsidP="003B4BCE">
            <w:pPr>
              <w:spacing w:before="40" w:after="40"/>
              <w:ind w:left="118" w:right="-1"/>
              <w:rPr>
                <w:sz w:val="24"/>
                <w:szCs w:val="24"/>
              </w:rPr>
            </w:pPr>
            <w:proofErr w:type="spellStart"/>
            <w:r w:rsidRPr="002F43F3">
              <w:rPr>
                <w:sz w:val="24"/>
                <w:szCs w:val="24"/>
              </w:rPr>
              <w:t>bulløs</w:t>
            </w:r>
            <w:proofErr w:type="spellEnd"/>
            <w:r w:rsidRPr="002F43F3">
              <w:rPr>
                <w:sz w:val="24"/>
                <w:szCs w:val="24"/>
              </w:rPr>
              <w:t xml:space="preserve"> </w:t>
            </w:r>
            <w:proofErr w:type="spellStart"/>
            <w:r w:rsidRPr="002F43F3">
              <w:rPr>
                <w:sz w:val="24"/>
                <w:szCs w:val="24"/>
              </w:rPr>
              <w:t>dermatitis</w:t>
            </w:r>
            <w:proofErr w:type="spellEnd"/>
          </w:p>
        </w:tc>
      </w:tr>
      <w:tr w:rsidR="00AF76BD" w:rsidRPr="002F43F3" w:rsidTr="003B4BCE">
        <w:tc>
          <w:tcPr>
            <w:tcW w:w="2297" w:type="pct"/>
            <w:tcBorders>
              <w:top w:val="single" w:sz="6" w:space="0" w:color="000000"/>
              <w:left w:val="single" w:sz="6" w:space="0" w:color="000000"/>
              <w:bottom w:val="single" w:sz="6" w:space="0" w:color="000000"/>
              <w:right w:val="single" w:sz="6" w:space="0" w:color="000000"/>
            </w:tcBorders>
            <w:hideMark/>
          </w:tcPr>
          <w:p w:rsidR="00AF76BD" w:rsidRPr="002F43F3" w:rsidRDefault="00AF76BD" w:rsidP="003B4BCE">
            <w:pPr>
              <w:spacing w:before="40" w:after="40"/>
              <w:ind w:left="118" w:right="-1"/>
              <w:rPr>
                <w:sz w:val="24"/>
                <w:szCs w:val="24"/>
              </w:rPr>
            </w:pPr>
            <w:r w:rsidRPr="002F43F3">
              <w:rPr>
                <w:sz w:val="24"/>
                <w:szCs w:val="24"/>
              </w:rPr>
              <w:t>Nyrer og urinveje</w:t>
            </w:r>
          </w:p>
        </w:tc>
        <w:tc>
          <w:tcPr>
            <w:tcW w:w="2703" w:type="pct"/>
            <w:tcBorders>
              <w:top w:val="single" w:sz="6" w:space="0" w:color="000000"/>
              <w:left w:val="single" w:sz="6" w:space="0" w:color="000000"/>
              <w:bottom w:val="single" w:sz="6" w:space="0" w:color="000000"/>
              <w:right w:val="single" w:sz="6" w:space="0" w:color="000000"/>
            </w:tcBorders>
            <w:hideMark/>
          </w:tcPr>
          <w:p w:rsidR="00AF76BD" w:rsidRPr="002F43F3" w:rsidRDefault="00AF76BD" w:rsidP="003B4BCE">
            <w:pPr>
              <w:spacing w:before="40" w:after="40"/>
              <w:ind w:left="118" w:right="-1"/>
              <w:rPr>
                <w:sz w:val="24"/>
                <w:szCs w:val="24"/>
              </w:rPr>
            </w:pPr>
            <w:r w:rsidRPr="002F43F3">
              <w:rPr>
                <w:sz w:val="24"/>
                <w:szCs w:val="24"/>
              </w:rPr>
              <w:t xml:space="preserve">urininkontinens, </w:t>
            </w:r>
            <w:proofErr w:type="spellStart"/>
            <w:r w:rsidRPr="002F43F3">
              <w:rPr>
                <w:sz w:val="24"/>
                <w:szCs w:val="24"/>
              </w:rPr>
              <w:t>renal</w:t>
            </w:r>
            <w:proofErr w:type="spellEnd"/>
            <w:r w:rsidRPr="002F43F3">
              <w:rPr>
                <w:sz w:val="24"/>
                <w:szCs w:val="24"/>
              </w:rPr>
              <w:t xml:space="preserve"> </w:t>
            </w:r>
            <w:proofErr w:type="spellStart"/>
            <w:r w:rsidRPr="002F43F3">
              <w:rPr>
                <w:sz w:val="24"/>
                <w:szCs w:val="24"/>
              </w:rPr>
              <w:t>tubulær</w:t>
            </w:r>
            <w:proofErr w:type="spellEnd"/>
            <w:r w:rsidRPr="002F43F3">
              <w:rPr>
                <w:sz w:val="24"/>
                <w:szCs w:val="24"/>
              </w:rPr>
              <w:t xml:space="preserve"> nekrose, akut nyresvigt</w:t>
            </w:r>
          </w:p>
        </w:tc>
      </w:tr>
      <w:tr w:rsidR="00AF76BD" w:rsidRPr="002F43F3" w:rsidTr="003B4BCE">
        <w:tc>
          <w:tcPr>
            <w:tcW w:w="2297" w:type="pct"/>
            <w:tcBorders>
              <w:top w:val="single" w:sz="6" w:space="0" w:color="000000"/>
              <w:left w:val="single" w:sz="6" w:space="0" w:color="000000"/>
              <w:bottom w:val="single" w:sz="6" w:space="0" w:color="000000"/>
              <w:right w:val="single" w:sz="6" w:space="0" w:color="000000"/>
            </w:tcBorders>
            <w:hideMark/>
          </w:tcPr>
          <w:p w:rsidR="00AF76BD" w:rsidRPr="002F43F3" w:rsidRDefault="00AF76BD" w:rsidP="003B4BCE">
            <w:pPr>
              <w:spacing w:before="40" w:after="40"/>
              <w:ind w:left="118" w:right="-1"/>
              <w:rPr>
                <w:sz w:val="24"/>
                <w:szCs w:val="24"/>
              </w:rPr>
            </w:pPr>
            <w:r w:rsidRPr="002F43F3">
              <w:rPr>
                <w:sz w:val="24"/>
                <w:szCs w:val="24"/>
              </w:rPr>
              <w:t>Undersøgelser</w:t>
            </w:r>
          </w:p>
        </w:tc>
        <w:tc>
          <w:tcPr>
            <w:tcW w:w="2703" w:type="pct"/>
            <w:tcBorders>
              <w:top w:val="single" w:sz="6" w:space="0" w:color="000000"/>
              <w:left w:val="single" w:sz="6" w:space="0" w:color="000000"/>
              <w:bottom w:val="single" w:sz="6" w:space="0" w:color="000000"/>
              <w:right w:val="single" w:sz="6" w:space="0" w:color="000000"/>
            </w:tcBorders>
            <w:hideMark/>
          </w:tcPr>
          <w:p w:rsidR="00AF76BD" w:rsidRPr="002F43F3" w:rsidRDefault="00AF76BD" w:rsidP="003B4BCE">
            <w:pPr>
              <w:spacing w:before="40" w:after="40"/>
              <w:ind w:left="118" w:right="-1"/>
              <w:rPr>
                <w:sz w:val="24"/>
                <w:szCs w:val="24"/>
              </w:rPr>
            </w:pPr>
            <w:r w:rsidRPr="002F43F3">
              <w:rPr>
                <w:sz w:val="24"/>
                <w:szCs w:val="24"/>
              </w:rPr>
              <w:t>PR-forlængelse i elektrokardiogram, øget jernindhold i blodet, øget bilirubin i blodet, øget ferritin i serum, anomal leverfunktionstest</w:t>
            </w:r>
          </w:p>
        </w:tc>
      </w:tr>
    </w:tbl>
    <w:p w:rsidR="00AF76BD" w:rsidRPr="002F43F3" w:rsidRDefault="00AF76BD" w:rsidP="00AF76BD">
      <w:pPr>
        <w:spacing w:before="2"/>
        <w:ind w:left="851" w:right="-1" w:hanging="851"/>
        <w:jc w:val="both"/>
        <w:rPr>
          <w:sz w:val="24"/>
          <w:szCs w:val="24"/>
        </w:rPr>
      </w:pPr>
    </w:p>
    <w:p w:rsidR="00AF76BD" w:rsidRPr="002F43F3" w:rsidRDefault="00AF76BD" w:rsidP="00AF76BD">
      <w:pPr>
        <w:ind w:left="851" w:right="-1"/>
        <w:jc w:val="both"/>
        <w:rPr>
          <w:sz w:val="24"/>
          <w:szCs w:val="24"/>
          <w:u w:val="single"/>
        </w:rPr>
      </w:pPr>
      <w:r w:rsidRPr="002F43F3">
        <w:rPr>
          <w:sz w:val="24"/>
          <w:szCs w:val="24"/>
          <w:u w:val="single"/>
        </w:rPr>
        <w:t>Bivirkninger hos børn</w:t>
      </w:r>
    </w:p>
    <w:p w:rsidR="00AF76BD" w:rsidRPr="002F43F3" w:rsidRDefault="00AF76BD" w:rsidP="00AF76BD">
      <w:pPr>
        <w:ind w:left="851" w:right="-1"/>
        <w:rPr>
          <w:sz w:val="24"/>
          <w:szCs w:val="24"/>
        </w:rPr>
      </w:pPr>
      <w:r w:rsidRPr="002F43F3">
        <w:rPr>
          <w:sz w:val="24"/>
          <w:szCs w:val="24"/>
        </w:rPr>
        <w:t xml:space="preserve">Sikkerheden hos pædiatriske patienter blev undersøgt i kliniske forsøg og postmarkedsføringsundersøgelser. I forhold til voksne viste sikkerhedsprofilen for </w:t>
      </w:r>
      <w:proofErr w:type="spellStart"/>
      <w:r w:rsidRPr="002F43F3">
        <w:rPr>
          <w:sz w:val="24"/>
          <w:szCs w:val="24"/>
        </w:rPr>
        <w:t>gadoterinsyre</w:t>
      </w:r>
      <w:proofErr w:type="spellEnd"/>
      <w:r w:rsidRPr="002F43F3">
        <w:rPr>
          <w:sz w:val="24"/>
          <w:szCs w:val="24"/>
        </w:rPr>
        <w:t xml:space="preserve"> ikke nogen specificitet hos børn. De fleste reaktioner er </w:t>
      </w:r>
      <w:proofErr w:type="spellStart"/>
      <w:r w:rsidRPr="002F43F3">
        <w:rPr>
          <w:sz w:val="24"/>
          <w:szCs w:val="24"/>
        </w:rPr>
        <w:t>gastrointestinale</w:t>
      </w:r>
      <w:proofErr w:type="spellEnd"/>
      <w:r w:rsidRPr="002F43F3">
        <w:rPr>
          <w:sz w:val="24"/>
          <w:szCs w:val="24"/>
        </w:rPr>
        <w:t xml:space="preserve"> symptomer eller tegn på overfølsomhed.</w:t>
      </w:r>
    </w:p>
    <w:p w:rsidR="00AF76BD" w:rsidRPr="002F43F3" w:rsidRDefault="00AF76BD" w:rsidP="00AF76BD">
      <w:pPr>
        <w:ind w:left="851" w:right="-1"/>
        <w:jc w:val="both"/>
        <w:rPr>
          <w:sz w:val="24"/>
          <w:szCs w:val="24"/>
        </w:rPr>
      </w:pPr>
    </w:p>
    <w:p w:rsidR="00AF76BD" w:rsidRPr="002F43F3" w:rsidRDefault="00AF76BD" w:rsidP="00AF76BD">
      <w:pPr>
        <w:ind w:left="851" w:right="-1"/>
        <w:jc w:val="both"/>
        <w:rPr>
          <w:sz w:val="24"/>
          <w:szCs w:val="24"/>
          <w:u w:val="single"/>
        </w:rPr>
      </w:pPr>
      <w:r w:rsidRPr="002F43F3">
        <w:rPr>
          <w:sz w:val="24"/>
          <w:szCs w:val="24"/>
          <w:u w:val="single"/>
        </w:rPr>
        <w:t>Indberetning af formodede bivirkninger</w:t>
      </w:r>
    </w:p>
    <w:p w:rsidR="00AF76BD" w:rsidRPr="002F43F3" w:rsidRDefault="00AF76BD" w:rsidP="00AF76BD">
      <w:pPr>
        <w:ind w:left="851" w:right="-1"/>
        <w:rPr>
          <w:sz w:val="24"/>
          <w:szCs w:val="24"/>
        </w:rPr>
      </w:pPr>
      <w:r w:rsidRPr="002F43F3">
        <w:rPr>
          <w:sz w:val="24"/>
          <w:szCs w:val="24"/>
        </w:rPr>
        <w:t>Når lægemidlet er godkendt, er indberetning af formodede bivirkninger vigtig. Det muliggør løbende overvågning af benefit/</w:t>
      </w:r>
      <w:proofErr w:type="spellStart"/>
      <w:r w:rsidRPr="002F43F3">
        <w:rPr>
          <w:sz w:val="24"/>
          <w:szCs w:val="24"/>
        </w:rPr>
        <w:t>risk</w:t>
      </w:r>
      <w:proofErr w:type="spellEnd"/>
      <w:r w:rsidRPr="002F43F3">
        <w:rPr>
          <w:sz w:val="24"/>
          <w:szCs w:val="24"/>
        </w:rPr>
        <w:t xml:space="preserve">-forholdet for lægemidlet. </w:t>
      </w:r>
      <w:r w:rsidR="0053381E">
        <w:rPr>
          <w:sz w:val="24"/>
          <w:szCs w:val="24"/>
        </w:rPr>
        <w:t>Sundhedspersoner</w:t>
      </w:r>
      <w:r w:rsidRPr="002F43F3">
        <w:rPr>
          <w:sz w:val="24"/>
          <w:szCs w:val="24"/>
        </w:rPr>
        <w:t xml:space="preserve"> anmodes om at indberette alle formodede bivirkninger via: </w:t>
      </w:r>
    </w:p>
    <w:p w:rsidR="00AF76BD" w:rsidRPr="002F43F3" w:rsidRDefault="00AF76BD" w:rsidP="00AF76BD">
      <w:pPr>
        <w:ind w:left="851" w:right="-1"/>
        <w:rPr>
          <w:sz w:val="24"/>
          <w:szCs w:val="24"/>
        </w:rPr>
      </w:pPr>
    </w:p>
    <w:p w:rsidR="002B1D8E" w:rsidRDefault="00AF76BD" w:rsidP="00AF76BD">
      <w:pPr>
        <w:pStyle w:val="NormalWeb"/>
        <w:shd w:val="clear" w:color="auto" w:fill="FFFFFF"/>
        <w:spacing w:before="0" w:beforeAutospacing="0" w:after="0" w:afterAutospacing="0"/>
        <w:ind w:left="851" w:right="-1"/>
        <w:rPr>
          <w:lang w:val="da-DK"/>
        </w:rPr>
      </w:pPr>
      <w:r w:rsidRPr="002F43F3">
        <w:rPr>
          <w:lang w:val="da-DK"/>
        </w:rPr>
        <w:t>Lægemiddelstyrelsen</w:t>
      </w:r>
      <w:r w:rsidRPr="002F43F3">
        <w:rPr>
          <w:lang w:val="da-DK"/>
        </w:rPr>
        <w:br/>
        <w:t>Axel Heides Gade 1</w:t>
      </w:r>
      <w:r w:rsidRPr="002F43F3">
        <w:rPr>
          <w:lang w:val="da-DK"/>
        </w:rPr>
        <w:br/>
        <w:t>DK-2300 København S</w:t>
      </w:r>
      <w:r w:rsidRPr="002F43F3">
        <w:rPr>
          <w:lang w:val="da-DK"/>
        </w:rPr>
        <w:br/>
        <w:t xml:space="preserve">Websted: </w:t>
      </w:r>
      <w:hyperlink r:id="rId8" w:history="1">
        <w:r w:rsidR="002B1D8E" w:rsidRPr="0072434C">
          <w:rPr>
            <w:rStyle w:val="Hyperlink"/>
            <w:lang w:val="da-DK"/>
          </w:rPr>
          <w:t>www.meldenbivirkning.dk</w:t>
        </w:r>
      </w:hyperlink>
    </w:p>
    <w:p w:rsidR="00AF76BD" w:rsidRPr="00FF12ED" w:rsidRDefault="00AF76BD" w:rsidP="00AF76BD">
      <w:pPr>
        <w:pStyle w:val="NormalWeb"/>
        <w:shd w:val="clear" w:color="auto" w:fill="FFFFFF"/>
        <w:spacing w:before="0" w:beforeAutospacing="0" w:after="0" w:afterAutospacing="0"/>
        <w:ind w:left="851" w:right="-1"/>
        <w:rPr>
          <w:lang w:val="da-DK"/>
        </w:rPr>
      </w:pPr>
    </w:p>
    <w:p w:rsidR="00AF76BD" w:rsidRPr="002F43F3" w:rsidRDefault="00AF76BD" w:rsidP="00AF76BD">
      <w:pPr>
        <w:ind w:left="851" w:right="-1" w:hanging="851"/>
        <w:rPr>
          <w:b/>
          <w:sz w:val="24"/>
          <w:szCs w:val="24"/>
        </w:rPr>
      </w:pPr>
      <w:r w:rsidRPr="002F43F3">
        <w:rPr>
          <w:b/>
          <w:sz w:val="24"/>
          <w:szCs w:val="24"/>
        </w:rPr>
        <w:t>4.9</w:t>
      </w:r>
      <w:r w:rsidRPr="002F43F3">
        <w:rPr>
          <w:b/>
          <w:sz w:val="24"/>
          <w:szCs w:val="24"/>
        </w:rPr>
        <w:tab/>
        <w:t>Overdosering</w:t>
      </w:r>
    </w:p>
    <w:p w:rsidR="00AF76BD" w:rsidRPr="002F43F3" w:rsidRDefault="00AF76BD" w:rsidP="00AF76BD">
      <w:pPr>
        <w:spacing w:before="2" w:line="241" w:lineRule="auto"/>
        <w:ind w:left="851" w:right="-1"/>
        <w:rPr>
          <w:sz w:val="24"/>
          <w:szCs w:val="24"/>
        </w:rPr>
      </w:pPr>
      <w:proofErr w:type="spellStart"/>
      <w:r w:rsidRPr="002F43F3">
        <w:rPr>
          <w:sz w:val="24"/>
          <w:szCs w:val="24"/>
        </w:rPr>
        <w:t>Gadoterinsyre</w:t>
      </w:r>
      <w:proofErr w:type="spellEnd"/>
      <w:r w:rsidRPr="002F43F3">
        <w:rPr>
          <w:sz w:val="24"/>
          <w:szCs w:val="24"/>
        </w:rPr>
        <w:t xml:space="preserve"> kan fjernes ved hæmodialyse. Det er dog ikke påvist, at hæmodialyse er egnet til forebyggelse af </w:t>
      </w:r>
      <w:proofErr w:type="spellStart"/>
      <w:r w:rsidRPr="002F43F3">
        <w:rPr>
          <w:sz w:val="24"/>
          <w:szCs w:val="24"/>
        </w:rPr>
        <w:t>nefrogen</w:t>
      </w:r>
      <w:proofErr w:type="spellEnd"/>
      <w:r w:rsidRPr="002F43F3">
        <w:rPr>
          <w:sz w:val="24"/>
          <w:szCs w:val="24"/>
        </w:rPr>
        <w:t xml:space="preserve"> systemisk fibrose (NSF).</w:t>
      </w:r>
    </w:p>
    <w:p w:rsidR="00AF76BD" w:rsidRPr="002F43F3" w:rsidRDefault="00AF76BD" w:rsidP="00AF76BD">
      <w:pPr>
        <w:ind w:left="851" w:right="-1" w:hanging="851"/>
        <w:rPr>
          <w:sz w:val="24"/>
          <w:szCs w:val="24"/>
        </w:rPr>
      </w:pPr>
    </w:p>
    <w:p w:rsidR="00AF76BD" w:rsidRPr="002F43F3" w:rsidRDefault="00AF76BD" w:rsidP="00AF76BD">
      <w:pPr>
        <w:ind w:left="851" w:right="-1" w:hanging="851"/>
        <w:rPr>
          <w:b/>
          <w:sz w:val="24"/>
          <w:szCs w:val="24"/>
        </w:rPr>
      </w:pPr>
      <w:r w:rsidRPr="002F43F3">
        <w:rPr>
          <w:b/>
          <w:sz w:val="24"/>
          <w:szCs w:val="24"/>
        </w:rPr>
        <w:t>4.10</w:t>
      </w:r>
      <w:r w:rsidRPr="002F43F3">
        <w:rPr>
          <w:b/>
          <w:sz w:val="24"/>
          <w:szCs w:val="24"/>
        </w:rPr>
        <w:tab/>
        <w:t>Udlevering</w:t>
      </w:r>
    </w:p>
    <w:p w:rsidR="00AF76BD" w:rsidRPr="002F43F3" w:rsidRDefault="00AF76BD" w:rsidP="00AF76BD">
      <w:pPr>
        <w:ind w:left="851" w:right="-1"/>
        <w:rPr>
          <w:sz w:val="24"/>
          <w:szCs w:val="24"/>
        </w:rPr>
      </w:pPr>
      <w:r w:rsidRPr="002F43F3">
        <w:rPr>
          <w:sz w:val="24"/>
          <w:szCs w:val="24"/>
        </w:rPr>
        <w:t>B</w:t>
      </w:r>
      <w:r w:rsidR="006836F0">
        <w:rPr>
          <w:sz w:val="24"/>
          <w:szCs w:val="24"/>
        </w:rPr>
        <w:t>EGR (kun til sygehuse)</w:t>
      </w:r>
    </w:p>
    <w:p w:rsidR="00AF76BD" w:rsidRPr="002F43F3" w:rsidRDefault="00AF76BD" w:rsidP="00AF76BD">
      <w:pPr>
        <w:ind w:left="851" w:right="-1" w:hanging="851"/>
        <w:rPr>
          <w:sz w:val="24"/>
          <w:szCs w:val="24"/>
        </w:rPr>
      </w:pPr>
    </w:p>
    <w:p w:rsidR="00AF76BD" w:rsidRPr="002F43F3" w:rsidRDefault="00AF76BD" w:rsidP="00AF76BD">
      <w:pPr>
        <w:ind w:left="851" w:right="-1" w:hanging="851"/>
        <w:rPr>
          <w:sz w:val="24"/>
          <w:szCs w:val="24"/>
        </w:rPr>
      </w:pPr>
    </w:p>
    <w:p w:rsidR="00AF76BD" w:rsidRPr="002F43F3" w:rsidRDefault="00AF76BD" w:rsidP="002B1D8E">
      <w:pPr>
        <w:keepNext/>
        <w:ind w:left="851" w:right="-1" w:hanging="851"/>
        <w:rPr>
          <w:b/>
          <w:sz w:val="24"/>
          <w:szCs w:val="24"/>
        </w:rPr>
      </w:pPr>
      <w:r w:rsidRPr="002F43F3">
        <w:rPr>
          <w:b/>
          <w:sz w:val="24"/>
          <w:szCs w:val="24"/>
        </w:rPr>
        <w:lastRenderedPageBreak/>
        <w:t>5.</w:t>
      </w:r>
      <w:r w:rsidRPr="002F43F3">
        <w:rPr>
          <w:b/>
          <w:sz w:val="24"/>
          <w:szCs w:val="24"/>
        </w:rPr>
        <w:tab/>
        <w:t>FARMAKOLOGISKE EGENSKABER</w:t>
      </w:r>
    </w:p>
    <w:p w:rsidR="00AF76BD" w:rsidRPr="002F43F3" w:rsidRDefault="00AF76BD" w:rsidP="00AF76BD">
      <w:pPr>
        <w:ind w:left="851" w:right="-1" w:hanging="851"/>
        <w:rPr>
          <w:sz w:val="24"/>
          <w:szCs w:val="24"/>
        </w:rPr>
      </w:pPr>
    </w:p>
    <w:p w:rsidR="00AF76BD" w:rsidRPr="002F43F3" w:rsidRDefault="00AF76BD" w:rsidP="00AF76BD">
      <w:pPr>
        <w:keepNext/>
        <w:ind w:left="851" w:hanging="851"/>
        <w:rPr>
          <w:b/>
          <w:sz w:val="24"/>
          <w:szCs w:val="24"/>
        </w:rPr>
      </w:pPr>
      <w:r w:rsidRPr="002F43F3">
        <w:rPr>
          <w:b/>
          <w:sz w:val="24"/>
          <w:szCs w:val="24"/>
        </w:rPr>
        <w:t>5.1</w:t>
      </w:r>
      <w:r w:rsidRPr="002F43F3">
        <w:rPr>
          <w:b/>
          <w:sz w:val="24"/>
          <w:szCs w:val="24"/>
        </w:rPr>
        <w:tab/>
      </w:r>
      <w:proofErr w:type="spellStart"/>
      <w:r w:rsidRPr="002F43F3">
        <w:rPr>
          <w:b/>
          <w:sz w:val="24"/>
          <w:szCs w:val="24"/>
        </w:rPr>
        <w:t>Farmakodynamiske</w:t>
      </w:r>
      <w:proofErr w:type="spellEnd"/>
      <w:r w:rsidRPr="002F43F3">
        <w:rPr>
          <w:b/>
          <w:sz w:val="24"/>
          <w:szCs w:val="24"/>
        </w:rPr>
        <w:t xml:space="preserve"> egenskaber</w:t>
      </w:r>
    </w:p>
    <w:p w:rsidR="002B1D8E" w:rsidRPr="002F43F3" w:rsidRDefault="002B1D8E" w:rsidP="002B1D8E">
      <w:pPr>
        <w:spacing w:before="2" w:line="241" w:lineRule="auto"/>
        <w:ind w:left="851" w:right="-1"/>
        <w:rPr>
          <w:sz w:val="24"/>
          <w:szCs w:val="24"/>
        </w:rPr>
      </w:pPr>
      <w:r>
        <w:rPr>
          <w:noProof/>
          <w:sz w:val="24"/>
          <w:szCs w:val="24"/>
        </w:rPr>
        <w:t xml:space="preserve">Farmakoterapeutisk klassifikation: </w:t>
      </w:r>
      <w:proofErr w:type="spellStart"/>
      <w:r w:rsidRPr="002F43F3">
        <w:rPr>
          <w:sz w:val="24"/>
          <w:szCs w:val="24"/>
        </w:rPr>
        <w:t>Paramagnetiske</w:t>
      </w:r>
      <w:proofErr w:type="spellEnd"/>
      <w:r w:rsidRPr="002F43F3">
        <w:rPr>
          <w:sz w:val="24"/>
          <w:szCs w:val="24"/>
        </w:rPr>
        <w:t xml:space="preserve"> kontrastmidle</w:t>
      </w:r>
      <w:r>
        <w:rPr>
          <w:sz w:val="24"/>
          <w:szCs w:val="24"/>
        </w:rPr>
        <w:t xml:space="preserve">r, </w:t>
      </w:r>
      <w:r w:rsidRPr="002F43F3">
        <w:rPr>
          <w:sz w:val="24"/>
          <w:szCs w:val="24"/>
        </w:rPr>
        <w:t>ATC-kode: V08CA02 (</w:t>
      </w:r>
      <w:proofErr w:type="spellStart"/>
      <w:r w:rsidRPr="002F43F3">
        <w:rPr>
          <w:sz w:val="24"/>
          <w:szCs w:val="24"/>
        </w:rPr>
        <w:t>gadoterinsyre</w:t>
      </w:r>
      <w:proofErr w:type="spellEnd"/>
      <w:r w:rsidRPr="002F43F3">
        <w:rPr>
          <w:sz w:val="24"/>
          <w:szCs w:val="24"/>
        </w:rPr>
        <w:t xml:space="preserve">). </w:t>
      </w:r>
    </w:p>
    <w:p w:rsidR="002B1D8E" w:rsidRDefault="002B1D8E" w:rsidP="00AF76BD">
      <w:pPr>
        <w:spacing w:before="2"/>
        <w:ind w:left="851" w:right="-1"/>
        <w:rPr>
          <w:noProof/>
          <w:sz w:val="24"/>
          <w:szCs w:val="24"/>
        </w:rPr>
      </w:pPr>
    </w:p>
    <w:p w:rsidR="00AF76BD" w:rsidRDefault="00AF76BD" w:rsidP="00AF76BD">
      <w:pPr>
        <w:spacing w:before="2"/>
        <w:ind w:left="851" w:right="-1"/>
        <w:rPr>
          <w:noProof/>
          <w:sz w:val="24"/>
          <w:szCs w:val="24"/>
        </w:rPr>
      </w:pPr>
      <w:r>
        <w:rPr>
          <w:noProof/>
          <w:sz w:val="24"/>
          <w:szCs w:val="24"/>
        </w:rPr>
        <w:t>Dotagraf er et paramagnetisk kontrastmiddel, der anvendes til MR-scanning. Den kontrastforstærkende virkning medieres af gadoterinsyre, der er et ionisk gadoliniumkompleks sammensat af gadoliniumoxid og 1,4,7,10-tetraazacyclododecan-1,4,7,10-tetraacetatsyre (DOTA), og som er til stede som megluminsalt.</w:t>
      </w:r>
    </w:p>
    <w:p w:rsidR="00AF76BD" w:rsidRDefault="00AF76BD" w:rsidP="00AF76BD">
      <w:pPr>
        <w:spacing w:before="2"/>
        <w:ind w:left="851" w:right="-1"/>
        <w:rPr>
          <w:noProof/>
          <w:sz w:val="24"/>
          <w:szCs w:val="24"/>
        </w:rPr>
      </w:pPr>
    </w:p>
    <w:p w:rsidR="00AF76BD" w:rsidRDefault="00AF76BD" w:rsidP="00AF76BD">
      <w:pPr>
        <w:spacing w:before="2"/>
        <w:ind w:left="851" w:right="-1"/>
        <w:rPr>
          <w:noProof/>
          <w:sz w:val="24"/>
          <w:szCs w:val="24"/>
        </w:rPr>
      </w:pPr>
      <w:r>
        <w:rPr>
          <w:noProof/>
          <w:sz w:val="24"/>
          <w:szCs w:val="24"/>
        </w:rPr>
        <w:t xml:space="preserve">Den paramagnetiske virkning (relaksivitet) er bestemt ud fra virkningen på </w:t>
      </w:r>
      <w:r>
        <w:rPr>
          <w:i/>
          <w:noProof/>
          <w:sz w:val="24"/>
          <w:szCs w:val="24"/>
        </w:rPr>
        <w:t>spin-lattice</w:t>
      </w:r>
      <w:r>
        <w:rPr>
          <w:noProof/>
          <w:sz w:val="24"/>
          <w:szCs w:val="24"/>
        </w:rPr>
        <w:t>-relaxationstiden (T1) ca. 3,4 mmol</w:t>
      </w:r>
      <w:r>
        <w:rPr>
          <w:noProof/>
          <w:sz w:val="24"/>
          <w:szCs w:val="24"/>
          <w:vertAlign w:val="superscript"/>
        </w:rPr>
        <w:t>-1</w:t>
      </w:r>
      <w:r>
        <w:rPr>
          <w:noProof/>
          <w:sz w:val="24"/>
          <w:szCs w:val="24"/>
        </w:rPr>
        <w:t>Lsek</w:t>
      </w:r>
      <w:r>
        <w:rPr>
          <w:noProof/>
          <w:sz w:val="24"/>
          <w:szCs w:val="24"/>
          <w:vertAlign w:val="superscript"/>
        </w:rPr>
        <w:t xml:space="preserve">-1 </w:t>
      </w:r>
      <w:r>
        <w:rPr>
          <w:noProof/>
          <w:sz w:val="24"/>
          <w:szCs w:val="24"/>
        </w:rPr>
        <w:t xml:space="preserve">og ud fra </w:t>
      </w:r>
      <w:r>
        <w:rPr>
          <w:i/>
          <w:noProof/>
          <w:sz w:val="24"/>
          <w:szCs w:val="24"/>
        </w:rPr>
        <w:t>spin-spin</w:t>
      </w:r>
      <w:r>
        <w:rPr>
          <w:noProof/>
          <w:sz w:val="24"/>
          <w:szCs w:val="24"/>
        </w:rPr>
        <w:t>-relaxationstiden (T2) ca. 4,27 mmol</w:t>
      </w:r>
      <w:r>
        <w:rPr>
          <w:noProof/>
          <w:sz w:val="24"/>
          <w:szCs w:val="24"/>
          <w:vertAlign w:val="superscript"/>
        </w:rPr>
        <w:t>-1</w:t>
      </w:r>
      <w:r>
        <w:rPr>
          <w:noProof/>
          <w:sz w:val="24"/>
          <w:szCs w:val="24"/>
        </w:rPr>
        <w:t>Lsek</w:t>
      </w:r>
      <w:r>
        <w:rPr>
          <w:noProof/>
          <w:sz w:val="24"/>
          <w:szCs w:val="24"/>
          <w:vertAlign w:val="superscript"/>
        </w:rPr>
        <w:t>-1</w:t>
      </w:r>
      <w:r>
        <w:rPr>
          <w:noProof/>
          <w:sz w:val="24"/>
          <w:szCs w:val="24"/>
        </w:rPr>
        <w:t>.</w:t>
      </w:r>
    </w:p>
    <w:p w:rsidR="00AF76BD" w:rsidRPr="002F43F3" w:rsidRDefault="00AF76BD" w:rsidP="00AF76BD">
      <w:pPr>
        <w:ind w:left="851" w:right="-1" w:hanging="851"/>
        <w:rPr>
          <w:sz w:val="24"/>
          <w:szCs w:val="24"/>
        </w:rPr>
      </w:pPr>
    </w:p>
    <w:p w:rsidR="00AF76BD" w:rsidRPr="002F43F3" w:rsidRDefault="00AF76BD" w:rsidP="00AF76BD">
      <w:pPr>
        <w:ind w:left="851" w:right="-1" w:hanging="851"/>
        <w:rPr>
          <w:b/>
          <w:sz w:val="24"/>
          <w:szCs w:val="24"/>
        </w:rPr>
      </w:pPr>
      <w:r w:rsidRPr="002F43F3">
        <w:rPr>
          <w:b/>
          <w:sz w:val="24"/>
          <w:szCs w:val="24"/>
        </w:rPr>
        <w:t>5.2</w:t>
      </w:r>
      <w:r w:rsidRPr="002F43F3">
        <w:rPr>
          <w:b/>
          <w:sz w:val="24"/>
          <w:szCs w:val="24"/>
        </w:rPr>
        <w:tab/>
      </w:r>
      <w:proofErr w:type="spellStart"/>
      <w:r w:rsidRPr="002F43F3">
        <w:rPr>
          <w:b/>
          <w:sz w:val="24"/>
          <w:szCs w:val="24"/>
        </w:rPr>
        <w:t>Farmakokinetiske</w:t>
      </w:r>
      <w:proofErr w:type="spellEnd"/>
      <w:r w:rsidRPr="002F43F3">
        <w:rPr>
          <w:b/>
          <w:sz w:val="24"/>
          <w:szCs w:val="24"/>
        </w:rPr>
        <w:t xml:space="preserve"> egenskaber</w:t>
      </w:r>
    </w:p>
    <w:p w:rsidR="00AF76BD" w:rsidRDefault="00AF76BD" w:rsidP="00AF76BD">
      <w:pPr>
        <w:ind w:left="851" w:right="-1"/>
        <w:rPr>
          <w:noProof/>
          <w:sz w:val="24"/>
          <w:szCs w:val="24"/>
        </w:rPr>
      </w:pPr>
      <w:r>
        <w:rPr>
          <w:noProof/>
          <w:sz w:val="24"/>
          <w:szCs w:val="24"/>
        </w:rPr>
        <w:t>Efter intravenøs administration fordeles gadoterinsyre hurtigt i de ekstracellulære væsker. Fordelingsvolumenen er ca. 18 l, hvilket omtrent svarer til volumen af den ekstracellulære væske. Gadoterinsyre bindes ikke til proteiner som f.eks. serumalbumin.</w:t>
      </w:r>
    </w:p>
    <w:p w:rsidR="00AF76BD" w:rsidRDefault="00AF76BD" w:rsidP="00AF76BD">
      <w:pPr>
        <w:ind w:left="851" w:right="-1"/>
        <w:rPr>
          <w:noProof/>
          <w:sz w:val="24"/>
          <w:szCs w:val="24"/>
        </w:rPr>
      </w:pPr>
      <w:r>
        <w:rPr>
          <w:noProof/>
          <w:sz w:val="24"/>
          <w:szCs w:val="24"/>
        </w:rPr>
        <w:t>Gadoterinsyre elimineres hurtigt (89 % efter 6 timer, 95 % efter 24 timer) i uomdannet form gennem nyrerne ved glomerulær filtration. Udskillelsen via fæces er ubetydelig. Der blev ikke detekteret nogen metabolitter. Eliminationshalveringstiden er ca. 1,6 timer hos patienter med normal nyrefunktion. Hos patienter med nedsat nyrefunktion var eliminationshalveringstiden øget til ca. 5 timer ved en kreatininclearance på 30-60 ml/min og ca. 14 timer ved en kreatininclearance på 10-30 ml/min.</w:t>
      </w:r>
    </w:p>
    <w:p w:rsidR="00AF76BD" w:rsidRDefault="00AF76BD" w:rsidP="00AF76BD">
      <w:pPr>
        <w:ind w:left="851" w:right="-1"/>
        <w:rPr>
          <w:noProof/>
          <w:sz w:val="24"/>
          <w:szCs w:val="24"/>
        </w:rPr>
      </w:pPr>
      <w:r>
        <w:rPr>
          <w:noProof/>
          <w:sz w:val="24"/>
          <w:szCs w:val="24"/>
        </w:rPr>
        <w:t>Det er i dyreforsøg påvist, at gadoterinsyre kan fjernes ved dialyse.</w:t>
      </w:r>
    </w:p>
    <w:p w:rsidR="00AF76BD" w:rsidRPr="002F43F3" w:rsidRDefault="00AF76BD" w:rsidP="00AF76BD">
      <w:pPr>
        <w:ind w:left="851" w:right="-1" w:hanging="851"/>
        <w:rPr>
          <w:sz w:val="24"/>
          <w:szCs w:val="24"/>
        </w:rPr>
      </w:pPr>
    </w:p>
    <w:p w:rsidR="00AF76BD" w:rsidRPr="002F43F3" w:rsidRDefault="00AF76BD" w:rsidP="00AF76BD">
      <w:pPr>
        <w:ind w:left="851" w:right="-1" w:hanging="851"/>
        <w:rPr>
          <w:b/>
          <w:sz w:val="24"/>
          <w:szCs w:val="24"/>
        </w:rPr>
      </w:pPr>
      <w:r w:rsidRPr="002F43F3">
        <w:rPr>
          <w:b/>
          <w:sz w:val="24"/>
          <w:szCs w:val="24"/>
        </w:rPr>
        <w:t>5.3</w:t>
      </w:r>
      <w:r w:rsidRPr="002F43F3">
        <w:rPr>
          <w:b/>
          <w:sz w:val="24"/>
          <w:szCs w:val="24"/>
        </w:rPr>
        <w:tab/>
      </w:r>
      <w:r w:rsidR="002B1D8E">
        <w:rPr>
          <w:b/>
          <w:sz w:val="24"/>
          <w:szCs w:val="24"/>
        </w:rPr>
        <w:t>Non-</w:t>
      </w:r>
      <w:r w:rsidRPr="002F43F3">
        <w:rPr>
          <w:b/>
          <w:sz w:val="24"/>
          <w:szCs w:val="24"/>
        </w:rPr>
        <w:t>kliniske sikkerhedsdata</w:t>
      </w:r>
    </w:p>
    <w:p w:rsidR="00AF76BD" w:rsidRPr="002F43F3" w:rsidRDefault="00AF76BD" w:rsidP="00AF76BD">
      <w:pPr>
        <w:ind w:left="851" w:right="-1"/>
        <w:rPr>
          <w:sz w:val="24"/>
          <w:szCs w:val="24"/>
        </w:rPr>
      </w:pPr>
      <w:r w:rsidRPr="002F43F3">
        <w:rPr>
          <w:sz w:val="24"/>
          <w:szCs w:val="24"/>
        </w:rPr>
        <w:t>Prækliniske data viser ingen speciel risiko for mennesker vurderet ud fra konventionelle studier af sikkerhedsfarmakologi, toksicitet efter gentagne doser, genotoksicitet og reproduktionstoksicitet.</w:t>
      </w:r>
    </w:p>
    <w:p w:rsidR="00AF76BD" w:rsidRPr="002F43F3" w:rsidRDefault="00AF76BD" w:rsidP="00AF76BD">
      <w:pPr>
        <w:ind w:left="851" w:right="-1"/>
        <w:rPr>
          <w:sz w:val="24"/>
          <w:szCs w:val="24"/>
        </w:rPr>
      </w:pPr>
      <w:r w:rsidRPr="002F43F3">
        <w:rPr>
          <w:sz w:val="24"/>
          <w:szCs w:val="24"/>
        </w:rPr>
        <w:t xml:space="preserve">Der er i dyreforsøg påvist en ubetydelig udskillelse af </w:t>
      </w:r>
      <w:proofErr w:type="spellStart"/>
      <w:r w:rsidRPr="002F43F3">
        <w:rPr>
          <w:sz w:val="24"/>
          <w:szCs w:val="24"/>
        </w:rPr>
        <w:t>gadoterinsyre</w:t>
      </w:r>
      <w:proofErr w:type="spellEnd"/>
      <w:r w:rsidRPr="002F43F3">
        <w:rPr>
          <w:sz w:val="24"/>
          <w:szCs w:val="24"/>
        </w:rPr>
        <w:t xml:space="preserve"> i modermælk (mindre end 1 % af den indgivne dosis).</w:t>
      </w:r>
    </w:p>
    <w:p w:rsidR="00AF76BD" w:rsidRPr="002F43F3" w:rsidRDefault="00AF76BD" w:rsidP="00AF76BD">
      <w:pPr>
        <w:ind w:left="851" w:right="-1" w:hanging="851"/>
        <w:rPr>
          <w:sz w:val="24"/>
          <w:szCs w:val="24"/>
        </w:rPr>
      </w:pPr>
    </w:p>
    <w:p w:rsidR="00AF76BD" w:rsidRPr="002F43F3" w:rsidRDefault="00AF76BD" w:rsidP="00AF76BD">
      <w:pPr>
        <w:ind w:left="851" w:right="-1" w:hanging="851"/>
        <w:rPr>
          <w:sz w:val="24"/>
          <w:szCs w:val="24"/>
        </w:rPr>
      </w:pPr>
    </w:p>
    <w:p w:rsidR="00AF76BD" w:rsidRPr="002F43F3" w:rsidRDefault="00AF76BD" w:rsidP="00AF76BD">
      <w:pPr>
        <w:ind w:left="851" w:right="-1" w:hanging="851"/>
        <w:rPr>
          <w:b/>
          <w:sz w:val="24"/>
          <w:szCs w:val="24"/>
        </w:rPr>
      </w:pPr>
      <w:r w:rsidRPr="002F43F3">
        <w:rPr>
          <w:b/>
          <w:sz w:val="24"/>
          <w:szCs w:val="24"/>
        </w:rPr>
        <w:t>6.</w:t>
      </w:r>
      <w:r w:rsidRPr="002F43F3">
        <w:rPr>
          <w:b/>
          <w:sz w:val="24"/>
          <w:szCs w:val="24"/>
        </w:rPr>
        <w:tab/>
        <w:t>FARMACEUTISKE OPLYSNINGER</w:t>
      </w:r>
    </w:p>
    <w:p w:rsidR="00AF76BD" w:rsidRPr="002F43F3" w:rsidRDefault="00AF76BD" w:rsidP="00AF76BD">
      <w:pPr>
        <w:ind w:left="851" w:right="-1" w:hanging="851"/>
        <w:rPr>
          <w:sz w:val="24"/>
          <w:szCs w:val="24"/>
        </w:rPr>
      </w:pPr>
    </w:p>
    <w:p w:rsidR="00AF76BD" w:rsidRPr="002F43F3" w:rsidRDefault="00AF76BD" w:rsidP="00AF76BD">
      <w:pPr>
        <w:ind w:left="851" w:right="-1" w:hanging="851"/>
        <w:rPr>
          <w:b/>
          <w:sz w:val="24"/>
          <w:szCs w:val="24"/>
        </w:rPr>
      </w:pPr>
      <w:r w:rsidRPr="002F43F3">
        <w:rPr>
          <w:b/>
          <w:sz w:val="24"/>
          <w:szCs w:val="24"/>
        </w:rPr>
        <w:t>6.1</w:t>
      </w:r>
      <w:r w:rsidRPr="002F43F3">
        <w:rPr>
          <w:b/>
          <w:sz w:val="24"/>
          <w:szCs w:val="24"/>
        </w:rPr>
        <w:tab/>
        <w:t>Hjælpestoffer</w:t>
      </w:r>
    </w:p>
    <w:p w:rsidR="00AF76BD" w:rsidRPr="002F43F3" w:rsidRDefault="00AF76BD" w:rsidP="00AF76BD">
      <w:pPr>
        <w:spacing w:before="2" w:line="241" w:lineRule="auto"/>
        <w:ind w:left="851" w:right="-1"/>
        <w:jc w:val="both"/>
        <w:rPr>
          <w:sz w:val="24"/>
          <w:szCs w:val="24"/>
        </w:rPr>
      </w:pPr>
      <w:proofErr w:type="spellStart"/>
      <w:r w:rsidRPr="002F43F3">
        <w:rPr>
          <w:sz w:val="24"/>
          <w:szCs w:val="24"/>
        </w:rPr>
        <w:t>Meglumin</w:t>
      </w:r>
      <w:proofErr w:type="spellEnd"/>
    </w:p>
    <w:p w:rsidR="00AF76BD" w:rsidRDefault="00AF76BD" w:rsidP="00AF76BD">
      <w:pPr>
        <w:spacing w:before="2"/>
        <w:ind w:left="851" w:right="-1"/>
        <w:jc w:val="both"/>
        <w:rPr>
          <w:noProof/>
          <w:sz w:val="24"/>
          <w:szCs w:val="24"/>
        </w:rPr>
      </w:pPr>
      <w:r>
        <w:rPr>
          <w:noProof/>
          <w:sz w:val="24"/>
          <w:szCs w:val="24"/>
        </w:rPr>
        <w:t>1,4,7,10-tetraazacyclododecan-1,4,7,10-tetraacetatsyre (DOTA)</w:t>
      </w:r>
    </w:p>
    <w:p w:rsidR="00AF76BD" w:rsidRPr="002F43F3" w:rsidRDefault="00AF76BD" w:rsidP="00AF76BD">
      <w:pPr>
        <w:spacing w:before="2" w:line="241" w:lineRule="auto"/>
        <w:ind w:left="851" w:right="-1"/>
        <w:jc w:val="both"/>
        <w:rPr>
          <w:b/>
          <w:bCs/>
          <w:spacing w:val="7"/>
          <w:sz w:val="24"/>
          <w:szCs w:val="24"/>
        </w:rPr>
      </w:pPr>
      <w:r w:rsidRPr="002F43F3">
        <w:rPr>
          <w:sz w:val="24"/>
          <w:szCs w:val="24"/>
        </w:rPr>
        <w:t>Vand til injektionsvæsker</w:t>
      </w:r>
    </w:p>
    <w:p w:rsidR="00AF76BD" w:rsidRPr="002F43F3" w:rsidRDefault="00AF76BD" w:rsidP="00AF76BD">
      <w:pPr>
        <w:ind w:left="851" w:right="-1" w:hanging="851"/>
        <w:rPr>
          <w:sz w:val="24"/>
          <w:szCs w:val="24"/>
        </w:rPr>
      </w:pPr>
    </w:p>
    <w:p w:rsidR="00AF76BD" w:rsidRPr="002F43F3" w:rsidRDefault="00AF76BD" w:rsidP="00AF76BD">
      <w:pPr>
        <w:ind w:left="851" w:right="-1" w:hanging="851"/>
        <w:rPr>
          <w:b/>
          <w:sz w:val="24"/>
          <w:szCs w:val="24"/>
        </w:rPr>
      </w:pPr>
      <w:r w:rsidRPr="002F43F3">
        <w:rPr>
          <w:b/>
          <w:sz w:val="24"/>
          <w:szCs w:val="24"/>
        </w:rPr>
        <w:t>6.2</w:t>
      </w:r>
      <w:r w:rsidRPr="002F43F3">
        <w:rPr>
          <w:b/>
          <w:sz w:val="24"/>
          <w:szCs w:val="24"/>
        </w:rPr>
        <w:tab/>
        <w:t>Uforligeligheder</w:t>
      </w:r>
    </w:p>
    <w:p w:rsidR="00AF76BD" w:rsidRPr="002F43F3" w:rsidRDefault="00AF76BD" w:rsidP="00AF76BD">
      <w:pPr>
        <w:spacing w:before="2" w:line="241" w:lineRule="auto"/>
        <w:ind w:left="851" w:right="-1"/>
        <w:rPr>
          <w:sz w:val="24"/>
          <w:szCs w:val="24"/>
        </w:rPr>
      </w:pPr>
      <w:r w:rsidRPr="002F43F3">
        <w:rPr>
          <w:sz w:val="24"/>
          <w:szCs w:val="24"/>
        </w:rPr>
        <w:t>Da der ikke foreligger undersøgelser af eventuelle uforligeligheder, må dette lægemiddel ikke blandes med andre lægemidler.</w:t>
      </w:r>
    </w:p>
    <w:p w:rsidR="00AF76BD" w:rsidRPr="002F43F3" w:rsidRDefault="00AF76BD" w:rsidP="00AF76BD">
      <w:pPr>
        <w:ind w:left="851" w:right="-1" w:hanging="851"/>
        <w:rPr>
          <w:sz w:val="24"/>
          <w:szCs w:val="24"/>
        </w:rPr>
      </w:pPr>
    </w:p>
    <w:p w:rsidR="00AF76BD" w:rsidRPr="002F43F3" w:rsidRDefault="00AF76BD" w:rsidP="00AF76BD">
      <w:pPr>
        <w:ind w:left="851" w:right="-1" w:hanging="851"/>
        <w:rPr>
          <w:b/>
          <w:sz w:val="24"/>
          <w:szCs w:val="24"/>
        </w:rPr>
      </w:pPr>
      <w:r w:rsidRPr="002F43F3">
        <w:rPr>
          <w:b/>
          <w:sz w:val="24"/>
          <w:szCs w:val="24"/>
        </w:rPr>
        <w:t>6.3</w:t>
      </w:r>
      <w:r w:rsidRPr="002F43F3">
        <w:rPr>
          <w:b/>
          <w:sz w:val="24"/>
          <w:szCs w:val="24"/>
        </w:rPr>
        <w:tab/>
        <w:t>Opbevaringstid</w:t>
      </w:r>
    </w:p>
    <w:p w:rsidR="00AF76BD" w:rsidRPr="002F43F3" w:rsidRDefault="00AF76BD" w:rsidP="00AF76BD">
      <w:pPr>
        <w:spacing w:before="2" w:line="241" w:lineRule="auto"/>
        <w:ind w:left="851" w:right="-1" w:hanging="851"/>
        <w:rPr>
          <w:sz w:val="24"/>
          <w:szCs w:val="24"/>
        </w:rPr>
      </w:pPr>
      <w:r w:rsidRPr="002F43F3">
        <w:rPr>
          <w:sz w:val="24"/>
          <w:szCs w:val="24"/>
        </w:rPr>
        <w:tab/>
        <w:t>3 år.</w:t>
      </w:r>
    </w:p>
    <w:p w:rsidR="00AF76BD" w:rsidRPr="002F43F3" w:rsidRDefault="00AF76BD" w:rsidP="00AF76BD">
      <w:pPr>
        <w:spacing w:before="2" w:line="241" w:lineRule="auto"/>
        <w:ind w:left="851" w:right="-1" w:hanging="851"/>
        <w:rPr>
          <w:sz w:val="24"/>
          <w:szCs w:val="24"/>
        </w:rPr>
      </w:pPr>
    </w:p>
    <w:p w:rsidR="00AF76BD" w:rsidRPr="002F43F3" w:rsidRDefault="00AF76BD" w:rsidP="00AF76BD">
      <w:pPr>
        <w:spacing w:before="2" w:line="241" w:lineRule="auto"/>
        <w:ind w:left="851" w:right="-1"/>
        <w:rPr>
          <w:sz w:val="24"/>
          <w:szCs w:val="24"/>
        </w:rPr>
      </w:pPr>
      <w:r w:rsidRPr="002F43F3">
        <w:rPr>
          <w:sz w:val="24"/>
          <w:szCs w:val="24"/>
        </w:rPr>
        <w:t xml:space="preserve">Der er påvist kemisk og fysisk brugsstabilitet i 72 timer ved stuetemperatur. Fra et mikrobiologisk synspunkt skal lægemidlet anvendes omgående. Hvis det ikke anvendes </w:t>
      </w:r>
      <w:r w:rsidRPr="002F43F3">
        <w:rPr>
          <w:sz w:val="24"/>
          <w:szCs w:val="24"/>
        </w:rPr>
        <w:lastRenderedPageBreak/>
        <w:t>omgående, er opbevaringstider under brug og opbevaringsbetingelser under brug brugerens ansvar. Opbevaringstiden bør normalt ikke overskride 24 timer ved 2</w:t>
      </w:r>
      <w:r w:rsidRPr="002F43F3">
        <w:rPr>
          <w:sz w:val="24"/>
          <w:szCs w:val="24"/>
        </w:rPr>
        <w:noBreakHyphen/>
        <w:t>8°C, medmindre anbrud har fundet sted under kontrollerede og godkendte aseptiske forhold.</w:t>
      </w:r>
    </w:p>
    <w:p w:rsidR="00AF76BD" w:rsidRPr="002F43F3" w:rsidRDefault="00AF76BD" w:rsidP="00AF76BD">
      <w:pPr>
        <w:keepNext/>
        <w:ind w:left="851" w:hanging="851"/>
        <w:rPr>
          <w:sz w:val="24"/>
          <w:szCs w:val="24"/>
        </w:rPr>
      </w:pPr>
    </w:p>
    <w:p w:rsidR="00AF76BD" w:rsidRPr="002F43F3" w:rsidRDefault="00AF76BD" w:rsidP="00AF76BD">
      <w:pPr>
        <w:keepNext/>
        <w:ind w:left="851" w:hanging="851"/>
        <w:rPr>
          <w:b/>
          <w:sz w:val="24"/>
          <w:szCs w:val="24"/>
        </w:rPr>
      </w:pPr>
      <w:r w:rsidRPr="002F43F3">
        <w:rPr>
          <w:b/>
          <w:sz w:val="24"/>
          <w:szCs w:val="24"/>
        </w:rPr>
        <w:t>6.4</w:t>
      </w:r>
      <w:r w:rsidRPr="002F43F3">
        <w:rPr>
          <w:b/>
          <w:sz w:val="24"/>
          <w:szCs w:val="24"/>
        </w:rPr>
        <w:tab/>
        <w:t>Særlige opbevaringsforhold</w:t>
      </w:r>
    </w:p>
    <w:p w:rsidR="00AF76BD" w:rsidRPr="002F43F3" w:rsidRDefault="00AF76BD" w:rsidP="00AF76BD">
      <w:pPr>
        <w:spacing w:before="2" w:line="241" w:lineRule="auto"/>
        <w:ind w:left="851" w:right="-1"/>
        <w:rPr>
          <w:sz w:val="24"/>
          <w:szCs w:val="24"/>
        </w:rPr>
      </w:pPr>
      <w:r w:rsidRPr="002F43F3">
        <w:rPr>
          <w:sz w:val="24"/>
          <w:szCs w:val="24"/>
        </w:rPr>
        <w:t>Dette lægemiddel kræver ingen særlige forholdsregler vedrørende opbevaringen.</w:t>
      </w:r>
    </w:p>
    <w:p w:rsidR="00AF76BD" w:rsidRPr="002F43F3" w:rsidRDefault="00AF76BD" w:rsidP="00AF76BD">
      <w:pPr>
        <w:ind w:left="851" w:right="-1" w:hanging="851"/>
        <w:rPr>
          <w:sz w:val="24"/>
          <w:szCs w:val="24"/>
        </w:rPr>
      </w:pPr>
    </w:p>
    <w:p w:rsidR="00AF76BD" w:rsidRPr="002F43F3" w:rsidRDefault="00AF76BD" w:rsidP="00AF76BD">
      <w:pPr>
        <w:ind w:left="851" w:right="-1" w:hanging="851"/>
        <w:rPr>
          <w:b/>
          <w:sz w:val="24"/>
          <w:szCs w:val="24"/>
        </w:rPr>
      </w:pPr>
      <w:r w:rsidRPr="002F43F3">
        <w:rPr>
          <w:b/>
          <w:sz w:val="24"/>
          <w:szCs w:val="24"/>
        </w:rPr>
        <w:t>6.5</w:t>
      </w:r>
      <w:r w:rsidRPr="002F43F3">
        <w:rPr>
          <w:b/>
          <w:sz w:val="24"/>
          <w:szCs w:val="24"/>
        </w:rPr>
        <w:tab/>
        <w:t>Emballagetype og pakningsstørrelser</w:t>
      </w:r>
    </w:p>
    <w:p w:rsidR="00AF76BD" w:rsidRDefault="00BC156D" w:rsidP="00AF76BD">
      <w:pPr>
        <w:spacing w:before="2" w:line="241" w:lineRule="auto"/>
        <w:ind w:left="851" w:right="-1"/>
        <w:rPr>
          <w:sz w:val="24"/>
          <w:szCs w:val="24"/>
        </w:rPr>
      </w:pPr>
      <w:proofErr w:type="gramStart"/>
      <w:r>
        <w:rPr>
          <w:sz w:val="24"/>
          <w:szCs w:val="24"/>
        </w:rPr>
        <w:t>F</w:t>
      </w:r>
      <w:r w:rsidR="00AF76BD" w:rsidRPr="002F43F3">
        <w:rPr>
          <w:sz w:val="24"/>
          <w:szCs w:val="24"/>
        </w:rPr>
        <w:t>arveløs</w:t>
      </w:r>
      <w:r>
        <w:rPr>
          <w:sz w:val="24"/>
          <w:szCs w:val="24"/>
        </w:rPr>
        <w:t>t</w:t>
      </w:r>
      <w:r w:rsidR="00AF76BD" w:rsidRPr="002F43F3">
        <w:rPr>
          <w:sz w:val="24"/>
          <w:szCs w:val="24"/>
        </w:rPr>
        <w:t xml:space="preserve"> type</w:t>
      </w:r>
      <w:proofErr w:type="gramEnd"/>
      <w:r w:rsidR="00AF76BD" w:rsidRPr="002F43F3">
        <w:rPr>
          <w:sz w:val="24"/>
          <w:szCs w:val="24"/>
        </w:rPr>
        <w:t xml:space="preserve"> II-hætteglas til engangsbrug á 10, 15 </w:t>
      </w:r>
      <w:r w:rsidR="00793E71">
        <w:rPr>
          <w:sz w:val="24"/>
          <w:szCs w:val="24"/>
        </w:rPr>
        <w:t>eller</w:t>
      </w:r>
      <w:r w:rsidR="00AF76BD" w:rsidRPr="002F43F3">
        <w:rPr>
          <w:sz w:val="24"/>
          <w:szCs w:val="24"/>
        </w:rPr>
        <w:t xml:space="preserve"> 20 ml (fyldt op til 15 eller 20 ml), der er forseglet med en </w:t>
      </w:r>
      <w:proofErr w:type="spellStart"/>
      <w:r w:rsidR="00AF76BD" w:rsidRPr="002F43F3">
        <w:rPr>
          <w:sz w:val="24"/>
          <w:szCs w:val="24"/>
        </w:rPr>
        <w:t>brombutylgummiprop</w:t>
      </w:r>
      <w:proofErr w:type="spellEnd"/>
      <w:r w:rsidR="00AF76BD" w:rsidRPr="002F43F3">
        <w:rPr>
          <w:sz w:val="24"/>
          <w:szCs w:val="24"/>
        </w:rPr>
        <w:t xml:space="preserve"> og pakket i enkeltpakninger.</w:t>
      </w:r>
    </w:p>
    <w:p w:rsidR="00BC156D" w:rsidRDefault="00BC156D" w:rsidP="00AF76BD">
      <w:pPr>
        <w:spacing w:before="2" w:line="241" w:lineRule="auto"/>
        <w:ind w:left="851" w:right="-1"/>
        <w:rPr>
          <w:sz w:val="24"/>
          <w:szCs w:val="24"/>
        </w:rPr>
      </w:pPr>
    </w:p>
    <w:p w:rsidR="00AF76BD" w:rsidRPr="002F43F3" w:rsidRDefault="00BC156D" w:rsidP="00AF76BD">
      <w:pPr>
        <w:spacing w:before="2" w:line="241" w:lineRule="auto"/>
        <w:ind w:left="851" w:right="-1"/>
        <w:rPr>
          <w:sz w:val="24"/>
          <w:szCs w:val="24"/>
        </w:rPr>
      </w:pPr>
      <w:r>
        <w:rPr>
          <w:sz w:val="24"/>
          <w:szCs w:val="24"/>
        </w:rPr>
        <w:t>Pakningsstørrelser: 1 og 10 hætteglas.</w:t>
      </w:r>
    </w:p>
    <w:p w:rsidR="00AF76BD" w:rsidRPr="002F43F3" w:rsidRDefault="00AF76BD" w:rsidP="00AF76BD">
      <w:pPr>
        <w:spacing w:before="2" w:line="241" w:lineRule="auto"/>
        <w:ind w:left="851" w:right="-1"/>
        <w:rPr>
          <w:sz w:val="24"/>
          <w:szCs w:val="24"/>
        </w:rPr>
      </w:pPr>
      <w:r w:rsidRPr="002F43F3">
        <w:rPr>
          <w:sz w:val="24"/>
          <w:szCs w:val="24"/>
        </w:rPr>
        <w:t>Ikke alle pakningsstørrelser er nødvendigvis markedsført.</w:t>
      </w:r>
    </w:p>
    <w:p w:rsidR="00AF76BD" w:rsidRPr="002F43F3" w:rsidRDefault="00AF76BD" w:rsidP="00AF76BD">
      <w:pPr>
        <w:ind w:left="851" w:right="-1" w:hanging="851"/>
        <w:rPr>
          <w:sz w:val="24"/>
          <w:szCs w:val="24"/>
        </w:rPr>
      </w:pPr>
    </w:p>
    <w:p w:rsidR="00AF76BD" w:rsidRPr="002F43F3" w:rsidRDefault="00AF76BD" w:rsidP="00AF76BD">
      <w:pPr>
        <w:ind w:left="851" w:right="-1" w:hanging="851"/>
        <w:rPr>
          <w:b/>
          <w:sz w:val="24"/>
          <w:szCs w:val="24"/>
        </w:rPr>
      </w:pPr>
      <w:r w:rsidRPr="002F43F3">
        <w:rPr>
          <w:b/>
          <w:sz w:val="24"/>
          <w:szCs w:val="24"/>
        </w:rPr>
        <w:t>6.6</w:t>
      </w:r>
      <w:r w:rsidRPr="002F43F3">
        <w:rPr>
          <w:b/>
          <w:sz w:val="24"/>
          <w:szCs w:val="24"/>
        </w:rPr>
        <w:tab/>
        <w:t xml:space="preserve">Regler for </w:t>
      </w:r>
      <w:r w:rsidR="000A53DF">
        <w:rPr>
          <w:b/>
          <w:sz w:val="24"/>
          <w:szCs w:val="24"/>
        </w:rPr>
        <w:t>bortskaffelse</w:t>
      </w:r>
      <w:r w:rsidRPr="002F43F3">
        <w:rPr>
          <w:b/>
          <w:sz w:val="24"/>
          <w:szCs w:val="24"/>
        </w:rPr>
        <w:t xml:space="preserve"> og anden håndtering</w:t>
      </w:r>
    </w:p>
    <w:p w:rsidR="00AF76BD" w:rsidRPr="002F43F3" w:rsidRDefault="00AF76BD" w:rsidP="00AF76BD">
      <w:pPr>
        <w:spacing w:before="2" w:line="241" w:lineRule="auto"/>
        <w:ind w:left="851" w:right="-1"/>
        <w:rPr>
          <w:sz w:val="24"/>
          <w:szCs w:val="24"/>
        </w:rPr>
      </w:pPr>
      <w:r w:rsidRPr="002F43F3">
        <w:rPr>
          <w:sz w:val="24"/>
          <w:szCs w:val="24"/>
        </w:rPr>
        <w:t>Den aftagelige etiket på hætteglassene skal klæbes på patientjournalen for at sikre nøjagtig registrering af det anvendte gadolinium-kontrastmiddel. Den anvendte dosis skal også registreres. Hvis der anvendes elektronisk patientjournal, skal navnet på lægemidlet, batchnummer og dosis indføres i patientjournalen.</w:t>
      </w:r>
    </w:p>
    <w:p w:rsidR="00AF76BD" w:rsidRPr="002F43F3" w:rsidRDefault="00AF76BD" w:rsidP="00AF76BD">
      <w:pPr>
        <w:spacing w:before="2" w:line="241" w:lineRule="auto"/>
        <w:ind w:left="851" w:right="-1" w:hanging="851"/>
        <w:rPr>
          <w:sz w:val="24"/>
          <w:szCs w:val="24"/>
        </w:rPr>
      </w:pPr>
    </w:p>
    <w:p w:rsidR="00AF76BD" w:rsidRPr="002F43F3" w:rsidRDefault="00AF76BD" w:rsidP="00AF76BD">
      <w:pPr>
        <w:spacing w:before="2" w:line="241" w:lineRule="auto"/>
        <w:ind w:left="851" w:right="-1"/>
        <w:rPr>
          <w:sz w:val="24"/>
          <w:szCs w:val="24"/>
        </w:rPr>
      </w:pPr>
      <w:r w:rsidRPr="002F43F3">
        <w:rPr>
          <w:sz w:val="24"/>
          <w:szCs w:val="24"/>
        </w:rPr>
        <w:t>Ikke anvendt lægemiddel samt affald heraf skal bortskaffes i henhold til lokale retningslinjer.</w:t>
      </w:r>
    </w:p>
    <w:p w:rsidR="00AF76BD" w:rsidRPr="002F43F3" w:rsidRDefault="00AF76BD" w:rsidP="00AF76BD">
      <w:pPr>
        <w:ind w:left="851" w:right="-1" w:hanging="851"/>
        <w:jc w:val="both"/>
        <w:rPr>
          <w:sz w:val="24"/>
          <w:szCs w:val="24"/>
        </w:rPr>
      </w:pPr>
    </w:p>
    <w:p w:rsidR="00AF76BD" w:rsidRPr="002F43F3" w:rsidRDefault="00AF76BD" w:rsidP="00AF76BD">
      <w:pPr>
        <w:ind w:left="851" w:right="-1" w:hanging="851"/>
        <w:rPr>
          <w:b/>
          <w:sz w:val="24"/>
          <w:szCs w:val="24"/>
        </w:rPr>
      </w:pPr>
      <w:r w:rsidRPr="002F43F3">
        <w:rPr>
          <w:b/>
          <w:sz w:val="24"/>
          <w:szCs w:val="24"/>
        </w:rPr>
        <w:t>7.</w:t>
      </w:r>
      <w:r w:rsidRPr="002F43F3">
        <w:rPr>
          <w:b/>
          <w:sz w:val="24"/>
          <w:szCs w:val="24"/>
        </w:rPr>
        <w:tab/>
        <w:t>INDEHAVER AF MARKEDSFØRINGSTILLADELSEN</w:t>
      </w:r>
    </w:p>
    <w:p w:rsidR="00AF76BD" w:rsidRPr="002F43F3" w:rsidRDefault="00AF76BD" w:rsidP="00AF76BD">
      <w:pPr>
        <w:spacing w:before="2" w:line="241" w:lineRule="auto"/>
        <w:ind w:left="851" w:right="-1"/>
        <w:rPr>
          <w:sz w:val="24"/>
          <w:szCs w:val="24"/>
        </w:rPr>
      </w:pPr>
      <w:r w:rsidRPr="002F43F3">
        <w:rPr>
          <w:sz w:val="24"/>
          <w:szCs w:val="24"/>
        </w:rPr>
        <w:t>Bayer AB</w:t>
      </w:r>
    </w:p>
    <w:p w:rsidR="00AF76BD" w:rsidRPr="002F43F3" w:rsidRDefault="00AF76BD" w:rsidP="00AF76BD">
      <w:pPr>
        <w:spacing w:before="2" w:line="241" w:lineRule="auto"/>
        <w:ind w:left="851" w:right="-1"/>
        <w:rPr>
          <w:sz w:val="24"/>
          <w:szCs w:val="24"/>
        </w:rPr>
      </w:pPr>
      <w:r w:rsidRPr="002F43F3">
        <w:rPr>
          <w:sz w:val="24"/>
          <w:szCs w:val="24"/>
        </w:rPr>
        <w:t>Box 606</w:t>
      </w:r>
    </w:p>
    <w:p w:rsidR="00AF76BD" w:rsidRPr="002F43F3" w:rsidRDefault="00AF76BD" w:rsidP="00AF76BD">
      <w:pPr>
        <w:spacing w:before="2" w:line="241" w:lineRule="auto"/>
        <w:ind w:left="851" w:right="-1"/>
        <w:rPr>
          <w:sz w:val="24"/>
          <w:szCs w:val="24"/>
        </w:rPr>
      </w:pPr>
      <w:r w:rsidRPr="002F43F3">
        <w:rPr>
          <w:sz w:val="24"/>
          <w:szCs w:val="24"/>
        </w:rPr>
        <w:t>169 26 Solna</w:t>
      </w:r>
    </w:p>
    <w:p w:rsidR="00AF76BD" w:rsidRPr="002F43F3" w:rsidRDefault="00AF76BD" w:rsidP="00AF76BD">
      <w:pPr>
        <w:spacing w:before="2" w:line="241" w:lineRule="auto"/>
        <w:ind w:left="851" w:right="-1"/>
        <w:rPr>
          <w:sz w:val="24"/>
          <w:szCs w:val="24"/>
        </w:rPr>
      </w:pPr>
      <w:r w:rsidRPr="002F43F3">
        <w:rPr>
          <w:sz w:val="24"/>
          <w:szCs w:val="24"/>
        </w:rPr>
        <w:t>Sverige</w:t>
      </w:r>
    </w:p>
    <w:p w:rsidR="00AF76BD" w:rsidRPr="002F43F3" w:rsidRDefault="00AF76BD" w:rsidP="00AF76BD">
      <w:pPr>
        <w:ind w:left="851" w:right="-1" w:hanging="851"/>
        <w:rPr>
          <w:sz w:val="24"/>
          <w:szCs w:val="24"/>
        </w:rPr>
      </w:pPr>
    </w:p>
    <w:p w:rsidR="00AF76BD" w:rsidRPr="002F43F3" w:rsidRDefault="00AF76BD" w:rsidP="00AF76BD">
      <w:pPr>
        <w:ind w:left="851" w:right="-1" w:hanging="851"/>
        <w:rPr>
          <w:b/>
          <w:sz w:val="24"/>
          <w:szCs w:val="24"/>
        </w:rPr>
      </w:pPr>
      <w:r w:rsidRPr="002F43F3">
        <w:rPr>
          <w:b/>
          <w:sz w:val="24"/>
          <w:szCs w:val="24"/>
        </w:rPr>
        <w:t>8.</w:t>
      </w:r>
      <w:r w:rsidRPr="002F43F3">
        <w:rPr>
          <w:b/>
          <w:sz w:val="24"/>
          <w:szCs w:val="24"/>
        </w:rPr>
        <w:tab/>
        <w:t>MARKEDSFØRINGSTILLADELSESNUMMER (</w:t>
      </w:r>
      <w:r w:rsidR="000A53DF">
        <w:rPr>
          <w:b/>
          <w:sz w:val="24"/>
          <w:szCs w:val="24"/>
        </w:rPr>
        <w:t>-</w:t>
      </w:r>
      <w:r w:rsidRPr="002F43F3">
        <w:rPr>
          <w:b/>
          <w:sz w:val="24"/>
          <w:szCs w:val="24"/>
        </w:rPr>
        <w:t>NUMRE)</w:t>
      </w:r>
    </w:p>
    <w:p w:rsidR="00AF76BD" w:rsidRPr="002F43F3" w:rsidRDefault="00AF76BD" w:rsidP="00AF76BD">
      <w:pPr>
        <w:ind w:left="851" w:right="-1"/>
        <w:rPr>
          <w:sz w:val="24"/>
          <w:szCs w:val="24"/>
        </w:rPr>
      </w:pPr>
      <w:r w:rsidRPr="002F43F3">
        <w:rPr>
          <w:sz w:val="24"/>
          <w:szCs w:val="24"/>
        </w:rPr>
        <w:t>57512</w:t>
      </w:r>
    </w:p>
    <w:p w:rsidR="00AF76BD" w:rsidRPr="002F43F3" w:rsidRDefault="00AF76BD" w:rsidP="00AF76BD">
      <w:pPr>
        <w:ind w:left="851" w:right="-1" w:hanging="851"/>
        <w:jc w:val="both"/>
        <w:rPr>
          <w:sz w:val="24"/>
          <w:szCs w:val="24"/>
        </w:rPr>
      </w:pPr>
    </w:p>
    <w:p w:rsidR="00AF76BD" w:rsidRPr="002F43F3" w:rsidRDefault="00AF76BD" w:rsidP="00AF76BD">
      <w:pPr>
        <w:ind w:left="851" w:right="-1" w:hanging="851"/>
        <w:rPr>
          <w:b/>
          <w:sz w:val="24"/>
          <w:szCs w:val="24"/>
        </w:rPr>
      </w:pPr>
      <w:r w:rsidRPr="002F43F3">
        <w:rPr>
          <w:b/>
          <w:sz w:val="24"/>
          <w:szCs w:val="24"/>
        </w:rPr>
        <w:t>9.</w:t>
      </w:r>
      <w:r w:rsidRPr="002F43F3">
        <w:rPr>
          <w:b/>
          <w:sz w:val="24"/>
          <w:szCs w:val="24"/>
        </w:rPr>
        <w:tab/>
        <w:t>DATO FOR FØRSTE MARKEDSFØRINGSTILLADELSE</w:t>
      </w:r>
    </w:p>
    <w:p w:rsidR="00AF76BD" w:rsidRPr="002F43F3" w:rsidRDefault="00AF76BD" w:rsidP="00AF76BD">
      <w:pPr>
        <w:ind w:left="851" w:right="-1"/>
        <w:rPr>
          <w:sz w:val="24"/>
          <w:szCs w:val="24"/>
        </w:rPr>
      </w:pPr>
      <w:r w:rsidRPr="002F43F3">
        <w:rPr>
          <w:sz w:val="24"/>
          <w:szCs w:val="24"/>
        </w:rPr>
        <w:t>29. september 2016</w:t>
      </w:r>
    </w:p>
    <w:p w:rsidR="00AF76BD" w:rsidRPr="002F43F3" w:rsidRDefault="00AF76BD" w:rsidP="00AF76BD">
      <w:pPr>
        <w:ind w:left="851" w:right="-1" w:hanging="851"/>
        <w:rPr>
          <w:sz w:val="24"/>
          <w:szCs w:val="24"/>
        </w:rPr>
      </w:pPr>
    </w:p>
    <w:p w:rsidR="00AF76BD" w:rsidRPr="002F43F3" w:rsidRDefault="00AF76BD" w:rsidP="00AF76BD">
      <w:pPr>
        <w:ind w:left="851" w:right="-1" w:hanging="851"/>
        <w:rPr>
          <w:b/>
          <w:sz w:val="24"/>
          <w:szCs w:val="24"/>
        </w:rPr>
      </w:pPr>
      <w:r w:rsidRPr="002F43F3">
        <w:rPr>
          <w:b/>
          <w:sz w:val="24"/>
          <w:szCs w:val="24"/>
        </w:rPr>
        <w:t>10.</w:t>
      </w:r>
      <w:r w:rsidRPr="002F43F3">
        <w:rPr>
          <w:b/>
          <w:sz w:val="24"/>
          <w:szCs w:val="24"/>
        </w:rPr>
        <w:tab/>
        <w:t>DATO FOR ÆNDRING AF TEKSTEN</w:t>
      </w:r>
    </w:p>
    <w:p w:rsidR="009260DE" w:rsidRPr="00793E71" w:rsidRDefault="00F50CBC" w:rsidP="00793E71">
      <w:pPr>
        <w:ind w:left="851" w:right="-1"/>
        <w:rPr>
          <w:sz w:val="24"/>
          <w:szCs w:val="24"/>
        </w:rPr>
      </w:pPr>
      <w:r>
        <w:rPr>
          <w:sz w:val="24"/>
          <w:szCs w:val="24"/>
        </w:rPr>
        <w:t>20</w:t>
      </w:r>
      <w:bookmarkStart w:id="3" w:name="_GoBack"/>
      <w:bookmarkEnd w:id="3"/>
      <w:r w:rsidR="001F19B2">
        <w:rPr>
          <w:sz w:val="24"/>
          <w:szCs w:val="24"/>
        </w:rPr>
        <w:t>. februar 2025</w:t>
      </w:r>
    </w:p>
    <w:sectPr w:rsidR="009260DE" w:rsidRPr="00793E7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6BD" w:rsidRDefault="00AF76BD">
      <w:r>
        <w:separator/>
      </w:r>
    </w:p>
  </w:endnote>
  <w:endnote w:type="continuationSeparator" w:id="0">
    <w:p w:rsidR="00AF76BD" w:rsidRDefault="00AF7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A691C">
      <w:rPr>
        <w:i/>
        <w:noProof/>
        <w:sz w:val="18"/>
        <w:szCs w:val="18"/>
      </w:rPr>
      <w:t>Dotagraf, injektionsvæske, opløsning 279,32 mg-ml (10 ml, 15 ml og 20 ml hætteglas)</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6BD" w:rsidRDefault="00AF76BD">
      <w:r>
        <w:separator/>
      </w:r>
    </w:p>
  </w:footnote>
  <w:footnote w:type="continuationSeparator" w:id="0">
    <w:p w:rsidR="00AF76BD" w:rsidRDefault="00AF7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7FB3B2B"/>
    <w:multiLevelType w:val="hybridMultilevel"/>
    <w:tmpl w:val="355A1004"/>
    <w:lvl w:ilvl="0" w:tplc="A724A45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63D5BCE"/>
    <w:multiLevelType w:val="hybridMultilevel"/>
    <w:tmpl w:val="6DEC7E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6BD"/>
    <w:rsid w:val="000259B9"/>
    <w:rsid w:val="00041491"/>
    <w:rsid w:val="00050D16"/>
    <w:rsid w:val="00074F2A"/>
    <w:rsid w:val="00080701"/>
    <w:rsid w:val="000A1CA8"/>
    <w:rsid w:val="000A466B"/>
    <w:rsid w:val="000A53DF"/>
    <w:rsid w:val="000B058C"/>
    <w:rsid w:val="000E4EE6"/>
    <w:rsid w:val="001454E2"/>
    <w:rsid w:val="001F19B2"/>
    <w:rsid w:val="00206CE8"/>
    <w:rsid w:val="0021526C"/>
    <w:rsid w:val="00283A2B"/>
    <w:rsid w:val="002B1D8E"/>
    <w:rsid w:val="002B30AD"/>
    <w:rsid w:val="002C2C01"/>
    <w:rsid w:val="00362119"/>
    <w:rsid w:val="003A29AE"/>
    <w:rsid w:val="003A32D7"/>
    <w:rsid w:val="003B4074"/>
    <w:rsid w:val="003C769A"/>
    <w:rsid w:val="003F1838"/>
    <w:rsid w:val="0045746C"/>
    <w:rsid w:val="0049104B"/>
    <w:rsid w:val="004E3B12"/>
    <w:rsid w:val="00532310"/>
    <w:rsid w:val="0053381E"/>
    <w:rsid w:val="00560ECC"/>
    <w:rsid w:val="00565F0F"/>
    <w:rsid w:val="00575A50"/>
    <w:rsid w:val="00594A86"/>
    <w:rsid w:val="00596D86"/>
    <w:rsid w:val="005F66DB"/>
    <w:rsid w:val="00637F5A"/>
    <w:rsid w:val="006560B1"/>
    <w:rsid w:val="006756DD"/>
    <w:rsid w:val="006836F0"/>
    <w:rsid w:val="006A691C"/>
    <w:rsid w:val="00737275"/>
    <w:rsid w:val="0073799B"/>
    <w:rsid w:val="00740EEC"/>
    <w:rsid w:val="0078011A"/>
    <w:rsid w:val="00781F4D"/>
    <w:rsid w:val="00782AF4"/>
    <w:rsid w:val="00790EE7"/>
    <w:rsid w:val="00793E71"/>
    <w:rsid w:val="007B6649"/>
    <w:rsid w:val="0081546F"/>
    <w:rsid w:val="0082576E"/>
    <w:rsid w:val="00907F75"/>
    <w:rsid w:val="009260DE"/>
    <w:rsid w:val="0093258A"/>
    <w:rsid w:val="009C7BA3"/>
    <w:rsid w:val="009D1F5A"/>
    <w:rsid w:val="00AF76BD"/>
    <w:rsid w:val="00B003BF"/>
    <w:rsid w:val="00B373D7"/>
    <w:rsid w:val="00BC156D"/>
    <w:rsid w:val="00C36276"/>
    <w:rsid w:val="00C42586"/>
    <w:rsid w:val="00C60CCD"/>
    <w:rsid w:val="00C84483"/>
    <w:rsid w:val="00C95551"/>
    <w:rsid w:val="00CB20D7"/>
    <w:rsid w:val="00D020B0"/>
    <w:rsid w:val="00D11748"/>
    <w:rsid w:val="00D366CF"/>
    <w:rsid w:val="00DB1C93"/>
    <w:rsid w:val="00E108AA"/>
    <w:rsid w:val="00E31812"/>
    <w:rsid w:val="00E3749A"/>
    <w:rsid w:val="00E7437F"/>
    <w:rsid w:val="00E865B8"/>
    <w:rsid w:val="00EC0B9B"/>
    <w:rsid w:val="00ED5E9F"/>
    <w:rsid w:val="00F50CBC"/>
    <w:rsid w:val="00F66D4F"/>
    <w:rsid w:val="00FB6D01"/>
    <w:rsid w:val="00FF12E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79E15"/>
  <w15:chartTrackingRefBased/>
  <w15:docId w15:val="{3CCC37B2-FD19-4EC0-9B69-CAA8C514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AF76BD"/>
    <w:pPr>
      <w:widowControl w:val="0"/>
      <w:spacing w:after="200" w:line="276" w:lineRule="auto"/>
      <w:ind w:left="720"/>
      <w:contextualSpacing/>
    </w:pPr>
    <w:rPr>
      <w:rFonts w:asciiTheme="minorHAnsi" w:eastAsiaTheme="minorHAnsi" w:hAnsiTheme="minorHAnsi" w:cstheme="minorBidi"/>
      <w:sz w:val="22"/>
      <w:szCs w:val="22"/>
      <w:lang w:eastAsia="da-DK" w:bidi="da-DK"/>
    </w:rPr>
  </w:style>
  <w:style w:type="character" w:styleId="Hyperlink">
    <w:name w:val="Hyperlink"/>
    <w:uiPriority w:val="99"/>
    <w:rsid w:val="00AF76BD"/>
    <w:rPr>
      <w:color w:val="0000FF"/>
      <w:u w:val="single"/>
    </w:rPr>
  </w:style>
  <w:style w:type="paragraph" w:styleId="NormalWeb">
    <w:name w:val="Normal (Web)"/>
    <w:basedOn w:val="Normal"/>
    <w:uiPriority w:val="99"/>
    <w:unhideWhenUsed/>
    <w:rsid w:val="00AF76BD"/>
    <w:pPr>
      <w:spacing w:before="100" w:beforeAutospacing="1" w:after="100" w:afterAutospacing="1"/>
    </w:pPr>
    <w:rPr>
      <w:sz w:val="24"/>
      <w:szCs w:val="24"/>
      <w:lang w:val="en-US"/>
    </w:rPr>
  </w:style>
  <w:style w:type="character" w:styleId="Ulstomtale">
    <w:name w:val="Unresolved Mention"/>
    <w:basedOn w:val="Standardskrifttypeiafsnit"/>
    <w:uiPriority w:val="99"/>
    <w:semiHidden/>
    <w:unhideWhenUsed/>
    <w:rsid w:val="002B1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2854</Words>
  <Characters>19342</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2024074007 - pkt. 4.4, 4.6</dc:description>
  <cp:lastModifiedBy>Lea Daugaard Kristiansen</cp:lastModifiedBy>
  <cp:revision>6</cp:revision>
  <cp:lastPrinted>2012-08-22T08:53:00Z</cp:lastPrinted>
  <dcterms:created xsi:type="dcterms:W3CDTF">2025-01-16T06:16:00Z</dcterms:created>
  <dcterms:modified xsi:type="dcterms:W3CDTF">2025-02-20T13:20:00Z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