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31AA0"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20608B8C" wp14:editId="32D641B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C412B5D" w14:textId="77777777" w:rsidR="009260DE" w:rsidRPr="00C84483" w:rsidRDefault="009260DE" w:rsidP="009260DE">
      <w:pPr>
        <w:pStyle w:val="Titel"/>
        <w:tabs>
          <w:tab w:val="right" w:pos="9356"/>
        </w:tabs>
        <w:jc w:val="left"/>
        <w:rPr>
          <w:b w:val="0"/>
          <w:szCs w:val="24"/>
          <w:lang w:eastAsia="en-US"/>
        </w:rPr>
      </w:pPr>
      <w:bookmarkStart w:id="0" w:name="_GoBack"/>
      <w:bookmarkEnd w:id="0"/>
    </w:p>
    <w:p w14:paraId="4B297450" w14:textId="7736E6B0" w:rsidR="009260DE" w:rsidRPr="00B66FD7" w:rsidRDefault="009260DE" w:rsidP="009260DE">
      <w:pPr>
        <w:pStyle w:val="Titel"/>
        <w:tabs>
          <w:tab w:val="right" w:pos="9356"/>
        </w:tabs>
        <w:jc w:val="left"/>
        <w:rPr>
          <w:b w:val="0"/>
          <w:szCs w:val="24"/>
          <w:lang w:val="en-US" w:eastAsia="en-US"/>
        </w:rPr>
      </w:pPr>
      <w:r w:rsidRPr="00C84483">
        <w:rPr>
          <w:b w:val="0"/>
          <w:szCs w:val="24"/>
          <w:lang w:eastAsia="en-US"/>
        </w:rPr>
        <w:tab/>
      </w:r>
      <w:r w:rsidR="001364B1">
        <w:rPr>
          <w:szCs w:val="24"/>
          <w:lang w:val="en-US"/>
        </w:rPr>
        <w:t>24. marts 2025</w:t>
      </w:r>
    </w:p>
    <w:p w14:paraId="105FFFA0" w14:textId="77777777" w:rsidR="009260DE" w:rsidRPr="00B66FD7" w:rsidRDefault="009260DE" w:rsidP="009260DE">
      <w:pPr>
        <w:pStyle w:val="Titel"/>
        <w:tabs>
          <w:tab w:val="left" w:pos="8222"/>
        </w:tabs>
        <w:jc w:val="left"/>
        <w:rPr>
          <w:b w:val="0"/>
          <w:szCs w:val="24"/>
          <w:lang w:val="en-US"/>
        </w:rPr>
      </w:pPr>
    </w:p>
    <w:p w14:paraId="4DDE5971" w14:textId="77777777" w:rsidR="009260DE" w:rsidRPr="00B66FD7" w:rsidRDefault="009260DE" w:rsidP="009260DE">
      <w:pPr>
        <w:pStyle w:val="Titel"/>
        <w:jc w:val="left"/>
        <w:rPr>
          <w:b w:val="0"/>
          <w:szCs w:val="24"/>
          <w:lang w:val="en-US"/>
        </w:rPr>
      </w:pPr>
    </w:p>
    <w:p w14:paraId="661A265B" w14:textId="77777777" w:rsidR="009260DE" w:rsidRPr="00B66FD7" w:rsidRDefault="009260DE" w:rsidP="009260DE">
      <w:pPr>
        <w:pStyle w:val="Titel"/>
        <w:jc w:val="left"/>
        <w:rPr>
          <w:b w:val="0"/>
          <w:szCs w:val="24"/>
          <w:lang w:val="en-US"/>
        </w:rPr>
      </w:pPr>
    </w:p>
    <w:p w14:paraId="143E56E4" w14:textId="77777777" w:rsidR="009260DE" w:rsidRPr="001364B1" w:rsidRDefault="009260DE" w:rsidP="009260DE">
      <w:pPr>
        <w:jc w:val="center"/>
        <w:rPr>
          <w:b/>
          <w:sz w:val="24"/>
          <w:szCs w:val="24"/>
        </w:rPr>
      </w:pPr>
      <w:r w:rsidRPr="001364B1">
        <w:rPr>
          <w:b/>
          <w:sz w:val="24"/>
          <w:szCs w:val="24"/>
        </w:rPr>
        <w:t>PRODUKTRESUMÉ</w:t>
      </w:r>
    </w:p>
    <w:p w14:paraId="36981689" w14:textId="77777777" w:rsidR="009260DE" w:rsidRPr="001364B1" w:rsidRDefault="009260DE" w:rsidP="009260DE">
      <w:pPr>
        <w:jc w:val="center"/>
        <w:rPr>
          <w:b/>
          <w:sz w:val="24"/>
          <w:szCs w:val="24"/>
        </w:rPr>
      </w:pPr>
    </w:p>
    <w:p w14:paraId="03A557F8" w14:textId="77777777" w:rsidR="009260DE" w:rsidRPr="001364B1" w:rsidRDefault="009260DE" w:rsidP="009260DE">
      <w:pPr>
        <w:jc w:val="center"/>
        <w:rPr>
          <w:b/>
          <w:sz w:val="24"/>
          <w:szCs w:val="24"/>
        </w:rPr>
      </w:pPr>
      <w:r w:rsidRPr="001364B1">
        <w:rPr>
          <w:b/>
          <w:sz w:val="24"/>
          <w:szCs w:val="24"/>
        </w:rPr>
        <w:t>for</w:t>
      </w:r>
    </w:p>
    <w:p w14:paraId="792C8288" w14:textId="77777777" w:rsidR="000B058C" w:rsidRPr="001364B1" w:rsidRDefault="000B058C" w:rsidP="009260DE">
      <w:pPr>
        <w:jc w:val="center"/>
        <w:rPr>
          <w:b/>
          <w:sz w:val="24"/>
          <w:szCs w:val="24"/>
        </w:rPr>
      </w:pPr>
    </w:p>
    <w:p w14:paraId="3B989983" w14:textId="7AD1B227" w:rsidR="009260DE" w:rsidRPr="001364B1" w:rsidRDefault="00B66FD7" w:rsidP="009260DE">
      <w:pPr>
        <w:jc w:val="center"/>
        <w:rPr>
          <w:b/>
          <w:sz w:val="24"/>
          <w:szCs w:val="24"/>
        </w:rPr>
      </w:pPr>
      <w:r w:rsidRPr="001364B1">
        <w:rPr>
          <w:b/>
          <w:sz w:val="24"/>
          <w:szCs w:val="24"/>
        </w:rPr>
        <w:t>Droperidol "Aguettant", injektionsvæske, opløsning</w:t>
      </w:r>
    </w:p>
    <w:p w14:paraId="6846050A" w14:textId="77777777" w:rsidR="009260DE" w:rsidRPr="001364B1" w:rsidRDefault="009260DE" w:rsidP="009260DE">
      <w:pPr>
        <w:jc w:val="both"/>
        <w:rPr>
          <w:sz w:val="24"/>
          <w:szCs w:val="24"/>
        </w:rPr>
      </w:pPr>
    </w:p>
    <w:p w14:paraId="613C314A" w14:textId="77777777" w:rsidR="009260DE" w:rsidRPr="001364B1" w:rsidRDefault="009260DE" w:rsidP="009260DE">
      <w:pPr>
        <w:jc w:val="both"/>
        <w:rPr>
          <w:sz w:val="24"/>
          <w:szCs w:val="24"/>
        </w:rPr>
      </w:pPr>
    </w:p>
    <w:p w14:paraId="5D3BC9DC" w14:textId="77777777" w:rsidR="009260DE" w:rsidRPr="001364B1" w:rsidRDefault="009260DE" w:rsidP="009260DE">
      <w:pPr>
        <w:tabs>
          <w:tab w:val="left" w:pos="851"/>
        </w:tabs>
        <w:ind w:left="851" w:hanging="851"/>
        <w:rPr>
          <w:b/>
          <w:sz w:val="24"/>
          <w:szCs w:val="24"/>
        </w:rPr>
      </w:pPr>
      <w:r w:rsidRPr="001364B1">
        <w:rPr>
          <w:b/>
          <w:sz w:val="24"/>
          <w:szCs w:val="24"/>
        </w:rPr>
        <w:t>0.</w:t>
      </w:r>
      <w:r w:rsidRPr="001364B1">
        <w:rPr>
          <w:b/>
          <w:sz w:val="24"/>
          <w:szCs w:val="24"/>
        </w:rPr>
        <w:tab/>
        <w:t>D.SP.NR.</w:t>
      </w:r>
    </w:p>
    <w:p w14:paraId="59BBDEED" w14:textId="308F7C10" w:rsidR="009260DE" w:rsidRPr="00C84483" w:rsidRDefault="00B66FD7" w:rsidP="009260DE">
      <w:pPr>
        <w:tabs>
          <w:tab w:val="left" w:pos="851"/>
        </w:tabs>
        <w:ind w:left="851"/>
        <w:rPr>
          <w:sz w:val="24"/>
          <w:szCs w:val="24"/>
        </w:rPr>
      </w:pPr>
      <w:r>
        <w:rPr>
          <w:sz w:val="24"/>
          <w:szCs w:val="24"/>
        </w:rPr>
        <w:t>33393</w:t>
      </w:r>
    </w:p>
    <w:p w14:paraId="17641A6B" w14:textId="77777777" w:rsidR="009260DE" w:rsidRPr="00C84483" w:rsidRDefault="009260DE" w:rsidP="009260DE">
      <w:pPr>
        <w:tabs>
          <w:tab w:val="left" w:pos="851"/>
        </w:tabs>
        <w:ind w:left="851"/>
        <w:rPr>
          <w:sz w:val="24"/>
          <w:szCs w:val="24"/>
        </w:rPr>
      </w:pPr>
    </w:p>
    <w:p w14:paraId="7656390F"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64D7EB82" w14:textId="039E4DEF" w:rsidR="009260DE" w:rsidRPr="00C84483" w:rsidRDefault="00B66FD7" w:rsidP="009260DE">
      <w:pPr>
        <w:tabs>
          <w:tab w:val="left" w:pos="851"/>
        </w:tabs>
        <w:ind w:left="851"/>
        <w:rPr>
          <w:sz w:val="24"/>
          <w:szCs w:val="24"/>
        </w:rPr>
      </w:pPr>
      <w:r>
        <w:rPr>
          <w:sz w:val="24"/>
          <w:szCs w:val="24"/>
        </w:rPr>
        <w:t>Droperidol "Aguettant"</w:t>
      </w:r>
    </w:p>
    <w:p w14:paraId="4A72CC31" w14:textId="77777777" w:rsidR="009260DE" w:rsidRPr="00C84483" w:rsidRDefault="009260DE" w:rsidP="009260DE">
      <w:pPr>
        <w:tabs>
          <w:tab w:val="left" w:pos="851"/>
        </w:tabs>
        <w:ind w:left="851"/>
        <w:rPr>
          <w:sz w:val="24"/>
          <w:szCs w:val="24"/>
        </w:rPr>
      </w:pPr>
    </w:p>
    <w:p w14:paraId="31105835"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EAB7BB6" w14:textId="77777777" w:rsidR="00B66FD7" w:rsidRDefault="00B66FD7" w:rsidP="00B66FD7">
      <w:pPr>
        <w:tabs>
          <w:tab w:val="left" w:pos="851"/>
        </w:tabs>
        <w:ind w:left="851"/>
        <w:rPr>
          <w:sz w:val="24"/>
          <w:szCs w:val="24"/>
          <w:u w:val="single"/>
        </w:rPr>
      </w:pPr>
    </w:p>
    <w:p w14:paraId="3EB42299" w14:textId="55DA318B" w:rsidR="00B66FD7" w:rsidRPr="00B66FD7" w:rsidRDefault="00B66FD7" w:rsidP="00B66FD7">
      <w:pPr>
        <w:tabs>
          <w:tab w:val="left" w:pos="851"/>
        </w:tabs>
        <w:ind w:left="851"/>
        <w:rPr>
          <w:iCs/>
          <w:sz w:val="24"/>
          <w:szCs w:val="24"/>
          <w:u w:val="single"/>
        </w:rPr>
      </w:pPr>
      <w:r w:rsidRPr="00B66FD7">
        <w:rPr>
          <w:sz w:val="24"/>
          <w:szCs w:val="24"/>
          <w:u w:val="single"/>
        </w:rPr>
        <w:t>Droperidol "Aguettant" 1,25 mg/ml injektionsvæske, opløsning</w:t>
      </w:r>
    </w:p>
    <w:p w14:paraId="1FA020C0" w14:textId="77777777" w:rsidR="00B66FD7" w:rsidRPr="00B66FD7" w:rsidRDefault="00B66FD7" w:rsidP="00B66FD7">
      <w:pPr>
        <w:tabs>
          <w:tab w:val="left" w:pos="851"/>
        </w:tabs>
        <w:ind w:left="851"/>
        <w:rPr>
          <w:sz w:val="24"/>
          <w:szCs w:val="24"/>
        </w:rPr>
      </w:pPr>
      <w:r w:rsidRPr="00B66FD7">
        <w:rPr>
          <w:sz w:val="24"/>
          <w:szCs w:val="24"/>
        </w:rPr>
        <w:t>Hver ampul med 1 ml indeholder 1,25 mg droperidol.</w:t>
      </w:r>
    </w:p>
    <w:p w14:paraId="5D151F12" w14:textId="77777777" w:rsidR="00B66FD7" w:rsidRPr="00B66FD7" w:rsidRDefault="00B66FD7" w:rsidP="00B66FD7">
      <w:pPr>
        <w:tabs>
          <w:tab w:val="left" w:pos="851"/>
        </w:tabs>
        <w:ind w:left="851"/>
        <w:rPr>
          <w:sz w:val="24"/>
          <w:szCs w:val="24"/>
        </w:rPr>
      </w:pPr>
    </w:p>
    <w:p w14:paraId="0E55CDA8" w14:textId="77777777" w:rsidR="00B66FD7" w:rsidRPr="00B66FD7" w:rsidRDefault="00B66FD7" w:rsidP="00B66FD7">
      <w:pPr>
        <w:tabs>
          <w:tab w:val="left" w:pos="851"/>
        </w:tabs>
        <w:ind w:left="851"/>
        <w:rPr>
          <w:sz w:val="24"/>
          <w:szCs w:val="24"/>
          <w:u w:val="single"/>
        </w:rPr>
      </w:pPr>
      <w:r w:rsidRPr="00B66FD7">
        <w:rPr>
          <w:sz w:val="24"/>
          <w:szCs w:val="24"/>
          <w:u w:val="single"/>
        </w:rPr>
        <w:t>Droperidol "Aguettant" 2,5 mg/ml injektionsvæske, opløsning</w:t>
      </w:r>
    </w:p>
    <w:p w14:paraId="0CBF70E3" w14:textId="77777777" w:rsidR="00B66FD7" w:rsidRPr="00B66FD7" w:rsidRDefault="00B66FD7" w:rsidP="00B66FD7">
      <w:pPr>
        <w:tabs>
          <w:tab w:val="left" w:pos="851"/>
        </w:tabs>
        <w:ind w:left="851"/>
        <w:rPr>
          <w:sz w:val="24"/>
          <w:szCs w:val="24"/>
        </w:rPr>
      </w:pPr>
      <w:r w:rsidRPr="00B66FD7">
        <w:rPr>
          <w:sz w:val="24"/>
          <w:szCs w:val="24"/>
        </w:rPr>
        <w:t>Hver ampul med 1 ml indeholder 2,5 mg droperidol.</w:t>
      </w:r>
    </w:p>
    <w:p w14:paraId="275A798D" w14:textId="77777777" w:rsidR="00B66FD7" w:rsidRPr="00B66FD7" w:rsidRDefault="00B66FD7" w:rsidP="00B66FD7">
      <w:pPr>
        <w:tabs>
          <w:tab w:val="left" w:pos="851"/>
        </w:tabs>
        <w:ind w:left="851"/>
        <w:rPr>
          <w:sz w:val="24"/>
          <w:szCs w:val="24"/>
        </w:rPr>
      </w:pPr>
    </w:p>
    <w:p w14:paraId="54F5DBD5" w14:textId="77777777" w:rsidR="00B66FD7" w:rsidRPr="00B66FD7" w:rsidRDefault="00B66FD7" w:rsidP="00B66FD7">
      <w:pPr>
        <w:tabs>
          <w:tab w:val="left" w:pos="851"/>
        </w:tabs>
        <w:ind w:left="851"/>
        <w:rPr>
          <w:sz w:val="24"/>
          <w:szCs w:val="24"/>
        </w:rPr>
      </w:pPr>
      <w:r w:rsidRPr="00B66FD7">
        <w:rPr>
          <w:sz w:val="24"/>
          <w:szCs w:val="24"/>
        </w:rPr>
        <w:t>Alle hjælpestoffer er anført under pkt. 6.1.</w:t>
      </w:r>
    </w:p>
    <w:p w14:paraId="4317E939" w14:textId="77777777" w:rsidR="009260DE" w:rsidRPr="00C84483" w:rsidRDefault="009260DE" w:rsidP="009260DE">
      <w:pPr>
        <w:tabs>
          <w:tab w:val="left" w:pos="851"/>
        </w:tabs>
        <w:ind w:left="851"/>
        <w:rPr>
          <w:sz w:val="24"/>
          <w:szCs w:val="24"/>
        </w:rPr>
      </w:pPr>
    </w:p>
    <w:p w14:paraId="075B0C66"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2CC1F773" w14:textId="6B976004" w:rsidR="00B66FD7" w:rsidRDefault="00B66FD7" w:rsidP="00B66FD7">
      <w:pPr>
        <w:tabs>
          <w:tab w:val="left" w:pos="851"/>
        </w:tabs>
        <w:ind w:left="851"/>
        <w:rPr>
          <w:sz w:val="24"/>
          <w:szCs w:val="24"/>
        </w:rPr>
      </w:pPr>
      <w:r w:rsidRPr="00B66FD7">
        <w:rPr>
          <w:sz w:val="24"/>
          <w:szCs w:val="24"/>
        </w:rPr>
        <w:t>Injektionsvæske, opløsning (injektionsvæske)</w:t>
      </w:r>
    </w:p>
    <w:p w14:paraId="294B71DD" w14:textId="77777777" w:rsidR="00B66FD7" w:rsidRPr="00B66FD7" w:rsidRDefault="00B66FD7" w:rsidP="00B66FD7">
      <w:pPr>
        <w:tabs>
          <w:tab w:val="left" w:pos="851"/>
        </w:tabs>
        <w:ind w:left="851"/>
        <w:rPr>
          <w:sz w:val="24"/>
          <w:szCs w:val="24"/>
        </w:rPr>
      </w:pPr>
    </w:p>
    <w:p w14:paraId="283EB0A0" w14:textId="77777777" w:rsidR="00B66FD7" w:rsidRPr="00B66FD7" w:rsidRDefault="00B66FD7" w:rsidP="00B66FD7">
      <w:pPr>
        <w:tabs>
          <w:tab w:val="left" w:pos="851"/>
        </w:tabs>
        <w:ind w:left="851"/>
        <w:rPr>
          <w:sz w:val="24"/>
          <w:szCs w:val="24"/>
        </w:rPr>
      </w:pPr>
      <w:r w:rsidRPr="00B66FD7">
        <w:rPr>
          <w:sz w:val="24"/>
          <w:szCs w:val="24"/>
        </w:rPr>
        <w:t>Klar, farveløs opløsning.</w:t>
      </w:r>
    </w:p>
    <w:p w14:paraId="080AA64C" w14:textId="4FDA0AAE" w:rsidR="00B66FD7" w:rsidRPr="00B66FD7" w:rsidRDefault="00B66FD7" w:rsidP="00B66FD7">
      <w:pPr>
        <w:tabs>
          <w:tab w:val="left" w:pos="851"/>
        </w:tabs>
        <w:ind w:left="851"/>
        <w:rPr>
          <w:sz w:val="24"/>
          <w:szCs w:val="24"/>
        </w:rPr>
      </w:pPr>
      <w:r w:rsidRPr="00B66FD7">
        <w:rPr>
          <w:sz w:val="24"/>
          <w:szCs w:val="24"/>
        </w:rPr>
        <w:t>pH 3,3</w:t>
      </w:r>
      <w:r>
        <w:rPr>
          <w:sz w:val="24"/>
          <w:szCs w:val="24"/>
        </w:rPr>
        <w:t>-</w:t>
      </w:r>
      <w:r w:rsidRPr="00B66FD7">
        <w:rPr>
          <w:sz w:val="24"/>
          <w:szCs w:val="24"/>
        </w:rPr>
        <w:t>3,8.</w:t>
      </w:r>
    </w:p>
    <w:p w14:paraId="1B9A5F9E" w14:textId="77777777" w:rsidR="00B66FD7" w:rsidRPr="00B66FD7" w:rsidRDefault="00B66FD7" w:rsidP="00B66FD7">
      <w:pPr>
        <w:tabs>
          <w:tab w:val="left" w:pos="851"/>
        </w:tabs>
        <w:ind w:left="851"/>
        <w:rPr>
          <w:sz w:val="24"/>
          <w:szCs w:val="24"/>
        </w:rPr>
      </w:pPr>
      <w:r w:rsidRPr="00B66FD7">
        <w:rPr>
          <w:sz w:val="24"/>
          <w:szCs w:val="24"/>
        </w:rPr>
        <w:t>Osmolalitet: 250-300 mOsm/kg.</w:t>
      </w:r>
    </w:p>
    <w:p w14:paraId="0C431FA5" w14:textId="77777777" w:rsidR="009260DE" w:rsidRPr="00C84483" w:rsidRDefault="009260DE" w:rsidP="009260DE">
      <w:pPr>
        <w:tabs>
          <w:tab w:val="left" w:pos="851"/>
        </w:tabs>
        <w:ind w:left="851"/>
        <w:rPr>
          <w:sz w:val="24"/>
          <w:szCs w:val="24"/>
        </w:rPr>
      </w:pPr>
    </w:p>
    <w:p w14:paraId="0621B30B" w14:textId="77777777" w:rsidR="009260DE" w:rsidRPr="00C84483" w:rsidRDefault="009260DE" w:rsidP="009260DE">
      <w:pPr>
        <w:tabs>
          <w:tab w:val="left" w:pos="851"/>
        </w:tabs>
        <w:ind w:left="851"/>
        <w:rPr>
          <w:sz w:val="24"/>
          <w:szCs w:val="24"/>
        </w:rPr>
      </w:pPr>
    </w:p>
    <w:p w14:paraId="55DE6604"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FFC8A0F" w14:textId="77777777" w:rsidR="009260DE" w:rsidRPr="00C84483" w:rsidRDefault="009260DE" w:rsidP="009260DE">
      <w:pPr>
        <w:tabs>
          <w:tab w:val="left" w:pos="851"/>
        </w:tabs>
        <w:ind w:left="851"/>
        <w:rPr>
          <w:b/>
          <w:sz w:val="24"/>
          <w:szCs w:val="24"/>
        </w:rPr>
      </w:pPr>
    </w:p>
    <w:p w14:paraId="26493CCA"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7D82F41E" w14:textId="77777777" w:rsidR="00611DE7" w:rsidRPr="00611DE7" w:rsidRDefault="00611DE7" w:rsidP="00611DE7">
      <w:pPr>
        <w:tabs>
          <w:tab w:val="left" w:pos="851"/>
        </w:tabs>
        <w:ind w:left="851"/>
        <w:rPr>
          <w:sz w:val="24"/>
          <w:szCs w:val="24"/>
        </w:rPr>
      </w:pPr>
      <w:r w:rsidRPr="00611DE7">
        <w:rPr>
          <w:sz w:val="24"/>
          <w:szCs w:val="24"/>
        </w:rPr>
        <w:t>Forebyggelse og behandling af postoperativ kvalme og opkastning (PONV) hos voksne og, som andenlinjebehandling, hos børn (2 til 11 år) og unge (12 til 18 år).</w:t>
      </w:r>
    </w:p>
    <w:p w14:paraId="23DC1F95" w14:textId="77777777" w:rsidR="00611DE7" w:rsidRPr="00611DE7" w:rsidRDefault="00611DE7" w:rsidP="00611DE7">
      <w:pPr>
        <w:tabs>
          <w:tab w:val="left" w:pos="851"/>
        </w:tabs>
        <w:ind w:left="851"/>
        <w:rPr>
          <w:sz w:val="24"/>
          <w:szCs w:val="24"/>
        </w:rPr>
      </w:pPr>
    </w:p>
    <w:p w14:paraId="4EB45432" w14:textId="77777777" w:rsidR="00611DE7" w:rsidRPr="00611DE7" w:rsidRDefault="00611DE7" w:rsidP="00611DE7">
      <w:pPr>
        <w:tabs>
          <w:tab w:val="left" w:pos="851"/>
        </w:tabs>
        <w:ind w:left="851"/>
        <w:rPr>
          <w:sz w:val="24"/>
          <w:szCs w:val="24"/>
        </w:rPr>
      </w:pPr>
      <w:r w:rsidRPr="00611DE7">
        <w:rPr>
          <w:sz w:val="24"/>
          <w:szCs w:val="24"/>
        </w:rPr>
        <w:t>Forebyggelse af kvalme og opkastning forårsaget af morfin og derivater under postoperativ patientkontrolleret analgesi (PCA) hos voksne.</w:t>
      </w:r>
    </w:p>
    <w:p w14:paraId="770EDD6C" w14:textId="77777777" w:rsidR="00611DE7" w:rsidRPr="00611DE7" w:rsidRDefault="00611DE7" w:rsidP="00611DE7">
      <w:pPr>
        <w:tabs>
          <w:tab w:val="left" w:pos="851"/>
        </w:tabs>
        <w:ind w:left="851"/>
        <w:rPr>
          <w:sz w:val="24"/>
          <w:szCs w:val="24"/>
        </w:rPr>
      </w:pPr>
    </w:p>
    <w:p w14:paraId="10518195" w14:textId="77777777" w:rsidR="00611DE7" w:rsidRPr="00611DE7" w:rsidRDefault="00611DE7" w:rsidP="00611DE7">
      <w:pPr>
        <w:tabs>
          <w:tab w:val="left" w:pos="851"/>
        </w:tabs>
        <w:ind w:left="851"/>
        <w:rPr>
          <w:sz w:val="24"/>
          <w:szCs w:val="24"/>
        </w:rPr>
      </w:pPr>
      <w:r w:rsidRPr="00611DE7">
        <w:rPr>
          <w:sz w:val="24"/>
          <w:szCs w:val="24"/>
        </w:rPr>
        <w:t>Visse forholdsregler er nødvendige når droperidol administreres: Se pkt. 4.2, 4.3 og 4.4.</w:t>
      </w:r>
    </w:p>
    <w:p w14:paraId="41D001CA" w14:textId="77777777" w:rsidR="009260DE" w:rsidRPr="00C84483" w:rsidRDefault="009260DE" w:rsidP="009260DE">
      <w:pPr>
        <w:tabs>
          <w:tab w:val="left" w:pos="851"/>
        </w:tabs>
        <w:ind w:left="851"/>
        <w:rPr>
          <w:sz w:val="24"/>
          <w:szCs w:val="24"/>
        </w:rPr>
      </w:pPr>
    </w:p>
    <w:p w14:paraId="63E17819"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67306E00" w14:textId="77777777" w:rsidR="00611DE7" w:rsidRPr="00611DE7" w:rsidRDefault="00611DE7" w:rsidP="00611DE7">
      <w:pPr>
        <w:tabs>
          <w:tab w:val="left" w:pos="851"/>
        </w:tabs>
        <w:ind w:left="851"/>
        <w:rPr>
          <w:sz w:val="24"/>
          <w:szCs w:val="24"/>
        </w:rPr>
      </w:pPr>
    </w:p>
    <w:p w14:paraId="47F8F30E" w14:textId="77777777" w:rsidR="00611DE7" w:rsidRPr="00611DE7" w:rsidRDefault="00611DE7" w:rsidP="00611DE7">
      <w:pPr>
        <w:tabs>
          <w:tab w:val="left" w:pos="851"/>
        </w:tabs>
        <w:ind w:left="851"/>
        <w:rPr>
          <w:b/>
          <w:sz w:val="24"/>
          <w:szCs w:val="24"/>
        </w:rPr>
      </w:pPr>
      <w:r w:rsidRPr="00611DE7">
        <w:rPr>
          <w:b/>
          <w:sz w:val="24"/>
          <w:szCs w:val="24"/>
        </w:rPr>
        <w:t>Dosering</w:t>
      </w:r>
    </w:p>
    <w:p w14:paraId="34913FFF" w14:textId="77777777" w:rsidR="00611DE7" w:rsidRPr="00611DE7" w:rsidRDefault="00611DE7" w:rsidP="00611DE7">
      <w:pPr>
        <w:tabs>
          <w:tab w:val="left" w:pos="851"/>
        </w:tabs>
        <w:ind w:left="851"/>
        <w:rPr>
          <w:sz w:val="24"/>
          <w:szCs w:val="24"/>
        </w:rPr>
      </w:pPr>
    </w:p>
    <w:p w14:paraId="4350E04B" w14:textId="77777777" w:rsidR="00611DE7" w:rsidRPr="00611DE7" w:rsidRDefault="00611DE7" w:rsidP="00611DE7">
      <w:pPr>
        <w:tabs>
          <w:tab w:val="left" w:pos="851"/>
        </w:tabs>
        <w:ind w:left="851"/>
        <w:rPr>
          <w:sz w:val="24"/>
          <w:szCs w:val="24"/>
          <w:u w:val="single"/>
        </w:rPr>
      </w:pPr>
      <w:r w:rsidRPr="00611DE7">
        <w:rPr>
          <w:sz w:val="24"/>
          <w:szCs w:val="24"/>
          <w:u w:val="single"/>
        </w:rPr>
        <w:t>Forebyggelse og behandling af postoperativ kvalme og opkastning (PONV)</w:t>
      </w:r>
    </w:p>
    <w:p w14:paraId="37C0E5A7" w14:textId="77777777" w:rsidR="00611DE7" w:rsidRPr="00611DE7" w:rsidRDefault="00611DE7" w:rsidP="00611DE7">
      <w:pPr>
        <w:tabs>
          <w:tab w:val="left" w:pos="851"/>
        </w:tabs>
        <w:ind w:left="851"/>
        <w:rPr>
          <w:sz w:val="24"/>
          <w:szCs w:val="24"/>
        </w:rPr>
      </w:pPr>
      <w:r w:rsidRPr="00611DE7">
        <w:rPr>
          <w:sz w:val="24"/>
          <w:szCs w:val="24"/>
        </w:rPr>
        <w:t>Voksne: 0,625 mg til 1,25 mg.</w:t>
      </w:r>
    </w:p>
    <w:p w14:paraId="7E371912" w14:textId="77777777" w:rsidR="00611DE7" w:rsidRPr="00611DE7" w:rsidRDefault="00611DE7" w:rsidP="00611DE7">
      <w:pPr>
        <w:tabs>
          <w:tab w:val="left" w:pos="851"/>
        </w:tabs>
        <w:ind w:left="851"/>
        <w:rPr>
          <w:sz w:val="24"/>
          <w:szCs w:val="24"/>
        </w:rPr>
      </w:pPr>
      <w:r w:rsidRPr="00611DE7">
        <w:rPr>
          <w:sz w:val="24"/>
          <w:szCs w:val="24"/>
        </w:rPr>
        <w:t>Ældre (over 65 år): 0,625 mg.</w:t>
      </w:r>
    </w:p>
    <w:p w14:paraId="22C9CCD7" w14:textId="77777777" w:rsidR="00611DE7" w:rsidRPr="00611DE7" w:rsidRDefault="00611DE7" w:rsidP="00611DE7">
      <w:pPr>
        <w:tabs>
          <w:tab w:val="left" w:pos="851"/>
        </w:tabs>
        <w:ind w:left="851"/>
        <w:rPr>
          <w:sz w:val="24"/>
          <w:szCs w:val="24"/>
        </w:rPr>
      </w:pPr>
      <w:r w:rsidRPr="00611DE7">
        <w:rPr>
          <w:sz w:val="24"/>
          <w:szCs w:val="24"/>
        </w:rPr>
        <w:t>Nedsat nyre-/leverfunktion: 0,625 mg.</w:t>
      </w:r>
    </w:p>
    <w:p w14:paraId="32C40CFA" w14:textId="77777777" w:rsidR="00611DE7" w:rsidRPr="00611DE7" w:rsidRDefault="00611DE7" w:rsidP="00611DE7">
      <w:pPr>
        <w:tabs>
          <w:tab w:val="left" w:pos="851"/>
        </w:tabs>
        <w:ind w:left="851"/>
        <w:rPr>
          <w:sz w:val="24"/>
          <w:szCs w:val="24"/>
        </w:rPr>
      </w:pPr>
    </w:p>
    <w:p w14:paraId="2632A77E" w14:textId="77777777" w:rsidR="00611DE7" w:rsidRPr="00611DE7" w:rsidRDefault="00611DE7" w:rsidP="00611DE7">
      <w:pPr>
        <w:tabs>
          <w:tab w:val="left" w:pos="851"/>
        </w:tabs>
        <w:ind w:left="851"/>
        <w:rPr>
          <w:sz w:val="24"/>
          <w:szCs w:val="24"/>
        </w:rPr>
      </w:pPr>
      <w:r w:rsidRPr="00611DE7">
        <w:rPr>
          <w:i/>
          <w:sz w:val="24"/>
          <w:szCs w:val="24"/>
        </w:rPr>
        <w:t>Pædiatrisk population</w:t>
      </w:r>
    </w:p>
    <w:p w14:paraId="005049FE" w14:textId="77777777" w:rsidR="00611DE7" w:rsidRPr="00611DE7" w:rsidRDefault="00611DE7" w:rsidP="00611DE7">
      <w:pPr>
        <w:tabs>
          <w:tab w:val="left" w:pos="851"/>
        </w:tabs>
        <w:ind w:left="851"/>
        <w:rPr>
          <w:sz w:val="24"/>
          <w:szCs w:val="24"/>
        </w:rPr>
      </w:pPr>
      <w:r w:rsidRPr="00611DE7">
        <w:rPr>
          <w:sz w:val="24"/>
          <w:szCs w:val="24"/>
        </w:rPr>
        <w:t>Børn (2 til 11 år) og unge (12 til 18 år): 10 til 50 mikrogram/kg (op til maksimalt 1,25 mg).</w:t>
      </w:r>
    </w:p>
    <w:p w14:paraId="2333581D" w14:textId="77777777" w:rsidR="00611DE7" w:rsidRPr="00611DE7" w:rsidRDefault="00611DE7" w:rsidP="00611DE7">
      <w:pPr>
        <w:tabs>
          <w:tab w:val="left" w:pos="851"/>
        </w:tabs>
        <w:ind w:left="851"/>
        <w:rPr>
          <w:sz w:val="24"/>
          <w:szCs w:val="24"/>
        </w:rPr>
      </w:pPr>
      <w:r w:rsidRPr="00611DE7">
        <w:rPr>
          <w:sz w:val="24"/>
          <w:szCs w:val="24"/>
        </w:rPr>
        <w:t>Børn (under 2 år): Anbefales ikke.</w:t>
      </w:r>
    </w:p>
    <w:p w14:paraId="03C804EA" w14:textId="77777777" w:rsidR="00611DE7" w:rsidRPr="00611DE7" w:rsidRDefault="00611DE7" w:rsidP="00611DE7">
      <w:pPr>
        <w:tabs>
          <w:tab w:val="left" w:pos="851"/>
        </w:tabs>
        <w:ind w:left="851"/>
        <w:rPr>
          <w:sz w:val="24"/>
          <w:szCs w:val="24"/>
        </w:rPr>
      </w:pPr>
    </w:p>
    <w:p w14:paraId="2B714599" w14:textId="77777777" w:rsidR="00611DE7" w:rsidRPr="00611DE7" w:rsidRDefault="00611DE7" w:rsidP="00611DE7">
      <w:pPr>
        <w:tabs>
          <w:tab w:val="left" w:pos="851"/>
        </w:tabs>
        <w:ind w:left="851"/>
        <w:rPr>
          <w:sz w:val="24"/>
          <w:szCs w:val="24"/>
        </w:rPr>
      </w:pPr>
      <w:r w:rsidRPr="00611DE7">
        <w:rPr>
          <w:sz w:val="24"/>
          <w:szCs w:val="24"/>
        </w:rPr>
        <w:t>Det anbefales at administrere droperidol 30 minutter før det kirurgiske indgreb forventes afsluttet. Gentagne doser kan gives hver 6. time efter behov.</w:t>
      </w:r>
    </w:p>
    <w:p w14:paraId="3387C816" w14:textId="77777777" w:rsidR="00611DE7" w:rsidRPr="00611DE7" w:rsidRDefault="00611DE7" w:rsidP="00611DE7">
      <w:pPr>
        <w:tabs>
          <w:tab w:val="left" w:pos="851"/>
        </w:tabs>
        <w:ind w:left="851"/>
        <w:rPr>
          <w:sz w:val="24"/>
          <w:szCs w:val="24"/>
        </w:rPr>
      </w:pPr>
      <w:r w:rsidRPr="00611DE7">
        <w:rPr>
          <w:sz w:val="24"/>
          <w:szCs w:val="24"/>
        </w:rPr>
        <w:t>Doseringen bør tilpasses hvert individuelle tilfælde. Faktorer, der skal tages i betragtning i denne henseende omfatter alder, kropsvægt, brug af andre lægemidler, anæstesiformen og typen af kirurgisk indgreb.</w:t>
      </w:r>
    </w:p>
    <w:p w14:paraId="7B13D519" w14:textId="77777777" w:rsidR="00611DE7" w:rsidRPr="00611DE7" w:rsidRDefault="00611DE7" w:rsidP="00611DE7">
      <w:pPr>
        <w:tabs>
          <w:tab w:val="left" w:pos="851"/>
        </w:tabs>
        <w:ind w:left="851"/>
        <w:rPr>
          <w:sz w:val="24"/>
          <w:szCs w:val="24"/>
        </w:rPr>
      </w:pPr>
    </w:p>
    <w:p w14:paraId="42E30982" w14:textId="77777777" w:rsidR="00611DE7" w:rsidRPr="00611DE7" w:rsidRDefault="00611DE7" w:rsidP="00611DE7">
      <w:pPr>
        <w:tabs>
          <w:tab w:val="left" w:pos="851"/>
        </w:tabs>
        <w:ind w:left="851"/>
        <w:rPr>
          <w:sz w:val="24"/>
          <w:szCs w:val="24"/>
          <w:u w:val="single"/>
        </w:rPr>
      </w:pPr>
      <w:r w:rsidRPr="00611DE7">
        <w:rPr>
          <w:sz w:val="24"/>
          <w:szCs w:val="24"/>
          <w:u w:val="single"/>
        </w:rPr>
        <w:t>Forebyggelse af kvalme og opkastning forårsaget af morfin og derivater under postoperativ patientkontrolleret analgesi (PCA) hos voksne</w:t>
      </w:r>
    </w:p>
    <w:p w14:paraId="18DAEC4D" w14:textId="77777777" w:rsidR="00611DE7" w:rsidRPr="00611DE7" w:rsidRDefault="00611DE7" w:rsidP="00611DE7">
      <w:pPr>
        <w:tabs>
          <w:tab w:val="left" w:pos="851"/>
        </w:tabs>
        <w:ind w:left="851"/>
        <w:rPr>
          <w:sz w:val="24"/>
          <w:szCs w:val="24"/>
        </w:rPr>
      </w:pPr>
      <w:r w:rsidRPr="00611DE7">
        <w:rPr>
          <w:sz w:val="24"/>
          <w:szCs w:val="24"/>
        </w:rPr>
        <w:t>Voksne: 15 til 50 mikrogram droperidol pr. mg morfin, op til en maksimal daglig dosis på 5 mg droperidol.</w:t>
      </w:r>
    </w:p>
    <w:p w14:paraId="21A81147" w14:textId="77777777" w:rsidR="00611DE7" w:rsidRPr="00611DE7" w:rsidRDefault="00611DE7" w:rsidP="00611DE7">
      <w:pPr>
        <w:tabs>
          <w:tab w:val="left" w:pos="851"/>
        </w:tabs>
        <w:ind w:left="851"/>
        <w:rPr>
          <w:sz w:val="24"/>
          <w:szCs w:val="24"/>
        </w:rPr>
      </w:pPr>
      <w:r w:rsidRPr="00611DE7">
        <w:rPr>
          <w:sz w:val="24"/>
          <w:szCs w:val="24"/>
        </w:rPr>
        <w:t>Ældre (over 65 år), nedsat nyre- og leverfunktion: ingen tilgængelige data for PCA.</w:t>
      </w:r>
    </w:p>
    <w:p w14:paraId="47AB9953" w14:textId="77777777" w:rsidR="00611DE7" w:rsidRPr="00611DE7" w:rsidRDefault="00611DE7" w:rsidP="00611DE7">
      <w:pPr>
        <w:tabs>
          <w:tab w:val="left" w:pos="851"/>
        </w:tabs>
        <w:ind w:left="851"/>
        <w:rPr>
          <w:sz w:val="24"/>
          <w:szCs w:val="24"/>
        </w:rPr>
      </w:pPr>
    </w:p>
    <w:p w14:paraId="1D25D866" w14:textId="77777777" w:rsidR="00611DE7" w:rsidRPr="00611DE7" w:rsidRDefault="00611DE7" w:rsidP="00611DE7">
      <w:pPr>
        <w:tabs>
          <w:tab w:val="left" w:pos="851"/>
        </w:tabs>
        <w:ind w:left="851"/>
        <w:rPr>
          <w:sz w:val="24"/>
          <w:szCs w:val="24"/>
        </w:rPr>
      </w:pPr>
      <w:r w:rsidRPr="00611DE7">
        <w:rPr>
          <w:i/>
          <w:iCs/>
          <w:sz w:val="24"/>
          <w:szCs w:val="24"/>
        </w:rPr>
        <w:t>Pædiatrisk population</w:t>
      </w:r>
    </w:p>
    <w:p w14:paraId="1B7FC1ED" w14:textId="77777777" w:rsidR="00611DE7" w:rsidRPr="00611DE7" w:rsidRDefault="00611DE7" w:rsidP="00611DE7">
      <w:pPr>
        <w:tabs>
          <w:tab w:val="left" w:pos="851"/>
        </w:tabs>
        <w:ind w:left="851"/>
        <w:rPr>
          <w:sz w:val="24"/>
          <w:szCs w:val="24"/>
        </w:rPr>
      </w:pPr>
      <w:bookmarkStart w:id="1" w:name="_Hlk151643647"/>
      <w:r w:rsidRPr="00611DE7">
        <w:rPr>
          <w:sz w:val="24"/>
          <w:szCs w:val="24"/>
        </w:rPr>
        <w:t>Det er ikke relevant at anvende droperidol til børn (2 til 11 år) og unge (12 til 18 år) til indikationen PCA.</w:t>
      </w:r>
    </w:p>
    <w:bookmarkEnd w:id="1"/>
    <w:p w14:paraId="0F3F74B9" w14:textId="77777777" w:rsidR="00611DE7" w:rsidRPr="00611DE7" w:rsidRDefault="00611DE7" w:rsidP="00611DE7">
      <w:pPr>
        <w:tabs>
          <w:tab w:val="left" w:pos="851"/>
        </w:tabs>
        <w:ind w:left="851"/>
        <w:rPr>
          <w:sz w:val="24"/>
          <w:szCs w:val="24"/>
        </w:rPr>
      </w:pPr>
      <w:r w:rsidRPr="00611DE7">
        <w:rPr>
          <w:sz w:val="24"/>
          <w:szCs w:val="24"/>
        </w:rPr>
        <w:t>Hos patienter med identificeret eller formodet risiko for ventrikulær arytmi bør der udføres kontinuerlig pulsoximetri, som fortsættes i 30 minutter efter en enkelt intravenøs administration.</w:t>
      </w:r>
    </w:p>
    <w:p w14:paraId="106D8599" w14:textId="77777777" w:rsidR="00611DE7" w:rsidRPr="00611DE7" w:rsidRDefault="00611DE7" w:rsidP="00611DE7">
      <w:pPr>
        <w:tabs>
          <w:tab w:val="left" w:pos="851"/>
        </w:tabs>
        <w:ind w:left="851"/>
        <w:rPr>
          <w:sz w:val="24"/>
          <w:szCs w:val="24"/>
        </w:rPr>
      </w:pPr>
    </w:p>
    <w:p w14:paraId="54AAEE63" w14:textId="77777777" w:rsidR="00611DE7" w:rsidRPr="00611DE7" w:rsidRDefault="00611DE7" w:rsidP="00611DE7">
      <w:pPr>
        <w:tabs>
          <w:tab w:val="left" w:pos="851"/>
        </w:tabs>
        <w:ind w:left="851"/>
        <w:rPr>
          <w:b/>
          <w:sz w:val="24"/>
          <w:szCs w:val="24"/>
        </w:rPr>
      </w:pPr>
      <w:r w:rsidRPr="00611DE7">
        <w:rPr>
          <w:b/>
          <w:sz w:val="24"/>
          <w:szCs w:val="24"/>
        </w:rPr>
        <w:t>Administration</w:t>
      </w:r>
    </w:p>
    <w:p w14:paraId="4D786902" w14:textId="77777777" w:rsidR="00611DE7" w:rsidRPr="00611DE7" w:rsidRDefault="00611DE7" w:rsidP="00611DE7">
      <w:pPr>
        <w:tabs>
          <w:tab w:val="left" w:pos="851"/>
        </w:tabs>
        <w:ind w:left="851"/>
        <w:rPr>
          <w:iCs/>
          <w:sz w:val="24"/>
          <w:szCs w:val="24"/>
        </w:rPr>
      </w:pPr>
      <w:r w:rsidRPr="00611DE7">
        <w:rPr>
          <w:sz w:val="24"/>
          <w:szCs w:val="24"/>
        </w:rPr>
        <w:t>Til intravenøs anvendelse.</w:t>
      </w:r>
    </w:p>
    <w:p w14:paraId="1F6153F6" w14:textId="77777777" w:rsidR="00611DE7" w:rsidRPr="00611DE7" w:rsidRDefault="00611DE7" w:rsidP="00611DE7">
      <w:pPr>
        <w:tabs>
          <w:tab w:val="left" w:pos="851"/>
        </w:tabs>
        <w:ind w:left="851"/>
        <w:rPr>
          <w:iCs/>
          <w:sz w:val="24"/>
          <w:szCs w:val="24"/>
        </w:rPr>
      </w:pPr>
      <w:r w:rsidRPr="00611DE7">
        <w:rPr>
          <w:sz w:val="24"/>
          <w:szCs w:val="24"/>
        </w:rPr>
        <w:t>Kun til engangsbrug.</w:t>
      </w:r>
    </w:p>
    <w:p w14:paraId="73DEBCDC" w14:textId="77777777" w:rsidR="00611DE7" w:rsidRPr="00611DE7" w:rsidRDefault="00611DE7" w:rsidP="00611DE7">
      <w:pPr>
        <w:tabs>
          <w:tab w:val="left" w:pos="851"/>
        </w:tabs>
        <w:ind w:left="851"/>
        <w:rPr>
          <w:iCs/>
          <w:sz w:val="24"/>
          <w:szCs w:val="24"/>
        </w:rPr>
      </w:pPr>
      <w:r w:rsidRPr="00611DE7">
        <w:rPr>
          <w:sz w:val="24"/>
          <w:szCs w:val="24"/>
        </w:rPr>
        <w:t>For instruktioner om fortynding af lægemidlet før administration, se pkt. 6.6.</w:t>
      </w:r>
    </w:p>
    <w:p w14:paraId="4300427A" w14:textId="77777777" w:rsidR="00611DE7" w:rsidRPr="00611DE7" w:rsidRDefault="00611DE7" w:rsidP="00611DE7">
      <w:pPr>
        <w:tabs>
          <w:tab w:val="left" w:pos="851"/>
        </w:tabs>
        <w:ind w:left="851"/>
        <w:rPr>
          <w:sz w:val="24"/>
          <w:szCs w:val="24"/>
        </w:rPr>
      </w:pPr>
    </w:p>
    <w:p w14:paraId="4C36F590"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636FDC98" w14:textId="77777777" w:rsidR="00C72C0F" w:rsidRPr="00C72C0F" w:rsidRDefault="00C72C0F" w:rsidP="00C72C0F">
      <w:pPr>
        <w:tabs>
          <w:tab w:val="left" w:pos="1134"/>
        </w:tabs>
        <w:ind w:left="1134" w:hanging="283"/>
        <w:rPr>
          <w:sz w:val="24"/>
          <w:szCs w:val="24"/>
        </w:rPr>
      </w:pPr>
      <w:r w:rsidRPr="00C72C0F">
        <w:rPr>
          <w:sz w:val="24"/>
          <w:szCs w:val="24"/>
        </w:rPr>
        <w:t>•</w:t>
      </w:r>
      <w:r w:rsidRPr="00C72C0F">
        <w:rPr>
          <w:sz w:val="24"/>
          <w:szCs w:val="24"/>
        </w:rPr>
        <w:tab/>
        <w:t>Overfølsomhed over for det aktive stof eller over for et eller flere af hjælpestofferne anført i pkt. 6.1.</w:t>
      </w:r>
    </w:p>
    <w:p w14:paraId="556E9D17" w14:textId="77777777" w:rsidR="00C72C0F" w:rsidRPr="00C72C0F" w:rsidRDefault="00C72C0F" w:rsidP="00C72C0F">
      <w:pPr>
        <w:tabs>
          <w:tab w:val="left" w:pos="1134"/>
        </w:tabs>
        <w:ind w:left="1134" w:hanging="283"/>
        <w:rPr>
          <w:sz w:val="24"/>
          <w:szCs w:val="24"/>
        </w:rPr>
      </w:pPr>
      <w:r w:rsidRPr="00C72C0F">
        <w:rPr>
          <w:sz w:val="24"/>
          <w:szCs w:val="24"/>
        </w:rPr>
        <w:t>•</w:t>
      </w:r>
      <w:r w:rsidRPr="00C72C0F">
        <w:rPr>
          <w:sz w:val="24"/>
          <w:szCs w:val="24"/>
        </w:rPr>
        <w:tab/>
        <w:t>Overfølsomhed over for butyrophenoner.</w:t>
      </w:r>
    </w:p>
    <w:p w14:paraId="0F8D6E73" w14:textId="77777777" w:rsidR="00C72C0F" w:rsidRPr="00C72C0F" w:rsidRDefault="00C72C0F" w:rsidP="00C72C0F">
      <w:pPr>
        <w:tabs>
          <w:tab w:val="left" w:pos="1134"/>
        </w:tabs>
        <w:ind w:left="1134" w:hanging="283"/>
        <w:rPr>
          <w:sz w:val="24"/>
          <w:szCs w:val="24"/>
        </w:rPr>
      </w:pPr>
      <w:r w:rsidRPr="00C72C0F">
        <w:rPr>
          <w:sz w:val="24"/>
          <w:szCs w:val="24"/>
        </w:rPr>
        <w:t>•</w:t>
      </w:r>
      <w:r w:rsidRPr="00C72C0F">
        <w:rPr>
          <w:sz w:val="24"/>
          <w:szCs w:val="24"/>
        </w:rPr>
        <w:tab/>
        <w:t>Kendt eller formodet forlænget QT-interval (QTc &gt; 450 msek. hos kvinder og &gt; 440 msek. hos mænd). Dette omfatter patienter med medfødt langt QT-interval, patienter med medfødt QT-forlængelse i familieanamnesen og patienter i behandling med lægemidler, der vides at forlænge QT-intervallet (se pkt. 4.5).</w:t>
      </w:r>
    </w:p>
    <w:p w14:paraId="3FD2E541" w14:textId="77777777" w:rsidR="00C72C0F" w:rsidRPr="00C72C0F" w:rsidRDefault="00C72C0F" w:rsidP="00C72C0F">
      <w:pPr>
        <w:tabs>
          <w:tab w:val="left" w:pos="1134"/>
        </w:tabs>
        <w:ind w:left="1134" w:hanging="283"/>
        <w:rPr>
          <w:sz w:val="24"/>
          <w:szCs w:val="24"/>
        </w:rPr>
      </w:pPr>
      <w:r w:rsidRPr="00C72C0F">
        <w:rPr>
          <w:sz w:val="24"/>
          <w:szCs w:val="24"/>
        </w:rPr>
        <w:t>•</w:t>
      </w:r>
      <w:r w:rsidRPr="00C72C0F">
        <w:rPr>
          <w:sz w:val="24"/>
          <w:szCs w:val="24"/>
        </w:rPr>
        <w:tab/>
        <w:t>Hypokaliæmi eller hypomagnesiæmi.</w:t>
      </w:r>
    </w:p>
    <w:p w14:paraId="18B1C04A" w14:textId="77777777" w:rsidR="00C72C0F" w:rsidRPr="00C72C0F" w:rsidRDefault="00C72C0F" w:rsidP="00C72C0F">
      <w:pPr>
        <w:tabs>
          <w:tab w:val="left" w:pos="1134"/>
        </w:tabs>
        <w:ind w:left="1134" w:hanging="283"/>
        <w:rPr>
          <w:sz w:val="24"/>
          <w:szCs w:val="24"/>
        </w:rPr>
      </w:pPr>
      <w:r w:rsidRPr="00C72C0F">
        <w:rPr>
          <w:sz w:val="24"/>
          <w:szCs w:val="24"/>
        </w:rPr>
        <w:t>•</w:t>
      </w:r>
      <w:r w:rsidRPr="00C72C0F">
        <w:rPr>
          <w:sz w:val="24"/>
          <w:szCs w:val="24"/>
        </w:rPr>
        <w:tab/>
        <w:t>Bradykardi (&lt; 55 hjerteslag pr. minut).</w:t>
      </w:r>
    </w:p>
    <w:p w14:paraId="762A89E8" w14:textId="77777777" w:rsidR="00C72C0F" w:rsidRPr="00C72C0F" w:rsidRDefault="00C72C0F" w:rsidP="00C72C0F">
      <w:pPr>
        <w:tabs>
          <w:tab w:val="left" w:pos="1134"/>
        </w:tabs>
        <w:ind w:left="1134" w:hanging="283"/>
        <w:rPr>
          <w:sz w:val="24"/>
          <w:szCs w:val="24"/>
        </w:rPr>
      </w:pPr>
      <w:r w:rsidRPr="00C72C0F">
        <w:rPr>
          <w:sz w:val="24"/>
          <w:szCs w:val="24"/>
        </w:rPr>
        <w:t>•</w:t>
      </w:r>
      <w:r w:rsidRPr="00C72C0F">
        <w:rPr>
          <w:sz w:val="24"/>
          <w:szCs w:val="24"/>
        </w:rPr>
        <w:tab/>
        <w:t>Samtidig behandling, der vides at medføre bradykardi.</w:t>
      </w:r>
    </w:p>
    <w:p w14:paraId="58F97DDE" w14:textId="77777777" w:rsidR="00C72C0F" w:rsidRPr="00C72C0F" w:rsidRDefault="00C72C0F" w:rsidP="00C72C0F">
      <w:pPr>
        <w:tabs>
          <w:tab w:val="left" w:pos="1134"/>
        </w:tabs>
        <w:ind w:left="1134" w:hanging="283"/>
        <w:rPr>
          <w:sz w:val="24"/>
          <w:szCs w:val="24"/>
        </w:rPr>
      </w:pPr>
      <w:r w:rsidRPr="00C72C0F">
        <w:rPr>
          <w:sz w:val="24"/>
          <w:szCs w:val="24"/>
        </w:rPr>
        <w:t>•</w:t>
      </w:r>
      <w:r w:rsidRPr="00C72C0F">
        <w:rPr>
          <w:sz w:val="24"/>
          <w:szCs w:val="24"/>
        </w:rPr>
        <w:tab/>
        <w:t>Fæokromocytom.</w:t>
      </w:r>
    </w:p>
    <w:p w14:paraId="765E9FC3" w14:textId="77777777" w:rsidR="00C72C0F" w:rsidRPr="00C72C0F" w:rsidRDefault="00C72C0F" w:rsidP="00C72C0F">
      <w:pPr>
        <w:tabs>
          <w:tab w:val="left" w:pos="1134"/>
        </w:tabs>
        <w:ind w:left="1134" w:hanging="283"/>
        <w:rPr>
          <w:sz w:val="24"/>
          <w:szCs w:val="24"/>
        </w:rPr>
      </w:pPr>
      <w:r w:rsidRPr="00C72C0F">
        <w:rPr>
          <w:sz w:val="24"/>
          <w:szCs w:val="24"/>
        </w:rPr>
        <w:t>•</w:t>
      </w:r>
      <w:r w:rsidRPr="00C72C0F">
        <w:rPr>
          <w:sz w:val="24"/>
          <w:szCs w:val="24"/>
        </w:rPr>
        <w:tab/>
        <w:t>Komatøse tilstande.</w:t>
      </w:r>
    </w:p>
    <w:p w14:paraId="2723EE2F" w14:textId="77777777" w:rsidR="00C72C0F" w:rsidRPr="00C72C0F" w:rsidRDefault="00C72C0F" w:rsidP="00C72C0F">
      <w:pPr>
        <w:tabs>
          <w:tab w:val="left" w:pos="1134"/>
        </w:tabs>
        <w:ind w:left="1134" w:hanging="283"/>
        <w:rPr>
          <w:sz w:val="24"/>
          <w:szCs w:val="24"/>
        </w:rPr>
      </w:pPr>
      <w:r w:rsidRPr="00C72C0F">
        <w:rPr>
          <w:sz w:val="24"/>
          <w:szCs w:val="24"/>
        </w:rPr>
        <w:lastRenderedPageBreak/>
        <w:t>•</w:t>
      </w:r>
      <w:r w:rsidRPr="00C72C0F">
        <w:rPr>
          <w:sz w:val="24"/>
          <w:szCs w:val="24"/>
        </w:rPr>
        <w:tab/>
        <w:t>Parkinsons sygdom.</w:t>
      </w:r>
    </w:p>
    <w:p w14:paraId="28753BBF" w14:textId="77777777" w:rsidR="00C72C0F" w:rsidRPr="00C72C0F" w:rsidRDefault="00C72C0F" w:rsidP="00C72C0F">
      <w:pPr>
        <w:tabs>
          <w:tab w:val="left" w:pos="1134"/>
        </w:tabs>
        <w:ind w:left="1134" w:hanging="283"/>
        <w:rPr>
          <w:sz w:val="24"/>
          <w:szCs w:val="24"/>
        </w:rPr>
      </w:pPr>
      <w:r w:rsidRPr="00C72C0F">
        <w:rPr>
          <w:sz w:val="24"/>
          <w:szCs w:val="24"/>
        </w:rPr>
        <w:t>•</w:t>
      </w:r>
      <w:r w:rsidRPr="00C72C0F">
        <w:rPr>
          <w:sz w:val="24"/>
          <w:szCs w:val="24"/>
        </w:rPr>
        <w:tab/>
        <w:t>Svær depression.</w:t>
      </w:r>
    </w:p>
    <w:p w14:paraId="461B71EB" w14:textId="77777777" w:rsidR="009260DE" w:rsidRPr="00C84483" w:rsidRDefault="009260DE" w:rsidP="009260DE">
      <w:pPr>
        <w:tabs>
          <w:tab w:val="left" w:pos="851"/>
        </w:tabs>
        <w:ind w:left="851"/>
        <w:rPr>
          <w:sz w:val="24"/>
          <w:szCs w:val="24"/>
        </w:rPr>
      </w:pPr>
    </w:p>
    <w:p w14:paraId="25EE3165"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195D60A3" w14:textId="77777777" w:rsidR="00C72C0F" w:rsidRDefault="00C72C0F" w:rsidP="00C72C0F">
      <w:pPr>
        <w:tabs>
          <w:tab w:val="left" w:pos="851"/>
        </w:tabs>
        <w:ind w:left="851"/>
        <w:rPr>
          <w:sz w:val="24"/>
          <w:szCs w:val="24"/>
          <w:u w:val="single"/>
        </w:rPr>
      </w:pPr>
    </w:p>
    <w:p w14:paraId="156AEF11" w14:textId="05188971" w:rsidR="00C72C0F" w:rsidRPr="00C72C0F" w:rsidRDefault="00C72C0F" w:rsidP="00C72C0F">
      <w:pPr>
        <w:tabs>
          <w:tab w:val="left" w:pos="851"/>
        </w:tabs>
        <w:ind w:left="851"/>
        <w:rPr>
          <w:sz w:val="24"/>
          <w:szCs w:val="24"/>
          <w:u w:val="single"/>
        </w:rPr>
      </w:pPr>
      <w:r w:rsidRPr="00C72C0F">
        <w:rPr>
          <w:sz w:val="24"/>
          <w:szCs w:val="24"/>
          <w:u w:val="single"/>
        </w:rPr>
        <w:t>Centralnervesystemet</w:t>
      </w:r>
    </w:p>
    <w:p w14:paraId="42622635" w14:textId="77777777" w:rsidR="00C72C0F" w:rsidRPr="00C72C0F" w:rsidRDefault="00C72C0F" w:rsidP="00C72C0F">
      <w:pPr>
        <w:tabs>
          <w:tab w:val="left" w:pos="851"/>
        </w:tabs>
        <w:ind w:left="851"/>
        <w:rPr>
          <w:sz w:val="24"/>
          <w:szCs w:val="24"/>
        </w:rPr>
      </w:pPr>
      <w:r w:rsidRPr="00C72C0F">
        <w:rPr>
          <w:sz w:val="24"/>
          <w:szCs w:val="24"/>
        </w:rPr>
        <w:t>Droperidol kan forstærke CNS-depression fremkaldt af andre CNS-deprimerende lægemidler. Enhver patient, der undergår anæstesi, og som får potente CNS-deprimerende lægemidler eller udviser symptomer på CNS-depression, bør monitoreres tæt.</w:t>
      </w:r>
    </w:p>
    <w:p w14:paraId="4A60A096" w14:textId="77777777" w:rsidR="00C72C0F" w:rsidRPr="00C72C0F" w:rsidRDefault="00C72C0F" w:rsidP="00C72C0F">
      <w:pPr>
        <w:tabs>
          <w:tab w:val="left" w:pos="851"/>
        </w:tabs>
        <w:ind w:left="851"/>
        <w:rPr>
          <w:sz w:val="24"/>
          <w:szCs w:val="24"/>
        </w:rPr>
      </w:pPr>
    </w:p>
    <w:p w14:paraId="77FD7274" w14:textId="77777777" w:rsidR="00C72C0F" w:rsidRPr="00C72C0F" w:rsidRDefault="00C72C0F" w:rsidP="00C72C0F">
      <w:pPr>
        <w:tabs>
          <w:tab w:val="left" w:pos="851"/>
        </w:tabs>
        <w:ind w:left="851"/>
        <w:rPr>
          <w:sz w:val="24"/>
          <w:szCs w:val="24"/>
        </w:rPr>
      </w:pPr>
      <w:r w:rsidRPr="00C72C0F">
        <w:rPr>
          <w:sz w:val="24"/>
          <w:szCs w:val="24"/>
        </w:rPr>
        <w:t>Samtidig brug af metoclopramid og andre neuroleptika kan medføre øgede ekstrapyramidale symptomer og bør undgås (se pkt. 4.5).</w:t>
      </w:r>
    </w:p>
    <w:p w14:paraId="511CD5C8" w14:textId="77777777" w:rsidR="00C72C0F" w:rsidRPr="00C72C0F" w:rsidRDefault="00C72C0F" w:rsidP="00C72C0F">
      <w:pPr>
        <w:tabs>
          <w:tab w:val="left" w:pos="851"/>
        </w:tabs>
        <w:ind w:left="851"/>
        <w:rPr>
          <w:sz w:val="24"/>
          <w:szCs w:val="24"/>
        </w:rPr>
      </w:pPr>
    </w:p>
    <w:p w14:paraId="5A424D6B" w14:textId="77777777" w:rsidR="00C72C0F" w:rsidRPr="00C72C0F" w:rsidRDefault="00C72C0F" w:rsidP="00C72C0F">
      <w:pPr>
        <w:tabs>
          <w:tab w:val="left" w:pos="851"/>
        </w:tabs>
        <w:ind w:left="851"/>
        <w:rPr>
          <w:sz w:val="24"/>
          <w:szCs w:val="24"/>
        </w:rPr>
      </w:pPr>
      <w:r w:rsidRPr="00C72C0F">
        <w:rPr>
          <w:sz w:val="24"/>
          <w:szCs w:val="24"/>
        </w:rPr>
        <w:t>Droperidol skal anvendes med forsigtighed hos patienter med epilepsi (eller epilepsi i anamnesen) og tilstande, der prædisponerer for epilepsi eller kramper.</w:t>
      </w:r>
    </w:p>
    <w:p w14:paraId="3CA0F410" w14:textId="77777777" w:rsidR="00C72C0F" w:rsidRPr="00C72C0F" w:rsidRDefault="00C72C0F" w:rsidP="00C72C0F">
      <w:pPr>
        <w:tabs>
          <w:tab w:val="left" w:pos="851"/>
        </w:tabs>
        <w:ind w:left="851"/>
        <w:rPr>
          <w:sz w:val="24"/>
          <w:szCs w:val="24"/>
        </w:rPr>
      </w:pPr>
    </w:p>
    <w:p w14:paraId="05BFDCC3" w14:textId="77777777" w:rsidR="00C72C0F" w:rsidRPr="00C72C0F" w:rsidRDefault="00C72C0F" w:rsidP="00C72C0F">
      <w:pPr>
        <w:tabs>
          <w:tab w:val="left" w:pos="851"/>
        </w:tabs>
        <w:ind w:left="851"/>
        <w:rPr>
          <w:sz w:val="24"/>
          <w:szCs w:val="24"/>
          <w:u w:val="single"/>
        </w:rPr>
      </w:pPr>
      <w:r w:rsidRPr="00C72C0F">
        <w:rPr>
          <w:sz w:val="24"/>
          <w:szCs w:val="24"/>
          <w:u w:val="single"/>
        </w:rPr>
        <w:t>Kardiovaskulært system</w:t>
      </w:r>
    </w:p>
    <w:p w14:paraId="2C84DB3D" w14:textId="77777777" w:rsidR="00C72C0F" w:rsidRPr="00C72C0F" w:rsidRDefault="00C72C0F" w:rsidP="00C72C0F">
      <w:pPr>
        <w:tabs>
          <w:tab w:val="left" w:pos="851"/>
        </w:tabs>
        <w:ind w:left="851"/>
        <w:rPr>
          <w:sz w:val="24"/>
          <w:szCs w:val="24"/>
        </w:rPr>
      </w:pPr>
      <w:r w:rsidRPr="00C72C0F">
        <w:rPr>
          <w:sz w:val="24"/>
          <w:szCs w:val="24"/>
        </w:rPr>
        <w:t>Der er blevet observeret mild til moderat hypotension og undertiden (refleks) takykardi efter administration af droperidol. Denne reaktion forsvinder som regel spontant. Hvis hypotensionen vedvarer, skal der imidlertid tages højde for muligheden for hypovolæmi og administreres passende væskeerstatning.</w:t>
      </w:r>
    </w:p>
    <w:p w14:paraId="7FDB880D" w14:textId="77777777" w:rsidR="00C72C0F" w:rsidRPr="00C72C0F" w:rsidRDefault="00C72C0F" w:rsidP="00C72C0F">
      <w:pPr>
        <w:tabs>
          <w:tab w:val="left" w:pos="851"/>
        </w:tabs>
        <w:ind w:left="851"/>
        <w:rPr>
          <w:sz w:val="24"/>
          <w:szCs w:val="24"/>
        </w:rPr>
      </w:pPr>
    </w:p>
    <w:p w14:paraId="23FF5336" w14:textId="77777777" w:rsidR="00C72C0F" w:rsidRPr="00C72C0F" w:rsidRDefault="00C72C0F" w:rsidP="00C72C0F">
      <w:pPr>
        <w:tabs>
          <w:tab w:val="left" w:pos="851"/>
        </w:tabs>
        <w:ind w:left="851"/>
        <w:rPr>
          <w:sz w:val="24"/>
          <w:szCs w:val="24"/>
        </w:rPr>
      </w:pPr>
      <w:r w:rsidRPr="00C72C0F">
        <w:rPr>
          <w:sz w:val="24"/>
          <w:szCs w:val="24"/>
        </w:rPr>
        <w:t>Patienter, der har eller formodes at have følgende risikofaktorer for hjertearytmi, bør vurderes nøje før administration af droperidol:</w:t>
      </w:r>
    </w:p>
    <w:p w14:paraId="1527F518" w14:textId="77777777" w:rsidR="00C72C0F" w:rsidRPr="00C72C0F" w:rsidRDefault="00C72C0F" w:rsidP="00C72C0F">
      <w:pPr>
        <w:numPr>
          <w:ilvl w:val="0"/>
          <w:numId w:val="6"/>
        </w:numPr>
        <w:tabs>
          <w:tab w:val="left" w:pos="851"/>
        </w:tabs>
        <w:ind w:left="1134" w:hanging="283"/>
        <w:rPr>
          <w:sz w:val="24"/>
          <w:szCs w:val="24"/>
        </w:rPr>
      </w:pPr>
      <w:r w:rsidRPr="00C72C0F">
        <w:rPr>
          <w:sz w:val="24"/>
          <w:szCs w:val="24"/>
        </w:rPr>
        <w:t>Anamnese med signifikant hjertesygdom, herunder alvorlig ventrikulær arytmi, atrioventrikulært blok af anden eller tredje grad, sinusknudedysfunktion, kongestivt hjertesvigt, iskæmisk hjertesygdom og hypertrofi af venstre ventrikel.</w:t>
      </w:r>
    </w:p>
    <w:p w14:paraId="38F24F38" w14:textId="77777777" w:rsidR="00C72C0F" w:rsidRPr="00C72C0F" w:rsidRDefault="00C72C0F" w:rsidP="00C72C0F">
      <w:pPr>
        <w:numPr>
          <w:ilvl w:val="0"/>
          <w:numId w:val="6"/>
        </w:numPr>
        <w:tabs>
          <w:tab w:val="left" w:pos="851"/>
        </w:tabs>
        <w:ind w:left="1134" w:hanging="283"/>
        <w:rPr>
          <w:sz w:val="24"/>
          <w:szCs w:val="24"/>
        </w:rPr>
      </w:pPr>
      <w:r w:rsidRPr="00C72C0F">
        <w:rPr>
          <w:sz w:val="24"/>
          <w:szCs w:val="24"/>
        </w:rPr>
        <w:t>Familieanamnese med pludselig død.</w:t>
      </w:r>
    </w:p>
    <w:p w14:paraId="42D5E558" w14:textId="77777777" w:rsidR="00C72C0F" w:rsidRPr="00C72C0F" w:rsidRDefault="00C72C0F" w:rsidP="00C72C0F">
      <w:pPr>
        <w:numPr>
          <w:ilvl w:val="0"/>
          <w:numId w:val="6"/>
        </w:numPr>
        <w:tabs>
          <w:tab w:val="left" w:pos="851"/>
        </w:tabs>
        <w:ind w:left="1134" w:hanging="283"/>
        <w:rPr>
          <w:sz w:val="24"/>
          <w:szCs w:val="24"/>
        </w:rPr>
      </w:pPr>
      <w:r w:rsidRPr="00C72C0F">
        <w:rPr>
          <w:sz w:val="24"/>
          <w:szCs w:val="24"/>
        </w:rPr>
        <w:t>Nyresvigt (særligt i tilfælde af kronisk dialyse).</w:t>
      </w:r>
    </w:p>
    <w:p w14:paraId="22CC3E2F" w14:textId="77777777" w:rsidR="00C72C0F" w:rsidRPr="00C72C0F" w:rsidRDefault="00C72C0F" w:rsidP="00C72C0F">
      <w:pPr>
        <w:numPr>
          <w:ilvl w:val="0"/>
          <w:numId w:val="6"/>
        </w:numPr>
        <w:tabs>
          <w:tab w:val="left" w:pos="851"/>
        </w:tabs>
        <w:ind w:left="1134" w:hanging="283"/>
        <w:rPr>
          <w:sz w:val="24"/>
          <w:szCs w:val="24"/>
        </w:rPr>
      </w:pPr>
      <w:r w:rsidRPr="00C72C0F">
        <w:rPr>
          <w:sz w:val="24"/>
          <w:szCs w:val="24"/>
        </w:rPr>
        <w:t>Signifikant kronisk obstruktiv lungesygdom og respirationssvigt.</w:t>
      </w:r>
    </w:p>
    <w:p w14:paraId="107A430E" w14:textId="77777777" w:rsidR="00C72C0F" w:rsidRPr="00C72C0F" w:rsidRDefault="00C72C0F" w:rsidP="00C72C0F">
      <w:pPr>
        <w:numPr>
          <w:ilvl w:val="0"/>
          <w:numId w:val="6"/>
        </w:numPr>
        <w:tabs>
          <w:tab w:val="left" w:pos="851"/>
        </w:tabs>
        <w:ind w:left="1134" w:hanging="283"/>
        <w:rPr>
          <w:sz w:val="24"/>
          <w:szCs w:val="24"/>
        </w:rPr>
      </w:pPr>
      <w:r w:rsidRPr="00C72C0F">
        <w:rPr>
          <w:sz w:val="24"/>
          <w:szCs w:val="24"/>
        </w:rPr>
        <w:t>Risikofaktorer for elektrolytforstyrrelser, der ses hos patienter, der tager laksantia, glukokortikoider, ikke-kaliumbesparende diuretika, ved administration af insulin i akut regi eller i tilfælde af langvarig opkastning og/eller diarré.</w:t>
      </w:r>
    </w:p>
    <w:p w14:paraId="3D6B297B" w14:textId="77777777" w:rsidR="00C72C0F" w:rsidRPr="00C72C0F" w:rsidRDefault="00C72C0F" w:rsidP="00C72C0F">
      <w:pPr>
        <w:tabs>
          <w:tab w:val="left" w:pos="851"/>
        </w:tabs>
        <w:ind w:left="851"/>
        <w:rPr>
          <w:sz w:val="24"/>
          <w:szCs w:val="24"/>
        </w:rPr>
      </w:pPr>
    </w:p>
    <w:p w14:paraId="532332C4" w14:textId="77777777" w:rsidR="00C72C0F" w:rsidRPr="00C72C0F" w:rsidRDefault="00C72C0F" w:rsidP="00C72C0F">
      <w:pPr>
        <w:tabs>
          <w:tab w:val="left" w:pos="851"/>
        </w:tabs>
        <w:ind w:left="851"/>
        <w:rPr>
          <w:sz w:val="24"/>
          <w:szCs w:val="24"/>
        </w:rPr>
      </w:pPr>
      <w:r w:rsidRPr="00C72C0F">
        <w:rPr>
          <w:sz w:val="24"/>
          <w:szCs w:val="24"/>
        </w:rPr>
        <w:t>Hos patienter med risiko for hjertearytmi skal serumelektrolytter og kreatininniveau vurderes og tilstedeværelse af QT-forlængelse udelukkes før administration af droperidol.</w:t>
      </w:r>
    </w:p>
    <w:p w14:paraId="085F764D" w14:textId="77777777" w:rsidR="00C72C0F" w:rsidRPr="00C72C0F" w:rsidRDefault="00C72C0F" w:rsidP="00C72C0F">
      <w:pPr>
        <w:tabs>
          <w:tab w:val="left" w:pos="851"/>
        </w:tabs>
        <w:ind w:left="851"/>
        <w:rPr>
          <w:sz w:val="24"/>
          <w:szCs w:val="24"/>
        </w:rPr>
      </w:pPr>
    </w:p>
    <w:p w14:paraId="514A2D6E" w14:textId="77777777" w:rsidR="00C72C0F" w:rsidRPr="00C72C0F" w:rsidRDefault="00C72C0F" w:rsidP="00C72C0F">
      <w:pPr>
        <w:tabs>
          <w:tab w:val="left" w:pos="851"/>
        </w:tabs>
        <w:ind w:left="851"/>
        <w:rPr>
          <w:sz w:val="24"/>
          <w:szCs w:val="24"/>
        </w:rPr>
      </w:pPr>
      <w:r w:rsidRPr="00C72C0F">
        <w:rPr>
          <w:sz w:val="24"/>
          <w:szCs w:val="24"/>
        </w:rPr>
        <w:t>Hos patienter med identificeret eller formodet risiko for ventrikulær arytmi bør der udføres kontinuerlig pulsoximetri, som fortsættes i 30 minutter efter en enkelt intravenøs administration.</w:t>
      </w:r>
    </w:p>
    <w:p w14:paraId="25BDBD6A" w14:textId="77777777" w:rsidR="00C72C0F" w:rsidRPr="00C72C0F" w:rsidRDefault="00C72C0F" w:rsidP="00C72C0F">
      <w:pPr>
        <w:tabs>
          <w:tab w:val="left" w:pos="851"/>
        </w:tabs>
        <w:ind w:left="851"/>
        <w:rPr>
          <w:sz w:val="24"/>
          <w:szCs w:val="24"/>
        </w:rPr>
      </w:pPr>
    </w:p>
    <w:p w14:paraId="7B1846EC" w14:textId="77777777" w:rsidR="00C72C0F" w:rsidRPr="00C72C0F" w:rsidRDefault="00C72C0F" w:rsidP="00C72C0F">
      <w:pPr>
        <w:tabs>
          <w:tab w:val="left" w:pos="851"/>
        </w:tabs>
        <w:ind w:left="851"/>
        <w:rPr>
          <w:sz w:val="24"/>
          <w:szCs w:val="24"/>
          <w:u w:val="single"/>
        </w:rPr>
      </w:pPr>
      <w:r w:rsidRPr="00C72C0F">
        <w:rPr>
          <w:sz w:val="24"/>
          <w:szCs w:val="24"/>
          <w:u w:val="single"/>
        </w:rPr>
        <w:t>Generelt</w:t>
      </w:r>
    </w:p>
    <w:p w14:paraId="7589E524" w14:textId="77777777" w:rsidR="00C72C0F" w:rsidRPr="00C72C0F" w:rsidRDefault="00C72C0F" w:rsidP="00C72C0F">
      <w:pPr>
        <w:tabs>
          <w:tab w:val="left" w:pos="851"/>
        </w:tabs>
        <w:ind w:left="851"/>
        <w:rPr>
          <w:sz w:val="24"/>
          <w:szCs w:val="24"/>
        </w:rPr>
      </w:pPr>
      <w:r w:rsidRPr="00C72C0F">
        <w:rPr>
          <w:sz w:val="24"/>
          <w:szCs w:val="24"/>
        </w:rPr>
        <w:t>For at forebygge QT-forlængelse skal der udvises forsigtighed hos patienter, der tager lægemidler, der kan forventes at forårsage elektrolytforstyrrelser (hypokaliæmi og/eller hypomagnesiæmi), f.eks. ikke-kaliumbesparende diuretika, laksantia og glukokortikoider,.</w:t>
      </w:r>
    </w:p>
    <w:p w14:paraId="46288C17" w14:textId="77777777" w:rsidR="00C72C0F" w:rsidRPr="00C72C0F" w:rsidRDefault="00C72C0F" w:rsidP="00C72C0F">
      <w:pPr>
        <w:tabs>
          <w:tab w:val="left" w:pos="851"/>
        </w:tabs>
        <w:ind w:left="851"/>
        <w:rPr>
          <w:sz w:val="24"/>
          <w:szCs w:val="24"/>
        </w:rPr>
      </w:pPr>
    </w:p>
    <w:p w14:paraId="1C932B7E" w14:textId="77777777" w:rsidR="00C72C0F" w:rsidRPr="00C72C0F" w:rsidRDefault="00C72C0F" w:rsidP="00C72C0F">
      <w:pPr>
        <w:tabs>
          <w:tab w:val="left" w:pos="851"/>
        </w:tabs>
        <w:ind w:left="851"/>
        <w:rPr>
          <w:sz w:val="24"/>
          <w:szCs w:val="24"/>
        </w:rPr>
      </w:pPr>
      <w:r w:rsidRPr="00C72C0F">
        <w:rPr>
          <w:sz w:val="24"/>
          <w:szCs w:val="24"/>
        </w:rPr>
        <w:t>Stoffer, der hæmmer aktiviteten af cytokrom P450-isoenzym (CYP) CYP1A2, CYP3A4 eller begge, kan reducere droperidols metaboliseringshastighed og forlænge den farmakologiske virkning. Der bør derfor udvises forsigtighed ved samtidig administration af droperidol og stærke CYP1A2 og CYP3A4-hæmmere (se pkt. 4.5).</w:t>
      </w:r>
    </w:p>
    <w:p w14:paraId="54F85225" w14:textId="77777777" w:rsidR="00C72C0F" w:rsidRPr="00C72C0F" w:rsidRDefault="00C72C0F" w:rsidP="00C72C0F">
      <w:pPr>
        <w:tabs>
          <w:tab w:val="left" w:pos="851"/>
        </w:tabs>
        <w:ind w:left="851"/>
        <w:rPr>
          <w:sz w:val="24"/>
          <w:szCs w:val="24"/>
        </w:rPr>
      </w:pPr>
    </w:p>
    <w:p w14:paraId="55743952" w14:textId="77777777" w:rsidR="00C72C0F" w:rsidRPr="00C72C0F" w:rsidRDefault="00C72C0F" w:rsidP="00C72C0F">
      <w:pPr>
        <w:tabs>
          <w:tab w:val="left" w:pos="851"/>
        </w:tabs>
        <w:ind w:left="851"/>
        <w:rPr>
          <w:sz w:val="24"/>
          <w:szCs w:val="24"/>
        </w:rPr>
      </w:pPr>
      <w:r w:rsidRPr="00C72C0F">
        <w:rPr>
          <w:sz w:val="24"/>
          <w:szCs w:val="24"/>
        </w:rPr>
        <w:lastRenderedPageBreak/>
        <w:t>Patienter, der vides eller formodes at have alkoholmisbrug i anamnesen eller nylige høje indtag, bør vurderes grundigt før administration af droperidol.</w:t>
      </w:r>
    </w:p>
    <w:p w14:paraId="66C7DD7F" w14:textId="77777777" w:rsidR="00C72C0F" w:rsidRPr="00C72C0F" w:rsidRDefault="00C72C0F" w:rsidP="00C72C0F">
      <w:pPr>
        <w:tabs>
          <w:tab w:val="left" w:pos="851"/>
        </w:tabs>
        <w:ind w:left="851"/>
        <w:rPr>
          <w:sz w:val="24"/>
          <w:szCs w:val="24"/>
        </w:rPr>
      </w:pPr>
    </w:p>
    <w:p w14:paraId="1C8941C2" w14:textId="77777777" w:rsidR="00C72C0F" w:rsidRPr="00C72C0F" w:rsidRDefault="00C72C0F" w:rsidP="00C72C0F">
      <w:pPr>
        <w:tabs>
          <w:tab w:val="left" w:pos="851"/>
        </w:tabs>
        <w:ind w:left="851"/>
        <w:rPr>
          <w:sz w:val="24"/>
          <w:szCs w:val="24"/>
        </w:rPr>
      </w:pPr>
      <w:r w:rsidRPr="00C72C0F">
        <w:rPr>
          <w:sz w:val="24"/>
          <w:szCs w:val="24"/>
        </w:rPr>
        <w:t>I tilfælde af uforklaret hypertermi er det meget vigtigt at seponere behandlingen, da det kan være tegn på et malignt syndrom, der er indberettet med neuroleptika.</w:t>
      </w:r>
    </w:p>
    <w:p w14:paraId="58AC632D" w14:textId="77777777" w:rsidR="00C72C0F" w:rsidRPr="00C72C0F" w:rsidRDefault="00C72C0F" w:rsidP="00C72C0F">
      <w:pPr>
        <w:tabs>
          <w:tab w:val="left" w:pos="851"/>
        </w:tabs>
        <w:ind w:left="851"/>
        <w:rPr>
          <w:sz w:val="24"/>
          <w:szCs w:val="24"/>
        </w:rPr>
      </w:pPr>
    </w:p>
    <w:p w14:paraId="68659BEC" w14:textId="77777777" w:rsidR="00C72C0F" w:rsidRPr="00C72C0F" w:rsidRDefault="00C72C0F" w:rsidP="00C72C0F">
      <w:pPr>
        <w:tabs>
          <w:tab w:val="left" w:pos="851"/>
        </w:tabs>
        <w:ind w:left="851"/>
        <w:rPr>
          <w:sz w:val="24"/>
          <w:szCs w:val="24"/>
        </w:rPr>
      </w:pPr>
      <w:r w:rsidRPr="00C72C0F">
        <w:rPr>
          <w:sz w:val="24"/>
          <w:szCs w:val="24"/>
        </w:rPr>
        <w:t>Der er indberettet tilfælde af venøs tromboemboli (VTE) med antipsykotika. Eftersom patienter i behandling med antipsykotika ofte har erhvervede risikofaktorer for VTE, skal alle potentielle risikofaktorer for VTE identificeres før og under behandling med droperidol og forebyggende foranstaltninger iværksættes.</w:t>
      </w:r>
    </w:p>
    <w:p w14:paraId="1D1BA020" w14:textId="77777777" w:rsidR="00C72C0F" w:rsidRPr="00C72C0F" w:rsidRDefault="00C72C0F" w:rsidP="00C72C0F">
      <w:pPr>
        <w:tabs>
          <w:tab w:val="left" w:pos="851"/>
        </w:tabs>
        <w:ind w:left="851"/>
        <w:rPr>
          <w:sz w:val="24"/>
          <w:szCs w:val="24"/>
        </w:rPr>
      </w:pPr>
    </w:p>
    <w:p w14:paraId="47DABAF9" w14:textId="77777777" w:rsidR="00C72C0F" w:rsidRPr="00C72C0F" w:rsidRDefault="00C72C0F" w:rsidP="00C72C0F">
      <w:pPr>
        <w:tabs>
          <w:tab w:val="left" w:pos="851"/>
        </w:tabs>
        <w:ind w:left="851"/>
        <w:rPr>
          <w:sz w:val="24"/>
          <w:szCs w:val="24"/>
        </w:rPr>
      </w:pPr>
      <w:r w:rsidRPr="00C72C0F">
        <w:rPr>
          <w:sz w:val="24"/>
          <w:szCs w:val="24"/>
        </w:rPr>
        <w:t>Dette lægemiddel indeholder mindre end 1 mmol (23 mg) natrium pr. ampul med 1 ml, dvs. det er i det væsentlige natriumfrit.</w:t>
      </w:r>
    </w:p>
    <w:p w14:paraId="2D43CA02" w14:textId="77777777" w:rsidR="00C72C0F" w:rsidRPr="00C72C0F" w:rsidRDefault="00C72C0F" w:rsidP="00C72C0F">
      <w:pPr>
        <w:tabs>
          <w:tab w:val="left" w:pos="851"/>
        </w:tabs>
        <w:ind w:left="851"/>
        <w:rPr>
          <w:sz w:val="24"/>
          <w:szCs w:val="24"/>
        </w:rPr>
      </w:pPr>
    </w:p>
    <w:p w14:paraId="56403690"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5D0BC36A" w14:textId="77777777" w:rsidR="00B964CE" w:rsidRPr="00B964CE" w:rsidRDefault="00B964CE" w:rsidP="00B964CE">
      <w:pPr>
        <w:tabs>
          <w:tab w:val="left" w:pos="851"/>
        </w:tabs>
        <w:ind w:left="851"/>
        <w:rPr>
          <w:sz w:val="24"/>
          <w:szCs w:val="24"/>
        </w:rPr>
      </w:pPr>
      <w:r w:rsidRPr="00B964CE">
        <w:rPr>
          <w:sz w:val="24"/>
          <w:szCs w:val="24"/>
        </w:rPr>
        <w:t>Lægemidler, der vides at forårsage “</w:t>
      </w:r>
      <w:r w:rsidRPr="00B964CE">
        <w:rPr>
          <w:i/>
          <w:iCs/>
          <w:sz w:val="24"/>
          <w:szCs w:val="24"/>
        </w:rPr>
        <w:t>torsades de pointes</w:t>
      </w:r>
      <w:r w:rsidRPr="00B964CE">
        <w:rPr>
          <w:sz w:val="24"/>
          <w:szCs w:val="24"/>
        </w:rPr>
        <w:t>” via QT-forlængelse, bør ikke administreres samtidig med droperidol. Eksempler herpå omfatter:</w:t>
      </w:r>
    </w:p>
    <w:p w14:paraId="27549140" w14:textId="77777777" w:rsidR="00B964CE" w:rsidRPr="00B964CE" w:rsidRDefault="00B964CE" w:rsidP="00B964CE">
      <w:pPr>
        <w:numPr>
          <w:ilvl w:val="0"/>
          <w:numId w:val="6"/>
        </w:numPr>
        <w:tabs>
          <w:tab w:val="left" w:pos="851"/>
        </w:tabs>
        <w:ind w:left="1134" w:hanging="283"/>
        <w:rPr>
          <w:sz w:val="24"/>
          <w:szCs w:val="24"/>
        </w:rPr>
      </w:pPr>
      <w:r w:rsidRPr="00B964CE">
        <w:rPr>
          <w:sz w:val="24"/>
          <w:szCs w:val="24"/>
        </w:rPr>
        <w:t>Klasse IA antiarytmika.</w:t>
      </w:r>
    </w:p>
    <w:p w14:paraId="7255129F" w14:textId="77777777" w:rsidR="00B964CE" w:rsidRPr="00B964CE" w:rsidRDefault="00B964CE" w:rsidP="00B964CE">
      <w:pPr>
        <w:numPr>
          <w:ilvl w:val="0"/>
          <w:numId w:val="6"/>
        </w:numPr>
        <w:tabs>
          <w:tab w:val="left" w:pos="851"/>
        </w:tabs>
        <w:ind w:left="1134" w:hanging="283"/>
        <w:rPr>
          <w:sz w:val="24"/>
          <w:szCs w:val="24"/>
        </w:rPr>
      </w:pPr>
      <w:r w:rsidRPr="00B964CE">
        <w:rPr>
          <w:sz w:val="24"/>
          <w:szCs w:val="24"/>
        </w:rPr>
        <w:t>Klasse III antiarytmika.</w:t>
      </w:r>
    </w:p>
    <w:p w14:paraId="44B85DD0" w14:textId="77777777" w:rsidR="00B964CE" w:rsidRPr="00B964CE" w:rsidRDefault="00B964CE" w:rsidP="00B964CE">
      <w:pPr>
        <w:numPr>
          <w:ilvl w:val="0"/>
          <w:numId w:val="6"/>
        </w:numPr>
        <w:tabs>
          <w:tab w:val="left" w:pos="851"/>
        </w:tabs>
        <w:ind w:left="1134" w:hanging="283"/>
        <w:rPr>
          <w:sz w:val="24"/>
          <w:szCs w:val="24"/>
        </w:rPr>
      </w:pPr>
      <w:r w:rsidRPr="00B964CE">
        <w:rPr>
          <w:sz w:val="24"/>
          <w:szCs w:val="24"/>
        </w:rPr>
        <w:t>Makrolidantibiotika.</w:t>
      </w:r>
    </w:p>
    <w:p w14:paraId="6FF3DEBC" w14:textId="77777777" w:rsidR="00B964CE" w:rsidRPr="00B964CE" w:rsidRDefault="00B964CE" w:rsidP="00B964CE">
      <w:pPr>
        <w:numPr>
          <w:ilvl w:val="0"/>
          <w:numId w:val="6"/>
        </w:numPr>
        <w:tabs>
          <w:tab w:val="left" w:pos="851"/>
        </w:tabs>
        <w:ind w:left="1134" w:hanging="283"/>
        <w:rPr>
          <w:sz w:val="24"/>
          <w:szCs w:val="24"/>
        </w:rPr>
      </w:pPr>
      <w:r w:rsidRPr="00B964CE">
        <w:rPr>
          <w:sz w:val="24"/>
          <w:szCs w:val="24"/>
        </w:rPr>
        <w:t>Fluoroquinolon-antibiotika.</w:t>
      </w:r>
    </w:p>
    <w:p w14:paraId="79B4BAE5" w14:textId="77777777" w:rsidR="00B964CE" w:rsidRPr="00B964CE" w:rsidRDefault="00B964CE" w:rsidP="00B964CE">
      <w:pPr>
        <w:numPr>
          <w:ilvl w:val="0"/>
          <w:numId w:val="6"/>
        </w:numPr>
        <w:tabs>
          <w:tab w:val="left" w:pos="851"/>
        </w:tabs>
        <w:ind w:left="1134" w:hanging="283"/>
        <w:rPr>
          <w:sz w:val="24"/>
          <w:szCs w:val="24"/>
        </w:rPr>
      </w:pPr>
      <w:r w:rsidRPr="00B964CE">
        <w:rPr>
          <w:sz w:val="24"/>
          <w:szCs w:val="24"/>
        </w:rPr>
        <w:t>Antihistaminer.</w:t>
      </w:r>
    </w:p>
    <w:p w14:paraId="2572D2E9" w14:textId="77777777" w:rsidR="00B964CE" w:rsidRPr="00B964CE" w:rsidRDefault="00B964CE" w:rsidP="00B964CE">
      <w:pPr>
        <w:numPr>
          <w:ilvl w:val="0"/>
          <w:numId w:val="6"/>
        </w:numPr>
        <w:tabs>
          <w:tab w:val="left" w:pos="851"/>
        </w:tabs>
        <w:ind w:left="1134" w:hanging="283"/>
        <w:rPr>
          <w:sz w:val="24"/>
          <w:szCs w:val="24"/>
        </w:rPr>
      </w:pPr>
      <w:r w:rsidRPr="00B964CE">
        <w:rPr>
          <w:sz w:val="24"/>
          <w:szCs w:val="24"/>
        </w:rPr>
        <w:t>Visse antipsykotiske lægemidler.</w:t>
      </w:r>
    </w:p>
    <w:p w14:paraId="411207E4" w14:textId="77777777" w:rsidR="00B964CE" w:rsidRPr="00B964CE" w:rsidRDefault="00B964CE" w:rsidP="00B964CE">
      <w:pPr>
        <w:numPr>
          <w:ilvl w:val="0"/>
          <w:numId w:val="6"/>
        </w:numPr>
        <w:tabs>
          <w:tab w:val="left" w:pos="851"/>
        </w:tabs>
        <w:ind w:left="1134" w:hanging="283"/>
        <w:rPr>
          <w:sz w:val="24"/>
          <w:szCs w:val="24"/>
        </w:rPr>
      </w:pPr>
      <w:r w:rsidRPr="00B964CE">
        <w:rPr>
          <w:sz w:val="24"/>
          <w:szCs w:val="24"/>
        </w:rPr>
        <w:t>Lægemidler mod malaria.</w:t>
      </w:r>
    </w:p>
    <w:p w14:paraId="6BC58819" w14:textId="77777777" w:rsidR="00B964CE" w:rsidRPr="00B964CE" w:rsidRDefault="00B964CE" w:rsidP="00B964CE">
      <w:pPr>
        <w:numPr>
          <w:ilvl w:val="0"/>
          <w:numId w:val="6"/>
        </w:numPr>
        <w:tabs>
          <w:tab w:val="left" w:pos="851"/>
        </w:tabs>
        <w:ind w:left="1134" w:hanging="283"/>
        <w:rPr>
          <w:sz w:val="24"/>
          <w:szCs w:val="24"/>
        </w:rPr>
      </w:pPr>
      <w:r w:rsidRPr="00B964CE">
        <w:rPr>
          <w:sz w:val="24"/>
          <w:szCs w:val="24"/>
        </w:rPr>
        <w:t>Cisaprid, domperidon, methadon, pentamidin.</w:t>
      </w:r>
    </w:p>
    <w:p w14:paraId="140311DC" w14:textId="77777777" w:rsidR="00B964CE" w:rsidRPr="00B964CE" w:rsidRDefault="00B964CE" w:rsidP="00B964CE">
      <w:pPr>
        <w:tabs>
          <w:tab w:val="left" w:pos="851"/>
        </w:tabs>
        <w:ind w:left="851"/>
        <w:rPr>
          <w:sz w:val="24"/>
          <w:szCs w:val="24"/>
        </w:rPr>
      </w:pPr>
    </w:p>
    <w:p w14:paraId="54D0D241" w14:textId="77777777" w:rsidR="00B964CE" w:rsidRPr="00B964CE" w:rsidRDefault="00B964CE" w:rsidP="00B964CE">
      <w:pPr>
        <w:tabs>
          <w:tab w:val="left" w:pos="851"/>
        </w:tabs>
        <w:ind w:left="851"/>
        <w:rPr>
          <w:sz w:val="24"/>
          <w:szCs w:val="24"/>
        </w:rPr>
      </w:pPr>
      <w:r w:rsidRPr="00B964CE">
        <w:rPr>
          <w:sz w:val="24"/>
          <w:szCs w:val="24"/>
        </w:rPr>
        <w:t>Samtidig brug af lægemidler, der forårsager ekstrapyramidale symptomer, f.eks. metoclopramid og andre neuroleptika, kan medføre en øget forekomst af disse symptomer og bør derfor undgås.</w:t>
      </w:r>
    </w:p>
    <w:p w14:paraId="6A1EDD54" w14:textId="77777777" w:rsidR="00B964CE" w:rsidRPr="00B964CE" w:rsidRDefault="00B964CE" w:rsidP="00B964CE">
      <w:pPr>
        <w:tabs>
          <w:tab w:val="left" w:pos="851"/>
        </w:tabs>
        <w:ind w:left="851"/>
        <w:rPr>
          <w:sz w:val="24"/>
          <w:szCs w:val="24"/>
        </w:rPr>
      </w:pPr>
    </w:p>
    <w:p w14:paraId="3D1DD7ED" w14:textId="77777777" w:rsidR="00B964CE" w:rsidRPr="00B964CE" w:rsidRDefault="00B964CE" w:rsidP="00B964CE">
      <w:pPr>
        <w:tabs>
          <w:tab w:val="left" w:pos="851"/>
        </w:tabs>
        <w:ind w:left="851"/>
        <w:rPr>
          <w:sz w:val="24"/>
          <w:szCs w:val="24"/>
        </w:rPr>
      </w:pPr>
      <w:r w:rsidRPr="00B964CE">
        <w:rPr>
          <w:sz w:val="24"/>
          <w:szCs w:val="24"/>
        </w:rPr>
        <w:t>Indtagelse af alkoholiske drikke og lægemidler bør undgås.</w:t>
      </w:r>
    </w:p>
    <w:p w14:paraId="3CF174F7" w14:textId="77777777" w:rsidR="00B964CE" w:rsidRPr="00B964CE" w:rsidRDefault="00B964CE" w:rsidP="00B964CE">
      <w:pPr>
        <w:tabs>
          <w:tab w:val="left" w:pos="851"/>
        </w:tabs>
        <w:ind w:left="851"/>
        <w:rPr>
          <w:sz w:val="24"/>
          <w:szCs w:val="24"/>
        </w:rPr>
      </w:pPr>
    </w:p>
    <w:p w14:paraId="162107B7" w14:textId="77777777" w:rsidR="00B964CE" w:rsidRPr="00B964CE" w:rsidRDefault="00B964CE" w:rsidP="00B964CE">
      <w:pPr>
        <w:tabs>
          <w:tab w:val="left" w:pos="851"/>
        </w:tabs>
        <w:ind w:left="851"/>
        <w:rPr>
          <w:sz w:val="24"/>
          <w:szCs w:val="24"/>
        </w:rPr>
      </w:pPr>
      <w:r w:rsidRPr="00B964CE">
        <w:rPr>
          <w:sz w:val="24"/>
          <w:szCs w:val="24"/>
          <w:u w:val="single"/>
        </w:rPr>
        <w:t>Det tilrådes at udvise forsigtighed ved samtidig brug</w:t>
      </w:r>
    </w:p>
    <w:p w14:paraId="6C637D8A" w14:textId="77777777" w:rsidR="00B964CE" w:rsidRPr="00B964CE" w:rsidRDefault="00B964CE" w:rsidP="00B964CE">
      <w:pPr>
        <w:tabs>
          <w:tab w:val="left" w:pos="851"/>
        </w:tabs>
        <w:ind w:left="851"/>
        <w:rPr>
          <w:sz w:val="24"/>
          <w:szCs w:val="24"/>
        </w:rPr>
      </w:pPr>
      <w:r w:rsidRPr="00B964CE">
        <w:rPr>
          <w:sz w:val="24"/>
          <w:szCs w:val="24"/>
        </w:rPr>
        <w:t>For at reducere risikoen for QT-forlængelse skal der udvises forsigtighed hos patienter, der tager lægemidler, der kan forventes at forårsage elektrolytforstyrrelser (hypokaliæmi og/eller hypomagnesiæmi), f.eks. ikke-kaliumbesparende diuretika, laksantia og glukokortikoider.</w:t>
      </w:r>
    </w:p>
    <w:p w14:paraId="3FD40414" w14:textId="77777777" w:rsidR="00B964CE" w:rsidRPr="00B964CE" w:rsidRDefault="00B964CE" w:rsidP="00B964CE">
      <w:pPr>
        <w:tabs>
          <w:tab w:val="left" w:pos="851"/>
        </w:tabs>
        <w:ind w:left="851"/>
        <w:rPr>
          <w:sz w:val="24"/>
          <w:szCs w:val="24"/>
        </w:rPr>
      </w:pPr>
    </w:p>
    <w:p w14:paraId="43AD514D" w14:textId="77777777" w:rsidR="00B964CE" w:rsidRPr="00B964CE" w:rsidRDefault="00B964CE" w:rsidP="00B964CE">
      <w:pPr>
        <w:tabs>
          <w:tab w:val="left" w:pos="851"/>
        </w:tabs>
        <w:ind w:left="851"/>
        <w:rPr>
          <w:sz w:val="24"/>
          <w:szCs w:val="24"/>
        </w:rPr>
      </w:pPr>
      <w:r w:rsidRPr="00B964CE">
        <w:rPr>
          <w:sz w:val="24"/>
          <w:szCs w:val="24"/>
        </w:rPr>
        <w:t>Droperidol kan forstærke virkningen af sedativa (barbiturater, benzodiazepiner, morfinderivater). Det samme gælder for antihypertensiva, hvilket kan resultere i ortostatisk hypotension.</w:t>
      </w:r>
    </w:p>
    <w:p w14:paraId="6B14CF3C" w14:textId="77777777" w:rsidR="00B964CE" w:rsidRPr="00B964CE" w:rsidRDefault="00B964CE" w:rsidP="00B964CE">
      <w:pPr>
        <w:tabs>
          <w:tab w:val="left" w:pos="851"/>
        </w:tabs>
        <w:ind w:left="851"/>
        <w:rPr>
          <w:sz w:val="24"/>
          <w:szCs w:val="24"/>
        </w:rPr>
      </w:pPr>
    </w:p>
    <w:p w14:paraId="185F2FF4" w14:textId="77777777" w:rsidR="00B964CE" w:rsidRPr="00B964CE" w:rsidRDefault="00B964CE" w:rsidP="00B964CE">
      <w:pPr>
        <w:tabs>
          <w:tab w:val="left" w:pos="851"/>
        </w:tabs>
        <w:ind w:left="851"/>
        <w:rPr>
          <w:sz w:val="24"/>
          <w:szCs w:val="24"/>
        </w:rPr>
      </w:pPr>
      <w:r w:rsidRPr="00B964CE">
        <w:rPr>
          <w:sz w:val="24"/>
          <w:szCs w:val="24"/>
        </w:rPr>
        <w:t>Droperidol kan forstærke opioidforårsaget respirationsdepression.</w:t>
      </w:r>
    </w:p>
    <w:p w14:paraId="16BF608F" w14:textId="77777777" w:rsidR="00B964CE" w:rsidRPr="00B964CE" w:rsidRDefault="00B964CE" w:rsidP="00B964CE">
      <w:pPr>
        <w:tabs>
          <w:tab w:val="left" w:pos="851"/>
        </w:tabs>
        <w:ind w:left="851"/>
        <w:rPr>
          <w:sz w:val="24"/>
          <w:szCs w:val="24"/>
        </w:rPr>
      </w:pPr>
      <w:r w:rsidRPr="00B964CE">
        <w:rPr>
          <w:sz w:val="24"/>
          <w:szCs w:val="24"/>
        </w:rPr>
        <w:t>Eftersom droperidol</w:t>
      </w:r>
      <w:r w:rsidRPr="00B964CE">
        <w:rPr>
          <w:b/>
          <w:bCs/>
          <w:sz w:val="24"/>
          <w:szCs w:val="24"/>
        </w:rPr>
        <w:t> </w:t>
      </w:r>
      <w:r w:rsidRPr="00B964CE">
        <w:rPr>
          <w:sz w:val="24"/>
          <w:szCs w:val="24"/>
        </w:rPr>
        <w:t>blokerer dopaminreceptorerne, kan det hæmme virkningen af dopaminagonister, såsom bromocriptin, lisurid og L-dopa.</w:t>
      </w:r>
    </w:p>
    <w:p w14:paraId="46E81B46" w14:textId="77777777" w:rsidR="00B964CE" w:rsidRPr="00B964CE" w:rsidRDefault="00B964CE" w:rsidP="00B964CE">
      <w:pPr>
        <w:tabs>
          <w:tab w:val="left" w:pos="851"/>
        </w:tabs>
        <w:ind w:left="851"/>
        <w:rPr>
          <w:sz w:val="24"/>
          <w:szCs w:val="24"/>
        </w:rPr>
      </w:pPr>
    </w:p>
    <w:p w14:paraId="516B37A7" w14:textId="77777777" w:rsidR="00B964CE" w:rsidRPr="00B964CE" w:rsidRDefault="00B964CE" w:rsidP="00B964CE">
      <w:pPr>
        <w:tabs>
          <w:tab w:val="left" w:pos="851"/>
        </w:tabs>
        <w:ind w:left="851"/>
        <w:rPr>
          <w:sz w:val="24"/>
          <w:szCs w:val="24"/>
        </w:rPr>
      </w:pPr>
      <w:r w:rsidRPr="00B964CE">
        <w:rPr>
          <w:sz w:val="24"/>
          <w:szCs w:val="24"/>
        </w:rPr>
        <w:t>Stoffer, der hæmmer aktiviteten af cytrokrom P450-isoenzym (CYP) CYP1A2, CYP3A4 eller begge, kan reducere droperidols metaboliseringshastighed og forlænge den farmakologiske virkning. Der bør derfor udvises forsigtighed ved samtidig administration af droperidol og CYP1A2-hæmmere, CYP3A4-hæmmere eller begge.</w:t>
      </w:r>
    </w:p>
    <w:p w14:paraId="7DF47D0B" w14:textId="77777777" w:rsidR="009260DE" w:rsidRPr="00C84483" w:rsidRDefault="009260DE" w:rsidP="009260DE">
      <w:pPr>
        <w:tabs>
          <w:tab w:val="left" w:pos="851"/>
        </w:tabs>
        <w:ind w:left="851"/>
        <w:rPr>
          <w:sz w:val="24"/>
          <w:szCs w:val="24"/>
        </w:rPr>
      </w:pPr>
    </w:p>
    <w:p w14:paraId="276E0336" w14:textId="77777777" w:rsidR="009260DE" w:rsidRPr="00C84483" w:rsidRDefault="009260DE" w:rsidP="009260DE">
      <w:pPr>
        <w:tabs>
          <w:tab w:val="left" w:pos="851"/>
        </w:tabs>
        <w:ind w:left="851" w:hanging="851"/>
        <w:rPr>
          <w:b/>
          <w:sz w:val="24"/>
          <w:szCs w:val="24"/>
        </w:rPr>
      </w:pPr>
      <w:r w:rsidRPr="00C84483">
        <w:rPr>
          <w:b/>
          <w:sz w:val="24"/>
          <w:szCs w:val="24"/>
        </w:rPr>
        <w:lastRenderedPageBreak/>
        <w:t>4.6</w:t>
      </w:r>
      <w:r w:rsidRPr="00C84483">
        <w:rPr>
          <w:b/>
          <w:sz w:val="24"/>
          <w:szCs w:val="24"/>
        </w:rPr>
        <w:tab/>
      </w:r>
      <w:r w:rsidR="0071241E">
        <w:rPr>
          <w:b/>
          <w:sz w:val="24"/>
          <w:szCs w:val="24"/>
        </w:rPr>
        <w:t>Fertilitet, g</w:t>
      </w:r>
      <w:r w:rsidRPr="00C84483">
        <w:rPr>
          <w:b/>
          <w:sz w:val="24"/>
          <w:szCs w:val="24"/>
        </w:rPr>
        <w:t>raviditet og amning</w:t>
      </w:r>
    </w:p>
    <w:p w14:paraId="1820AC3E" w14:textId="77777777" w:rsidR="00204515" w:rsidRPr="00204515" w:rsidRDefault="00204515" w:rsidP="00204515">
      <w:pPr>
        <w:tabs>
          <w:tab w:val="left" w:pos="851"/>
        </w:tabs>
        <w:ind w:left="851"/>
        <w:rPr>
          <w:sz w:val="24"/>
          <w:szCs w:val="24"/>
        </w:rPr>
      </w:pPr>
    </w:p>
    <w:p w14:paraId="387C780D" w14:textId="77777777" w:rsidR="00204515" w:rsidRPr="00204515" w:rsidRDefault="00204515" w:rsidP="00204515">
      <w:pPr>
        <w:tabs>
          <w:tab w:val="left" w:pos="851"/>
        </w:tabs>
        <w:ind w:left="851"/>
        <w:rPr>
          <w:sz w:val="24"/>
          <w:szCs w:val="24"/>
          <w:u w:val="single"/>
        </w:rPr>
      </w:pPr>
      <w:r w:rsidRPr="00204515">
        <w:rPr>
          <w:sz w:val="24"/>
          <w:szCs w:val="24"/>
          <w:u w:val="single"/>
        </w:rPr>
        <w:t>Graviditet</w:t>
      </w:r>
    </w:p>
    <w:p w14:paraId="687B95B7" w14:textId="77777777" w:rsidR="00204515" w:rsidRPr="00204515" w:rsidRDefault="00204515" w:rsidP="00204515">
      <w:pPr>
        <w:tabs>
          <w:tab w:val="left" w:pos="851"/>
        </w:tabs>
        <w:ind w:left="851"/>
        <w:rPr>
          <w:sz w:val="24"/>
          <w:szCs w:val="24"/>
        </w:rPr>
      </w:pPr>
      <w:r w:rsidRPr="00204515">
        <w:rPr>
          <w:sz w:val="24"/>
          <w:szCs w:val="24"/>
        </w:rPr>
        <w:t>En begrænset mængde kliniske data har ikke vist en øget risiko for misdannelser.</w:t>
      </w:r>
    </w:p>
    <w:p w14:paraId="682B7853" w14:textId="77777777" w:rsidR="00204515" w:rsidRPr="00204515" w:rsidRDefault="00204515" w:rsidP="00204515">
      <w:pPr>
        <w:tabs>
          <w:tab w:val="left" w:pos="851"/>
        </w:tabs>
        <w:ind w:left="851"/>
        <w:rPr>
          <w:sz w:val="24"/>
          <w:szCs w:val="24"/>
        </w:rPr>
      </w:pPr>
    </w:p>
    <w:p w14:paraId="66B4091A" w14:textId="77777777" w:rsidR="00204515" w:rsidRPr="00204515" w:rsidRDefault="00204515" w:rsidP="00204515">
      <w:pPr>
        <w:tabs>
          <w:tab w:val="left" w:pos="851"/>
        </w:tabs>
        <w:ind w:left="851"/>
        <w:rPr>
          <w:sz w:val="24"/>
          <w:szCs w:val="24"/>
        </w:rPr>
      </w:pPr>
      <w:r w:rsidRPr="00204515">
        <w:rPr>
          <w:sz w:val="24"/>
          <w:szCs w:val="24"/>
        </w:rPr>
        <w:t>Der er ikke set teratogenicitet med droperidol hos rotter. Dyreforsøg er utilstrækkelige med hensyn til virkningerne på graviditet, embryon/foster, fødsel og postnatal udvikling.</w:t>
      </w:r>
    </w:p>
    <w:p w14:paraId="23CE1B70" w14:textId="77777777" w:rsidR="00204515" w:rsidRPr="00204515" w:rsidRDefault="00204515" w:rsidP="00204515">
      <w:pPr>
        <w:tabs>
          <w:tab w:val="left" w:pos="851"/>
        </w:tabs>
        <w:ind w:left="851"/>
        <w:rPr>
          <w:sz w:val="24"/>
          <w:szCs w:val="24"/>
        </w:rPr>
      </w:pPr>
    </w:p>
    <w:p w14:paraId="34FF6E3B" w14:textId="77777777" w:rsidR="00204515" w:rsidRPr="00204515" w:rsidRDefault="00204515" w:rsidP="00204515">
      <w:pPr>
        <w:tabs>
          <w:tab w:val="left" w:pos="851"/>
        </w:tabs>
        <w:ind w:left="851"/>
        <w:rPr>
          <w:sz w:val="24"/>
          <w:szCs w:val="24"/>
        </w:rPr>
      </w:pPr>
      <w:r w:rsidRPr="00204515">
        <w:rPr>
          <w:sz w:val="24"/>
          <w:szCs w:val="24"/>
        </w:rPr>
        <w:t>Hos nyfødte børn, der er født af mødre i langvarig behandling med neuroleptika i høje doser, er der rapporteret om forbigående neurologiske forstyrrelser af ekstrapyramidal karakter.</w:t>
      </w:r>
    </w:p>
    <w:p w14:paraId="46349F68" w14:textId="77777777" w:rsidR="00204515" w:rsidRPr="00204515" w:rsidRDefault="00204515" w:rsidP="00204515">
      <w:pPr>
        <w:tabs>
          <w:tab w:val="left" w:pos="851"/>
        </w:tabs>
        <w:ind w:left="851"/>
        <w:rPr>
          <w:sz w:val="24"/>
          <w:szCs w:val="24"/>
        </w:rPr>
      </w:pPr>
    </w:p>
    <w:p w14:paraId="6BD427AE" w14:textId="77777777" w:rsidR="00204515" w:rsidRPr="00204515" w:rsidRDefault="00204515" w:rsidP="00204515">
      <w:pPr>
        <w:tabs>
          <w:tab w:val="left" w:pos="851"/>
        </w:tabs>
        <w:ind w:left="851"/>
        <w:rPr>
          <w:sz w:val="24"/>
          <w:szCs w:val="24"/>
        </w:rPr>
      </w:pPr>
      <w:r w:rsidRPr="00204515">
        <w:rPr>
          <w:sz w:val="24"/>
          <w:szCs w:val="24"/>
        </w:rPr>
        <w:t>Af forsigtighedshensyn bør der ikke administreres droperidol i graviditeten. Hvis administration er nødvendig sent i graviditeten, anbefales det at monitorere det nyfødte barns neurologiske funktioner.</w:t>
      </w:r>
    </w:p>
    <w:p w14:paraId="45032251" w14:textId="77777777" w:rsidR="00204515" w:rsidRPr="00204515" w:rsidRDefault="00204515" w:rsidP="00204515">
      <w:pPr>
        <w:tabs>
          <w:tab w:val="left" w:pos="851"/>
        </w:tabs>
        <w:ind w:left="851"/>
        <w:rPr>
          <w:sz w:val="24"/>
          <w:szCs w:val="24"/>
        </w:rPr>
      </w:pPr>
    </w:p>
    <w:p w14:paraId="24484AAE" w14:textId="77777777" w:rsidR="00204515" w:rsidRPr="00204515" w:rsidRDefault="00204515" w:rsidP="00204515">
      <w:pPr>
        <w:tabs>
          <w:tab w:val="left" w:pos="851"/>
        </w:tabs>
        <w:ind w:left="851"/>
        <w:rPr>
          <w:sz w:val="24"/>
          <w:szCs w:val="24"/>
          <w:u w:val="single"/>
        </w:rPr>
      </w:pPr>
      <w:r w:rsidRPr="00204515">
        <w:rPr>
          <w:sz w:val="24"/>
          <w:szCs w:val="24"/>
          <w:u w:val="single"/>
        </w:rPr>
        <w:t>Amning</w:t>
      </w:r>
    </w:p>
    <w:p w14:paraId="4C94C7A2" w14:textId="77777777" w:rsidR="00204515" w:rsidRPr="00204515" w:rsidRDefault="00204515" w:rsidP="00204515">
      <w:pPr>
        <w:tabs>
          <w:tab w:val="left" w:pos="851"/>
        </w:tabs>
        <w:ind w:left="851"/>
        <w:rPr>
          <w:sz w:val="24"/>
          <w:szCs w:val="24"/>
        </w:rPr>
      </w:pPr>
      <w:r w:rsidRPr="00204515">
        <w:rPr>
          <w:sz w:val="24"/>
          <w:szCs w:val="24"/>
        </w:rPr>
        <w:t>Neuroleptika af butyrophenontypen udskilles i modermælk. Behandling med droperidol bør begrænses til en enkelt administration. Gentagen administration anbefales ikke.</w:t>
      </w:r>
    </w:p>
    <w:p w14:paraId="02BB6DDE" w14:textId="77777777" w:rsidR="00204515" w:rsidRPr="00204515" w:rsidRDefault="00204515" w:rsidP="00204515">
      <w:pPr>
        <w:tabs>
          <w:tab w:val="left" w:pos="851"/>
        </w:tabs>
        <w:ind w:left="851"/>
        <w:rPr>
          <w:sz w:val="24"/>
          <w:szCs w:val="24"/>
        </w:rPr>
      </w:pPr>
    </w:p>
    <w:p w14:paraId="6B729338" w14:textId="77777777" w:rsidR="00204515" w:rsidRPr="00204515" w:rsidRDefault="00204515" w:rsidP="00204515">
      <w:pPr>
        <w:tabs>
          <w:tab w:val="left" w:pos="851"/>
        </w:tabs>
        <w:ind w:left="851"/>
        <w:rPr>
          <w:sz w:val="24"/>
          <w:szCs w:val="24"/>
        </w:rPr>
      </w:pPr>
      <w:r w:rsidRPr="00204515">
        <w:rPr>
          <w:sz w:val="24"/>
          <w:szCs w:val="24"/>
          <w:u w:val="single"/>
        </w:rPr>
        <w:t>Fertilitet</w:t>
      </w:r>
    </w:p>
    <w:p w14:paraId="3E80CB04" w14:textId="77777777" w:rsidR="00204515" w:rsidRPr="00204515" w:rsidRDefault="00204515" w:rsidP="00204515">
      <w:pPr>
        <w:tabs>
          <w:tab w:val="left" w:pos="851"/>
        </w:tabs>
        <w:ind w:left="851"/>
        <w:rPr>
          <w:sz w:val="24"/>
          <w:szCs w:val="24"/>
        </w:rPr>
      </w:pPr>
      <w:r w:rsidRPr="00204515">
        <w:rPr>
          <w:sz w:val="24"/>
          <w:szCs w:val="24"/>
        </w:rPr>
        <w:t>Der blev ikke set nogen indvirkning på fertiliteten i studier med han- og hunrotter (se pkt. 5.3). Droperidols kliniske virkning på fertilitet er ikke klarlagt.</w:t>
      </w:r>
    </w:p>
    <w:p w14:paraId="7684D447" w14:textId="77777777" w:rsidR="009260DE" w:rsidRPr="00C84483" w:rsidRDefault="009260DE" w:rsidP="009260DE">
      <w:pPr>
        <w:tabs>
          <w:tab w:val="left" w:pos="851"/>
        </w:tabs>
        <w:ind w:left="851"/>
        <w:rPr>
          <w:sz w:val="24"/>
          <w:szCs w:val="24"/>
        </w:rPr>
      </w:pPr>
    </w:p>
    <w:p w14:paraId="60D0A90B"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22556688" w14:textId="77777777" w:rsidR="000C6014" w:rsidRDefault="000C6014" w:rsidP="000C6014">
      <w:pPr>
        <w:tabs>
          <w:tab w:val="left" w:pos="851"/>
        </w:tabs>
        <w:ind w:left="851"/>
        <w:rPr>
          <w:sz w:val="24"/>
          <w:szCs w:val="24"/>
        </w:rPr>
      </w:pPr>
      <w:r>
        <w:rPr>
          <w:sz w:val="24"/>
          <w:szCs w:val="24"/>
        </w:rPr>
        <w:t>Mærkning.</w:t>
      </w:r>
    </w:p>
    <w:p w14:paraId="7BAE821F" w14:textId="16B7C035" w:rsidR="000C6014" w:rsidRPr="000C6014" w:rsidRDefault="000C6014" w:rsidP="000C6014">
      <w:pPr>
        <w:tabs>
          <w:tab w:val="left" w:pos="851"/>
        </w:tabs>
        <w:ind w:left="851"/>
        <w:rPr>
          <w:sz w:val="24"/>
          <w:szCs w:val="24"/>
        </w:rPr>
      </w:pPr>
      <w:r w:rsidRPr="000C6014">
        <w:rPr>
          <w:sz w:val="24"/>
          <w:szCs w:val="24"/>
        </w:rPr>
        <w:t>Droperidol påvirker i væsentlig grad evnen til at føre motorkøretøj og betjene maskiner.</w:t>
      </w:r>
    </w:p>
    <w:p w14:paraId="70C2C6A9" w14:textId="77777777" w:rsidR="000C6014" w:rsidRPr="000C6014" w:rsidRDefault="000C6014" w:rsidP="000C6014">
      <w:pPr>
        <w:tabs>
          <w:tab w:val="left" w:pos="851"/>
        </w:tabs>
        <w:ind w:left="851"/>
        <w:rPr>
          <w:sz w:val="24"/>
          <w:szCs w:val="24"/>
        </w:rPr>
      </w:pPr>
      <w:r w:rsidRPr="000C6014">
        <w:rPr>
          <w:sz w:val="24"/>
          <w:szCs w:val="24"/>
        </w:rPr>
        <w:t>Patienter bør ikke føre motorkøretøj eller betjene maskiner i minimum 24 timer efter administration af droperidol.</w:t>
      </w:r>
    </w:p>
    <w:p w14:paraId="7B4C34B5" w14:textId="77777777" w:rsidR="000C6014" w:rsidRPr="000C6014" w:rsidRDefault="000C6014" w:rsidP="000C6014">
      <w:pPr>
        <w:tabs>
          <w:tab w:val="left" w:pos="851"/>
        </w:tabs>
        <w:ind w:left="851"/>
        <w:rPr>
          <w:sz w:val="24"/>
          <w:szCs w:val="24"/>
        </w:rPr>
      </w:pPr>
    </w:p>
    <w:p w14:paraId="451F884F"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18A3E6D6" w14:textId="4D78D9B8" w:rsidR="00D21F86" w:rsidRDefault="00D21F86" w:rsidP="00D21F86">
      <w:pPr>
        <w:ind w:left="851"/>
        <w:rPr>
          <w:sz w:val="24"/>
          <w:szCs w:val="24"/>
        </w:rPr>
      </w:pPr>
      <w:r w:rsidRPr="00D21F86">
        <w:rPr>
          <w:sz w:val="24"/>
          <w:szCs w:val="24"/>
        </w:rPr>
        <w:t>De hyppigst indberettede bivirkninger fra den kliniske erfaring er døsighed og sedation. Derudover er der mindre hyppige indberetninger af hypotension, hjertearytmier, malignt neuroleptikasyndrom (NMS) og symptomer relateret til NMS, samt bevægelsesforstyrrelser, såsom dyskinesi, samt angst og agitation.</w:t>
      </w:r>
    </w:p>
    <w:p w14:paraId="30454AE6" w14:textId="6D573856" w:rsidR="00D21F86" w:rsidRDefault="00D21F86" w:rsidP="00D21F86">
      <w:pPr>
        <w:ind w:left="851"/>
        <w:rPr>
          <w:sz w:val="24"/>
          <w:szCs w:val="24"/>
        </w:rPr>
      </w:pPr>
    </w:p>
    <w:tbl>
      <w:tblPr>
        <w:tblW w:w="0" w:type="auto"/>
        <w:jc w:val="center"/>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1555"/>
        <w:gridCol w:w="1353"/>
        <w:gridCol w:w="1473"/>
        <w:gridCol w:w="2015"/>
        <w:gridCol w:w="1454"/>
        <w:gridCol w:w="1772"/>
      </w:tblGrid>
      <w:tr w:rsidR="00D21F86" w14:paraId="05FB75B7" w14:textId="77777777" w:rsidTr="00D21F86">
        <w:trPr>
          <w:trHeight w:val="1277"/>
          <w:jc w:val="center"/>
        </w:trPr>
        <w:tc>
          <w:tcPr>
            <w:tcW w:w="1555" w:type="dxa"/>
            <w:tcBorders>
              <w:top w:val="outset" w:sz="6" w:space="0" w:color="7B7B7B"/>
              <w:left w:val="outset" w:sz="6" w:space="0" w:color="7B7B7B"/>
              <w:bottom w:val="outset" w:sz="6" w:space="0" w:color="7B7B7B"/>
              <w:right w:val="outset" w:sz="6" w:space="0" w:color="7B7B7B"/>
            </w:tcBorders>
            <w:vAlign w:val="center"/>
            <w:hideMark/>
          </w:tcPr>
          <w:p w14:paraId="128A633A" w14:textId="77777777" w:rsidR="00D21F86" w:rsidRDefault="00D21F86">
            <w:pPr>
              <w:keepNext/>
              <w:rPr>
                <w:szCs w:val="22"/>
                <w:lang w:val="en-GB"/>
              </w:rPr>
            </w:pPr>
            <w:r>
              <w:rPr>
                <w:b/>
                <w:bCs/>
                <w:szCs w:val="22"/>
                <w:lang w:val="en-GB"/>
              </w:rPr>
              <w:lastRenderedPageBreak/>
              <w:t>Systemorgan-klasse</w:t>
            </w:r>
          </w:p>
        </w:tc>
        <w:tc>
          <w:tcPr>
            <w:tcW w:w="1353" w:type="dxa"/>
            <w:tcBorders>
              <w:top w:val="outset" w:sz="6" w:space="0" w:color="7B7B7B"/>
              <w:left w:val="outset" w:sz="6" w:space="0" w:color="7B7B7B"/>
              <w:bottom w:val="outset" w:sz="6" w:space="0" w:color="7B7B7B"/>
              <w:right w:val="outset" w:sz="6" w:space="0" w:color="7B7B7B"/>
            </w:tcBorders>
            <w:vAlign w:val="center"/>
            <w:hideMark/>
          </w:tcPr>
          <w:p w14:paraId="620D6117" w14:textId="77777777" w:rsidR="00D21F86" w:rsidRDefault="00D21F86">
            <w:pPr>
              <w:keepNext/>
              <w:rPr>
                <w:szCs w:val="22"/>
                <w:lang w:val="en-GB"/>
              </w:rPr>
            </w:pPr>
            <w:r>
              <w:rPr>
                <w:b/>
                <w:bCs/>
                <w:szCs w:val="22"/>
                <w:lang w:val="en-GB"/>
              </w:rPr>
              <w:t>Almindelig</w:t>
            </w:r>
          </w:p>
          <w:p w14:paraId="365291F6" w14:textId="77777777" w:rsidR="00D21F86" w:rsidRDefault="00D21F86">
            <w:pPr>
              <w:keepNext/>
              <w:rPr>
                <w:szCs w:val="22"/>
                <w:lang w:val="en-GB"/>
              </w:rPr>
            </w:pPr>
            <w:r>
              <w:rPr>
                <w:lang w:val="en-GB"/>
              </w:rPr>
              <w:t>≥ 1/100 til &lt; 1/10</w:t>
            </w:r>
          </w:p>
        </w:tc>
        <w:tc>
          <w:tcPr>
            <w:tcW w:w="1473" w:type="dxa"/>
            <w:tcBorders>
              <w:top w:val="outset" w:sz="6" w:space="0" w:color="7B7B7B"/>
              <w:left w:val="outset" w:sz="6" w:space="0" w:color="7B7B7B"/>
              <w:bottom w:val="outset" w:sz="6" w:space="0" w:color="7B7B7B"/>
              <w:right w:val="outset" w:sz="6" w:space="0" w:color="7B7B7B"/>
            </w:tcBorders>
            <w:vAlign w:val="center"/>
            <w:hideMark/>
          </w:tcPr>
          <w:p w14:paraId="18B665B5" w14:textId="77777777" w:rsidR="00D21F86" w:rsidRDefault="00D21F86">
            <w:pPr>
              <w:keepNext/>
              <w:rPr>
                <w:szCs w:val="22"/>
                <w:lang w:val="en-GB"/>
              </w:rPr>
            </w:pPr>
            <w:r>
              <w:rPr>
                <w:b/>
                <w:bCs/>
                <w:szCs w:val="22"/>
                <w:lang w:val="en-GB"/>
              </w:rPr>
              <w:t>Ikke almindelig</w:t>
            </w:r>
          </w:p>
          <w:p w14:paraId="28689457" w14:textId="77777777" w:rsidR="00D21F86" w:rsidRDefault="00D21F86">
            <w:pPr>
              <w:keepNext/>
              <w:rPr>
                <w:szCs w:val="22"/>
                <w:lang w:val="en-GB"/>
              </w:rPr>
            </w:pPr>
            <w:r>
              <w:rPr>
                <w:lang w:val="en-GB"/>
              </w:rPr>
              <w:t>≥ 1/1.000 til &lt; 1/100</w:t>
            </w:r>
          </w:p>
        </w:tc>
        <w:tc>
          <w:tcPr>
            <w:tcW w:w="2015" w:type="dxa"/>
            <w:tcBorders>
              <w:top w:val="outset" w:sz="6" w:space="0" w:color="7B7B7B"/>
              <w:left w:val="outset" w:sz="6" w:space="0" w:color="7B7B7B"/>
              <w:bottom w:val="outset" w:sz="6" w:space="0" w:color="7B7B7B"/>
              <w:right w:val="outset" w:sz="6" w:space="0" w:color="7B7B7B"/>
            </w:tcBorders>
            <w:vAlign w:val="center"/>
            <w:hideMark/>
          </w:tcPr>
          <w:p w14:paraId="4F0FA14D" w14:textId="77777777" w:rsidR="00D21F86" w:rsidRDefault="00D21F86">
            <w:pPr>
              <w:keepNext/>
              <w:rPr>
                <w:szCs w:val="22"/>
                <w:lang w:val="en-GB"/>
              </w:rPr>
            </w:pPr>
            <w:r>
              <w:rPr>
                <w:b/>
                <w:bCs/>
                <w:szCs w:val="22"/>
                <w:lang w:val="en-GB"/>
              </w:rPr>
              <w:t>Sjælden</w:t>
            </w:r>
          </w:p>
          <w:p w14:paraId="25ABDCB1" w14:textId="77777777" w:rsidR="00D21F86" w:rsidRDefault="00D21F86">
            <w:pPr>
              <w:keepNext/>
              <w:rPr>
                <w:szCs w:val="22"/>
                <w:lang w:val="en-GB"/>
              </w:rPr>
            </w:pPr>
            <w:r>
              <w:rPr>
                <w:lang w:val="en-GB"/>
              </w:rPr>
              <w:t>≥ 1/10.000 til &lt; 1/1.000</w:t>
            </w:r>
          </w:p>
        </w:tc>
        <w:tc>
          <w:tcPr>
            <w:tcW w:w="1454" w:type="dxa"/>
            <w:tcBorders>
              <w:top w:val="outset" w:sz="6" w:space="0" w:color="7B7B7B"/>
              <w:left w:val="outset" w:sz="6" w:space="0" w:color="7B7B7B"/>
              <w:bottom w:val="outset" w:sz="6" w:space="0" w:color="7B7B7B"/>
              <w:right w:val="outset" w:sz="6" w:space="0" w:color="7B7B7B"/>
            </w:tcBorders>
            <w:vAlign w:val="center"/>
            <w:hideMark/>
          </w:tcPr>
          <w:p w14:paraId="4D3E4459" w14:textId="77777777" w:rsidR="00D21F86" w:rsidRDefault="00D21F86">
            <w:pPr>
              <w:keepNext/>
              <w:rPr>
                <w:szCs w:val="22"/>
                <w:lang w:val="en-GB"/>
              </w:rPr>
            </w:pPr>
            <w:r>
              <w:rPr>
                <w:b/>
                <w:bCs/>
                <w:szCs w:val="22"/>
                <w:lang w:val="en-GB"/>
              </w:rPr>
              <w:t>Meget sjælden</w:t>
            </w:r>
          </w:p>
          <w:p w14:paraId="68D0E033" w14:textId="77777777" w:rsidR="00D21F86" w:rsidRDefault="00D21F86">
            <w:pPr>
              <w:keepNext/>
              <w:rPr>
                <w:szCs w:val="22"/>
                <w:lang w:val="en-GB"/>
              </w:rPr>
            </w:pPr>
            <w:r>
              <w:rPr>
                <w:lang w:val="en-GB"/>
              </w:rPr>
              <w:t>&lt; 1/10.000</w:t>
            </w:r>
          </w:p>
        </w:tc>
        <w:tc>
          <w:tcPr>
            <w:tcW w:w="1772" w:type="dxa"/>
            <w:tcBorders>
              <w:top w:val="outset" w:sz="6" w:space="0" w:color="7B7B7B"/>
              <w:left w:val="outset" w:sz="6" w:space="0" w:color="7B7B7B"/>
              <w:bottom w:val="outset" w:sz="6" w:space="0" w:color="7B7B7B"/>
              <w:right w:val="outset" w:sz="6" w:space="0" w:color="7B7B7B"/>
            </w:tcBorders>
            <w:vAlign w:val="center"/>
            <w:hideMark/>
          </w:tcPr>
          <w:p w14:paraId="3035E483" w14:textId="77777777" w:rsidR="00D21F86" w:rsidRPr="00D21F86" w:rsidRDefault="00D21F86" w:rsidP="00D21F86">
            <w:pPr>
              <w:keepNext/>
              <w:rPr>
                <w:szCs w:val="22"/>
              </w:rPr>
            </w:pPr>
            <w:r w:rsidRPr="00D21F86">
              <w:rPr>
                <w:b/>
                <w:bCs/>
                <w:szCs w:val="22"/>
              </w:rPr>
              <w:t>Ikke kendt</w:t>
            </w:r>
          </w:p>
          <w:p w14:paraId="1E8C4338" w14:textId="77777777" w:rsidR="00D21F86" w:rsidRPr="00D21F86" w:rsidRDefault="00D21F86" w:rsidP="00D21F86">
            <w:pPr>
              <w:keepNext/>
              <w:rPr>
                <w:szCs w:val="22"/>
              </w:rPr>
            </w:pPr>
            <w:r w:rsidRPr="00D21F86">
              <w:t>(kan ikke estimeres ud fra forhåndenværende data)</w:t>
            </w:r>
          </w:p>
        </w:tc>
      </w:tr>
      <w:tr w:rsidR="00D21F86" w14:paraId="73654305" w14:textId="77777777" w:rsidTr="00D21F86">
        <w:trPr>
          <w:trHeight w:val="1024"/>
          <w:jc w:val="center"/>
        </w:trPr>
        <w:tc>
          <w:tcPr>
            <w:tcW w:w="1555" w:type="dxa"/>
            <w:tcBorders>
              <w:top w:val="outset" w:sz="6" w:space="0" w:color="7B7B7B"/>
              <w:left w:val="outset" w:sz="6" w:space="0" w:color="7B7B7B"/>
              <w:bottom w:val="outset" w:sz="6" w:space="0" w:color="7B7B7B"/>
              <w:right w:val="outset" w:sz="6" w:space="0" w:color="7B7B7B"/>
            </w:tcBorders>
            <w:vAlign w:val="center"/>
            <w:hideMark/>
          </w:tcPr>
          <w:p w14:paraId="1ADFB411" w14:textId="77777777" w:rsidR="00D21F86" w:rsidRDefault="00D21F86">
            <w:pPr>
              <w:keepNext/>
              <w:rPr>
                <w:szCs w:val="22"/>
                <w:lang w:val="en-GB"/>
              </w:rPr>
            </w:pPr>
            <w:r>
              <w:rPr>
                <w:lang w:val="en-GB"/>
              </w:rPr>
              <w:t>Blod og lymfesystem</w:t>
            </w:r>
          </w:p>
        </w:tc>
        <w:tc>
          <w:tcPr>
            <w:tcW w:w="1353" w:type="dxa"/>
            <w:tcBorders>
              <w:top w:val="outset" w:sz="6" w:space="0" w:color="7B7B7B"/>
              <w:left w:val="outset" w:sz="6" w:space="0" w:color="7B7B7B"/>
              <w:bottom w:val="outset" w:sz="6" w:space="0" w:color="7B7B7B"/>
              <w:right w:val="outset" w:sz="6" w:space="0" w:color="7B7B7B"/>
            </w:tcBorders>
            <w:vAlign w:val="center"/>
            <w:hideMark/>
          </w:tcPr>
          <w:p w14:paraId="130BA7B3" w14:textId="77777777" w:rsidR="00D21F86" w:rsidRDefault="00D21F86">
            <w:pPr>
              <w:rPr>
                <w:szCs w:val="22"/>
                <w:lang w:val="en-GB"/>
              </w:rPr>
            </w:pPr>
          </w:p>
        </w:tc>
        <w:tc>
          <w:tcPr>
            <w:tcW w:w="1473" w:type="dxa"/>
            <w:tcBorders>
              <w:top w:val="outset" w:sz="6" w:space="0" w:color="7B7B7B"/>
              <w:left w:val="outset" w:sz="6" w:space="0" w:color="7B7B7B"/>
              <w:bottom w:val="outset" w:sz="6" w:space="0" w:color="7B7B7B"/>
              <w:right w:val="outset" w:sz="6" w:space="0" w:color="7B7B7B"/>
            </w:tcBorders>
            <w:vAlign w:val="center"/>
            <w:hideMark/>
          </w:tcPr>
          <w:p w14:paraId="412D485B" w14:textId="77777777" w:rsidR="00D21F86" w:rsidRDefault="00D21F86">
            <w:pPr>
              <w:rPr>
                <w:sz w:val="20"/>
                <w:lang w:eastAsia="da-DK"/>
              </w:rPr>
            </w:pPr>
          </w:p>
        </w:tc>
        <w:tc>
          <w:tcPr>
            <w:tcW w:w="2015" w:type="dxa"/>
            <w:tcBorders>
              <w:top w:val="outset" w:sz="6" w:space="0" w:color="7B7B7B"/>
              <w:left w:val="outset" w:sz="6" w:space="0" w:color="7B7B7B"/>
              <w:bottom w:val="outset" w:sz="6" w:space="0" w:color="7B7B7B"/>
              <w:right w:val="outset" w:sz="6" w:space="0" w:color="7B7B7B"/>
            </w:tcBorders>
            <w:vAlign w:val="center"/>
            <w:hideMark/>
          </w:tcPr>
          <w:p w14:paraId="013DAC18" w14:textId="77777777" w:rsidR="00D21F86" w:rsidRDefault="00D21F86">
            <w:pPr>
              <w:rPr>
                <w:sz w:val="20"/>
                <w:lang w:eastAsia="da-DK"/>
              </w:rPr>
            </w:pPr>
          </w:p>
        </w:tc>
        <w:tc>
          <w:tcPr>
            <w:tcW w:w="1454" w:type="dxa"/>
            <w:tcBorders>
              <w:top w:val="outset" w:sz="6" w:space="0" w:color="7B7B7B"/>
              <w:left w:val="outset" w:sz="6" w:space="0" w:color="7B7B7B"/>
              <w:bottom w:val="outset" w:sz="6" w:space="0" w:color="7B7B7B"/>
              <w:right w:val="outset" w:sz="6" w:space="0" w:color="7B7B7B"/>
            </w:tcBorders>
            <w:vAlign w:val="center"/>
            <w:hideMark/>
          </w:tcPr>
          <w:p w14:paraId="35FFD0D0" w14:textId="77777777" w:rsidR="00D21F86" w:rsidRDefault="00D21F86">
            <w:pPr>
              <w:keepNext/>
              <w:rPr>
                <w:sz w:val="22"/>
                <w:szCs w:val="22"/>
                <w:lang w:val="en-GB"/>
              </w:rPr>
            </w:pPr>
            <w:r>
              <w:rPr>
                <w:lang w:val="en-GB"/>
              </w:rPr>
              <w:t>Bloddyskrasi.</w:t>
            </w:r>
          </w:p>
        </w:tc>
        <w:tc>
          <w:tcPr>
            <w:tcW w:w="1772" w:type="dxa"/>
            <w:tcBorders>
              <w:top w:val="outset" w:sz="6" w:space="0" w:color="7B7B7B"/>
              <w:left w:val="outset" w:sz="6" w:space="0" w:color="7B7B7B"/>
              <w:bottom w:val="outset" w:sz="6" w:space="0" w:color="7B7B7B"/>
              <w:right w:val="outset" w:sz="6" w:space="0" w:color="7B7B7B"/>
            </w:tcBorders>
            <w:vAlign w:val="center"/>
            <w:hideMark/>
          </w:tcPr>
          <w:p w14:paraId="31FA88F7" w14:textId="77777777" w:rsidR="00D21F86" w:rsidRDefault="00D21F86" w:rsidP="00D21F86">
            <w:pPr>
              <w:rPr>
                <w:szCs w:val="22"/>
                <w:lang w:val="en-GB"/>
              </w:rPr>
            </w:pPr>
          </w:p>
        </w:tc>
      </w:tr>
      <w:tr w:rsidR="00D21F86" w14:paraId="32E862E3" w14:textId="77777777" w:rsidTr="00D21F86">
        <w:trPr>
          <w:trHeight w:val="1530"/>
          <w:jc w:val="center"/>
        </w:trPr>
        <w:tc>
          <w:tcPr>
            <w:tcW w:w="1555" w:type="dxa"/>
            <w:tcBorders>
              <w:top w:val="outset" w:sz="6" w:space="0" w:color="7B7B7B"/>
              <w:left w:val="outset" w:sz="6" w:space="0" w:color="7B7B7B"/>
              <w:bottom w:val="outset" w:sz="6" w:space="0" w:color="7B7B7B"/>
              <w:right w:val="outset" w:sz="6" w:space="0" w:color="7B7B7B"/>
            </w:tcBorders>
            <w:vAlign w:val="center"/>
            <w:hideMark/>
          </w:tcPr>
          <w:p w14:paraId="0EC9081C" w14:textId="77777777" w:rsidR="00D21F86" w:rsidRDefault="00D21F86">
            <w:pPr>
              <w:keepNext/>
              <w:rPr>
                <w:sz w:val="22"/>
                <w:szCs w:val="22"/>
                <w:lang w:val="en-GB"/>
              </w:rPr>
            </w:pPr>
            <w:r>
              <w:rPr>
                <w:lang w:val="en-GB"/>
              </w:rPr>
              <w:t>Immunsystemet</w:t>
            </w:r>
          </w:p>
        </w:tc>
        <w:tc>
          <w:tcPr>
            <w:tcW w:w="1353" w:type="dxa"/>
            <w:tcBorders>
              <w:top w:val="outset" w:sz="6" w:space="0" w:color="7B7B7B"/>
              <w:left w:val="outset" w:sz="6" w:space="0" w:color="7B7B7B"/>
              <w:bottom w:val="outset" w:sz="6" w:space="0" w:color="7B7B7B"/>
              <w:right w:val="outset" w:sz="6" w:space="0" w:color="7B7B7B"/>
            </w:tcBorders>
            <w:vAlign w:val="center"/>
            <w:hideMark/>
          </w:tcPr>
          <w:p w14:paraId="5148E639" w14:textId="77777777" w:rsidR="00D21F86" w:rsidRDefault="00D21F86">
            <w:pPr>
              <w:rPr>
                <w:szCs w:val="22"/>
                <w:lang w:val="en-GB"/>
              </w:rPr>
            </w:pPr>
          </w:p>
        </w:tc>
        <w:tc>
          <w:tcPr>
            <w:tcW w:w="1473" w:type="dxa"/>
            <w:tcBorders>
              <w:top w:val="outset" w:sz="6" w:space="0" w:color="7B7B7B"/>
              <w:left w:val="outset" w:sz="6" w:space="0" w:color="7B7B7B"/>
              <w:bottom w:val="outset" w:sz="6" w:space="0" w:color="7B7B7B"/>
              <w:right w:val="outset" w:sz="6" w:space="0" w:color="7B7B7B"/>
            </w:tcBorders>
            <w:vAlign w:val="center"/>
            <w:hideMark/>
          </w:tcPr>
          <w:p w14:paraId="74B5008E" w14:textId="77777777" w:rsidR="00D21F86" w:rsidRDefault="00D21F86">
            <w:pPr>
              <w:rPr>
                <w:sz w:val="20"/>
                <w:lang w:eastAsia="da-DK"/>
              </w:rPr>
            </w:pPr>
          </w:p>
        </w:tc>
        <w:tc>
          <w:tcPr>
            <w:tcW w:w="2015" w:type="dxa"/>
            <w:tcBorders>
              <w:top w:val="outset" w:sz="6" w:space="0" w:color="7B7B7B"/>
              <w:left w:val="outset" w:sz="6" w:space="0" w:color="7B7B7B"/>
              <w:bottom w:val="outset" w:sz="6" w:space="0" w:color="7B7B7B"/>
              <w:right w:val="outset" w:sz="6" w:space="0" w:color="7B7B7B"/>
            </w:tcBorders>
            <w:vAlign w:val="center"/>
            <w:hideMark/>
          </w:tcPr>
          <w:p w14:paraId="5EE33E59" w14:textId="77777777" w:rsidR="00D21F86" w:rsidRDefault="00D21F86">
            <w:pPr>
              <w:keepNext/>
              <w:rPr>
                <w:sz w:val="22"/>
                <w:szCs w:val="22"/>
                <w:lang w:val="en-GB"/>
              </w:rPr>
            </w:pPr>
            <w:r>
              <w:rPr>
                <w:lang w:val="en-GB"/>
              </w:rPr>
              <w:t>Anafylaktisk reaktion. Angioødem. Overfølsomhed.</w:t>
            </w:r>
          </w:p>
        </w:tc>
        <w:tc>
          <w:tcPr>
            <w:tcW w:w="1454" w:type="dxa"/>
            <w:tcBorders>
              <w:top w:val="outset" w:sz="6" w:space="0" w:color="7B7B7B"/>
              <w:left w:val="outset" w:sz="6" w:space="0" w:color="7B7B7B"/>
              <w:bottom w:val="outset" w:sz="6" w:space="0" w:color="7B7B7B"/>
              <w:right w:val="outset" w:sz="6" w:space="0" w:color="7B7B7B"/>
            </w:tcBorders>
            <w:vAlign w:val="center"/>
            <w:hideMark/>
          </w:tcPr>
          <w:p w14:paraId="4EDBB26D" w14:textId="77777777" w:rsidR="00D21F86" w:rsidRDefault="00D21F86">
            <w:pPr>
              <w:rPr>
                <w:szCs w:val="22"/>
                <w:lang w:val="en-GB"/>
              </w:rPr>
            </w:pPr>
          </w:p>
        </w:tc>
        <w:tc>
          <w:tcPr>
            <w:tcW w:w="1772" w:type="dxa"/>
            <w:tcBorders>
              <w:top w:val="outset" w:sz="6" w:space="0" w:color="7B7B7B"/>
              <w:left w:val="outset" w:sz="6" w:space="0" w:color="7B7B7B"/>
              <w:bottom w:val="outset" w:sz="6" w:space="0" w:color="7B7B7B"/>
              <w:right w:val="outset" w:sz="6" w:space="0" w:color="7B7B7B"/>
            </w:tcBorders>
            <w:vAlign w:val="center"/>
            <w:hideMark/>
          </w:tcPr>
          <w:p w14:paraId="5D58CE1F" w14:textId="77777777" w:rsidR="00D21F86" w:rsidRDefault="00D21F86" w:rsidP="00D21F86">
            <w:pPr>
              <w:rPr>
                <w:sz w:val="20"/>
                <w:lang w:eastAsia="da-DK"/>
              </w:rPr>
            </w:pPr>
          </w:p>
        </w:tc>
      </w:tr>
      <w:tr w:rsidR="00D21F86" w14:paraId="63867863" w14:textId="77777777" w:rsidTr="00D21F86">
        <w:trPr>
          <w:trHeight w:val="1024"/>
          <w:jc w:val="center"/>
        </w:trPr>
        <w:tc>
          <w:tcPr>
            <w:tcW w:w="1555" w:type="dxa"/>
            <w:tcBorders>
              <w:top w:val="outset" w:sz="6" w:space="0" w:color="7B7B7B"/>
              <w:left w:val="outset" w:sz="6" w:space="0" w:color="7B7B7B"/>
              <w:bottom w:val="outset" w:sz="6" w:space="0" w:color="7B7B7B"/>
              <w:right w:val="outset" w:sz="6" w:space="0" w:color="7B7B7B"/>
            </w:tcBorders>
            <w:vAlign w:val="center"/>
            <w:hideMark/>
          </w:tcPr>
          <w:p w14:paraId="18268053" w14:textId="77777777" w:rsidR="00D21F86" w:rsidRDefault="00D21F86">
            <w:pPr>
              <w:keepNext/>
              <w:rPr>
                <w:sz w:val="22"/>
                <w:szCs w:val="22"/>
                <w:lang w:val="en-GB"/>
              </w:rPr>
            </w:pPr>
            <w:r>
              <w:rPr>
                <w:lang w:val="en-GB"/>
              </w:rPr>
              <w:t>Metabolisme og ernæring</w:t>
            </w:r>
          </w:p>
        </w:tc>
        <w:tc>
          <w:tcPr>
            <w:tcW w:w="1353" w:type="dxa"/>
            <w:tcBorders>
              <w:top w:val="outset" w:sz="6" w:space="0" w:color="7B7B7B"/>
              <w:left w:val="outset" w:sz="6" w:space="0" w:color="7B7B7B"/>
              <w:bottom w:val="outset" w:sz="6" w:space="0" w:color="7B7B7B"/>
              <w:right w:val="outset" w:sz="6" w:space="0" w:color="7B7B7B"/>
            </w:tcBorders>
            <w:vAlign w:val="center"/>
            <w:hideMark/>
          </w:tcPr>
          <w:p w14:paraId="1815AC2C" w14:textId="77777777" w:rsidR="00D21F86" w:rsidRDefault="00D21F86">
            <w:pPr>
              <w:rPr>
                <w:szCs w:val="22"/>
                <w:lang w:val="en-GB"/>
              </w:rPr>
            </w:pPr>
          </w:p>
        </w:tc>
        <w:tc>
          <w:tcPr>
            <w:tcW w:w="1473" w:type="dxa"/>
            <w:tcBorders>
              <w:top w:val="outset" w:sz="6" w:space="0" w:color="7B7B7B"/>
              <w:left w:val="outset" w:sz="6" w:space="0" w:color="7B7B7B"/>
              <w:bottom w:val="outset" w:sz="6" w:space="0" w:color="7B7B7B"/>
              <w:right w:val="outset" w:sz="6" w:space="0" w:color="7B7B7B"/>
            </w:tcBorders>
            <w:vAlign w:val="center"/>
            <w:hideMark/>
          </w:tcPr>
          <w:p w14:paraId="127ADA6C" w14:textId="77777777" w:rsidR="00D21F86" w:rsidRDefault="00D21F86">
            <w:pPr>
              <w:rPr>
                <w:sz w:val="20"/>
                <w:lang w:eastAsia="da-DK"/>
              </w:rPr>
            </w:pPr>
          </w:p>
        </w:tc>
        <w:tc>
          <w:tcPr>
            <w:tcW w:w="2015" w:type="dxa"/>
            <w:tcBorders>
              <w:top w:val="outset" w:sz="6" w:space="0" w:color="7B7B7B"/>
              <w:left w:val="outset" w:sz="6" w:space="0" w:color="7B7B7B"/>
              <w:bottom w:val="outset" w:sz="6" w:space="0" w:color="7B7B7B"/>
              <w:right w:val="outset" w:sz="6" w:space="0" w:color="7B7B7B"/>
            </w:tcBorders>
            <w:vAlign w:val="center"/>
            <w:hideMark/>
          </w:tcPr>
          <w:p w14:paraId="0E1A0AD3" w14:textId="77777777" w:rsidR="00D21F86" w:rsidRDefault="00D21F86">
            <w:pPr>
              <w:rPr>
                <w:sz w:val="20"/>
                <w:lang w:eastAsia="da-DK"/>
              </w:rPr>
            </w:pPr>
          </w:p>
        </w:tc>
        <w:tc>
          <w:tcPr>
            <w:tcW w:w="1454" w:type="dxa"/>
            <w:tcBorders>
              <w:top w:val="outset" w:sz="6" w:space="0" w:color="7B7B7B"/>
              <w:left w:val="outset" w:sz="6" w:space="0" w:color="7B7B7B"/>
              <w:bottom w:val="outset" w:sz="6" w:space="0" w:color="7B7B7B"/>
              <w:right w:val="outset" w:sz="6" w:space="0" w:color="7B7B7B"/>
            </w:tcBorders>
            <w:vAlign w:val="center"/>
            <w:hideMark/>
          </w:tcPr>
          <w:p w14:paraId="181DECDD" w14:textId="77777777" w:rsidR="00D21F86" w:rsidRDefault="00D21F86">
            <w:pPr>
              <w:rPr>
                <w:sz w:val="20"/>
                <w:lang w:eastAsia="da-DK"/>
              </w:rPr>
            </w:pPr>
          </w:p>
        </w:tc>
        <w:tc>
          <w:tcPr>
            <w:tcW w:w="1772" w:type="dxa"/>
            <w:tcBorders>
              <w:top w:val="outset" w:sz="6" w:space="0" w:color="7B7B7B"/>
              <w:left w:val="outset" w:sz="6" w:space="0" w:color="7B7B7B"/>
              <w:bottom w:val="outset" w:sz="6" w:space="0" w:color="7B7B7B"/>
              <w:right w:val="outset" w:sz="6" w:space="0" w:color="7B7B7B"/>
            </w:tcBorders>
            <w:vAlign w:val="center"/>
            <w:hideMark/>
          </w:tcPr>
          <w:p w14:paraId="4F149434" w14:textId="1DEBA74E" w:rsidR="00D21F86" w:rsidRPr="00D21F86" w:rsidRDefault="00D21F86" w:rsidP="00D21F86">
            <w:pPr>
              <w:keepNext/>
              <w:rPr>
                <w:sz w:val="22"/>
                <w:szCs w:val="22"/>
              </w:rPr>
            </w:pPr>
            <w:r w:rsidRPr="00D21F86">
              <w:t>Uhensigtsmæssig sekretion af antidiuretisk hormon.</w:t>
            </w:r>
          </w:p>
        </w:tc>
      </w:tr>
      <w:tr w:rsidR="00D21F86" w14:paraId="1694A6D4" w14:textId="77777777" w:rsidTr="00D21F86">
        <w:trPr>
          <w:trHeight w:val="758"/>
          <w:jc w:val="center"/>
        </w:trPr>
        <w:tc>
          <w:tcPr>
            <w:tcW w:w="1555" w:type="dxa"/>
            <w:tcBorders>
              <w:top w:val="outset" w:sz="6" w:space="0" w:color="7B7B7B"/>
              <w:left w:val="outset" w:sz="6" w:space="0" w:color="7B7B7B"/>
              <w:bottom w:val="outset" w:sz="6" w:space="0" w:color="7B7B7B"/>
              <w:right w:val="outset" w:sz="6" w:space="0" w:color="7B7B7B"/>
            </w:tcBorders>
            <w:vAlign w:val="center"/>
            <w:hideMark/>
          </w:tcPr>
          <w:p w14:paraId="38C56494" w14:textId="77777777" w:rsidR="00D21F86" w:rsidRDefault="00D21F86">
            <w:pPr>
              <w:keepNext/>
              <w:rPr>
                <w:szCs w:val="22"/>
                <w:lang w:val="en-GB"/>
              </w:rPr>
            </w:pPr>
            <w:r>
              <w:rPr>
                <w:lang w:val="en-GB"/>
              </w:rPr>
              <w:t>Psykiske forstyrrelser</w:t>
            </w:r>
          </w:p>
        </w:tc>
        <w:tc>
          <w:tcPr>
            <w:tcW w:w="1353" w:type="dxa"/>
            <w:tcBorders>
              <w:top w:val="outset" w:sz="6" w:space="0" w:color="7B7B7B"/>
              <w:left w:val="outset" w:sz="6" w:space="0" w:color="7B7B7B"/>
              <w:bottom w:val="outset" w:sz="6" w:space="0" w:color="7B7B7B"/>
              <w:right w:val="outset" w:sz="6" w:space="0" w:color="7B7B7B"/>
            </w:tcBorders>
            <w:vAlign w:val="center"/>
            <w:hideMark/>
          </w:tcPr>
          <w:p w14:paraId="07B049DA" w14:textId="77777777" w:rsidR="00D21F86" w:rsidRDefault="00D21F86">
            <w:pPr>
              <w:rPr>
                <w:szCs w:val="22"/>
                <w:lang w:val="en-GB"/>
              </w:rPr>
            </w:pPr>
          </w:p>
        </w:tc>
        <w:tc>
          <w:tcPr>
            <w:tcW w:w="1473" w:type="dxa"/>
            <w:tcBorders>
              <w:top w:val="outset" w:sz="6" w:space="0" w:color="7B7B7B"/>
              <w:left w:val="outset" w:sz="6" w:space="0" w:color="7B7B7B"/>
              <w:bottom w:val="outset" w:sz="6" w:space="0" w:color="7B7B7B"/>
              <w:right w:val="outset" w:sz="6" w:space="0" w:color="7B7B7B"/>
            </w:tcBorders>
            <w:vAlign w:val="center"/>
            <w:hideMark/>
          </w:tcPr>
          <w:p w14:paraId="110DD9A2" w14:textId="77777777" w:rsidR="00D21F86" w:rsidRDefault="00D21F86">
            <w:pPr>
              <w:keepNext/>
              <w:rPr>
                <w:sz w:val="22"/>
                <w:szCs w:val="22"/>
                <w:lang w:val="en-GB"/>
              </w:rPr>
            </w:pPr>
            <w:r>
              <w:rPr>
                <w:lang w:val="en-GB"/>
              </w:rPr>
              <w:t>Angst. Rastløshed/</w:t>
            </w:r>
            <w:r>
              <w:rPr>
                <w:lang w:val="en-GB"/>
              </w:rPr>
              <w:br/>
              <w:t>akatisi.</w:t>
            </w:r>
          </w:p>
        </w:tc>
        <w:tc>
          <w:tcPr>
            <w:tcW w:w="2015" w:type="dxa"/>
            <w:tcBorders>
              <w:top w:val="outset" w:sz="6" w:space="0" w:color="7B7B7B"/>
              <w:left w:val="outset" w:sz="6" w:space="0" w:color="7B7B7B"/>
              <w:bottom w:val="outset" w:sz="6" w:space="0" w:color="7B7B7B"/>
              <w:right w:val="outset" w:sz="6" w:space="0" w:color="7B7B7B"/>
            </w:tcBorders>
            <w:vAlign w:val="center"/>
            <w:hideMark/>
          </w:tcPr>
          <w:p w14:paraId="5B62E07C" w14:textId="77777777" w:rsidR="00D21F86" w:rsidRDefault="00D21F86">
            <w:pPr>
              <w:keepNext/>
              <w:rPr>
                <w:szCs w:val="22"/>
                <w:lang w:val="en-GB"/>
              </w:rPr>
            </w:pPr>
            <w:r>
              <w:rPr>
                <w:lang w:val="en-GB"/>
              </w:rPr>
              <w:t>Forvirring. Agitation.</w:t>
            </w:r>
          </w:p>
        </w:tc>
        <w:tc>
          <w:tcPr>
            <w:tcW w:w="1454" w:type="dxa"/>
            <w:tcBorders>
              <w:top w:val="outset" w:sz="6" w:space="0" w:color="7B7B7B"/>
              <w:left w:val="outset" w:sz="6" w:space="0" w:color="7B7B7B"/>
              <w:bottom w:val="outset" w:sz="6" w:space="0" w:color="7B7B7B"/>
              <w:right w:val="outset" w:sz="6" w:space="0" w:color="7B7B7B"/>
            </w:tcBorders>
            <w:vAlign w:val="center"/>
            <w:hideMark/>
          </w:tcPr>
          <w:p w14:paraId="7B4ADD92" w14:textId="77777777" w:rsidR="00D21F86" w:rsidRDefault="00D21F86">
            <w:pPr>
              <w:keepNext/>
              <w:rPr>
                <w:szCs w:val="22"/>
                <w:lang w:val="en-GB"/>
              </w:rPr>
            </w:pPr>
            <w:r>
              <w:rPr>
                <w:lang w:val="en-GB"/>
              </w:rPr>
              <w:t>Dysfori.</w:t>
            </w:r>
          </w:p>
        </w:tc>
        <w:tc>
          <w:tcPr>
            <w:tcW w:w="1772" w:type="dxa"/>
            <w:tcBorders>
              <w:top w:val="outset" w:sz="6" w:space="0" w:color="7B7B7B"/>
              <w:left w:val="outset" w:sz="6" w:space="0" w:color="7B7B7B"/>
              <w:bottom w:val="outset" w:sz="6" w:space="0" w:color="7B7B7B"/>
              <w:right w:val="outset" w:sz="6" w:space="0" w:color="7B7B7B"/>
            </w:tcBorders>
            <w:vAlign w:val="center"/>
            <w:hideMark/>
          </w:tcPr>
          <w:p w14:paraId="022312CB" w14:textId="77777777" w:rsidR="00D21F86" w:rsidRDefault="00D21F86" w:rsidP="00D21F86">
            <w:pPr>
              <w:keepNext/>
              <w:rPr>
                <w:szCs w:val="22"/>
                <w:lang w:val="en-GB"/>
              </w:rPr>
            </w:pPr>
            <w:r>
              <w:rPr>
                <w:lang w:val="en-GB"/>
              </w:rPr>
              <w:t>Hallucinationer.</w:t>
            </w:r>
          </w:p>
        </w:tc>
      </w:tr>
      <w:tr w:rsidR="00D21F86" w14:paraId="428744D2" w14:textId="77777777" w:rsidTr="00D21F86">
        <w:trPr>
          <w:trHeight w:val="1024"/>
          <w:jc w:val="center"/>
        </w:trPr>
        <w:tc>
          <w:tcPr>
            <w:tcW w:w="1555" w:type="dxa"/>
            <w:tcBorders>
              <w:top w:val="outset" w:sz="6" w:space="0" w:color="7B7B7B"/>
              <w:left w:val="outset" w:sz="6" w:space="0" w:color="7B7B7B"/>
              <w:bottom w:val="outset" w:sz="6" w:space="0" w:color="7B7B7B"/>
              <w:right w:val="outset" w:sz="6" w:space="0" w:color="7B7B7B"/>
            </w:tcBorders>
            <w:vAlign w:val="center"/>
            <w:hideMark/>
          </w:tcPr>
          <w:p w14:paraId="5FD0C585" w14:textId="77777777" w:rsidR="00D21F86" w:rsidRDefault="00D21F86">
            <w:pPr>
              <w:keepNext/>
              <w:rPr>
                <w:szCs w:val="22"/>
                <w:lang w:val="en-GB"/>
              </w:rPr>
            </w:pPr>
            <w:r>
              <w:rPr>
                <w:lang w:val="en-GB"/>
              </w:rPr>
              <w:t>Nervesystemet</w:t>
            </w:r>
          </w:p>
        </w:tc>
        <w:tc>
          <w:tcPr>
            <w:tcW w:w="1353" w:type="dxa"/>
            <w:tcBorders>
              <w:top w:val="outset" w:sz="6" w:space="0" w:color="7B7B7B"/>
              <w:left w:val="outset" w:sz="6" w:space="0" w:color="7B7B7B"/>
              <w:bottom w:val="outset" w:sz="6" w:space="0" w:color="7B7B7B"/>
              <w:right w:val="outset" w:sz="6" w:space="0" w:color="7B7B7B"/>
            </w:tcBorders>
            <w:vAlign w:val="center"/>
            <w:hideMark/>
          </w:tcPr>
          <w:p w14:paraId="67365A21" w14:textId="77777777" w:rsidR="00D21F86" w:rsidRDefault="00D21F86">
            <w:pPr>
              <w:keepNext/>
              <w:rPr>
                <w:szCs w:val="22"/>
                <w:lang w:val="en-GB"/>
              </w:rPr>
            </w:pPr>
            <w:r>
              <w:rPr>
                <w:lang w:val="en-GB"/>
              </w:rPr>
              <w:t>Døsighed.</w:t>
            </w:r>
          </w:p>
        </w:tc>
        <w:tc>
          <w:tcPr>
            <w:tcW w:w="1473" w:type="dxa"/>
            <w:tcBorders>
              <w:top w:val="outset" w:sz="6" w:space="0" w:color="7B7B7B"/>
              <w:left w:val="outset" w:sz="6" w:space="0" w:color="7B7B7B"/>
              <w:bottom w:val="outset" w:sz="6" w:space="0" w:color="7B7B7B"/>
              <w:right w:val="outset" w:sz="6" w:space="0" w:color="7B7B7B"/>
            </w:tcBorders>
            <w:vAlign w:val="center"/>
            <w:hideMark/>
          </w:tcPr>
          <w:p w14:paraId="2B2C8386" w14:textId="77777777" w:rsidR="00D21F86" w:rsidRDefault="00D21F86">
            <w:pPr>
              <w:keepNext/>
              <w:rPr>
                <w:szCs w:val="22"/>
                <w:lang w:val="en-GB"/>
              </w:rPr>
            </w:pPr>
            <w:r>
              <w:rPr>
                <w:lang w:val="en-GB"/>
              </w:rPr>
              <w:t>Dystoni. Okulogyration.</w:t>
            </w:r>
          </w:p>
        </w:tc>
        <w:tc>
          <w:tcPr>
            <w:tcW w:w="2015" w:type="dxa"/>
            <w:tcBorders>
              <w:top w:val="outset" w:sz="6" w:space="0" w:color="7B7B7B"/>
              <w:left w:val="outset" w:sz="6" w:space="0" w:color="7B7B7B"/>
              <w:bottom w:val="outset" w:sz="6" w:space="0" w:color="7B7B7B"/>
              <w:right w:val="outset" w:sz="6" w:space="0" w:color="7B7B7B"/>
            </w:tcBorders>
            <w:vAlign w:val="center"/>
            <w:hideMark/>
          </w:tcPr>
          <w:p w14:paraId="65BE75DB" w14:textId="77777777" w:rsidR="00D21F86" w:rsidRDefault="00D21F86">
            <w:pPr>
              <w:rPr>
                <w:szCs w:val="22"/>
                <w:lang w:val="en-GB"/>
              </w:rPr>
            </w:pPr>
          </w:p>
        </w:tc>
        <w:tc>
          <w:tcPr>
            <w:tcW w:w="1454" w:type="dxa"/>
            <w:tcBorders>
              <w:top w:val="outset" w:sz="6" w:space="0" w:color="7B7B7B"/>
              <w:left w:val="outset" w:sz="6" w:space="0" w:color="7B7B7B"/>
              <w:bottom w:val="outset" w:sz="6" w:space="0" w:color="7B7B7B"/>
              <w:right w:val="outset" w:sz="6" w:space="0" w:color="7B7B7B"/>
            </w:tcBorders>
            <w:vAlign w:val="center"/>
            <w:hideMark/>
          </w:tcPr>
          <w:p w14:paraId="56BC4C04" w14:textId="77777777" w:rsidR="00D21F86" w:rsidRPr="00D21F86" w:rsidRDefault="00D21F86">
            <w:pPr>
              <w:keepNext/>
              <w:rPr>
                <w:sz w:val="22"/>
                <w:szCs w:val="22"/>
              </w:rPr>
            </w:pPr>
            <w:r w:rsidRPr="00D21F86">
              <w:t>Ekstra-pyramidale forstyrrelser. Krampeanfald. Tremor.</w:t>
            </w:r>
          </w:p>
        </w:tc>
        <w:tc>
          <w:tcPr>
            <w:tcW w:w="1772" w:type="dxa"/>
            <w:tcBorders>
              <w:top w:val="outset" w:sz="6" w:space="0" w:color="7B7B7B"/>
              <w:left w:val="outset" w:sz="6" w:space="0" w:color="7B7B7B"/>
              <w:bottom w:val="outset" w:sz="6" w:space="0" w:color="7B7B7B"/>
              <w:right w:val="outset" w:sz="6" w:space="0" w:color="7B7B7B"/>
            </w:tcBorders>
            <w:vAlign w:val="center"/>
            <w:hideMark/>
          </w:tcPr>
          <w:p w14:paraId="10BD2027" w14:textId="77777777" w:rsidR="00D21F86" w:rsidRDefault="00D21F86" w:rsidP="00D21F86">
            <w:pPr>
              <w:keepNext/>
              <w:rPr>
                <w:szCs w:val="22"/>
                <w:lang w:val="en-GB"/>
              </w:rPr>
            </w:pPr>
            <w:r>
              <w:rPr>
                <w:lang w:val="en-GB"/>
              </w:rPr>
              <w:t>Epileptiske anfald. Parkinsons sygdom.</w:t>
            </w:r>
          </w:p>
        </w:tc>
      </w:tr>
      <w:tr w:rsidR="00D21F86" w14:paraId="4991A31A" w14:textId="77777777" w:rsidTr="00D21F86">
        <w:trPr>
          <w:trHeight w:val="1277"/>
          <w:jc w:val="center"/>
        </w:trPr>
        <w:tc>
          <w:tcPr>
            <w:tcW w:w="1555" w:type="dxa"/>
            <w:tcBorders>
              <w:top w:val="outset" w:sz="6" w:space="0" w:color="7B7B7B"/>
              <w:left w:val="outset" w:sz="6" w:space="0" w:color="7B7B7B"/>
              <w:bottom w:val="outset" w:sz="6" w:space="0" w:color="7B7B7B"/>
              <w:right w:val="outset" w:sz="6" w:space="0" w:color="7B7B7B"/>
            </w:tcBorders>
            <w:vAlign w:val="center"/>
            <w:hideMark/>
          </w:tcPr>
          <w:p w14:paraId="5A67FF29" w14:textId="77777777" w:rsidR="00D21F86" w:rsidRDefault="00D21F86">
            <w:pPr>
              <w:keepNext/>
              <w:rPr>
                <w:szCs w:val="22"/>
                <w:lang w:val="en-GB"/>
              </w:rPr>
            </w:pPr>
            <w:r>
              <w:rPr>
                <w:lang w:val="en-GB"/>
              </w:rPr>
              <w:t>Hjerte</w:t>
            </w:r>
          </w:p>
        </w:tc>
        <w:tc>
          <w:tcPr>
            <w:tcW w:w="1353" w:type="dxa"/>
            <w:tcBorders>
              <w:top w:val="outset" w:sz="6" w:space="0" w:color="7B7B7B"/>
              <w:left w:val="outset" w:sz="6" w:space="0" w:color="7B7B7B"/>
              <w:bottom w:val="outset" w:sz="6" w:space="0" w:color="7B7B7B"/>
              <w:right w:val="outset" w:sz="6" w:space="0" w:color="7B7B7B"/>
            </w:tcBorders>
            <w:vAlign w:val="center"/>
            <w:hideMark/>
          </w:tcPr>
          <w:p w14:paraId="62B49DB0" w14:textId="77777777" w:rsidR="00D21F86" w:rsidRDefault="00D21F86">
            <w:pPr>
              <w:rPr>
                <w:szCs w:val="22"/>
                <w:lang w:val="en-GB"/>
              </w:rPr>
            </w:pPr>
          </w:p>
        </w:tc>
        <w:tc>
          <w:tcPr>
            <w:tcW w:w="1473" w:type="dxa"/>
            <w:tcBorders>
              <w:top w:val="outset" w:sz="6" w:space="0" w:color="7B7B7B"/>
              <w:left w:val="outset" w:sz="6" w:space="0" w:color="7B7B7B"/>
              <w:bottom w:val="outset" w:sz="6" w:space="0" w:color="7B7B7B"/>
              <w:right w:val="outset" w:sz="6" w:space="0" w:color="7B7B7B"/>
            </w:tcBorders>
            <w:vAlign w:val="center"/>
            <w:hideMark/>
          </w:tcPr>
          <w:p w14:paraId="461241F4" w14:textId="77777777" w:rsidR="00D21F86" w:rsidRDefault="00D21F86">
            <w:pPr>
              <w:keepNext/>
              <w:rPr>
                <w:sz w:val="22"/>
                <w:szCs w:val="22"/>
                <w:lang w:val="en-GB"/>
              </w:rPr>
            </w:pPr>
            <w:r>
              <w:rPr>
                <w:lang w:val="en-GB"/>
              </w:rPr>
              <w:t>Takykardi. Svimmelhed.</w:t>
            </w:r>
          </w:p>
        </w:tc>
        <w:tc>
          <w:tcPr>
            <w:tcW w:w="2015" w:type="dxa"/>
            <w:tcBorders>
              <w:top w:val="outset" w:sz="6" w:space="0" w:color="7B7B7B"/>
              <w:left w:val="outset" w:sz="6" w:space="0" w:color="7B7B7B"/>
              <w:bottom w:val="outset" w:sz="6" w:space="0" w:color="7B7B7B"/>
              <w:right w:val="outset" w:sz="6" w:space="0" w:color="7B7B7B"/>
            </w:tcBorders>
            <w:vAlign w:val="center"/>
            <w:hideMark/>
          </w:tcPr>
          <w:p w14:paraId="4578FF63" w14:textId="77777777" w:rsidR="00D21F86" w:rsidRDefault="00D21F86">
            <w:pPr>
              <w:keepNext/>
              <w:rPr>
                <w:szCs w:val="22"/>
                <w:lang w:val="en-GB"/>
              </w:rPr>
            </w:pPr>
            <w:r>
              <w:rPr>
                <w:lang w:val="en-GB"/>
              </w:rPr>
              <w:t>Hjertearytmi, herunder ventrikulær arytmi.</w:t>
            </w:r>
          </w:p>
        </w:tc>
        <w:tc>
          <w:tcPr>
            <w:tcW w:w="1454" w:type="dxa"/>
            <w:tcBorders>
              <w:top w:val="outset" w:sz="6" w:space="0" w:color="7B7B7B"/>
              <w:left w:val="outset" w:sz="6" w:space="0" w:color="7B7B7B"/>
              <w:bottom w:val="outset" w:sz="6" w:space="0" w:color="7B7B7B"/>
              <w:right w:val="outset" w:sz="6" w:space="0" w:color="7B7B7B"/>
            </w:tcBorders>
            <w:vAlign w:val="center"/>
            <w:hideMark/>
          </w:tcPr>
          <w:p w14:paraId="4DEA5952" w14:textId="747E249D" w:rsidR="00D21F86" w:rsidRPr="00D21F86" w:rsidRDefault="00D21F86">
            <w:pPr>
              <w:keepNext/>
              <w:rPr>
                <w:szCs w:val="22"/>
              </w:rPr>
            </w:pPr>
            <w:r w:rsidRPr="00D21F86">
              <w:t>Hjertestop.</w:t>
            </w:r>
            <w:r w:rsidRPr="00D21F86">
              <w:br/>
            </w:r>
            <w:r w:rsidRPr="00D21F86">
              <w:rPr>
                <w:i/>
                <w:iCs/>
                <w:szCs w:val="22"/>
              </w:rPr>
              <w:t>Torsades de pointes.</w:t>
            </w:r>
            <w:r w:rsidRPr="00D21F86">
              <w:br/>
              <w:t>QT-forlængel</w:t>
            </w:r>
            <w:r>
              <w:softHyphen/>
            </w:r>
            <w:r w:rsidRPr="00D21F86">
              <w:t>se på EKG.</w:t>
            </w:r>
          </w:p>
        </w:tc>
        <w:tc>
          <w:tcPr>
            <w:tcW w:w="1772" w:type="dxa"/>
            <w:tcBorders>
              <w:top w:val="outset" w:sz="6" w:space="0" w:color="7B7B7B"/>
              <w:left w:val="outset" w:sz="6" w:space="0" w:color="7B7B7B"/>
              <w:bottom w:val="outset" w:sz="6" w:space="0" w:color="7B7B7B"/>
              <w:right w:val="outset" w:sz="6" w:space="0" w:color="7B7B7B"/>
            </w:tcBorders>
            <w:vAlign w:val="center"/>
            <w:hideMark/>
          </w:tcPr>
          <w:p w14:paraId="32718F42" w14:textId="77777777" w:rsidR="00D21F86" w:rsidRPr="00D21F86" w:rsidRDefault="00D21F86" w:rsidP="00D21F86">
            <w:pPr>
              <w:rPr>
                <w:szCs w:val="22"/>
              </w:rPr>
            </w:pPr>
          </w:p>
        </w:tc>
      </w:tr>
      <w:tr w:rsidR="00D21F86" w14:paraId="1F013F5D" w14:textId="77777777" w:rsidTr="00D21F86">
        <w:trPr>
          <w:trHeight w:val="518"/>
          <w:jc w:val="center"/>
        </w:trPr>
        <w:tc>
          <w:tcPr>
            <w:tcW w:w="1555" w:type="dxa"/>
            <w:tcBorders>
              <w:top w:val="outset" w:sz="6" w:space="0" w:color="7B7B7B"/>
              <w:left w:val="outset" w:sz="6" w:space="0" w:color="7B7B7B"/>
              <w:bottom w:val="outset" w:sz="6" w:space="0" w:color="7B7B7B"/>
              <w:right w:val="outset" w:sz="6" w:space="0" w:color="7B7B7B"/>
            </w:tcBorders>
            <w:vAlign w:val="center"/>
            <w:hideMark/>
          </w:tcPr>
          <w:p w14:paraId="732B0B43" w14:textId="77777777" w:rsidR="00D21F86" w:rsidRDefault="00D21F86">
            <w:pPr>
              <w:keepNext/>
              <w:rPr>
                <w:sz w:val="22"/>
                <w:szCs w:val="22"/>
                <w:lang w:val="en-GB"/>
              </w:rPr>
            </w:pPr>
            <w:r>
              <w:rPr>
                <w:lang w:val="en-GB"/>
              </w:rPr>
              <w:t>Vaskulære sygdomme</w:t>
            </w:r>
          </w:p>
        </w:tc>
        <w:tc>
          <w:tcPr>
            <w:tcW w:w="1353" w:type="dxa"/>
            <w:tcBorders>
              <w:top w:val="outset" w:sz="6" w:space="0" w:color="7B7B7B"/>
              <w:left w:val="outset" w:sz="6" w:space="0" w:color="7B7B7B"/>
              <w:bottom w:val="outset" w:sz="6" w:space="0" w:color="7B7B7B"/>
              <w:right w:val="outset" w:sz="6" w:space="0" w:color="7B7B7B"/>
            </w:tcBorders>
            <w:vAlign w:val="center"/>
            <w:hideMark/>
          </w:tcPr>
          <w:p w14:paraId="555BFBFB" w14:textId="77777777" w:rsidR="00D21F86" w:rsidRDefault="00D21F86">
            <w:pPr>
              <w:keepNext/>
              <w:rPr>
                <w:szCs w:val="22"/>
                <w:lang w:val="en-GB"/>
              </w:rPr>
            </w:pPr>
            <w:r>
              <w:rPr>
                <w:lang w:val="en-GB"/>
              </w:rPr>
              <w:t>Hypotension.</w:t>
            </w:r>
          </w:p>
        </w:tc>
        <w:tc>
          <w:tcPr>
            <w:tcW w:w="1473" w:type="dxa"/>
            <w:tcBorders>
              <w:top w:val="outset" w:sz="6" w:space="0" w:color="7B7B7B"/>
              <w:left w:val="outset" w:sz="6" w:space="0" w:color="7B7B7B"/>
              <w:bottom w:val="outset" w:sz="6" w:space="0" w:color="7B7B7B"/>
              <w:right w:val="outset" w:sz="6" w:space="0" w:color="7B7B7B"/>
            </w:tcBorders>
            <w:vAlign w:val="center"/>
            <w:hideMark/>
          </w:tcPr>
          <w:p w14:paraId="44DEA2BA" w14:textId="77777777" w:rsidR="00D21F86" w:rsidRDefault="00D21F86">
            <w:pPr>
              <w:rPr>
                <w:szCs w:val="22"/>
                <w:lang w:val="en-GB"/>
              </w:rPr>
            </w:pPr>
          </w:p>
        </w:tc>
        <w:tc>
          <w:tcPr>
            <w:tcW w:w="2015" w:type="dxa"/>
            <w:tcBorders>
              <w:top w:val="outset" w:sz="6" w:space="0" w:color="7B7B7B"/>
              <w:left w:val="outset" w:sz="6" w:space="0" w:color="7B7B7B"/>
              <w:bottom w:val="outset" w:sz="6" w:space="0" w:color="7B7B7B"/>
              <w:right w:val="outset" w:sz="6" w:space="0" w:color="7B7B7B"/>
            </w:tcBorders>
            <w:vAlign w:val="center"/>
            <w:hideMark/>
          </w:tcPr>
          <w:p w14:paraId="2C158B8B" w14:textId="77777777" w:rsidR="00D21F86" w:rsidRDefault="00D21F86">
            <w:pPr>
              <w:rPr>
                <w:sz w:val="20"/>
                <w:lang w:eastAsia="da-DK"/>
              </w:rPr>
            </w:pPr>
          </w:p>
        </w:tc>
        <w:tc>
          <w:tcPr>
            <w:tcW w:w="1454" w:type="dxa"/>
            <w:tcBorders>
              <w:top w:val="outset" w:sz="6" w:space="0" w:color="7B7B7B"/>
              <w:left w:val="outset" w:sz="6" w:space="0" w:color="7B7B7B"/>
              <w:bottom w:val="outset" w:sz="6" w:space="0" w:color="7B7B7B"/>
              <w:right w:val="outset" w:sz="6" w:space="0" w:color="7B7B7B"/>
            </w:tcBorders>
            <w:vAlign w:val="center"/>
            <w:hideMark/>
          </w:tcPr>
          <w:p w14:paraId="51972265" w14:textId="77777777" w:rsidR="00D21F86" w:rsidRDefault="00D21F86">
            <w:pPr>
              <w:rPr>
                <w:sz w:val="20"/>
                <w:lang w:eastAsia="da-DK"/>
              </w:rPr>
            </w:pPr>
          </w:p>
        </w:tc>
        <w:tc>
          <w:tcPr>
            <w:tcW w:w="1772" w:type="dxa"/>
            <w:tcBorders>
              <w:top w:val="outset" w:sz="6" w:space="0" w:color="7B7B7B"/>
              <w:left w:val="outset" w:sz="6" w:space="0" w:color="7B7B7B"/>
              <w:bottom w:val="outset" w:sz="6" w:space="0" w:color="7B7B7B"/>
              <w:right w:val="outset" w:sz="6" w:space="0" w:color="7B7B7B"/>
            </w:tcBorders>
            <w:vAlign w:val="center"/>
            <w:hideMark/>
          </w:tcPr>
          <w:p w14:paraId="2E0F60CC" w14:textId="77777777" w:rsidR="00D21F86" w:rsidRDefault="00D21F86" w:rsidP="00D21F86">
            <w:pPr>
              <w:keepNext/>
              <w:rPr>
                <w:sz w:val="22"/>
                <w:szCs w:val="22"/>
                <w:lang w:val="en-GB"/>
              </w:rPr>
            </w:pPr>
            <w:r>
              <w:rPr>
                <w:lang w:val="en-GB"/>
              </w:rPr>
              <w:t>Synkope.</w:t>
            </w:r>
          </w:p>
        </w:tc>
      </w:tr>
      <w:tr w:rsidR="00D21F86" w14:paraId="6DB1EA41" w14:textId="77777777" w:rsidTr="00D21F86">
        <w:trPr>
          <w:trHeight w:val="1012"/>
          <w:jc w:val="center"/>
        </w:trPr>
        <w:tc>
          <w:tcPr>
            <w:tcW w:w="1555" w:type="dxa"/>
            <w:tcBorders>
              <w:top w:val="outset" w:sz="6" w:space="0" w:color="7B7B7B"/>
              <w:left w:val="outset" w:sz="6" w:space="0" w:color="7B7B7B"/>
              <w:bottom w:val="outset" w:sz="6" w:space="0" w:color="7B7B7B"/>
              <w:right w:val="outset" w:sz="6" w:space="0" w:color="7B7B7B"/>
            </w:tcBorders>
            <w:vAlign w:val="center"/>
            <w:hideMark/>
          </w:tcPr>
          <w:p w14:paraId="0DE890AE" w14:textId="77777777" w:rsidR="00D21F86" w:rsidRDefault="00D21F86">
            <w:pPr>
              <w:keepNext/>
              <w:rPr>
                <w:szCs w:val="22"/>
                <w:lang w:val="en-GB"/>
              </w:rPr>
            </w:pPr>
            <w:r>
              <w:rPr>
                <w:lang w:val="en-GB"/>
              </w:rPr>
              <w:t>Luftveje, thorax og mediastinum</w:t>
            </w:r>
          </w:p>
        </w:tc>
        <w:tc>
          <w:tcPr>
            <w:tcW w:w="1353" w:type="dxa"/>
            <w:tcBorders>
              <w:top w:val="outset" w:sz="6" w:space="0" w:color="7B7B7B"/>
              <w:left w:val="outset" w:sz="6" w:space="0" w:color="7B7B7B"/>
              <w:bottom w:val="outset" w:sz="6" w:space="0" w:color="7B7B7B"/>
              <w:right w:val="outset" w:sz="6" w:space="0" w:color="7B7B7B"/>
            </w:tcBorders>
            <w:vAlign w:val="center"/>
            <w:hideMark/>
          </w:tcPr>
          <w:p w14:paraId="2E031809" w14:textId="77777777" w:rsidR="00D21F86" w:rsidRDefault="00D21F86">
            <w:pPr>
              <w:rPr>
                <w:szCs w:val="22"/>
                <w:lang w:val="en-GB"/>
              </w:rPr>
            </w:pPr>
          </w:p>
        </w:tc>
        <w:tc>
          <w:tcPr>
            <w:tcW w:w="1473" w:type="dxa"/>
            <w:tcBorders>
              <w:top w:val="outset" w:sz="6" w:space="0" w:color="7B7B7B"/>
              <w:left w:val="outset" w:sz="6" w:space="0" w:color="7B7B7B"/>
              <w:bottom w:val="outset" w:sz="6" w:space="0" w:color="7B7B7B"/>
              <w:right w:val="outset" w:sz="6" w:space="0" w:color="7B7B7B"/>
            </w:tcBorders>
            <w:vAlign w:val="center"/>
            <w:hideMark/>
          </w:tcPr>
          <w:p w14:paraId="47BDED48" w14:textId="77777777" w:rsidR="00D21F86" w:rsidRDefault="00D21F86">
            <w:pPr>
              <w:rPr>
                <w:sz w:val="20"/>
                <w:lang w:eastAsia="da-DK"/>
              </w:rPr>
            </w:pPr>
          </w:p>
        </w:tc>
        <w:tc>
          <w:tcPr>
            <w:tcW w:w="2015" w:type="dxa"/>
            <w:tcBorders>
              <w:top w:val="outset" w:sz="6" w:space="0" w:color="7B7B7B"/>
              <w:left w:val="outset" w:sz="6" w:space="0" w:color="7B7B7B"/>
              <w:bottom w:val="outset" w:sz="6" w:space="0" w:color="7B7B7B"/>
              <w:right w:val="outset" w:sz="6" w:space="0" w:color="7B7B7B"/>
            </w:tcBorders>
            <w:vAlign w:val="center"/>
            <w:hideMark/>
          </w:tcPr>
          <w:p w14:paraId="5C44BF18" w14:textId="77777777" w:rsidR="00D21F86" w:rsidRDefault="00D21F86">
            <w:pPr>
              <w:rPr>
                <w:sz w:val="20"/>
                <w:lang w:eastAsia="da-DK"/>
              </w:rPr>
            </w:pPr>
          </w:p>
        </w:tc>
        <w:tc>
          <w:tcPr>
            <w:tcW w:w="1454" w:type="dxa"/>
            <w:tcBorders>
              <w:top w:val="outset" w:sz="6" w:space="0" w:color="7B7B7B"/>
              <w:left w:val="outset" w:sz="6" w:space="0" w:color="7B7B7B"/>
              <w:bottom w:val="outset" w:sz="6" w:space="0" w:color="7B7B7B"/>
              <w:right w:val="outset" w:sz="6" w:space="0" w:color="7B7B7B"/>
            </w:tcBorders>
            <w:vAlign w:val="center"/>
            <w:hideMark/>
          </w:tcPr>
          <w:p w14:paraId="5463D0B0" w14:textId="77777777" w:rsidR="00D21F86" w:rsidRDefault="00D21F86">
            <w:pPr>
              <w:rPr>
                <w:sz w:val="20"/>
                <w:lang w:eastAsia="da-DK"/>
              </w:rPr>
            </w:pPr>
          </w:p>
        </w:tc>
        <w:tc>
          <w:tcPr>
            <w:tcW w:w="1772" w:type="dxa"/>
            <w:tcBorders>
              <w:top w:val="outset" w:sz="6" w:space="0" w:color="7B7B7B"/>
              <w:left w:val="outset" w:sz="6" w:space="0" w:color="7B7B7B"/>
              <w:bottom w:val="outset" w:sz="6" w:space="0" w:color="7B7B7B"/>
              <w:right w:val="outset" w:sz="6" w:space="0" w:color="7B7B7B"/>
            </w:tcBorders>
            <w:vAlign w:val="center"/>
            <w:hideMark/>
          </w:tcPr>
          <w:p w14:paraId="1449C908" w14:textId="77777777" w:rsidR="00D21F86" w:rsidRDefault="00D21F86" w:rsidP="00D21F86">
            <w:pPr>
              <w:keepNext/>
              <w:rPr>
                <w:sz w:val="22"/>
                <w:szCs w:val="22"/>
                <w:lang w:val="en-GB"/>
              </w:rPr>
            </w:pPr>
            <w:r>
              <w:rPr>
                <w:lang w:val="en-GB"/>
              </w:rPr>
              <w:t>Bronkospasme. Laryngospasme.</w:t>
            </w:r>
          </w:p>
        </w:tc>
      </w:tr>
      <w:tr w:rsidR="00D21F86" w14:paraId="06A6DB82" w14:textId="77777777" w:rsidTr="00D21F86">
        <w:trPr>
          <w:trHeight w:val="1024"/>
          <w:jc w:val="center"/>
        </w:trPr>
        <w:tc>
          <w:tcPr>
            <w:tcW w:w="1555" w:type="dxa"/>
            <w:tcBorders>
              <w:top w:val="outset" w:sz="6" w:space="0" w:color="7B7B7B"/>
              <w:left w:val="outset" w:sz="6" w:space="0" w:color="7B7B7B"/>
              <w:bottom w:val="outset" w:sz="6" w:space="0" w:color="7B7B7B"/>
              <w:right w:val="outset" w:sz="6" w:space="0" w:color="7B7B7B"/>
            </w:tcBorders>
            <w:vAlign w:val="center"/>
            <w:hideMark/>
          </w:tcPr>
          <w:p w14:paraId="5D74C236" w14:textId="77777777" w:rsidR="00D21F86" w:rsidRDefault="00D21F86">
            <w:pPr>
              <w:keepNext/>
              <w:rPr>
                <w:szCs w:val="22"/>
                <w:lang w:val="en-GB"/>
              </w:rPr>
            </w:pPr>
            <w:r>
              <w:rPr>
                <w:lang w:val="en-GB"/>
              </w:rPr>
              <w:t>Hud og subkutane væv</w:t>
            </w:r>
          </w:p>
        </w:tc>
        <w:tc>
          <w:tcPr>
            <w:tcW w:w="1353" w:type="dxa"/>
            <w:tcBorders>
              <w:top w:val="outset" w:sz="6" w:space="0" w:color="7B7B7B"/>
              <w:left w:val="outset" w:sz="6" w:space="0" w:color="7B7B7B"/>
              <w:bottom w:val="outset" w:sz="6" w:space="0" w:color="7B7B7B"/>
              <w:right w:val="outset" w:sz="6" w:space="0" w:color="7B7B7B"/>
            </w:tcBorders>
            <w:vAlign w:val="center"/>
            <w:hideMark/>
          </w:tcPr>
          <w:p w14:paraId="634B8288" w14:textId="77777777" w:rsidR="00D21F86" w:rsidRDefault="00D21F86">
            <w:pPr>
              <w:rPr>
                <w:szCs w:val="22"/>
                <w:lang w:val="en-GB"/>
              </w:rPr>
            </w:pPr>
          </w:p>
        </w:tc>
        <w:tc>
          <w:tcPr>
            <w:tcW w:w="1473" w:type="dxa"/>
            <w:tcBorders>
              <w:top w:val="outset" w:sz="6" w:space="0" w:color="7B7B7B"/>
              <w:left w:val="outset" w:sz="6" w:space="0" w:color="7B7B7B"/>
              <w:bottom w:val="outset" w:sz="6" w:space="0" w:color="7B7B7B"/>
              <w:right w:val="outset" w:sz="6" w:space="0" w:color="7B7B7B"/>
            </w:tcBorders>
            <w:vAlign w:val="center"/>
            <w:hideMark/>
          </w:tcPr>
          <w:p w14:paraId="62DB9157" w14:textId="77777777" w:rsidR="00D21F86" w:rsidRDefault="00D21F86">
            <w:pPr>
              <w:rPr>
                <w:sz w:val="20"/>
                <w:lang w:eastAsia="da-DK"/>
              </w:rPr>
            </w:pPr>
          </w:p>
        </w:tc>
        <w:tc>
          <w:tcPr>
            <w:tcW w:w="2015" w:type="dxa"/>
            <w:tcBorders>
              <w:top w:val="outset" w:sz="6" w:space="0" w:color="7B7B7B"/>
              <w:left w:val="outset" w:sz="6" w:space="0" w:color="7B7B7B"/>
              <w:bottom w:val="outset" w:sz="6" w:space="0" w:color="7B7B7B"/>
              <w:right w:val="outset" w:sz="6" w:space="0" w:color="7B7B7B"/>
            </w:tcBorders>
            <w:vAlign w:val="center"/>
            <w:hideMark/>
          </w:tcPr>
          <w:p w14:paraId="1C63B310" w14:textId="77777777" w:rsidR="00D21F86" w:rsidRDefault="00D21F86">
            <w:pPr>
              <w:keepNext/>
              <w:rPr>
                <w:sz w:val="22"/>
                <w:szCs w:val="22"/>
                <w:lang w:val="en-GB"/>
              </w:rPr>
            </w:pPr>
            <w:r>
              <w:rPr>
                <w:lang w:val="en-GB"/>
              </w:rPr>
              <w:t>Udslæt.</w:t>
            </w:r>
          </w:p>
        </w:tc>
        <w:tc>
          <w:tcPr>
            <w:tcW w:w="1454" w:type="dxa"/>
            <w:tcBorders>
              <w:top w:val="outset" w:sz="6" w:space="0" w:color="7B7B7B"/>
              <w:left w:val="outset" w:sz="6" w:space="0" w:color="7B7B7B"/>
              <w:bottom w:val="outset" w:sz="6" w:space="0" w:color="7B7B7B"/>
              <w:right w:val="outset" w:sz="6" w:space="0" w:color="7B7B7B"/>
            </w:tcBorders>
            <w:vAlign w:val="center"/>
            <w:hideMark/>
          </w:tcPr>
          <w:p w14:paraId="37D93B57" w14:textId="77777777" w:rsidR="00D21F86" w:rsidRDefault="00D21F86">
            <w:pPr>
              <w:rPr>
                <w:szCs w:val="22"/>
                <w:lang w:val="en-GB"/>
              </w:rPr>
            </w:pPr>
          </w:p>
        </w:tc>
        <w:tc>
          <w:tcPr>
            <w:tcW w:w="1772" w:type="dxa"/>
            <w:tcBorders>
              <w:top w:val="outset" w:sz="6" w:space="0" w:color="7B7B7B"/>
              <w:left w:val="outset" w:sz="6" w:space="0" w:color="7B7B7B"/>
              <w:bottom w:val="outset" w:sz="6" w:space="0" w:color="7B7B7B"/>
              <w:right w:val="outset" w:sz="6" w:space="0" w:color="7B7B7B"/>
            </w:tcBorders>
            <w:vAlign w:val="center"/>
            <w:hideMark/>
          </w:tcPr>
          <w:p w14:paraId="23C639DF" w14:textId="77777777" w:rsidR="00D21F86" w:rsidRDefault="00D21F86" w:rsidP="00D21F86">
            <w:pPr>
              <w:rPr>
                <w:sz w:val="20"/>
                <w:lang w:eastAsia="da-DK"/>
              </w:rPr>
            </w:pPr>
          </w:p>
        </w:tc>
      </w:tr>
      <w:tr w:rsidR="00D21F86" w14:paraId="03F06070" w14:textId="77777777" w:rsidTr="00D21F86">
        <w:trPr>
          <w:trHeight w:val="1264"/>
          <w:jc w:val="center"/>
        </w:trPr>
        <w:tc>
          <w:tcPr>
            <w:tcW w:w="1555" w:type="dxa"/>
            <w:tcBorders>
              <w:top w:val="outset" w:sz="6" w:space="0" w:color="7B7B7B"/>
              <w:left w:val="outset" w:sz="6" w:space="0" w:color="7B7B7B"/>
              <w:bottom w:val="outset" w:sz="6" w:space="0" w:color="7B7B7B"/>
              <w:right w:val="outset" w:sz="6" w:space="0" w:color="7B7B7B"/>
            </w:tcBorders>
            <w:vAlign w:val="center"/>
            <w:hideMark/>
          </w:tcPr>
          <w:p w14:paraId="4A3FC63E" w14:textId="77777777" w:rsidR="00D21F86" w:rsidRPr="00D21F86" w:rsidRDefault="00D21F86">
            <w:pPr>
              <w:keepNext/>
              <w:rPr>
                <w:sz w:val="22"/>
                <w:szCs w:val="22"/>
              </w:rPr>
            </w:pPr>
            <w:r w:rsidRPr="00D21F86">
              <w:t>Almene symptomer og reaktioner på administrations-stedet</w:t>
            </w:r>
          </w:p>
        </w:tc>
        <w:tc>
          <w:tcPr>
            <w:tcW w:w="1353" w:type="dxa"/>
            <w:tcBorders>
              <w:top w:val="outset" w:sz="6" w:space="0" w:color="7B7B7B"/>
              <w:left w:val="outset" w:sz="6" w:space="0" w:color="7B7B7B"/>
              <w:bottom w:val="outset" w:sz="6" w:space="0" w:color="7B7B7B"/>
              <w:right w:val="outset" w:sz="6" w:space="0" w:color="7B7B7B"/>
            </w:tcBorders>
            <w:vAlign w:val="center"/>
            <w:hideMark/>
          </w:tcPr>
          <w:p w14:paraId="0BA52553" w14:textId="77777777" w:rsidR="00D21F86" w:rsidRPr="00D21F86" w:rsidRDefault="00D21F86">
            <w:pPr>
              <w:rPr>
                <w:szCs w:val="22"/>
              </w:rPr>
            </w:pPr>
          </w:p>
        </w:tc>
        <w:tc>
          <w:tcPr>
            <w:tcW w:w="1473" w:type="dxa"/>
            <w:tcBorders>
              <w:top w:val="outset" w:sz="6" w:space="0" w:color="7B7B7B"/>
              <w:left w:val="outset" w:sz="6" w:space="0" w:color="7B7B7B"/>
              <w:bottom w:val="outset" w:sz="6" w:space="0" w:color="7B7B7B"/>
              <w:right w:val="outset" w:sz="6" w:space="0" w:color="7B7B7B"/>
            </w:tcBorders>
            <w:vAlign w:val="center"/>
            <w:hideMark/>
          </w:tcPr>
          <w:p w14:paraId="59958ABC" w14:textId="77777777" w:rsidR="00D21F86" w:rsidRDefault="00D21F86">
            <w:pPr>
              <w:rPr>
                <w:sz w:val="20"/>
                <w:lang w:eastAsia="da-DK"/>
              </w:rPr>
            </w:pPr>
          </w:p>
        </w:tc>
        <w:tc>
          <w:tcPr>
            <w:tcW w:w="2015" w:type="dxa"/>
            <w:tcBorders>
              <w:top w:val="outset" w:sz="6" w:space="0" w:color="7B7B7B"/>
              <w:left w:val="outset" w:sz="6" w:space="0" w:color="7B7B7B"/>
              <w:bottom w:val="outset" w:sz="6" w:space="0" w:color="7B7B7B"/>
              <w:right w:val="outset" w:sz="6" w:space="0" w:color="7B7B7B"/>
            </w:tcBorders>
            <w:vAlign w:val="center"/>
            <w:hideMark/>
          </w:tcPr>
          <w:p w14:paraId="58F8473B" w14:textId="77777777" w:rsidR="00D21F86" w:rsidRDefault="00D21F86">
            <w:pPr>
              <w:keepNext/>
              <w:rPr>
                <w:sz w:val="22"/>
                <w:szCs w:val="22"/>
                <w:lang w:val="en-GB"/>
              </w:rPr>
            </w:pPr>
            <w:r>
              <w:rPr>
                <w:lang w:val="en-GB"/>
              </w:rPr>
              <w:t>Malignt neuroleptikasyndrom (NMS).</w:t>
            </w:r>
          </w:p>
        </w:tc>
        <w:tc>
          <w:tcPr>
            <w:tcW w:w="1454" w:type="dxa"/>
            <w:tcBorders>
              <w:top w:val="outset" w:sz="6" w:space="0" w:color="7B7B7B"/>
              <w:left w:val="outset" w:sz="6" w:space="0" w:color="7B7B7B"/>
              <w:bottom w:val="outset" w:sz="6" w:space="0" w:color="7B7B7B"/>
              <w:right w:val="outset" w:sz="6" w:space="0" w:color="7B7B7B"/>
            </w:tcBorders>
            <w:vAlign w:val="center"/>
            <w:hideMark/>
          </w:tcPr>
          <w:p w14:paraId="47D182B7" w14:textId="77777777" w:rsidR="00D21F86" w:rsidRDefault="00D21F86">
            <w:pPr>
              <w:keepNext/>
              <w:rPr>
                <w:szCs w:val="22"/>
                <w:lang w:val="en-GB"/>
              </w:rPr>
            </w:pPr>
            <w:r>
              <w:rPr>
                <w:lang w:val="en-GB"/>
              </w:rPr>
              <w:t>Pludselig død.</w:t>
            </w:r>
          </w:p>
        </w:tc>
        <w:tc>
          <w:tcPr>
            <w:tcW w:w="1772" w:type="dxa"/>
            <w:tcBorders>
              <w:top w:val="outset" w:sz="6" w:space="0" w:color="7B7B7B"/>
              <w:left w:val="outset" w:sz="6" w:space="0" w:color="7B7B7B"/>
              <w:bottom w:val="outset" w:sz="6" w:space="0" w:color="7B7B7B"/>
              <w:right w:val="outset" w:sz="6" w:space="0" w:color="7B7B7B"/>
            </w:tcBorders>
            <w:vAlign w:val="center"/>
            <w:hideMark/>
          </w:tcPr>
          <w:p w14:paraId="4B908FFB" w14:textId="77777777" w:rsidR="00D21F86" w:rsidRDefault="00D21F86" w:rsidP="00D21F86">
            <w:pPr>
              <w:rPr>
                <w:szCs w:val="22"/>
                <w:lang w:val="en-GB"/>
              </w:rPr>
            </w:pPr>
          </w:p>
        </w:tc>
      </w:tr>
    </w:tbl>
    <w:p w14:paraId="37B04A68" w14:textId="77777777" w:rsidR="00D21F86" w:rsidRPr="00D21F86" w:rsidRDefault="00D21F86" w:rsidP="00D21F86">
      <w:pPr>
        <w:ind w:left="851"/>
        <w:rPr>
          <w:sz w:val="24"/>
          <w:szCs w:val="24"/>
        </w:rPr>
      </w:pPr>
    </w:p>
    <w:p w14:paraId="01234796" w14:textId="77777777" w:rsidR="00D21F86" w:rsidRPr="00D21F86" w:rsidRDefault="00D21F86" w:rsidP="00D21F86">
      <w:pPr>
        <w:ind w:left="851"/>
        <w:rPr>
          <w:sz w:val="24"/>
          <w:szCs w:val="24"/>
        </w:rPr>
      </w:pPr>
      <w:r w:rsidRPr="00D21F86">
        <w:rPr>
          <w:sz w:val="24"/>
          <w:szCs w:val="24"/>
        </w:rPr>
        <w:t xml:space="preserve">Der er indberettet symptomer, der potentielt er relateret til NMS, dvs. ændringer i kropstemperatur, stivhed og feber. Der er set en ændring i mental status med forvirring eller agitation og ændret bevidsthed. Autonom instabilitet kan manifestere sig som </w:t>
      </w:r>
      <w:r w:rsidRPr="00D21F86">
        <w:rPr>
          <w:sz w:val="24"/>
          <w:szCs w:val="24"/>
        </w:rPr>
        <w:lastRenderedPageBreak/>
        <w:t xml:space="preserve">takykardi, svingende blodtryk, </w:t>
      </w:r>
      <w:r w:rsidRPr="00D21F86">
        <w:rPr>
          <w:sz w:val="24"/>
          <w:szCs w:val="24"/>
        </w:rPr>
        <w:br/>
        <w:t>overdreven sved-/spytafsondring og tremor. I ekstreme tilfælde kan NMS føre til koma eller renale og/eller hepatobiliære problemer.</w:t>
      </w:r>
    </w:p>
    <w:p w14:paraId="417DE3C3" w14:textId="77777777" w:rsidR="00D21F86" w:rsidRPr="00D21F86" w:rsidRDefault="00D21F86" w:rsidP="00D21F86">
      <w:pPr>
        <w:ind w:left="851"/>
        <w:rPr>
          <w:sz w:val="24"/>
          <w:szCs w:val="24"/>
        </w:rPr>
      </w:pPr>
    </w:p>
    <w:p w14:paraId="1597985E" w14:textId="77777777" w:rsidR="00D21F86" w:rsidRPr="00D21F86" w:rsidRDefault="00D21F86" w:rsidP="00D21F86">
      <w:pPr>
        <w:ind w:left="851"/>
        <w:rPr>
          <w:sz w:val="24"/>
          <w:szCs w:val="24"/>
        </w:rPr>
      </w:pPr>
      <w:r w:rsidRPr="00D21F86">
        <w:rPr>
          <w:sz w:val="24"/>
          <w:szCs w:val="24"/>
        </w:rPr>
        <w:t>Isolerede tilfælde af amenorré, galaktorré, gynækomasti, hyperprolaktinæmi, oligomenorré og neonatal abstinenssyndrom er blevet forbundet med langvarig eksponering ved psykiatriske indikationer.</w:t>
      </w:r>
    </w:p>
    <w:p w14:paraId="73BD1BFF" w14:textId="77777777" w:rsidR="00D21F86" w:rsidRPr="00D21F86" w:rsidRDefault="00D21F86" w:rsidP="00D21F86">
      <w:pPr>
        <w:ind w:left="851"/>
        <w:rPr>
          <w:sz w:val="24"/>
          <w:szCs w:val="24"/>
        </w:rPr>
      </w:pPr>
    </w:p>
    <w:p w14:paraId="38E7FB46" w14:textId="77777777" w:rsidR="00D21F86" w:rsidRPr="00D21F86" w:rsidRDefault="00D21F86" w:rsidP="00D21F86">
      <w:pPr>
        <w:ind w:left="851"/>
        <w:rPr>
          <w:sz w:val="24"/>
          <w:szCs w:val="24"/>
        </w:rPr>
      </w:pPr>
      <w:r w:rsidRPr="00D21F86">
        <w:rPr>
          <w:sz w:val="24"/>
          <w:szCs w:val="24"/>
        </w:rPr>
        <w:t>Der er indberettet tilfælde af venøs tromboemboli, herunder tilfælde af lungeemboli og tilfælde af dyb venetrombose, med antipsykotika – hyppighed ikke kendt.</w:t>
      </w:r>
    </w:p>
    <w:p w14:paraId="369F8D2A" w14:textId="77777777" w:rsidR="00D21F86" w:rsidRPr="00D21F86" w:rsidRDefault="00D21F86" w:rsidP="00D21F86">
      <w:pPr>
        <w:ind w:left="851"/>
        <w:rPr>
          <w:i/>
          <w:noProof/>
          <w:sz w:val="24"/>
          <w:szCs w:val="24"/>
        </w:rPr>
      </w:pPr>
    </w:p>
    <w:p w14:paraId="21F74AD8" w14:textId="77777777" w:rsidR="00D21F86" w:rsidRPr="00D21F86" w:rsidRDefault="00D21F86" w:rsidP="00D21F86">
      <w:pPr>
        <w:autoSpaceDE w:val="0"/>
        <w:autoSpaceDN w:val="0"/>
        <w:adjustRightInd w:val="0"/>
        <w:ind w:left="851"/>
        <w:rPr>
          <w:sz w:val="24"/>
          <w:szCs w:val="24"/>
          <w:u w:val="single"/>
        </w:rPr>
      </w:pPr>
      <w:r w:rsidRPr="00D21F86">
        <w:rPr>
          <w:noProof/>
          <w:sz w:val="24"/>
          <w:szCs w:val="24"/>
          <w:u w:val="single"/>
        </w:rPr>
        <w:t>Indberetning af formodede bivirkninger</w:t>
      </w:r>
    </w:p>
    <w:p w14:paraId="26FEF7FE" w14:textId="77777777" w:rsidR="00D21F86" w:rsidRPr="00D21F86" w:rsidRDefault="00D21F86" w:rsidP="00D21F86">
      <w:pPr>
        <w:autoSpaceDE w:val="0"/>
        <w:autoSpaceDN w:val="0"/>
        <w:adjustRightInd w:val="0"/>
        <w:ind w:left="851"/>
        <w:rPr>
          <w:noProof/>
          <w:sz w:val="24"/>
          <w:szCs w:val="24"/>
        </w:rPr>
      </w:pPr>
      <w:r w:rsidRPr="00D21F86">
        <w:rPr>
          <w:noProof/>
          <w:sz w:val="24"/>
          <w:szCs w:val="24"/>
        </w:rPr>
        <w:t>Når lægemidlet er godkendt, er indberetning af formodede bivirkninger vigtig.</w:t>
      </w:r>
      <w:r w:rsidRPr="00D21F86">
        <w:rPr>
          <w:sz w:val="24"/>
          <w:szCs w:val="24"/>
        </w:rPr>
        <w:t xml:space="preserve"> </w:t>
      </w:r>
      <w:r w:rsidRPr="00D21F86">
        <w:rPr>
          <w:noProof/>
          <w:sz w:val="24"/>
          <w:szCs w:val="24"/>
        </w:rPr>
        <w:t>Det muliggør løbende overvågning af benefit/risk-forholdet for lægemidlet.</w:t>
      </w:r>
      <w:r w:rsidRPr="00D21F86">
        <w:rPr>
          <w:sz w:val="24"/>
          <w:szCs w:val="24"/>
        </w:rPr>
        <w:t xml:space="preserve"> </w:t>
      </w:r>
      <w:r w:rsidRPr="00D21F86">
        <w:rPr>
          <w:noProof/>
          <w:sz w:val="24"/>
          <w:szCs w:val="24"/>
        </w:rPr>
        <w:t>Sundhedspersoner anmodes om at indberette alle formodede bivirkninger via:</w:t>
      </w:r>
    </w:p>
    <w:p w14:paraId="1E7C959B" w14:textId="77777777" w:rsidR="00D21F86" w:rsidRPr="00D21F86" w:rsidRDefault="00D21F86" w:rsidP="00D21F86">
      <w:pPr>
        <w:autoSpaceDE w:val="0"/>
        <w:autoSpaceDN w:val="0"/>
        <w:adjustRightInd w:val="0"/>
        <w:ind w:left="851"/>
        <w:rPr>
          <w:noProof/>
          <w:sz w:val="24"/>
          <w:szCs w:val="24"/>
        </w:rPr>
      </w:pPr>
    </w:p>
    <w:p w14:paraId="2C8415FB" w14:textId="77777777" w:rsidR="00D21F86" w:rsidRPr="00D21F86" w:rsidRDefault="00D21F86" w:rsidP="00D21F86">
      <w:pPr>
        <w:autoSpaceDE w:val="0"/>
        <w:autoSpaceDN w:val="0"/>
        <w:adjustRightInd w:val="0"/>
        <w:ind w:left="851"/>
        <w:rPr>
          <w:noProof/>
          <w:sz w:val="24"/>
          <w:szCs w:val="24"/>
        </w:rPr>
      </w:pPr>
      <w:r w:rsidRPr="00D21F86">
        <w:rPr>
          <w:noProof/>
          <w:sz w:val="24"/>
          <w:szCs w:val="24"/>
        </w:rPr>
        <w:t>Lægemiddelstyrelsen</w:t>
      </w:r>
    </w:p>
    <w:p w14:paraId="624BFA46" w14:textId="77777777" w:rsidR="00D21F86" w:rsidRPr="00D21F86" w:rsidRDefault="00D21F86" w:rsidP="00D21F86">
      <w:pPr>
        <w:autoSpaceDE w:val="0"/>
        <w:autoSpaceDN w:val="0"/>
        <w:adjustRightInd w:val="0"/>
        <w:ind w:left="851"/>
        <w:rPr>
          <w:noProof/>
          <w:sz w:val="24"/>
          <w:szCs w:val="24"/>
        </w:rPr>
      </w:pPr>
      <w:r w:rsidRPr="00D21F86">
        <w:rPr>
          <w:noProof/>
          <w:sz w:val="24"/>
          <w:szCs w:val="24"/>
        </w:rPr>
        <w:t>Axel Heides Gade 1</w:t>
      </w:r>
    </w:p>
    <w:p w14:paraId="17CD4332" w14:textId="77777777" w:rsidR="00D21F86" w:rsidRPr="00D21F86" w:rsidRDefault="00D21F86" w:rsidP="00D21F86">
      <w:pPr>
        <w:autoSpaceDE w:val="0"/>
        <w:autoSpaceDN w:val="0"/>
        <w:adjustRightInd w:val="0"/>
        <w:ind w:left="851"/>
        <w:rPr>
          <w:noProof/>
          <w:sz w:val="24"/>
          <w:szCs w:val="24"/>
        </w:rPr>
      </w:pPr>
      <w:r w:rsidRPr="00D21F86">
        <w:rPr>
          <w:noProof/>
          <w:sz w:val="24"/>
          <w:szCs w:val="24"/>
        </w:rPr>
        <w:t>DK-2300 København S</w:t>
      </w:r>
    </w:p>
    <w:p w14:paraId="3897A0FE" w14:textId="77777777" w:rsidR="00D21F86" w:rsidRPr="00D21F86" w:rsidRDefault="00D21F86" w:rsidP="00D21F86">
      <w:pPr>
        <w:autoSpaceDE w:val="0"/>
        <w:autoSpaceDN w:val="0"/>
        <w:adjustRightInd w:val="0"/>
        <w:ind w:left="851"/>
        <w:rPr>
          <w:noProof/>
          <w:sz w:val="24"/>
          <w:szCs w:val="24"/>
        </w:rPr>
      </w:pPr>
      <w:r w:rsidRPr="00D21F86">
        <w:rPr>
          <w:noProof/>
          <w:sz w:val="24"/>
          <w:szCs w:val="24"/>
        </w:rPr>
        <w:t>Websted: www.meldenbivirkning.dk</w:t>
      </w:r>
    </w:p>
    <w:p w14:paraId="24714024" w14:textId="77777777" w:rsidR="009260DE" w:rsidRPr="00D21F86" w:rsidRDefault="009260DE" w:rsidP="00D21F86">
      <w:pPr>
        <w:tabs>
          <w:tab w:val="left" w:pos="851"/>
        </w:tabs>
        <w:ind w:left="851"/>
        <w:rPr>
          <w:sz w:val="24"/>
          <w:szCs w:val="24"/>
        </w:rPr>
      </w:pPr>
    </w:p>
    <w:p w14:paraId="27B66538"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5D9CBEED" w14:textId="77777777" w:rsidR="001364B1" w:rsidRPr="001364B1" w:rsidRDefault="001364B1" w:rsidP="001364B1">
      <w:pPr>
        <w:tabs>
          <w:tab w:val="left" w:pos="851"/>
        </w:tabs>
        <w:ind w:left="851"/>
        <w:rPr>
          <w:sz w:val="24"/>
          <w:szCs w:val="24"/>
        </w:rPr>
      </w:pPr>
      <w:r w:rsidRPr="001364B1">
        <w:rPr>
          <w:sz w:val="24"/>
          <w:szCs w:val="24"/>
        </w:rPr>
        <w:t>Overdosering med droperidol viser sig som en forlængelse af den farmakologiske virkning.</w:t>
      </w:r>
    </w:p>
    <w:p w14:paraId="6155788A" w14:textId="77777777" w:rsidR="001364B1" w:rsidRPr="001364B1" w:rsidRDefault="001364B1" w:rsidP="001364B1">
      <w:pPr>
        <w:tabs>
          <w:tab w:val="left" w:pos="851"/>
        </w:tabs>
        <w:ind w:left="851"/>
        <w:rPr>
          <w:sz w:val="24"/>
          <w:szCs w:val="24"/>
        </w:rPr>
      </w:pPr>
      <w:r w:rsidRPr="001364B1">
        <w:rPr>
          <w:sz w:val="24"/>
          <w:szCs w:val="24"/>
        </w:rPr>
        <w:t>Symptomerne på utilsigtet overdosering er psykisk indifferens med en overgang til søvn, undertiden forbundet med blodtryksfald.</w:t>
      </w:r>
    </w:p>
    <w:p w14:paraId="26FE3C4C" w14:textId="77777777" w:rsidR="001364B1" w:rsidRPr="001364B1" w:rsidRDefault="001364B1" w:rsidP="001364B1">
      <w:pPr>
        <w:tabs>
          <w:tab w:val="left" w:pos="851"/>
        </w:tabs>
        <w:ind w:left="851"/>
        <w:rPr>
          <w:sz w:val="24"/>
          <w:szCs w:val="24"/>
        </w:rPr>
      </w:pPr>
    </w:p>
    <w:p w14:paraId="025BF43F" w14:textId="77777777" w:rsidR="001364B1" w:rsidRPr="001364B1" w:rsidRDefault="001364B1" w:rsidP="001364B1">
      <w:pPr>
        <w:tabs>
          <w:tab w:val="left" w:pos="851"/>
        </w:tabs>
        <w:ind w:left="851"/>
        <w:rPr>
          <w:sz w:val="24"/>
          <w:szCs w:val="24"/>
        </w:rPr>
      </w:pPr>
      <w:r w:rsidRPr="001364B1">
        <w:rPr>
          <w:sz w:val="24"/>
          <w:szCs w:val="24"/>
        </w:rPr>
        <w:t>Ved højere doser eller hos følsomme patienter kan der opstå ekstrapyramidale forstyrrelser (spytafsondring, abnorme bevægelser, undertiden muskelstivhed). Krampeanfald kan forekomme ved toksiske doser.</w:t>
      </w:r>
    </w:p>
    <w:p w14:paraId="1CB5D70D" w14:textId="77777777" w:rsidR="001364B1" w:rsidRPr="001364B1" w:rsidRDefault="001364B1" w:rsidP="001364B1">
      <w:pPr>
        <w:tabs>
          <w:tab w:val="left" w:pos="851"/>
        </w:tabs>
        <w:ind w:left="851"/>
        <w:rPr>
          <w:sz w:val="24"/>
          <w:szCs w:val="24"/>
        </w:rPr>
      </w:pPr>
    </w:p>
    <w:p w14:paraId="0707D01E" w14:textId="77777777" w:rsidR="001364B1" w:rsidRPr="001364B1" w:rsidRDefault="001364B1" w:rsidP="001364B1">
      <w:pPr>
        <w:tabs>
          <w:tab w:val="left" w:pos="851"/>
        </w:tabs>
        <w:ind w:left="851"/>
        <w:rPr>
          <w:sz w:val="24"/>
          <w:szCs w:val="24"/>
        </w:rPr>
      </w:pPr>
      <w:r w:rsidRPr="001364B1">
        <w:rPr>
          <w:sz w:val="24"/>
          <w:szCs w:val="24"/>
        </w:rPr>
        <w:t>Der er indberettet sjældne tilfælde af forlænget QT-interval, ventrikulær arytmi og pludselig død.</w:t>
      </w:r>
    </w:p>
    <w:p w14:paraId="51C7B077" w14:textId="77777777" w:rsidR="001364B1" w:rsidRPr="001364B1" w:rsidRDefault="001364B1" w:rsidP="001364B1">
      <w:pPr>
        <w:tabs>
          <w:tab w:val="left" w:pos="851"/>
        </w:tabs>
        <w:ind w:left="851"/>
        <w:rPr>
          <w:sz w:val="24"/>
          <w:szCs w:val="24"/>
        </w:rPr>
      </w:pPr>
    </w:p>
    <w:p w14:paraId="74C9AD74" w14:textId="77777777" w:rsidR="001364B1" w:rsidRPr="001364B1" w:rsidRDefault="001364B1" w:rsidP="001364B1">
      <w:pPr>
        <w:tabs>
          <w:tab w:val="left" w:pos="851"/>
        </w:tabs>
        <w:ind w:left="851"/>
        <w:rPr>
          <w:sz w:val="24"/>
          <w:szCs w:val="24"/>
        </w:rPr>
      </w:pPr>
      <w:r w:rsidRPr="001364B1">
        <w:rPr>
          <w:sz w:val="24"/>
          <w:szCs w:val="24"/>
          <w:u w:val="single"/>
        </w:rPr>
        <w:t>Behandling</w:t>
      </w:r>
    </w:p>
    <w:p w14:paraId="1FD0272B" w14:textId="77777777" w:rsidR="001364B1" w:rsidRPr="001364B1" w:rsidRDefault="001364B1" w:rsidP="001364B1">
      <w:pPr>
        <w:tabs>
          <w:tab w:val="left" w:pos="851"/>
        </w:tabs>
        <w:ind w:left="851"/>
        <w:rPr>
          <w:sz w:val="24"/>
          <w:szCs w:val="24"/>
        </w:rPr>
      </w:pPr>
      <w:r w:rsidRPr="001364B1">
        <w:rPr>
          <w:sz w:val="24"/>
          <w:szCs w:val="24"/>
        </w:rPr>
        <w:t>Der kendes ingen specifik antidot. Hvis der opstår ekstrapyramidale reaktioner, bør der dog administreres et antikolinergikum.</w:t>
      </w:r>
    </w:p>
    <w:p w14:paraId="0F7B4DB4" w14:textId="77777777" w:rsidR="001364B1" w:rsidRPr="001364B1" w:rsidRDefault="001364B1" w:rsidP="001364B1">
      <w:pPr>
        <w:tabs>
          <w:tab w:val="left" w:pos="851"/>
        </w:tabs>
        <w:ind w:left="851"/>
        <w:rPr>
          <w:sz w:val="24"/>
          <w:szCs w:val="24"/>
        </w:rPr>
      </w:pPr>
    </w:p>
    <w:p w14:paraId="0860A4E5" w14:textId="77777777" w:rsidR="001364B1" w:rsidRPr="001364B1" w:rsidRDefault="001364B1" w:rsidP="001364B1">
      <w:pPr>
        <w:tabs>
          <w:tab w:val="left" w:pos="851"/>
        </w:tabs>
        <w:ind w:left="851"/>
        <w:rPr>
          <w:sz w:val="24"/>
          <w:szCs w:val="24"/>
        </w:rPr>
      </w:pPr>
      <w:r w:rsidRPr="001364B1">
        <w:rPr>
          <w:sz w:val="24"/>
          <w:szCs w:val="24"/>
        </w:rPr>
        <w:t>Patienter, der har fået en overdosis af droperidol, bør monitoreres tæt for tegn på forlænget QT-interval.</w:t>
      </w:r>
    </w:p>
    <w:p w14:paraId="7EA2A8FF" w14:textId="77777777" w:rsidR="001364B1" w:rsidRPr="001364B1" w:rsidRDefault="001364B1" w:rsidP="001364B1">
      <w:pPr>
        <w:tabs>
          <w:tab w:val="left" w:pos="851"/>
        </w:tabs>
        <w:ind w:left="851"/>
        <w:rPr>
          <w:sz w:val="24"/>
          <w:szCs w:val="24"/>
        </w:rPr>
      </w:pPr>
    </w:p>
    <w:p w14:paraId="413A4D9A" w14:textId="77777777" w:rsidR="001364B1" w:rsidRPr="001364B1" w:rsidRDefault="001364B1" w:rsidP="001364B1">
      <w:pPr>
        <w:tabs>
          <w:tab w:val="left" w:pos="851"/>
        </w:tabs>
        <w:ind w:left="851"/>
        <w:rPr>
          <w:sz w:val="24"/>
          <w:szCs w:val="24"/>
        </w:rPr>
      </w:pPr>
      <w:r w:rsidRPr="001364B1">
        <w:rPr>
          <w:sz w:val="24"/>
          <w:szCs w:val="24"/>
        </w:rPr>
        <w:t xml:space="preserve">Faktorer, der prædisponerer for </w:t>
      </w:r>
      <w:r w:rsidRPr="001364B1">
        <w:rPr>
          <w:i/>
          <w:sz w:val="24"/>
          <w:szCs w:val="24"/>
        </w:rPr>
        <w:t>torsades de pointes</w:t>
      </w:r>
      <w:r w:rsidRPr="001364B1">
        <w:rPr>
          <w:sz w:val="24"/>
          <w:szCs w:val="24"/>
        </w:rPr>
        <w:t>, f.eks. forstyrrelser i elektrolytbalancen (især hypokaliæmi eller hypomagnesiæmi) og bradykardi, bør tages i betragtning.</w:t>
      </w:r>
    </w:p>
    <w:p w14:paraId="74BFD64C" w14:textId="77777777" w:rsidR="001364B1" w:rsidRPr="001364B1" w:rsidRDefault="001364B1" w:rsidP="001364B1">
      <w:pPr>
        <w:tabs>
          <w:tab w:val="left" w:pos="851"/>
        </w:tabs>
        <w:ind w:left="851"/>
        <w:rPr>
          <w:sz w:val="24"/>
          <w:szCs w:val="24"/>
        </w:rPr>
      </w:pPr>
    </w:p>
    <w:p w14:paraId="7E8D1B24" w14:textId="77777777" w:rsidR="001364B1" w:rsidRPr="001364B1" w:rsidRDefault="001364B1" w:rsidP="001364B1">
      <w:pPr>
        <w:tabs>
          <w:tab w:val="left" w:pos="851"/>
        </w:tabs>
        <w:ind w:left="851"/>
        <w:rPr>
          <w:sz w:val="24"/>
          <w:szCs w:val="24"/>
        </w:rPr>
      </w:pPr>
      <w:r w:rsidRPr="001364B1">
        <w:rPr>
          <w:sz w:val="24"/>
          <w:szCs w:val="24"/>
        </w:rPr>
        <w:t>Markant hypotension bør behandles ved at øge cirkulationsvolumenet og træffe andre passende foranstaltninger. Frie luftveje og tilstrækkelig iltning skal opretholdes. Tungeholder eller endotrakealrør kan være indiceret.</w:t>
      </w:r>
    </w:p>
    <w:p w14:paraId="065725E6" w14:textId="77777777" w:rsidR="001364B1" w:rsidRPr="001364B1" w:rsidRDefault="001364B1" w:rsidP="001364B1">
      <w:pPr>
        <w:tabs>
          <w:tab w:val="left" w:pos="851"/>
        </w:tabs>
        <w:ind w:left="851"/>
        <w:rPr>
          <w:sz w:val="24"/>
          <w:szCs w:val="24"/>
        </w:rPr>
      </w:pPr>
    </w:p>
    <w:p w14:paraId="585598BC" w14:textId="77777777" w:rsidR="001364B1" w:rsidRPr="001364B1" w:rsidRDefault="001364B1" w:rsidP="001364B1">
      <w:pPr>
        <w:tabs>
          <w:tab w:val="left" w:pos="851"/>
        </w:tabs>
        <w:ind w:left="851"/>
        <w:rPr>
          <w:sz w:val="24"/>
          <w:szCs w:val="24"/>
        </w:rPr>
      </w:pPr>
      <w:r w:rsidRPr="001364B1">
        <w:rPr>
          <w:sz w:val="24"/>
          <w:szCs w:val="24"/>
        </w:rPr>
        <w:t>Om nødvendigt bør patienten observeres nøje i 24 timer eller mere. Kropsvarme og tilstrækkeligt væskeindtag skal opretholdes.</w:t>
      </w:r>
    </w:p>
    <w:p w14:paraId="47CED1E3" w14:textId="1FB5D24F" w:rsidR="001364B1" w:rsidRDefault="001364B1">
      <w:pPr>
        <w:rPr>
          <w:sz w:val="24"/>
          <w:szCs w:val="24"/>
        </w:rPr>
      </w:pPr>
      <w:r>
        <w:rPr>
          <w:sz w:val="24"/>
          <w:szCs w:val="24"/>
        </w:rPr>
        <w:br w:type="page"/>
      </w:r>
    </w:p>
    <w:p w14:paraId="1D51F047" w14:textId="77777777" w:rsidR="009260DE" w:rsidRPr="00C84483" w:rsidRDefault="009260DE" w:rsidP="009260DE">
      <w:pPr>
        <w:tabs>
          <w:tab w:val="left" w:pos="851"/>
        </w:tabs>
        <w:ind w:left="851"/>
        <w:rPr>
          <w:sz w:val="24"/>
          <w:szCs w:val="24"/>
        </w:rPr>
      </w:pPr>
    </w:p>
    <w:p w14:paraId="6456D8A4"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72C1E9FC" w14:textId="1DC56358" w:rsidR="009260DE" w:rsidRPr="00C84483" w:rsidRDefault="001364B1" w:rsidP="009260DE">
      <w:pPr>
        <w:tabs>
          <w:tab w:val="left" w:pos="851"/>
        </w:tabs>
        <w:ind w:left="851"/>
        <w:rPr>
          <w:sz w:val="24"/>
          <w:szCs w:val="24"/>
        </w:rPr>
      </w:pPr>
      <w:r>
        <w:rPr>
          <w:sz w:val="24"/>
          <w:szCs w:val="24"/>
        </w:rPr>
        <w:t>B</w:t>
      </w:r>
    </w:p>
    <w:p w14:paraId="143A63A8" w14:textId="77777777" w:rsidR="009260DE" w:rsidRPr="00C84483" w:rsidRDefault="009260DE" w:rsidP="009260DE">
      <w:pPr>
        <w:tabs>
          <w:tab w:val="left" w:pos="851"/>
        </w:tabs>
        <w:ind w:left="851"/>
        <w:rPr>
          <w:sz w:val="24"/>
          <w:szCs w:val="24"/>
        </w:rPr>
      </w:pPr>
    </w:p>
    <w:p w14:paraId="1F0DE84B" w14:textId="77777777" w:rsidR="009260DE" w:rsidRPr="00C84483" w:rsidRDefault="009260DE" w:rsidP="009260DE">
      <w:pPr>
        <w:tabs>
          <w:tab w:val="left" w:pos="851"/>
        </w:tabs>
        <w:ind w:left="851"/>
        <w:rPr>
          <w:sz w:val="24"/>
          <w:szCs w:val="24"/>
        </w:rPr>
      </w:pPr>
    </w:p>
    <w:p w14:paraId="73954AED"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41686374" w14:textId="77777777" w:rsidR="009260DE" w:rsidRPr="00C84483" w:rsidRDefault="009260DE" w:rsidP="009260DE">
      <w:pPr>
        <w:tabs>
          <w:tab w:val="left" w:pos="851"/>
        </w:tabs>
        <w:ind w:left="851"/>
        <w:rPr>
          <w:sz w:val="24"/>
          <w:szCs w:val="24"/>
        </w:rPr>
      </w:pPr>
    </w:p>
    <w:p w14:paraId="5CBC2EA2"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609CDFC1" w14:textId="77777777" w:rsidR="00672C4E" w:rsidRPr="00672C4E" w:rsidRDefault="00672C4E" w:rsidP="00672C4E">
      <w:pPr>
        <w:tabs>
          <w:tab w:val="left" w:pos="851"/>
        </w:tabs>
        <w:ind w:left="851"/>
        <w:rPr>
          <w:sz w:val="24"/>
          <w:szCs w:val="24"/>
        </w:rPr>
      </w:pPr>
      <w:r w:rsidRPr="00672C4E">
        <w:rPr>
          <w:sz w:val="24"/>
          <w:szCs w:val="24"/>
        </w:rPr>
        <w:t xml:space="preserve">Farmakoterapeutisk klassifikation: Psykoleptika; antipsykotika; butyrophenonderivater, </w:t>
      </w:r>
    </w:p>
    <w:p w14:paraId="7D40DA08" w14:textId="476D0B12" w:rsidR="00672C4E" w:rsidRPr="00672C4E" w:rsidRDefault="00672C4E" w:rsidP="00672C4E">
      <w:pPr>
        <w:tabs>
          <w:tab w:val="left" w:pos="851"/>
        </w:tabs>
        <w:ind w:left="851"/>
        <w:rPr>
          <w:sz w:val="24"/>
          <w:szCs w:val="24"/>
        </w:rPr>
      </w:pPr>
      <w:r w:rsidRPr="00672C4E">
        <w:rPr>
          <w:sz w:val="24"/>
          <w:szCs w:val="24"/>
        </w:rPr>
        <w:t>ATC-kode: N05AD08</w:t>
      </w:r>
      <w:r>
        <w:rPr>
          <w:sz w:val="24"/>
          <w:szCs w:val="24"/>
        </w:rPr>
        <w:t>.</w:t>
      </w:r>
    </w:p>
    <w:p w14:paraId="3BF96CD4" w14:textId="77777777" w:rsidR="00672C4E" w:rsidRPr="00672C4E" w:rsidRDefault="00672C4E" w:rsidP="00672C4E">
      <w:pPr>
        <w:tabs>
          <w:tab w:val="left" w:pos="851"/>
        </w:tabs>
        <w:ind w:left="851"/>
        <w:rPr>
          <w:sz w:val="24"/>
          <w:szCs w:val="24"/>
        </w:rPr>
      </w:pPr>
    </w:p>
    <w:p w14:paraId="6AD0C7AC" w14:textId="77777777" w:rsidR="00672C4E" w:rsidRPr="00672C4E" w:rsidRDefault="00672C4E" w:rsidP="00672C4E">
      <w:pPr>
        <w:tabs>
          <w:tab w:val="left" w:pos="851"/>
        </w:tabs>
        <w:ind w:left="851"/>
        <w:rPr>
          <w:sz w:val="24"/>
          <w:szCs w:val="24"/>
        </w:rPr>
      </w:pPr>
      <w:r w:rsidRPr="00672C4E">
        <w:rPr>
          <w:sz w:val="24"/>
          <w:szCs w:val="24"/>
        </w:rPr>
        <w:t>Droperidol er et neuroleptikum af butyrophenontypen. Dets farmakologiske profil er primært karakteriseret ved dopaminblokerende og svag α</w:t>
      </w:r>
      <w:r w:rsidRPr="00672C4E">
        <w:rPr>
          <w:sz w:val="24"/>
          <w:szCs w:val="24"/>
          <w:vertAlign w:val="subscript"/>
        </w:rPr>
        <w:t>1</w:t>
      </w:r>
      <w:r w:rsidRPr="00672C4E">
        <w:rPr>
          <w:sz w:val="24"/>
          <w:szCs w:val="24"/>
        </w:rPr>
        <w:t>-adrenolytisk virkning. Droperidol har ingen antikolinerg eller antihistaminerg virkning.</w:t>
      </w:r>
    </w:p>
    <w:p w14:paraId="6688F656" w14:textId="77777777" w:rsidR="00672C4E" w:rsidRPr="00672C4E" w:rsidRDefault="00672C4E" w:rsidP="00672C4E">
      <w:pPr>
        <w:tabs>
          <w:tab w:val="left" w:pos="851"/>
        </w:tabs>
        <w:ind w:left="851"/>
        <w:rPr>
          <w:bCs/>
          <w:sz w:val="24"/>
          <w:szCs w:val="24"/>
        </w:rPr>
      </w:pPr>
    </w:p>
    <w:p w14:paraId="2F5F2DF7" w14:textId="77777777" w:rsidR="00672C4E" w:rsidRPr="00672C4E" w:rsidRDefault="00672C4E" w:rsidP="00672C4E">
      <w:pPr>
        <w:tabs>
          <w:tab w:val="left" w:pos="851"/>
        </w:tabs>
        <w:ind w:left="851"/>
        <w:rPr>
          <w:bCs/>
          <w:sz w:val="24"/>
          <w:szCs w:val="24"/>
          <w:u w:val="single"/>
        </w:rPr>
      </w:pPr>
      <w:r w:rsidRPr="00672C4E">
        <w:rPr>
          <w:bCs/>
          <w:sz w:val="24"/>
          <w:szCs w:val="24"/>
          <w:u w:val="single"/>
        </w:rPr>
        <w:t>Virkningsmekanisme</w:t>
      </w:r>
    </w:p>
    <w:p w14:paraId="697A8DCF" w14:textId="77777777" w:rsidR="00672C4E" w:rsidRPr="00672C4E" w:rsidRDefault="00672C4E" w:rsidP="00672C4E">
      <w:pPr>
        <w:tabs>
          <w:tab w:val="left" w:pos="851"/>
        </w:tabs>
        <w:ind w:left="851"/>
        <w:rPr>
          <w:sz w:val="24"/>
          <w:szCs w:val="24"/>
        </w:rPr>
      </w:pPr>
      <w:r w:rsidRPr="00672C4E">
        <w:rPr>
          <w:sz w:val="24"/>
          <w:szCs w:val="24"/>
        </w:rPr>
        <w:t>Droperidols hæmmende virkning på dopaminreceptorer i kemotriggerzonen i area postrema giver en stærk antiemetisk virkning, som især er nyttig til forebyggelse og behandling af postoperativ kvalme og opkastning og/eller kvalme og opkastning forårsaget af opioidanalgetika.</w:t>
      </w:r>
    </w:p>
    <w:p w14:paraId="1D9F1E2F" w14:textId="77777777" w:rsidR="00672C4E" w:rsidRPr="00672C4E" w:rsidRDefault="00672C4E" w:rsidP="00672C4E">
      <w:pPr>
        <w:tabs>
          <w:tab w:val="left" w:pos="851"/>
        </w:tabs>
        <w:ind w:left="851"/>
        <w:rPr>
          <w:bCs/>
          <w:sz w:val="24"/>
          <w:szCs w:val="24"/>
          <w:u w:val="single"/>
        </w:rPr>
      </w:pPr>
    </w:p>
    <w:p w14:paraId="7C55BEB2" w14:textId="77777777" w:rsidR="00672C4E" w:rsidRPr="00672C4E" w:rsidRDefault="00672C4E" w:rsidP="00672C4E">
      <w:pPr>
        <w:tabs>
          <w:tab w:val="left" w:pos="851"/>
        </w:tabs>
        <w:ind w:left="851"/>
        <w:rPr>
          <w:bCs/>
          <w:sz w:val="24"/>
          <w:szCs w:val="24"/>
          <w:u w:val="single"/>
        </w:rPr>
      </w:pPr>
      <w:r w:rsidRPr="00672C4E">
        <w:rPr>
          <w:bCs/>
          <w:sz w:val="24"/>
          <w:szCs w:val="24"/>
          <w:u w:val="single"/>
        </w:rPr>
        <w:t>Farmakodynamisk virkning</w:t>
      </w:r>
    </w:p>
    <w:p w14:paraId="0BC03480" w14:textId="77777777" w:rsidR="00672C4E" w:rsidRPr="00672C4E" w:rsidRDefault="00672C4E" w:rsidP="00672C4E">
      <w:pPr>
        <w:tabs>
          <w:tab w:val="left" w:pos="851"/>
        </w:tabs>
        <w:ind w:left="851"/>
        <w:rPr>
          <w:sz w:val="24"/>
          <w:szCs w:val="24"/>
        </w:rPr>
      </w:pPr>
      <w:r w:rsidRPr="00672C4E">
        <w:rPr>
          <w:sz w:val="24"/>
          <w:szCs w:val="24"/>
        </w:rPr>
        <w:t>Ved en dosis på 0,15 mg/kg forårsager droperidol et fald i middelblodtrykket (MBP), som følge af et fald i hjertets minutvolumen i den første fase og derefter som følge af et fald i preload. Disse ændringer forekommer uafhængigt af eventuelle ændringer i myokardiekontraktilitet eller vaskulær modstand. Droperidol påvirker ikke myokardiekontraktiliteten eller hjertefrekvensen og har derfor ingen negativ inotropisk virkning. Den svage α</w:t>
      </w:r>
      <w:r w:rsidRPr="00672C4E">
        <w:rPr>
          <w:sz w:val="24"/>
          <w:szCs w:val="24"/>
          <w:vertAlign w:val="subscript"/>
        </w:rPr>
        <w:t>1</w:t>
      </w:r>
      <w:r w:rsidRPr="00672C4E">
        <w:rPr>
          <w:sz w:val="24"/>
          <w:szCs w:val="24"/>
        </w:rPr>
        <w:t>-adrenerge blokade kan forårsage moderat hypotension og nedsat perifer vaskulær modstand og kan reducere lungearterietrykket (især hvis det er abnormt højt). Det kan også reducere forekomsten af adrenalinforårsaget arytmi, men det forebygger ikke andre former for hjertearytmi.</w:t>
      </w:r>
    </w:p>
    <w:p w14:paraId="67AAD0FD" w14:textId="77777777" w:rsidR="00672C4E" w:rsidRPr="00672C4E" w:rsidRDefault="00672C4E" w:rsidP="00672C4E">
      <w:pPr>
        <w:tabs>
          <w:tab w:val="left" w:pos="851"/>
        </w:tabs>
        <w:ind w:left="851"/>
        <w:rPr>
          <w:sz w:val="24"/>
          <w:szCs w:val="24"/>
        </w:rPr>
      </w:pPr>
    </w:p>
    <w:p w14:paraId="1F2071FC" w14:textId="77777777" w:rsidR="00672C4E" w:rsidRPr="00672C4E" w:rsidRDefault="00672C4E" w:rsidP="00672C4E">
      <w:pPr>
        <w:tabs>
          <w:tab w:val="left" w:pos="851"/>
        </w:tabs>
        <w:ind w:left="851"/>
        <w:rPr>
          <w:sz w:val="24"/>
          <w:szCs w:val="24"/>
        </w:rPr>
      </w:pPr>
      <w:r w:rsidRPr="00672C4E">
        <w:rPr>
          <w:sz w:val="24"/>
          <w:szCs w:val="24"/>
        </w:rPr>
        <w:t>Droperidol har en specifik antiarytmisk virkning ved en dosis på 0,2 mg/kg via en virkning på myokardiekontraktiliteten (forlængelse af refraktærperioden) og et fald i blodtrykket.</w:t>
      </w:r>
    </w:p>
    <w:p w14:paraId="3AC19A47" w14:textId="77777777" w:rsidR="00672C4E" w:rsidRPr="00672C4E" w:rsidRDefault="00672C4E" w:rsidP="00672C4E">
      <w:pPr>
        <w:tabs>
          <w:tab w:val="left" w:pos="851"/>
        </w:tabs>
        <w:ind w:left="851"/>
        <w:rPr>
          <w:bCs/>
          <w:sz w:val="24"/>
          <w:szCs w:val="24"/>
          <w:u w:val="single"/>
        </w:rPr>
      </w:pPr>
    </w:p>
    <w:p w14:paraId="30486571" w14:textId="77777777" w:rsidR="00672C4E" w:rsidRPr="00672C4E" w:rsidRDefault="00672C4E" w:rsidP="00672C4E">
      <w:pPr>
        <w:tabs>
          <w:tab w:val="left" w:pos="851"/>
        </w:tabs>
        <w:ind w:left="851"/>
        <w:rPr>
          <w:bCs/>
          <w:sz w:val="24"/>
          <w:szCs w:val="24"/>
          <w:u w:val="single"/>
        </w:rPr>
      </w:pPr>
      <w:r w:rsidRPr="00672C4E">
        <w:rPr>
          <w:bCs/>
          <w:sz w:val="24"/>
          <w:szCs w:val="24"/>
          <w:u w:val="single"/>
        </w:rPr>
        <w:t>Klinisk virkning og sikkerhed</w:t>
      </w:r>
    </w:p>
    <w:p w14:paraId="17948BF1" w14:textId="77777777" w:rsidR="00672C4E" w:rsidRPr="00672C4E" w:rsidRDefault="00672C4E" w:rsidP="00672C4E">
      <w:pPr>
        <w:tabs>
          <w:tab w:val="left" w:pos="851"/>
        </w:tabs>
        <w:ind w:left="851"/>
        <w:rPr>
          <w:sz w:val="24"/>
          <w:szCs w:val="24"/>
        </w:rPr>
      </w:pPr>
      <w:r w:rsidRPr="00672C4E">
        <w:rPr>
          <w:sz w:val="24"/>
          <w:szCs w:val="24"/>
        </w:rPr>
        <w:t>To studier (et placebokontrolleret og et komparativt aktiv behandlingskontrolleret) udført i forbindelse med generel anæstesi og designet til bedre identifikation af QTc-forandringer i forbindelse med behandling af postoperativ kvalme og opkastning med en lille dosis droperidol (henholdsvis 0,625 og 1,2 mg intravenøst og 0,75 mg intravenøst) påviste en forlængelse af QT-intervallet 3-6 minutter efter administration af 0,625 og 1,25 mg droperidol (henholdsvis 15 ± 40 og 22 ± 41 ms), men disse forandringer var ikke signifikant anderledes end dem, der blev set med natriumchlorid-opløsning (12 ± 35 ms). Der var ingen statistisk signifikante forskelle mellem de grupper, der fik henholdsvis droperidol og natriumchlorid-opløsning, hvad angik antallet af patienter med en QTc-forlængelse over 10 % i forhold til baseline. Der var ingen tegn på droperidol-forårsaget QTc-forlængelse efter kirurgi.</w:t>
      </w:r>
    </w:p>
    <w:p w14:paraId="38C95E30" w14:textId="77777777" w:rsidR="00672C4E" w:rsidRPr="00672C4E" w:rsidRDefault="00672C4E" w:rsidP="00672C4E">
      <w:pPr>
        <w:tabs>
          <w:tab w:val="left" w:pos="851"/>
        </w:tabs>
        <w:ind w:left="851"/>
        <w:rPr>
          <w:sz w:val="24"/>
          <w:szCs w:val="24"/>
        </w:rPr>
      </w:pPr>
    </w:p>
    <w:p w14:paraId="202F35C6" w14:textId="77777777" w:rsidR="00672C4E" w:rsidRPr="00672C4E" w:rsidRDefault="00672C4E" w:rsidP="00672C4E">
      <w:pPr>
        <w:tabs>
          <w:tab w:val="left" w:pos="851"/>
        </w:tabs>
        <w:ind w:left="851"/>
        <w:rPr>
          <w:sz w:val="24"/>
          <w:szCs w:val="24"/>
        </w:rPr>
      </w:pPr>
      <w:r w:rsidRPr="00672C4E">
        <w:rPr>
          <w:sz w:val="24"/>
          <w:szCs w:val="24"/>
        </w:rPr>
        <w:t xml:space="preserve">Der blev ikke set ektopiske hjerteslag i de elektrokardiografiske data eller optagelser med 12 afledninger i den perioperative periode. I det komparative aktive behandlingskontrollerede studie med 0,75 mg intravenøst droperidol blev der identificeret </w:t>
      </w:r>
      <w:r w:rsidRPr="00672C4E">
        <w:rPr>
          <w:sz w:val="24"/>
          <w:szCs w:val="24"/>
        </w:rPr>
        <w:lastRenderedPageBreak/>
        <w:t>en signifikant forlængelse af QTc-intervallet (maksimum 17 ± 9 ms to minutter efter injektion af droperidol sammenlignet med QTc-målingen før behandling), med et signifikant lavere QTc-interval efter 90 minutter.</w:t>
      </w:r>
    </w:p>
    <w:p w14:paraId="4E2EBAB4" w14:textId="77777777" w:rsidR="00672C4E" w:rsidRPr="00672C4E" w:rsidRDefault="00672C4E" w:rsidP="00672C4E">
      <w:pPr>
        <w:tabs>
          <w:tab w:val="left" w:pos="851"/>
        </w:tabs>
        <w:ind w:left="851"/>
        <w:rPr>
          <w:sz w:val="24"/>
          <w:szCs w:val="24"/>
        </w:rPr>
      </w:pPr>
    </w:p>
    <w:p w14:paraId="374526BE"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757B1C77" w14:textId="77777777" w:rsidR="00672C4E" w:rsidRPr="00672C4E" w:rsidRDefault="00672C4E" w:rsidP="00672C4E">
      <w:pPr>
        <w:tabs>
          <w:tab w:val="left" w:pos="851"/>
        </w:tabs>
        <w:ind w:left="851"/>
        <w:rPr>
          <w:sz w:val="24"/>
          <w:szCs w:val="24"/>
        </w:rPr>
      </w:pPr>
      <w:r w:rsidRPr="00672C4E">
        <w:rPr>
          <w:sz w:val="24"/>
          <w:szCs w:val="24"/>
        </w:rPr>
        <w:t>Virkningen af en enkelt intravenøs dosis indtræder 2-3 minutter efter administration. De beroligende og sedative virkninger varer som regel i 2 til 4 timer, men patientens årvågenhed kan være påvirket i op til 12 timer.</w:t>
      </w:r>
    </w:p>
    <w:p w14:paraId="0F000422" w14:textId="77777777" w:rsidR="00672C4E" w:rsidRPr="00672C4E" w:rsidRDefault="00672C4E" w:rsidP="00672C4E">
      <w:pPr>
        <w:tabs>
          <w:tab w:val="left" w:pos="851"/>
        </w:tabs>
        <w:ind w:left="851"/>
        <w:rPr>
          <w:sz w:val="24"/>
          <w:szCs w:val="24"/>
          <w:u w:val="single"/>
        </w:rPr>
      </w:pPr>
    </w:p>
    <w:p w14:paraId="0EAB4C6B" w14:textId="77777777" w:rsidR="00672C4E" w:rsidRPr="00672C4E" w:rsidRDefault="00672C4E" w:rsidP="00672C4E">
      <w:pPr>
        <w:tabs>
          <w:tab w:val="left" w:pos="851"/>
        </w:tabs>
        <w:ind w:left="851"/>
        <w:rPr>
          <w:sz w:val="24"/>
          <w:szCs w:val="24"/>
          <w:u w:val="single"/>
        </w:rPr>
      </w:pPr>
      <w:r w:rsidRPr="00672C4E">
        <w:rPr>
          <w:sz w:val="24"/>
          <w:szCs w:val="24"/>
          <w:u w:val="single"/>
        </w:rPr>
        <w:t>Fordeling</w:t>
      </w:r>
    </w:p>
    <w:p w14:paraId="5C9F63F6" w14:textId="77777777" w:rsidR="00672C4E" w:rsidRPr="00672C4E" w:rsidRDefault="00672C4E" w:rsidP="00672C4E">
      <w:pPr>
        <w:tabs>
          <w:tab w:val="left" w:pos="851"/>
        </w:tabs>
        <w:ind w:left="851"/>
        <w:rPr>
          <w:sz w:val="24"/>
          <w:szCs w:val="24"/>
        </w:rPr>
      </w:pPr>
      <w:r w:rsidRPr="00672C4E">
        <w:rPr>
          <w:sz w:val="24"/>
          <w:szCs w:val="24"/>
        </w:rPr>
        <w:t>Efter intravenøs administration falder plasmakoncentrationen hurtigt i løbet af de første 15 minutter; dette er en uafhængigt af metabolisme omfordeling af det aktive stof. Plasmaproteinbindingsgraden er 85-90 %. Fordelingsvolumen er cirka 1,5 l/kg.</w:t>
      </w:r>
    </w:p>
    <w:p w14:paraId="69CAABF5" w14:textId="77777777" w:rsidR="00672C4E" w:rsidRPr="00672C4E" w:rsidRDefault="00672C4E" w:rsidP="00672C4E">
      <w:pPr>
        <w:tabs>
          <w:tab w:val="left" w:pos="851"/>
        </w:tabs>
        <w:ind w:left="851"/>
        <w:rPr>
          <w:sz w:val="24"/>
          <w:szCs w:val="24"/>
        </w:rPr>
      </w:pPr>
    </w:p>
    <w:p w14:paraId="1F33BCCF" w14:textId="77777777" w:rsidR="00672C4E" w:rsidRPr="00672C4E" w:rsidRDefault="00672C4E" w:rsidP="00672C4E">
      <w:pPr>
        <w:tabs>
          <w:tab w:val="left" w:pos="851"/>
        </w:tabs>
        <w:ind w:left="851"/>
        <w:rPr>
          <w:sz w:val="24"/>
          <w:szCs w:val="24"/>
          <w:u w:val="single"/>
        </w:rPr>
      </w:pPr>
      <w:r w:rsidRPr="00672C4E">
        <w:rPr>
          <w:sz w:val="24"/>
          <w:szCs w:val="24"/>
          <w:u w:val="single"/>
        </w:rPr>
        <w:t>Metabolisme</w:t>
      </w:r>
    </w:p>
    <w:p w14:paraId="1EDF0CC5" w14:textId="77777777" w:rsidR="00672C4E" w:rsidRPr="00672C4E" w:rsidRDefault="00672C4E" w:rsidP="00672C4E">
      <w:pPr>
        <w:tabs>
          <w:tab w:val="left" w:pos="851"/>
        </w:tabs>
        <w:ind w:left="851"/>
        <w:rPr>
          <w:sz w:val="24"/>
          <w:szCs w:val="24"/>
        </w:rPr>
      </w:pPr>
      <w:r w:rsidRPr="00672C4E">
        <w:rPr>
          <w:sz w:val="24"/>
          <w:szCs w:val="24"/>
        </w:rPr>
        <w:t>Droperidol bliver i udstrakt grad metaboliseret i leveren og undergår oxidering, dealkylering, demethylering og hydroxylering via cytokrom P450-isoenzym 1A2 og 3A4 og i mindre grad via 2C19. Metabolitterne er uden neuroleptisk virkning.</w:t>
      </w:r>
    </w:p>
    <w:p w14:paraId="6DF9A48D" w14:textId="77777777" w:rsidR="00672C4E" w:rsidRPr="00672C4E" w:rsidRDefault="00672C4E" w:rsidP="00672C4E">
      <w:pPr>
        <w:tabs>
          <w:tab w:val="left" w:pos="851"/>
        </w:tabs>
        <w:ind w:left="851"/>
        <w:rPr>
          <w:sz w:val="24"/>
          <w:szCs w:val="24"/>
          <w:u w:val="single"/>
        </w:rPr>
      </w:pPr>
    </w:p>
    <w:p w14:paraId="1D2A9DE6" w14:textId="77777777" w:rsidR="00672C4E" w:rsidRPr="00672C4E" w:rsidRDefault="00672C4E" w:rsidP="00672C4E">
      <w:pPr>
        <w:tabs>
          <w:tab w:val="left" w:pos="851"/>
        </w:tabs>
        <w:ind w:left="851"/>
        <w:rPr>
          <w:sz w:val="24"/>
          <w:szCs w:val="24"/>
        </w:rPr>
      </w:pPr>
      <w:r w:rsidRPr="00672C4E">
        <w:rPr>
          <w:sz w:val="24"/>
          <w:szCs w:val="24"/>
          <w:u w:val="single"/>
        </w:rPr>
        <w:t>Elimination</w:t>
      </w:r>
    </w:p>
    <w:p w14:paraId="06F850F5" w14:textId="77777777" w:rsidR="00672C4E" w:rsidRPr="00672C4E" w:rsidRDefault="00672C4E" w:rsidP="00672C4E">
      <w:pPr>
        <w:tabs>
          <w:tab w:val="left" w:pos="851"/>
        </w:tabs>
        <w:ind w:left="851"/>
        <w:rPr>
          <w:sz w:val="24"/>
          <w:szCs w:val="24"/>
        </w:rPr>
      </w:pPr>
      <w:r w:rsidRPr="00672C4E">
        <w:rPr>
          <w:sz w:val="24"/>
          <w:szCs w:val="24"/>
        </w:rPr>
        <w:t>Elimination foregår primært via metabolisme; 75 % udskilles via nyrerne. Kun 1 % af det aktive stof udskilles uændret i urinen og 11 % i fæces. Plasmaclearance er 0,8 (0,4-1,8) l/min. Eliminationshalveringstiden (t</w:t>
      </w:r>
      <w:r w:rsidRPr="00672C4E">
        <w:rPr>
          <w:sz w:val="24"/>
          <w:szCs w:val="24"/>
          <w:vertAlign w:val="subscript"/>
        </w:rPr>
        <w:t>½ß</w:t>
      </w:r>
      <w:r w:rsidRPr="00672C4E">
        <w:rPr>
          <w:sz w:val="24"/>
          <w:szCs w:val="24"/>
        </w:rPr>
        <w:t>) er 134 ± 13 min.</w:t>
      </w:r>
    </w:p>
    <w:p w14:paraId="7F4676A8" w14:textId="77777777" w:rsidR="00672C4E" w:rsidRPr="00672C4E" w:rsidRDefault="00672C4E" w:rsidP="00672C4E">
      <w:pPr>
        <w:tabs>
          <w:tab w:val="left" w:pos="851"/>
        </w:tabs>
        <w:ind w:left="851"/>
        <w:rPr>
          <w:sz w:val="24"/>
          <w:szCs w:val="24"/>
        </w:rPr>
      </w:pPr>
    </w:p>
    <w:p w14:paraId="4D42F8F3" w14:textId="77777777" w:rsidR="00672C4E" w:rsidRPr="00672C4E" w:rsidRDefault="00672C4E" w:rsidP="00672C4E">
      <w:pPr>
        <w:tabs>
          <w:tab w:val="left" w:pos="851"/>
        </w:tabs>
        <w:ind w:left="851"/>
        <w:rPr>
          <w:sz w:val="24"/>
          <w:szCs w:val="24"/>
          <w:u w:val="single"/>
        </w:rPr>
      </w:pPr>
      <w:r w:rsidRPr="00672C4E">
        <w:rPr>
          <w:sz w:val="24"/>
          <w:szCs w:val="24"/>
          <w:u w:val="single"/>
        </w:rPr>
        <w:t>Pædiatrisk population</w:t>
      </w:r>
    </w:p>
    <w:p w14:paraId="1D556E1A" w14:textId="77777777" w:rsidR="00672C4E" w:rsidRPr="00672C4E" w:rsidRDefault="00672C4E" w:rsidP="00672C4E">
      <w:pPr>
        <w:tabs>
          <w:tab w:val="left" w:pos="851"/>
        </w:tabs>
        <w:ind w:left="851"/>
        <w:rPr>
          <w:sz w:val="24"/>
          <w:szCs w:val="24"/>
        </w:rPr>
      </w:pPr>
      <w:r w:rsidRPr="00672C4E">
        <w:rPr>
          <w:sz w:val="24"/>
          <w:szCs w:val="24"/>
        </w:rPr>
        <w:t>I et studie med 12 børn (i alderen 3,5 til 12 år) var de rapporterede værdier for fordelingsvolumen og clearance lavere end for den voksne population (henholdsvis 0,58 ± 0,29 l/kg og 4,66 ± 2,28 ml/kg</w:t>
      </w:r>
      <w:r w:rsidRPr="00672C4E">
        <w:rPr>
          <w:sz w:val="24"/>
          <w:szCs w:val="24"/>
          <w:vertAlign w:val="subscript"/>
        </w:rPr>
        <w:t>*</w:t>
      </w:r>
      <w:r w:rsidRPr="00672C4E">
        <w:rPr>
          <w:sz w:val="24"/>
          <w:szCs w:val="24"/>
        </w:rPr>
        <w:t>min) og faldt parallelt. Eliminationshalveringstiden (101,5 ± 26,4 min) svarede til værdien set hos voksne.</w:t>
      </w:r>
    </w:p>
    <w:p w14:paraId="677652CD" w14:textId="77777777" w:rsidR="009260DE" w:rsidRPr="00C84483" w:rsidRDefault="009260DE" w:rsidP="009260DE">
      <w:pPr>
        <w:tabs>
          <w:tab w:val="left" w:pos="851"/>
        </w:tabs>
        <w:ind w:left="851"/>
        <w:rPr>
          <w:sz w:val="24"/>
          <w:szCs w:val="24"/>
        </w:rPr>
      </w:pPr>
    </w:p>
    <w:p w14:paraId="415369CD"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47790FC3" w14:textId="77777777" w:rsidR="00672C4E" w:rsidRPr="00672C4E" w:rsidRDefault="00672C4E" w:rsidP="00672C4E">
      <w:pPr>
        <w:tabs>
          <w:tab w:val="left" w:pos="851"/>
        </w:tabs>
        <w:ind w:left="851"/>
        <w:rPr>
          <w:sz w:val="24"/>
          <w:szCs w:val="24"/>
        </w:rPr>
      </w:pPr>
      <w:r w:rsidRPr="00672C4E">
        <w:rPr>
          <w:sz w:val="24"/>
          <w:szCs w:val="24"/>
        </w:rPr>
        <w:t>Non-kliniske data viser ingen speciel risiko for mennesker vurderet ud fra konventionelle studier af toksicitet ved gentagne doser, genotoksisk eller karcinogent potentiale samt reproduktionstoksicitet.</w:t>
      </w:r>
    </w:p>
    <w:p w14:paraId="0A5E7DBD" w14:textId="77777777" w:rsidR="00672C4E" w:rsidRPr="00672C4E" w:rsidRDefault="00672C4E" w:rsidP="00672C4E">
      <w:pPr>
        <w:tabs>
          <w:tab w:val="left" w:pos="851"/>
        </w:tabs>
        <w:ind w:left="851"/>
        <w:rPr>
          <w:sz w:val="24"/>
          <w:szCs w:val="24"/>
        </w:rPr>
      </w:pPr>
      <w:r w:rsidRPr="00672C4E">
        <w:rPr>
          <w:sz w:val="24"/>
          <w:szCs w:val="24"/>
        </w:rPr>
        <w:t>Elektrofysiologiske </w:t>
      </w:r>
      <w:r w:rsidRPr="00672C4E">
        <w:rPr>
          <w:i/>
          <w:iCs/>
          <w:sz w:val="24"/>
          <w:szCs w:val="24"/>
        </w:rPr>
        <w:t>in vitro-</w:t>
      </w:r>
      <w:r w:rsidRPr="00672C4E">
        <w:rPr>
          <w:sz w:val="24"/>
          <w:szCs w:val="24"/>
        </w:rPr>
        <w:t> og </w:t>
      </w:r>
      <w:r w:rsidRPr="00672C4E">
        <w:rPr>
          <w:i/>
          <w:iCs/>
          <w:sz w:val="24"/>
          <w:szCs w:val="24"/>
        </w:rPr>
        <w:t>in vivo-</w:t>
      </w:r>
      <w:r w:rsidRPr="00672C4E">
        <w:rPr>
          <w:sz w:val="24"/>
          <w:szCs w:val="24"/>
        </w:rPr>
        <w:t>studier indikerer en samlet risiko for at droperidol forlænget QT-intervallet hos mennesker.</w:t>
      </w:r>
    </w:p>
    <w:p w14:paraId="660A8397" w14:textId="77777777" w:rsidR="00672C4E" w:rsidRPr="00672C4E" w:rsidRDefault="00672C4E" w:rsidP="00672C4E">
      <w:pPr>
        <w:tabs>
          <w:tab w:val="left" w:pos="851"/>
        </w:tabs>
        <w:ind w:left="851"/>
        <w:rPr>
          <w:sz w:val="24"/>
          <w:szCs w:val="24"/>
        </w:rPr>
      </w:pPr>
      <w:r w:rsidRPr="00672C4E">
        <w:rPr>
          <w:sz w:val="24"/>
          <w:szCs w:val="24"/>
        </w:rPr>
        <w:t xml:space="preserve">Hos mennesker er den frie maksimale plasmakoncentration cirka 4 gange højere til 25 gange lavere end de droperidolkoncentrationer, der påvirker de undersøgte endpoints i de forskellige </w:t>
      </w:r>
      <w:r w:rsidRPr="00672C4E">
        <w:rPr>
          <w:i/>
          <w:iCs/>
          <w:sz w:val="24"/>
          <w:szCs w:val="24"/>
        </w:rPr>
        <w:t>in vitro-</w:t>
      </w:r>
      <w:r w:rsidRPr="00672C4E">
        <w:rPr>
          <w:sz w:val="24"/>
          <w:szCs w:val="24"/>
        </w:rPr>
        <w:t> og </w:t>
      </w:r>
      <w:r w:rsidRPr="00672C4E">
        <w:rPr>
          <w:i/>
          <w:iCs/>
          <w:sz w:val="24"/>
          <w:szCs w:val="24"/>
        </w:rPr>
        <w:t>in vivo-</w:t>
      </w:r>
      <w:r w:rsidRPr="00672C4E">
        <w:rPr>
          <w:sz w:val="24"/>
          <w:szCs w:val="24"/>
        </w:rPr>
        <w:t>testsystemer, der blev anvendt til at vurdere lægemidlets påvirkning på kardiel repolarisering. Plasmaniveauerne falder med cirka én størrelsesorden i de første tyve minutter efter administration.</w:t>
      </w:r>
    </w:p>
    <w:p w14:paraId="24A18C02" w14:textId="77777777" w:rsidR="009260DE" w:rsidRPr="00C84483" w:rsidRDefault="009260DE" w:rsidP="009260DE">
      <w:pPr>
        <w:tabs>
          <w:tab w:val="left" w:pos="851"/>
        </w:tabs>
        <w:ind w:left="851"/>
        <w:rPr>
          <w:sz w:val="24"/>
          <w:szCs w:val="24"/>
        </w:rPr>
      </w:pPr>
    </w:p>
    <w:p w14:paraId="6484EDA9" w14:textId="77777777" w:rsidR="009260DE" w:rsidRPr="00C84483" w:rsidRDefault="009260DE" w:rsidP="009260DE">
      <w:pPr>
        <w:tabs>
          <w:tab w:val="left" w:pos="851"/>
        </w:tabs>
        <w:ind w:left="851"/>
        <w:rPr>
          <w:sz w:val="24"/>
          <w:szCs w:val="24"/>
        </w:rPr>
      </w:pPr>
    </w:p>
    <w:p w14:paraId="5A9E4A6E"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59A363B" w14:textId="77777777" w:rsidR="009260DE" w:rsidRPr="00BA09F1" w:rsidRDefault="009260DE" w:rsidP="009260DE">
      <w:pPr>
        <w:tabs>
          <w:tab w:val="left" w:pos="851"/>
        </w:tabs>
        <w:ind w:left="851"/>
        <w:rPr>
          <w:sz w:val="24"/>
          <w:szCs w:val="24"/>
        </w:rPr>
      </w:pPr>
    </w:p>
    <w:p w14:paraId="081F27DD"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2969F984" w14:textId="77777777" w:rsidR="00732951" w:rsidRPr="00732951" w:rsidRDefault="00732951" w:rsidP="00732951">
      <w:pPr>
        <w:tabs>
          <w:tab w:val="left" w:pos="851"/>
        </w:tabs>
        <w:ind w:left="851"/>
        <w:rPr>
          <w:sz w:val="24"/>
          <w:szCs w:val="24"/>
        </w:rPr>
      </w:pPr>
      <w:r w:rsidRPr="00732951">
        <w:rPr>
          <w:sz w:val="24"/>
          <w:szCs w:val="24"/>
        </w:rPr>
        <w:t>Mannitol (E421)</w:t>
      </w:r>
    </w:p>
    <w:p w14:paraId="61960615" w14:textId="77777777" w:rsidR="00732951" w:rsidRPr="00732951" w:rsidRDefault="00732951" w:rsidP="00732951">
      <w:pPr>
        <w:tabs>
          <w:tab w:val="left" w:pos="851"/>
        </w:tabs>
        <w:ind w:left="851"/>
        <w:rPr>
          <w:sz w:val="24"/>
          <w:szCs w:val="24"/>
        </w:rPr>
      </w:pPr>
      <w:r w:rsidRPr="00732951">
        <w:rPr>
          <w:sz w:val="24"/>
          <w:szCs w:val="24"/>
        </w:rPr>
        <w:t>Vinsyre</w:t>
      </w:r>
    </w:p>
    <w:p w14:paraId="53743842" w14:textId="77777777" w:rsidR="00732951" w:rsidRPr="00732951" w:rsidRDefault="00732951" w:rsidP="00732951">
      <w:pPr>
        <w:tabs>
          <w:tab w:val="left" w:pos="851"/>
        </w:tabs>
        <w:ind w:left="851"/>
        <w:rPr>
          <w:sz w:val="24"/>
          <w:szCs w:val="24"/>
        </w:rPr>
      </w:pPr>
      <w:r w:rsidRPr="00732951">
        <w:rPr>
          <w:sz w:val="24"/>
          <w:szCs w:val="24"/>
        </w:rPr>
        <w:t>Natriumhydroxid (til pH-justering)</w:t>
      </w:r>
    </w:p>
    <w:p w14:paraId="2C9F13A5" w14:textId="77777777" w:rsidR="00732951" w:rsidRPr="00732951" w:rsidRDefault="00732951" w:rsidP="00732951">
      <w:pPr>
        <w:tabs>
          <w:tab w:val="left" w:pos="851"/>
        </w:tabs>
        <w:ind w:left="851"/>
        <w:rPr>
          <w:sz w:val="24"/>
          <w:szCs w:val="24"/>
        </w:rPr>
      </w:pPr>
      <w:r w:rsidRPr="00732951">
        <w:rPr>
          <w:sz w:val="24"/>
          <w:szCs w:val="24"/>
        </w:rPr>
        <w:t>Vand til injektionsvæsker</w:t>
      </w:r>
    </w:p>
    <w:p w14:paraId="427CE659" w14:textId="77777777" w:rsidR="009260DE" w:rsidRPr="00C84483" w:rsidRDefault="009260DE" w:rsidP="009260DE">
      <w:pPr>
        <w:tabs>
          <w:tab w:val="left" w:pos="851"/>
        </w:tabs>
        <w:ind w:left="851"/>
        <w:rPr>
          <w:sz w:val="24"/>
          <w:szCs w:val="24"/>
        </w:rPr>
      </w:pPr>
    </w:p>
    <w:p w14:paraId="4C9DAD50" w14:textId="77777777" w:rsidR="009260DE" w:rsidRPr="00C84483" w:rsidRDefault="009260DE" w:rsidP="009260DE">
      <w:pPr>
        <w:tabs>
          <w:tab w:val="left" w:pos="851"/>
        </w:tabs>
        <w:ind w:left="851" w:hanging="851"/>
        <w:rPr>
          <w:b/>
          <w:sz w:val="24"/>
          <w:szCs w:val="24"/>
        </w:rPr>
      </w:pPr>
      <w:r w:rsidRPr="00C84483">
        <w:rPr>
          <w:b/>
          <w:sz w:val="24"/>
          <w:szCs w:val="24"/>
        </w:rPr>
        <w:lastRenderedPageBreak/>
        <w:t>6.2</w:t>
      </w:r>
      <w:r w:rsidRPr="00C84483">
        <w:rPr>
          <w:b/>
          <w:sz w:val="24"/>
          <w:szCs w:val="24"/>
        </w:rPr>
        <w:tab/>
        <w:t>Uforligeligheder</w:t>
      </w:r>
    </w:p>
    <w:p w14:paraId="0FAEF0C6" w14:textId="77777777" w:rsidR="00732951" w:rsidRPr="00732951" w:rsidRDefault="00732951" w:rsidP="00732951">
      <w:pPr>
        <w:tabs>
          <w:tab w:val="left" w:pos="851"/>
        </w:tabs>
        <w:ind w:left="851"/>
        <w:rPr>
          <w:sz w:val="24"/>
          <w:szCs w:val="24"/>
        </w:rPr>
      </w:pPr>
      <w:r w:rsidRPr="00732951">
        <w:rPr>
          <w:sz w:val="24"/>
          <w:szCs w:val="24"/>
        </w:rPr>
        <w:t xml:space="preserve">Uforligeligt med barbiturater. </w:t>
      </w:r>
    </w:p>
    <w:p w14:paraId="45578690" w14:textId="77777777" w:rsidR="00732951" w:rsidRPr="00732951" w:rsidRDefault="00732951" w:rsidP="00732951">
      <w:pPr>
        <w:tabs>
          <w:tab w:val="left" w:pos="851"/>
        </w:tabs>
        <w:ind w:left="851"/>
        <w:rPr>
          <w:sz w:val="24"/>
          <w:szCs w:val="24"/>
        </w:rPr>
      </w:pPr>
      <w:r w:rsidRPr="00732951">
        <w:rPr>
          <w:sz w:val="24"/>
          <w:szCs w:val="24"/>
        </w:rPr>
        <w:t>Dette lægemiddel må ikke blandes med andre lægemidler end dem, der er anført under pkt. 6.6.</w:t>
      </w:r>
    </w:p>
    <w:p w14:paraId="46064805" w14:textId="77777777" w:rsidR="009260DE" w:rsidRPr="00C84483" w:rsidRDefault="009260DE" w:rsidP="009260DE">
      <w:pPr>
        <w:tabs>
          <w:tab w:val="left" w:pos="851"/>
        </w:tabs>
        <w:ind w:left="851"/>
        <w:rPr>
          <w:sz w:val="24"/>
          <w:szCs w:val="24"/>
        </w:rPr>
      </w:pPr>
    </w:p>
    <w:p w14:paraId="7A05D4D5"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6C242249" w14:textId="77777777" w:rsidR="00732951" w:rsidRPr="00732951" w:rsidRDefault="00732951" w:rsidP="00732951">
      <w:pPr>
        <w:tabs>
          <w:tab w:val="left" w:pos="851"/>
        </w:tabs>
        <w:ind w:left="851"/>
        <w:rPr>
          <w:sz w:val="24"/>
          <w:szCs w:val="24"/>
        </w:rPr>
      </w:pPr>
      <w:r w:rsidRPr="00732951">
        <w:rPr>
          <w:sz w:val="24"/>
          <w:szCs w:val="24"/>
        </w:rPr>
        <w:t>3 år.</w:t>
      </w:r>
    </w:p>
    <w:p w14:paraId="414430CC" w14:textId="77777777" w:rsidR="00732951" w:rsidRPr="00732951" w:rsidRDefault="00732951" w:rsidP="00732951">
      <w:pPr>
        <w:tabs>
          <w:tab w:val="left" w:pos="851"/>
        </w:tabs>
        <w:ind w:left="851"/>
        <w:rPr>
          <w:sz w:val="24"/>
          <w:szCs w:val="24"/>
        </w:rPr>
      </w:pPr>
    </w:p>
    <w:p w14:paraId="7010D9B3" w14:textId="77777777" w:rsidR="00732951" w:rsidRPr="00732951" w:rsidRDefault="00732951" w:rsidP="00732951">
      <w:pPr>
        <w:tabs>
          <w:tab w:val="left" w:pos="851"/>
        </w:tabs>
        <w:ind w:left="851"/>
        <w:rPr>
          <w:sz w:val="24"/>
          <w:szCs w:val="24"/>
          <w:u w:val="single"/>
        </w:rPr>
      </w:pPr>
      <w:bookmarkStart w:id="2" w:name="_Hlk125536204"/>
      <w:r w:rsidRPr="00732951">
        <w:rPr>
          <w:sz w:val="24"/>
          <w:szCs w:val="24"/>
          <w:u w:val="single"/>
        </w:rPr>
        <w:t xml:space="preserve">Efter fortynding </w:t>
      </w:r>
    </w:p>
    <w:p w14:paraId="517C8ED4" w14:textId="77777777" w:rsidR="00732951" w:rsidRPr="00732951" w:rsidRDefault="00732951" w:rsidP="00732951">
      <w:pPr>
        <w:tabs>
          <w:tab w:val="left" w:pos="851"/>
        </w:tabs>
        <w:ind w:left="851"/>
        <w:rPr>
          <w:sz w:val="24"/>
          <w:szCs w:val="24"/>
        </w:rPr>
      </w:pPr>
      <w:r w:rsidRPr="00732951">
        <w:rPr>
          <w:sz w:val="24"/>
          <w:szCs w:val="24"/>
          <w:lang w:val="fi-FI"/>
        </w:rPr>
        <w:t>Droperidols kemiske og fysiske stabilitet under brug er påvist</w:t>
      </w:r>
      <w:r w:rsidRPr="00732951">
        <w:rPr>
          <w:sz w:val="24"/>
          <w:szCs w:val="24"/>
        </w:rPr>
        <w:t>:</w:t>
      </w:r>
    </w:p>
    <w:p w14:paraId="32803CF3" w14:textId="13D97F76" w:rsidR="00732951" w:rsidRPr="00732951" w:rsidRDefault="00732951" w:rsidP="00732951">
      <w:pPr>
        <w:pStyle w:val="Listeafsnit"/>
        <w:numPr>
          <w:ilvl w:val="0"/>
          <w:numId w:val="10"/>
        </w:numPr>
        <w:tabs>
          <w:tab w:val="left" w:pos="851"/>
        </w:tabs>
        <w:ind w:left="1134" w:hanging="283"/>
        <w:rPr>
          <w:sz w:val="24"/>
          <w:szCs w:val="24"/>
          <w:lang w:val="fi-FI"/>
        </w:rPr>
      </w:pPr>
      <w:r w:rsidRPr="00732951">
        <w:rPr>
          <w:sz w:val="24"/>
          <w:szCs w:val="24"/>
          <w:lang w:val="fi-FI"/>
        </w:rPr>
        <w:t>med glucose 50 mg/ml (5 %) opløsning i PVC- infusionsposer og PVC-fri infusionsposer og polypropylensprøjter i 48 timer ved 25 °C.</w:t>
      </w:r>
    </w:p>
    <w:p w14:paraId="7CAEF943" w14:textId="591CB9CE" w:rsidR="00732951" w:rsidRPr="00732951" w:rsidRDefault="00732951" w:rsidP="00732951">
      <w:pPr>
        <w:pStyle w:val="Listeafsnit"/>
        <w:numPr>
          <w:ilvl w:val="0"/>
          <w:numId w:val="10"/>
        </w:numPr>
        <w:tabs>
          <w:tab w:val="left" w:pos="851"/>
        </w:tabs>
        <w:ind w:left="1134" w:hanging="283"/>
        <w:rPr>
          <w:sz w:val="24"/>
          <w:szCs w:val="24"/>
        </w:rPr>
      </w:pPr>
      <w:r w:rsidRPr="00732951">
        <w:rPr>
          <w:sz w:val="24"/>
          <w:szCs w:val="24"/>
        </w:rPr>
        <w:t>med natriumchlorid 9 mg/ml (0,9 %) injektionsvæske, opløsning i PVC-i</w:t>
      </w:r>
      <w:r w:rsidRPr="00732951">
        <w:rPr>
          <w:sz w:val="24"/>
          <w:szCs w:val="24"/>
          <w:lang w:val="fi-FI"/>
        </w:rPr>
        <w:t xml:space="preserve">nfusionsposer </w:t>
      </w:r>
      <w:r w:rsidRPr="00732951">
        <w:rPr>
          <w:sz w:val="24"/>
          <w:szCs w:val="24"/>
        </w:rPr>
        <w:t>og PVC-fri infusionsposer og polypropylensprøjter i 48 timer ved 25 °C.</w:t>
      </w:r>
    </w:p>
    <w:p w14:paraId="5F9D6803" w14:textId="701EA425" w:rsidR="00732951" w:rsidRPr="00732951" w:rsidRDefault="00732951" w:rsidP="00732951">
      <w:pPr>
        <w:pStyle w:val="Listeafsnit"/>
        <w:numPr>
          <w:ilvl w:val="0"/>
          <w:numId w:val="10"/>
        </w:numPr>
        <w:tabs>
          <w:tab w:val="left" w:pos="851"/>
        </w:tabs>
        <w:ind w:left="1134" w:hanging="283"/>
        <w:rPr>
          <w:sz w:val="24"/>
          <w:szCs w:val="24"/>
        </w:rPr>
      </w:pPr>
      <w:r w:rsidRPr="00732951">
        <w:rPr>
          <w:sz w:val="24"/>
          <w:szCs w:val="24"/>
        </w:rPr>
        <w:t>med morfin i natriumchlorid 9 mg/ml (0,9 %) injektionsvæske, opløsning i polypropylensprøjter i 14 dage ved 25 °C og ved 2 til 8 °C.</w:t>
      </w:r>
    </w:p>
    <w:p w14:paraId="34AC31DA" w14:textId="77777777" w:rsidR="00732951" w:rsidRPr="00732951" w:rsidRDefault="00732951" w:rsidP="00732951">
      <w:pPr>
        <w:tabs>
          <w:tab w:val="left" w:pos="851"/>
        </w:tabs>
        <w:ind w:left="851"/>
        <w:rPr>
          <w:sz w:val="24"/>
          <w:szCs w:val="24"/>
        </w:rPr>
      </w:pPr>
      <w:r w:rsidRPr="00732951">
        <w:rPr>
          <w:sz w:val="24"/>
          <w:szCs w:val="24"/>
        </w:rPr>
        <w:t>Ud fra et mikrobiologisk synspunkt skal det fortyndede lægemiddel anvendes med det samme. Hvis det ikke bliver anvendt omgående, er opbevaringstiden og -betingelserne før brug brugerens ansvar og vil normalt ikke overstige 24 timer ved 2 til 8 °C, medmindre fortyndingen er foregået under kontrollerede og validerede aseptiske forhold.</w:t>
      </w:r>
    </w:p>
    <w:bookmarkEnd w:id="2"/>
    <w:p w14:paraId="6F1485F0" w14:textId="77777777" w:rsidR="009260DE" w:rsidRPr="00C84483" w:rsidRDefault="009260DE" w:rsidP="009260DE">
      <w:pPr>
        <w:tabs>
          <w:tab w:val="left" w:pos="851"/>
        </w:tabs>
        <w:ind w:left="851"/>
        <w:rPr>
          <w:sz w:val="24"/>
          <w:szCs w:val="24"/>
        </w:rPr>
      </w:pPr>
    </w:p>
    <w:p w14:paraId="01633789"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71A6E8C5" w14:textId="798AA0C4" w:rsidR="00732951" w:rsidRDefault="00732951" w:rsidP="00732951">
      <w:pPr>
        <w:tabs>
          <w:tab w:val="left" w:pos="851"/>
        </w:tabs>
        <w:ind w:left="851"/>
        <w:rPr>
          <w:sz w:val="24"/>
          <w:szCs w:val="24"/>
        </w:rPr>
      </w:pPr>
      <w:r w:rsidRPr="00732951">
        <w:rPr>
          <w:sz w:val="24"/>
          <w:szCs w:val="24"/>
        </w:rPr>
        <w:t>Opbevares i den originale yderpakning for at beskytte mod lys.</w:t>
      </w:r>
    </w:p>
    <w:p w14:paraId="56466ACD" w14:textId="77777777" w:rsidR="00732951" w:rsidRPr="00732951" w:rsidRDefault="00732951" w:rsidP="00732951">
      <w:pPr>
        <w:tabs>
          <w:tab w:val="left" w:pos="851"/>
        </w:tabs>
        <w:ind w:left="851"/>
        <w:rPr>
          <w:sz w:val="24"/>
          <w:szCs w:val="24"/>
        </w:rPr>
      </w:pPr>
    </w:p>
    <w:p w14:paraId="2B3CC27E" w14:textId="77777777" w:rsidR="00732951" w:rsidRPr="00732951" w:rsidRDefault="00732951" w:rsidP="00732951">
      <w:pPr>
        <w:tabs>
          <w:tab w:val="left" w:pos="851"/>
        </w:tabs>
        <w:ind w:left="851"/>
        <w:rPr>
          <w:i/>
          <w:sz w:val="24"/>
          <w:szCs w:val="24"/>
        </w:rPr>
      </w:pPr>
      <w:r w:rsidRPr="00732951">
        <w:rPr>
          <w:sz w:val="24"/>
          <w:szCs w:val="24"/>
        </w:rPr>
        <w:t>Opbevaringsforhold efter fortynding og anbrud af lægemidlet, se pkt. 6.3.</w:t>
      </w:r>
    </w:p>
    <w:p w14:paraId="40329D99" w14:textId="77777777" w:rsidR="009260DE" w:rsidRPr="00C84483" w:rsidRDefault="009260DE" w:rsidP="009260DE">
      <w:pPr>
        <w:tabs>
          <w:tab w:val="left" w:pos="851"/>
        </w:tabs>
        <w:ind w:left="851"/>
        <w:rPr>
          <w:sz w:val="24"/>
          <w:szCs w:val="24"/>
        </w:rPr>
      </w:pPr>
    </w:p>
    <w:p w14:paraId="3E92272D"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2744CE15" w14:textId="19990A6F" w:rsidR="000539F7" w:rsidRDefault="000539F7" w:rsidP="000539F7">
      <w:pPr>
        <w:tabs>
          <w:tab w:val="left" w:pos="851"/>
        </w:tabs>
        <w:ind w:left="851"/>
        <w:rPr>
          <w:sz w:val="24"/>
          <w:szCs w:val="24"/>
          <w:lang w:val="sv-SE"/>
        </w:rPr>
      </w:pPr>
      <w:r w:rsidRPr="000539F7">
        <w:rPr>
          <w:sz w:val="24"/>
          <w:szCs w:val="24"/>
          <w:lang w:val="sv-SE"/>
        </w:rPr>
        <w:t>Ampul med 1 ml (brunt glas, type I).</w:t>
      </w:r>
    </w:p>
    <w:p w14:paraId="1F3201FE" w14:textId="5C83338E" w:rsidR="000539F7" w:rsidRDefault="000539F7" w:rsidP="000539F7">
      <w:pPr>
        <w:tabs>
          <w:tab w:val="left" w:pos="851"/>
        </w:tabs>
        <w:ind w:left="851"/>
        <w:rPr>
          <w:sz w:val="24"/>
          <w:szCs w:val="24"/>
          <w:lang w:val="sv-SE"/>
        </w:rPr>
      </w:pPr>
    </w:p>
    <w:p w14:paraId="15A2D35F" w14:textId="79A3B0F3" w:rsidR="000539F7" w:rsidRPr="000539F7" w:rsidRDefault="000539F7" w:rsidP="000539F7">
      <w:pPr>
        <w:tabs>
          <w:tab w:val="left" w:pos="851"/>
        </w:tabs>
        <w:ind w:left="851"/>
        <w:rPr>
          <w:sz w:val="24"/>
          <w:szCs w:val="24"/>
        </w:rPr>
      </w:pPr>
      <w:r>
        <w:rPr>
          <w:sz w:val="24"/>
          <w:szCs w:val="24"/>
          <w:lang w:val="sv-SE"/>
        </w:rPr>
        <w:t xml:space="preserve">Pakningsstørrelser: </w:t>
      </w:r>
      <w:r w:rsidRPr="000539F7">
        <w:rPr>
          <w:sz w:val="24"/>
          <w:szCs w:val="24"/>
        </w:rPr>
        <w:t>Æske med 10 ampuller.</w:t>
      </w:r>
    </w:p>
    <w:p w14:paraId="7ADD93A4" w14:textId="2EB06145" w:rsidR="009260DE" w:rsidRDefault="009260DE" w:rsidP="009260DE">
      <w:pPr>
        <w:tabs>
          <w:tab w:val="left" w:pos="851"/>
        </w:tabs>
        <w:ind w:left="851"/>
        <w:rPr>
          <w:sz w:val="24"/>
          <w:szCs w:val="24"/>
        </w:rPr>
      </w:pPr>
    </w:p>
    <w:p w14:paraId="3F904F56" w14:textId="79BA9D5E" w:rsidR="000539F7" w:rsidRDefault="000539F7" w:rsidP="009260DE">
      <w:pPr>
        <w:tabs>
          <w:tab w:val="left" w:pos="851"/>
        </w:tabs>
        <w:ind w:left="851"/>
        <w:rPr>
          <w:sz w:val="24"/>
          <w:szCs w:val="24"/>
        </w:rPr>
      </w:pPr>
      <w:r>
        <w:rPr>
          <w:sz w:val="24"/>
          <w:szCs w:val="24"/>
        </w:rPr>
        <w:t>Ikke alle pakningsstørrelser er nødvendigvis markedsført.</w:t>
      </w:r>
    </w:p>
    <w:p w14:paraId="07340D86" w14:textId="77777777" w:rsidR="000539F7" w:rsidRPr="00C84483" w:rsidRDefault="000539F7" w:rsidP="009260DE">
      <w:pPr>
        <w:tabs>
          <w:tab w:val="left" w:pos="851"/>
        </w:tabs>
        <w:ind w:left="851"/>
        <w:rPr>
          <w:sz w:val="24"/>
          <w:szCs w:val="24"/>
        </w:rPr>
      </w:pPr>
    </w:p>
    <w:p w14:paraId="2175EC19"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0D33D14E" w14:textId="77777777" w:rsidR="000539F7" w:rsidRPr="000539F7" w:rsidRDefault="000539F7" w:rsidP="000539F7">
      <w:pPr>
        <w:tabs>
          <w:tab w:val="left" w:pos="851"/>
        </w:tabs>
        <w:ind w:left="851"/>
        <w:rPr>
          <w:sz w:val="24"/>
          <w:szCs w:val="24"/>
        </w:rPr>
      </w:pPr>
      <w:r w:rsidRPr="000539F7">
        <w:rPr>
          <w:sz w:val="24"/>
          <w:szCs w:val="24"/>
        </w:rPr>
        <w:t>Opløsningen skal undersøges visuelt inden administration. Anvend kun opløsningen, hvis den er klar og farveløs og uden synlige partikler.</w:t>
      </w:r>
    </w:p>
    <w:p w14:paraId="17F15755" w14:textId="77777777" w:rsidR="000539F7" w:rsidRPr="000539F7" w:rsidRDefault="000539F7" w:rsidP="000539F7">
      <w:pPr>
        <w:tabs>
          <w:tab w:val="left" w:pos="851"/>
        </w:tabs>
        <w:ind w:left="851"/>
        <w:rPr>
          <w:sz w:val="24"/>
          <w:szCs w:val="24"/>
        </w:rPr>
      </w:pPr>
      <w:r w:rsidRPr="000539F7">
        <w:rPr>
          <w:sz w:val="24"/>
          <w:szCs w:val="24"/>
        </w:rPr>
        <w:t>Til brug ved PCA: Træk droperidol og morfin op i en sprøjte, og tilsæt natriumchlorid 9 mg/ml (0,9 %) injektionsvæske, opløsning op ønsket volumen.</w:t>
      </w:r>
    </w:p>
    <w:p w14:paraId="20B021FC" w14:textId="77777777" w:rsidR="000539F7" w:rsidRPr="000539F7" w:rsidRDefault="000539F7" w:rsidP="000539F7">
      <w:pPr>
        <w:tabs>
          <w:tab w:val="left" w:pos="851"/>
        </w:tabs>
        <w:ind w:left="851"/>
        <w:rPr>
          <w:sz w:val="24"/>
          <w:szCs w:val="24"/>
        </w:rPr>
      </w:pPr>
    </w:p>
    <w:p w14:paraId="20148CAD" w14:textId="77777777" w:rsidR="000539F7" w:rsidRPr="000539F7" w:rsidRDefault="000539F7" w:rsidP="000539F7">
      <w:pPr>
        <w:tabs>
          <w:tab w:val="left" w:pos="851"/>
        </w:tabs>
        <w:ind w:left="851"/>
        <w:rPr>
          <w:sz w:val="24"/>
          <w:szCs w:val="24"/>
        </w:rPr>
      </w:pPr>
      <w:r w:rsidRPr="000539F7">
        <w:rPr>
          <w:sz w:val="24"/>
          <w:szCs w:val="24"/>
        </w:rPr>
        <w:t>Ikke anvendt lægemiddel samt affald heraf skal bortskaffes i henhold til lokale retningslinjer.</w:t>
      </w:r>
    </w:p>
    <w:p w14:paraId="4AEDE935" w14:textId="77777777" w:rsidR="009260DE" w:rsidRPr="00C84483" w:rsidRDefault="009260DE" w:rsidP="000730CA">
      <w:pPr>
        <w:tabs>
          <w:tab w:val="left" w:pos="851"/>
        </w:tabs>
        <w:ind w:left="851"/>
        <w:rPr>
          <w:sz w:val="24"/>
          <w:szCs w:val="24"/>
        </w:rPr>
      </w:pPr>
    </w:p>
    <w:p w14:paraId="241863A8"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647D4934" w14:textId="77777777" w:rsidR="00210A2E" w:rsidRPr="001364B1" w:rsidRDefault="00210A2E" w:rsidP="00210A2E">
      <w:pPr>
        <w:tabs>
          <w:tab w:val="left" w:pos="851"/>
        </w:tabs>
        <w:ind w:left="851"/>
        <w:rPr>
          <w:sz w:val="24"/>
          <w:szCs w:val="24"/>
        </w:rPr>
      </w:pPr>
      <w:r w:rsidRPr="001364B1">
        <w:rPr>
          <w:sz w:val="24"/>
          <w:szCs w:val="24"/>
        </w:rPr>
        <w:t>Laboratoire Aguettant</w:t>
      </w:r>
    </w:p>
    <w:p w14:paraId="356E40CF" w14:textId="77777777" w:rsidR="00210A2E" w:rsidRPr="001364B1" w:rsidRDefault="00210A2E" w:rsidP="00210A2E">
      <w:pPr>
        <w:tabs>
          <w:tab w:val="left" w:pos="851"/>
        </w:tabs>
        <w:ind w:left="851"/>
        <w:rPr>
          <w:sz w:val="24"/>
          <w:szCs w:val="24"/>
        </w:rPr>
      </w:pPr>
      <w:r w:rsidRPr="001364B1">
        <w:rPr>
          <w:sz w:val="24"/>
          <w:szCs w:val="24"/>
        </w:rPr>
        <w:t>1 rue Alexander Fleming</w:t>
      </w:r>
    </w:p>
    <w:p w14:paraId="61B914C5" w14:textId="77777777" w:rsidR="00210A2E" w:rsidRPr="001364B1" w:rsidRDefault="00210A2E" w:rsidP="00210A2E">
      <w:pPr>
        <w:tabs>
          <w:tab w:val="left" w:pos="851"/>
        </w:tabs>
        <w:ind w:left="851"/>
        <w:rPr>
          <w:sz w:val="24"/>
          <w:szCs w:val="24"/>
        </w:rPr>
      </w:pPr>
      <w:r w:rsidRPr="001364B1">
        <w:rPr>
          <w:sz w:val="24"/>
          <w:szCs w:val="24"/>
        </w:rPr>
        <w:t>69007 Lyon</w:t>
      </w:r>
    </w:p>
    <w:p w14:paraId="145EC606" w14:textId="77777777" w:rsidR="00210A2E" w:rsidRPr="00210A2E" w:rsidRDefault="00210A2E" w:rsidP="00210A2E">
      <w:pPr>
        <w:tabs>
          <w:tab w:val="left" w:pos="851"/>
        </w:tabs>
        <w:ind w:left="851"/>
        <w:rPr>
          <w:sz w:val="24"/>
          <w:szCs w:val="24"/>
        </w:rPr>
      </w:pPr>
      <w:r w:rsidRPr="00210A2E">
        <w:rPr>
          <w:sz w:val="24"/>
          <w:szCs w:val="24"/>
        </w:rPr>
        <w:t>Frankrig</w:t>
      </w:r>
    </w:p>
    <w:p w14:paraId="50059DDE" w14:textId="77777777" w:rsidR="009260DE" w:rsidRDefault="009260DE" w:rsidP="009260DE">
      <w:pPr>
        <w:tabs>
          <w:tab w:val="left" w:pos="851"/>
        </w:tabs>
        <w:ind w:left="851"/>
        <w:rPr>
          <w:sz w:val="24"/>
          <w:szCs w:val="24"/>
        </w:rPr>
      </w:pPr>
    </w:p>
    <w:p w14:paraId="1A4CF808"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15D3FE4F" w14:textId="1EC16D67" w:rsidR="009260DE" w:rsidRDefault="006A763D" w:rsidP="00F516A4">
      <w:pPr>
        <w:tabs>
          <w:tab w:val="left" w:pos="851"/>
          <w:tab w:val="left" w:pos="2127"/>
        </w:tabs>
        <w:ind w:left="851"/>
        <w:rPr>
          <w:sz w:val="24"/>
          <w:szCs w:val="24"/>
        </w:rPr>
      </w:pPr>
      <w:r>
        <w:rPr>
          <w:sz w:val="24"/>
          <w:szCs w:val="24"/>
        </w:rPr>
        <w:t>1,25 mg/ml:</w:t>
      </w:r>
      <w:r w:rsidR="00F516A4">
        <w:rPr>
          <w:sz w:val="24"/>
          <w:szCs w:val="24"/>
        </w:rPr>
        <w:tab/>
        <w:t>69294</w:t>
      </w:r>
    </w:p>
    <w:p w14:paraId="648EC348" w14:textId="1CDF72C8" w:rsidR="006A763D" w:rsidRPr="00C84483" w:rsidRDefault="006A763D" w:rsidP="00F516A4">
      <w:pPr>
        <w:tabs>
          <w:tab w:val="left" w:pos="851"/>
          <w:tab w:val="left" w:pos="2127"/>
        </w:tabs>
        <w:ind w:left="851"/>
        <w:rPr>
          <w:sz w:val="24"/>
          <w:szCs w:val="24"/>
        </w:rPr>
      </w:pPr>
      <w:r>
        <w:rPr>
          <w:sz w:val="24"/>
          <w:szCs w:val="24"/>
        </w:rPr>
        <w:t>2,5 mg/ml:</w:t>
      </w:r>
      <w:r w:rsidR="00F516A4">
        <w:rPr>
          <w:sz w:val="24"/>
          <w:szCs w:val="24"/>
        </w:rPr>
        <w:tab/>
        <w:t>69295</w:t>
      </w:r>
    </w:p>
    <w:p w14:paraId="00CFE768" w14:textId="77777777" w:rsidR="009260DE" w:rsidRPr="00C84483" w:rsidRDefault="009260DE" w:rsidP="009260DE">
      <w:pPr>
        <w:tabs>
          <w:tab w:val="left" w:pos="851"/>
        </w:tabs>
        <w:ind w:left="851"/>
        <w:jc w:val="both"/>
        <w:rPr>
          <w:sz w:val="24"/>
          <w:szCs w:val="24"/>
        </w:rPr>
      </w:pPr>
    </w:p>
    <w:p w14:paraId="42ED37EE"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1877351" w14:textId="08DD3511" w:rsidR="009260DE" w:rsidRPr="00C84483" w:rsidRDefault="001364B1" w:rsidP="009260DE">
      <w:pPr>
        <w:tabs>
          <w:tab w:val="left" w:pos="851"/>
        </w:tabs>
        <w:ind w:left="851"/>
        <w:rPr>
          <w:sz w:val="24"/>
          <w:szCs w:val="24"/>
        </w:rPr>
      </w:pPr>
      <w:r>
        <w:rPr>
          <w:sz w:val="24"/>
          <w:szCs w:val="24"/>
        </w:rPr>
        <w:t>24. marts 2025</w:t>
      </w:r>
    </w:p>
    <w:p w14:paraId="645F9ECC" w14:textId="77777777" w:rsidR="009260DE" w:rsidRPr="00C84483" w:rsidRDefault="009260DE" w:rsidP="009260DE">
      <w:pPr>
        <w:tabs>
          <w:tab w:val="left" w:pos="851"/>
        </w:tabs>
        <w:ind w:left="851"/>
        <w:rPr>
          <w:sz w:val="24"/>
          <w:szCs w:val="24"/>
        </w:rPr>
      </w:pPr>
    </w:p>
    <w:p w14:paraId="435BF70A"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3A2108EF" w14:textId="4B834093" w:rsidR="009260DE" w:rsidRPr="00C84483" w:rsidRDefault="00F516A4"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C04DC" w14:textId="77777777" w:rsidR="00061014" w:rsidRDefault="00061014">
      <w:r>
        <w:separator/>
      </w:r>
    </w:p>
  </w:endnote>
  <w:endnote w:type="continuationSeparator" w:id="0">
    <w:p w14:paraId="0AC1BE5D" w14:textId="77777777" w:rsidR="00061014" w:rsidRDefault="00061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F07FF" w14:textId="77777777" w:rsidR="000259B9" w:rsidRDefault="000259B9">
    <w:pPr>
      <w:pStyle w:val="Sidefod"/>
      <w:pBdr>
        <w:bottom w:val="single" w:sz="6" w:space="1" w:color="auto"/>
      </w:pBdr>
    </w:pPr>
  </w:p>
  <w:p w14:paraId="4FA29362" w14:textId="77777777" w:rsidR="000259B9" w:rsidRDefault="000259B9" w:rsidP="00C42586">
    <w:pPr>
      <w:pStyle w:val="Sidefod"/>
      <w:tabs>
        <w:tab w:val="clear" w:pos="4819"/>
        <w:tab w:val="left" w:pos="8505"/>
      </w:tabs>
      <w:rPr>
        <w:i/>
        <w:sz w:val="18"/>
        <w:szCs w:val="18"/>
      </w:rPr>
    </w:pPr>
  </w:p>
  <w:p w14:paraId="2AFCF6F6" w14:textId="026AECFD"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11DE7">
      <w:rPr>
        <w:i/>
        <w:noProof/>
        <w:sz w:val="18"/>
        <w:szCs w:val="18"/>
      </w:rPr>
      <w:t>Droperidol Aguettant, injektinsvæske, opløsning 1,25 mg-ml og 2,5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80086" w14:textId="77777777" w:rsidR="00061014" w:rsidRDefault="00061014">
      <w:r>
        <w:separator/>
      </w:r>
    </w:p>
  </w:footnote>
  <w:footnote w:type="continuationSeparator" w:id="0">
    <w:p w14:paraId="12958F15" w14:textId="77777777" w:rsidR="00061014" w:rsidRDefault="00061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22A6"/>
    <w:multiLevelType w:val="hybridMultilevel"/>
    <w:tmpl w:val="E25EED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82944BF"/>
    <w:multiLevelType w:val="hybridMultilevel"/>
    <w:tmpl w:val="1D325C2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9FB61CC"/>
    <w:multiLevelType w:val="hybridMultilevel"/>
    <w:tmpl w:val="F15039D8"/>
    <w:lvl w:ilvl="0" w:tplc="F1FA9F6E">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4" w15:restartNumberingAfterBreak="0">
    <w:nsid w:val="21847C25"/>
    <w:multiLevelType w:val="hybridMultilevel"/>
    <w:tmpl w:val="CBEA5110"/>
    <w:lvl w:ilvl="0" w:tplc="04060001">
      <w:start w:val="1"/>
      <w:numFmt w:val="bullet"/>
      <w:lvlText w:val=""/>
      <w:lvlJc w:val="left"/>
      <w:pPr>
        <w:ind w:left="2062"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E7D77B7"/>
    <w:multiLevelType w:val="hybridMultilevel"/>
    <w:tmpl w:val="CE784662"/>
    <w:lvl w:ilvl="0" w:tplc="F1FA9F6E">
      <w:numFmt w:val="bullet"/>
      <w:lvlText w:val="−"/>
      <w:lvlJc w:val="left"/>
      <w:pPr>
        <w:ind w:left="2062"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14"/>
    <w:rsid w:val="000259B9"/>
    <w:rsid w:val="00041491"/>
    <w:rsid w:val="00050D16"/>
    <w:rsid w:val="000539F7"/>
    <w:rsid w:val="00061014"/>
    <w:rsid w:val="000730CA"/>
    <w:rsid w:val="00074F2A"/>
    <w:rsid w:val="000A1CA8"/>
    <w:rsid w:val="000A466B"/>
    <w:rsid w:val="000B058C"/>
    <w:rsid w:val="000C6014"/>
    <w:rsid w:val="000D68B0"/>
    <w:rsid w:val="000E4EE6"/>
    <w:rsid w:val="001364B1"/>
    <w:rsid w:val="001454E2"/>
    <w:rsid w:val="00204515"/>
    <w:rsid w:val="00206CE8"/>
    <w:rsid w:val="00210A2E"/>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11DE7"/>
    <w:rsid w:val="00637F5A"/>
    <w:rsid w:val="00641C65"/>
    <w:rsid w:val="006560B1"/>
    <w:rsid w:val="00672C4E"/>
    <w:rsid w:val="006756DD"/>
    <w:rsid w:val="006A763D"/>
    <w:rsid w:val="0071241E"/>
    <w:rsid w:val="00732951"/>
    <w:rsid w:val="00737275"/>
    <w:rsid w:val="00740EEC"/>
    <w:rsid w:val="0078011A"/>
    <w:rsid w:val="00782AF4"/>
    <w:rsid w:val="00790EE7"/>
    <w:rsid w:val="007B6649"/>
    <w:rsid w:val="0082576E"/>
    <w:rsid w:val="0089346F"/>
    <w:rsid w:val="00907F75"/>
    <w:rsid w:val="009260DE"/>
    <w:rsid w:val="0093258A"/>
    <w:rsid w:val="009C7BA3"/>
    <w:rsid w:val="009D1F5A"/>
    <w:rsid w:val="00A10294"/>
    <w:rsid w:val="00B003BF"/>
    <w:rsid w:val="00B373D7"/>
    <w:rsid w:val="00B55271"/>
    <w:rsid w:val="00B66FD7"/>
    <w:rsid w:val="00B964CE"/>
    <w:rsid w:val="00BD7931"/>
    <w:rsid w:val="00BF6243"/>
    <w:rsid w:val="00C36276"/>
    <w:rsid w:val="00C42586"/>
    <w:rsid w:val="00C45F6B"/>
    <w:rsid w:val="00C60CCD"/>
    <w:rsid w:val="00C72C0F"/>
    <w:rsid w:val="00C84483"/>
    <w:rsid w:val="00C95551"/>
    <w:rsid w:val="00CB20D7"/>
    <w:rsid w:val="00D020B0"/>
    <w:rsid w:val="00D11748"/>
    <w:rsid w:val="00D21F86"/>
    <w:rsid w:val="00D237F6"/>
    <w:rsid w:val="00D34D98"/>
    <w:rsid w:val="00D366CF"/>
    <w:rsid w:val="00D93992"/>
    <w:rsid w:val="00E108AA"/>
    <w:rsid w:val="00E3749A"/>
    <w:rsid w:val="00E7437F"/>
    <w:rsid w:val="00E865B8"/>
    <w:rsid w:val="00EC0B9B"/>
    <w:rsid w:val="00ED5E9F"/>
    <w:rsid w:val="00F516A4"/>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B430F"/>
  <w15:chartTrackingRefBased/>
  <w15:docId w15:val="{667A37B5-8E1F-4D7E-881C-65F67029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732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6951">
      <w:bodyDiv w:val="1"/>
      <w:marLeft w:val="0"/>
      <w:marRight w:val="0"/>
      <w:marTop w:val="0"/>
      <w:marBottom w:val="0"/>
      <w:divBdr>
        <w:top w:val="none" w:sz="0" w:space="0" w:color="auto"/>
        <w:left w:val="none" w:sz="0" w:space="0" w:color="auto"/>
        <w:bottom w:val="none" w:sz="0" w:space="0" w:color="auto"/>
        <w:right w:val="none" w:sz="0" w:space="0" w:color="auto"/>
      </w:divBdr>
    </w:div>
    <w:div w:id="100226588">
      <w:bodyDiv w:val="1"/>
      <w:marLeft w:val="0"/>
      <w:marRight w:val="0"/>
      <w:marTop w:val="0"/>
      <w:marBottom w:val="0"/>
      <w:divBdr>
        <w:top w:val="none" w:sz="0" w:space="0" w:color="auto"/>
        <w:left w:val="none" w:sz="0" w:space="0" w:color="auto"/>
        <w:bottom w:val="none" w:sz="0" w:space="0" w:color="auto"/>
        <w:right w:val="none" w:sz="0" w:space="0" w:color="auto"/>
      </w:divBdr>
    </w:div>
    <w:div w:id="123426111">
      <w:bodyDiv w:val="1"/>
      <w:marLeft w:val="0"/>
      <w:marRight w:val="0"/>
      <w:marTop w:val="0"/>
      <w:marBottom w:val="0"/>
      <w:divBdr>
        <w:top w:val="none" w:sz="0" w:space="0" w:color="auto"/>
        <w:left w:val="none" w:sz="0" w:space="0" w:color="auto"/>
        <w:bottom w:val="none" w:sz="0" w:space="0" w:color="auto"/>
        <w:right w:val="none" w:sz="0" w:space="0" w:color="auto"/>
      </w:divBdr>
    </w:div>
    <w:div w:id="12644080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72928396">
      <w:bodyDiv w:val="1"/>
      <w:marLeft w:val="0"/>
      <w:marRight w:val="0"/>
      <w:marTop w:val="0"/>
      <w:marBottom w:val="0"/>
      <w:divBdr>
        <w:top w:val="none" w:sz="0" w:space="0" w:color="auto"/>
        <w:left w:val="none" w:sz="0" w:space="0" w:color="auto"/>
        <w:bottom w:val="none" w:sz="0" w:space="0" w:color="auto"/>
        <w:right w:val="none" w:sz="0" w:space="0" w:color="auto"/>
      </w:divBdr>
    </w:div>
    <w:div w:id="408507845">
      <w:bodyDiv w:val="1"/>
      <w:marLeft w:val="0"/>
      <w:marRight w:val="0"/>
      <w:marTop w:val="0"/>
      <w:marBottom w:val="0"/>
      <w:divBdr>
        <w:top w:val="none" w:sz="0" w:space="0" w:color="auto"/>
        <w:left w:val="none" w:sz="0" w:space="0" w:color="auto"/>
        <w:bottom w:val="none" w:sz="0" w:space="0" w:color="auto"/>
        <w:right w:val="none" w:sz="0" w:space="0" w:color="auto"/>
      </w:divBdr>
    </w:div>
    <w:div w:id="433482365">
      <w:bodyDiv w:val="1"/>
      <w:marLeft w:val="0"/>
      <w:marRight w:val="0"/>
      <w:marTop w:val="0"/>
      <w:marBottom w:val="0"/>
      <w:divBdr>
        <w:top w:val="none" w:sz="0" w:space="0" w:color="auto"/>
        <w:left w:val="none" w:sz="0" w:space="0" w:color="auto"/>
        <w:bottom w:val="none" w:sz="0" w:space="0" w:color="auto"/>
        <w:right w:val="none" w:sz="0" w:space="0" w:color="auto"/>
      </w:divBdr>
    </w:div>
    <w:div w:id="433868920">
      <w:bodyDiv w:val="1"/>
      <w:marLeft w:val="0"/>
      <w:marRight w:val="0"/>
      <w:marTop w:val="0"/>
      <w:marBottom w:val="0"/>
      <w:divBdr>
        <w:top w:val="none" w:sz="0" w:space="0" w:color="auto"/>
        <w:left w:val="none" w:sz="0" w:space="0" w:color="auto"/>
        <w:bottom w:val="none" w:sz="0" w:space="0" w:color="auto"/>
        <w:right w:val="none" w:sz="0" w:space="0" w:color="auto"/>
      </w:divBdr>
    </w:div>
    <w:div w:id="437717496">
      <w:bodyDiv w:val="1"/>
      <w:marLeft w:val="0"/>
      <w:marRight w:val="0"/>
      <w:marTop w:val="0"/>
      <w:marBottom w:val="0"/>
      <w:divBdr>
        <w:top w:val="none" w:sz="0" w:space="0" w:color="auto"/>
        <w:left w:val="none" w:sz="0" w:space="0" w:color="auto"/>
        <w:bottom w:val="none" w:sz="0" w:space="0" w:color="auto"/>
        <w:right w:val="none" w:sz="0" w:space="0" w:color="auto"/>
      </w:divBdr>
    </w:div>
    <w:div w:id="489759790">
      <w:bodyDiv w:val="1"/>
      <w:marLeft w:val="0"/>
      <w:marRight w:val="0"/>
      <w:marTop w:val="0"/>
      <w:marBottom w:val="0"/>
      <w:divBdr>
        <w:top w:val="none" w:sz="0" w:space="0" w:color="auto"/>
        <w:left w:val="none" w:sz="0" w:space="0" w:color="auto"/>
        <w:bottom w:val="none" w:sz="0" w:space="0" w:color="auto"/>
        <w:right w:val="none" w:sz="0" w:space="0" w:color="auto"/>
      </w:divBdr>
    </w:div>
    <w:div w:id="571543763">
      <w:bodyDiv w:val="1"/>
      <w:marLeft w:val="0"/>
      <w:marRight w:val="0"/>
      <w:marTop w:val="0"/>
      <w:marBottom w:val="0"/>
      <w:divBdr>
        <w:top w:val="none" w:sz="0" w:space="0" w:color="auto"/>
        <w:left w:val="none" w:sz="0" w:space="0" w:color="auto"/>
        <w:bottom w:val="none" w:sz="0" w:space="0" w:color="auto"/>
        <w:right w:val="none" w:sz="0" w:space="0" w:color="auto"/>
      </w:divBdr>
    </w:div>
    <w:div w:id="583490700">
      <w:bodyDiv w:val="1"/>
      <w:marLeft w:val="0"/>
      <w:marRight w:val="0"/>
      <w:marTop w:val="0"/>
      <w:marBottom w:val="0"/>
      <w:divBdr>
        <w:top w:val="none" w:sz="0" w:space="0" w:color="auto"/>
        <w:left w:val="none" w:sz="0" w:space="0" w:color="auto"/>
        <w:bottom w:val="none" w:sz="0" w:space="0" w:color="auto"/>
        <w:right w:val="none" w:sz="0" w:space="0" w:color="auto"/>
      </w:divBdr>
    </w:div>
    <w:div w:id="621502794">
      <w:bodyDiv w:val="1"/>
      <w:marLeft w:val="0"/>
      <w:marRight w:val="0"/>
      <w:marTop w:val="0"/>
      <w:marBottom w:val="0"/>
      <w:divBdr>
        <w:top w:val="none" w:sz="0" w:space="0" w:color="auto"/>
        <w:left w:val="none" w:sz="0" w:space="0" w:color="auto"/>
        <w:bottom w:val="none" w:sz="0" w:space="0" w:color="auto"/>
        <w:right w:val="none" w:sz="0" w:space="0" w:color="auto"/>
      </w:divBdr>
    </w:div>
    <w:div w:id="700591239">
      <w:bodyDiv w:val="1"/>
      <w:marLeft w:val="0"/>
      <w:marRight w:val="0"/>
      <w:marTop w:val="0"/>
      <w:marBottom w:val="0"/>
      <w:divBdr>
        <w:top w:val="none" w:sz="0" w:space="0" w:color="auto"/>
        <w:left w:val="none" w:sz="0" w:space="0" w:color="auto"/>
        <w:bottom w:val="none" w:sz="0" w:space="0" w:color="auto"/>
        <w:right w:val="none" w:sz="0" w:space="0" w:color="auto"/>
      </w:divBdr>
    </w:div>
    <w:div w:id="716273735">
      <w:bodyDiv w:val="1"/>
      <w:marLeft w:val="0"/>
      <w:marRight w:val="0"/>
      <w:marTop w:val="0"/>
      <w:marBottom w:val="0"/>
      <w:divBdr>
        <w:top w:val="none" w:sz="0" w:space="0" w:color="auto"/>
        <w:left w:val="none" w:sz="0" w:space="0" w:color="auto"/>
        <w:bottom w:val="none" w:sz="0" w:space="0" w:color="auto"/>
        <w:right w:val="none" w:sz="0" w:space="0" w:color="auto"/>
      </w:divBdr>
    </w:div>
    <w:div w:id="727800134">
      <w:bodyDiv w:val="1"/>
      <w:marLeft w:val="0"/>
      <w:marRight w:val="0"/>
      <w:marTop w:val="0"/>
      <w:marBottom w:val="0"/>
      <w:divBdr>
        <w:top w:val="none" w:sz="0" w:space="0" w:color="auto"/>
        <w:left w:val="none" w:sz="0" w:space="0" w:color="auto"/>
        <w:bottom w:val="none" w:sz="0" w:space="0" w:color="auto"/>
        <w:right w:val="none" w:sz="0" w:space="0" w:color="auto"/>
      </w:divBdr>
    </w:div>
    <w:div w:id="752631497">
      <w:bodyDiv w:val="1"/>
      <w:marLeft w:val="0"/>
      <w:marRight w:val="0"/>
      <w:marTop w:val="0"/>
      <w:marBottom w:val="0"/>
      <w:divBdr>
        <w:top w:val="none" w:sz="0" w:space="0" w:color="auto"/>
        <w:left w:val="none" w:sz="0" w:space="0" w:color="auto"/>
        <w:bottom w:val="none" w:sz="0" w:space="0" w:color="auto"/>
        <w:right w:val="none" w:sz="0" w:space="0" w:color="auto"/>
      </w:divBdr>
    </w:div>
    <w:div w:id="848182308">
      <w:bodyDiv w:val="1"/>
      <w:marLeft w:val="0"/>
      <w:marRight w:val="0"/>
      <w:marTop w:val="0"/>
      <w:marBottom w:val="0"/>
      <w:divBdr>
        <w:top w:val="none" w:sz="0" w:space="0" w:color="auto"/>
        <w:left w:val="none" w:sz="0" w:space="0" w:color="auto"/>
        <w:bottom w:val="none" w:sz="0" w:space="0" w:color="auto"/>
        <w:right w:val="none" w:sz="0" w:space="0" w:color="auto"/>
      </w:divBdr>
    </w:div>
    <w:div w:id="894781870">
      <w:bodyDiv w:val="1"/>
      <w:marLeft w:val="0"/>
      <w:marRight w:val="0"/>
      <w:marTop w:val="0"/>
      <w:marBottom w:val="0"/>
      <w:divBdr>
        <w:top w:val="none" w:sz="0" w:space="0" w:color="auto"/>
        <w:left w:val="none" w:sz="0" w:space="0" w:color="auto"/>
        <w:bottom w:val="none" w:sz="0" w:space="0" w:color="auto"/>
        <w:right w:val="none" w:sz="0" w:space="0" w:color="auto"/>
      </w:divBdr>
    </w:div>
    <w:div w:id="932708913">
      <w:bodyDiv w:val="1"/>
      <w:marLeft w:val="0"/>
      <w:marRight w:val="0"/>
      <w:marTop w:val="0"/>
      <w:marBottom w:val="0"/>
      <w:divBdr>
        <w:top w:val="none" w:sz="0" w:space="0" w:color="auto"/>
        <w:left w:val="none" w:sz="0" w:space="0" w:color="auto"/>
        <w:bottom w:val="none" w:sz="0" w:space="0" w:color="auto"/>
        <w:right w:val="none" w:sz="0" w:space="0" w:color="auto"/>
      </w:divBdr>
    </w:div>
    <w:div w:id="1055355628">
      <w:bodyDiv w:val="1"/>
      <w:marLeft w:val="0"/>
      <w:marRight w:val="0"/>
      <w:marTop w:val="0"/>
      <w:marBottom w:val="0"/>
      <w:divBdr>
        <w:top w:val="none" w:sz="0" w:space="0" w:color="auto"/>
        <w:left w:val="none" w:sz="0" w:space="0" w:color="auto"/>
        <w:bottom w:val="none" w:sz="0" w:space="0" w:color="auto"/>
        <w:right w:val="none" w:sz="0" w:space="0" w:color="auto"/>
      </w:divBdr>
    </w:div>
    <w:div w:id="1076703154">
      <w:bodyDiv w:val="1"/>
      <w:marLeft w:val="0"/>
      <w:marRight w:val="0"/>
      <w:marTop w:val="0"/>
      <w:marBottom w:val="0"/>
      <w:divBdr>
        <w:top w:val="none" w:sz="0" w:space="0" w:color="auto"/>
        <w:left w:val="none" w:sz="0" w:space="0" w:color="auto"/>
        <w:bottom w:val="none" w:sz="0" w:space="0" w:color="auto"/>
        <w:right w:val="none" w:sz="0" w:space="0" w:color="auto"/>
      </w:divBdr>
    </w:div>
    <w:div w:id="1160389973">
      <w:bodyDiv w:val="1"/>
      <w:marLeft w:val="0"/>
      <w:marRight w:val="0"/>
      <w:marTop w:val="0"/>
      <w:marBottom w:val="0"/>
      <w:divBdr>
        <w:top w:val="none" w:sz="0" w:space="0" w:color="auto"/>
        <w:left w:val="none" w:sz="0" w:space="0" w:color="auto"/>
        <w:bottom w:val="none" w:sz="0" w:space="0" w:color="auto"/>
        <w:right w:val="none" w:sz="0" w:space="0" w:color="auto"/>
      </w:divBdr>
    </w:div>
    <w:div w:id="1219633205">
      <w:bodyDiv w:val="1"/>
      <w:marLeft w:val="0"/>
      <w:marRight w:val="0"/>
      <w:marTop w:val="0"/>
      <w:marBottom w:val="0"/>
      <w:divBdr>
        <w:top w:val="none" w:sz="0" w:space="0" w:color="auto"/>
        <w:left w:val="none" w:sz="0" w:space="0" w:color="auto"/>
        <w:bottom w:val="none" w:sz="0" w:space="0" w:color="auto"/>
        <w:right w:val="none" w:sz="0" w:space="0" w:color="auto"/>
      </w:divBdr>
    </w:div>
    <w:div w:id="1244140651">
      <w:bodyDiv w:val="1"/>
      <w:marLeft w:val="0"/>
      <w:marRight w:val="0"/>
      <w:marTop w:val="0"/>
      <w:marBottom w:val="0"/>
      <w:divBdr>
        <w:top w:val="none" w:sz="0" w:space="0" w:color="auto"/>
        <w:left w:val="none" w:sz="0" w:space="0" w:color="auto"/>
        <w:bottom w:val="none" w:sz="0" w:space="0" w:color="auto"/>
        <w:right w:val="none" w:sz="0" w:space="0" w:color="auto"/>
      </w:divBdr>
    </w:div>
    <w:div w:id="1319386416">
      <w:bodyDiv w:val="1"/>
      <w:marLeft w:val="0"/>
      <w:marRight w:val="0"/>
      <w:marTop w:val="0"/>
      <w:marBottom w:val="0"/>
      <w:divBdr>
        <w:top w:val="none" w:sz="0" w:space="0" w:color="auto"/>
        <w:left w:val="none" w:sz="0" w:space="0" w:color="auto"/>
        <w:bottom w:val="none" w:sz="0" w:space="0" w:color="auto"/>
        <w:right w:val="none" w:sz="0" w:space="0" w:color="auto"/>
      </w:divBdr>
    </w:div>
    <w:div w:id="1361079783">
      <w:bodyDiv w:val="1"/>
      <w:marLeft w:val="0"/>
      <w:marRight w:val="0"/>
      <w:marTop w:val="0"/>
      <w:marBottom w:val="0"/>
      <w:divBdr>
        <w:top w:val="none" w:sz="0" w:space="0" w:color="auto"/>
        <w:left w:val="none" w:sz="0" w:space="0" w:color="auto"/>
        <w:bottom w:val="none" w:sz="0" w:space="0" w:color="auto"/>
        <w:right w:val="none" w:sz="0" w:space="0" w:color="auto"/>
      </w:divBdr>
    </w:div>
    <w:div w:id="1418333205">
      <w:bodyDiv w:val="1"/>
      <w:marLeft w:val="0"/>
      <w:marRight w:val="0"/>
      <w:marTop w:val="0"/>
      <w:marBottom w:val="0"/>
      <w:divBdr>
        <w:top w:val="none" w:sz="0" w:space="0" w:color="auto"/>
        <w:left w:val="none" w:sz="0" w:space="0" w:color="auto"/>
        <w:bottom w:val="none" w:sz="0" w:space="0" w:color="auto"/>
        <w:right w:val="none" w:sz="0" w:space="0" w:color="auto"/>
      </w:divBdr>
    </w:div>
    <w:div w:id="1539901720">
      <w:bodyDiv w:val="1"/>
      <w:marLeft w:val="0"/>
      <w:marRight w:val="0"/>
      <w:marTop w:val="0"/>
      <w:marBottom w:val="0"/>
      <w:divBdr>
        <w:top w:val="none" w:sz="0" w:space="0" w:color="auto"/>
        <w:left w:val="none" w:sz="0" w:space="0" w:color="auto"/>
        <w:bottom w:val="none" w:sz="0" w:space="0" w:color="auto"/>
        <w:right w:val="none" w:sz="0" w:space="0" w:color="auto"/>
      </w:divBdr>
    </w:div>
    <w:div w:id="1556046066">
      <w:bodyDiv w:val="1"/>
      <w:marLeft w:val="0"/>
      <w:marRight w:val="0"/>
      <w:marTop w:val="0"/>
      <w:marBottom w:val="0"/>
      <w:divBdr>
        <w:top w:val="none" w:sz="0" w:space="0" w:color="auto"/>
        <w:left w:val="none" w:sz="0" w:space="0" w:color="auto"/>
        <w:bottom w:val="none" w:sz="0" w:space="0" w:color="auto"/>
        <w:right w:val="none" w:sz="0" w:space="0" w:color="auto"/>
      </w:divBdr>
    </w:div>
    <w:div w:id="1581792092">
      <w:bodyDiv w:val="1"/>
      <w:marLeft w:val="0"/>
      <w:marRight w:val="0"/>
      <w:marTop w:val="0"/>
      <w:marBottom w:val="0"/>
      <w:divBdr>
        <w:top w:val="none" w:sz="0" w:space="0" w:color="auto"/>
        <w:left w:val="none" w:sz="0" w:space="0" w:color="auto"/>
        <w:bottom w:val="none" w:sz="0" w:space="0" w:color="auto"/>
        <w:right w:val="none" w:sz="0" w:space="0" w:color="auto"/>
      </w:divBdr>
    </w:div>
    <w:div w:id="1635479658">
      <w:bodyDiv w:val="1"/>
      <w:marLeft w:val="0"/>
      <w:marRight w:val="0"/>
      <w:marTop w:val="0"/>
      <w:marBottom w:val="0"/>
      <w:divBdr>
        <w:top w:val="none" w:sz="0" w:space="0" w:color="auto"/>
        <w:left w:val="none" w:sz="0" w:space="0" w:color="auto"/>
        <w:bottom w:val="none" w:sz="0" w:space="0" w:color="auto"/>
        <w:right w:val="none" w:sz="0" w:space="0" w:color="auto"/>
      </w:divBdr>
    </w:div>
    <w:div w:id="1717008265">
      <w:bodyDiv w:val="1"/>
      <w:marLeft w:val="0"/>
      <w:marRight w:val="0"/>
      <w:marTop w:val="0"/>
      <w:marBottom w:val="0"/>
      <w:divBdr>
        <w:top w:val="none" w:sz="0" w:space="0" w:color="auto"/>
        <w:left w:val="none" w:sz="0" w:space="0" w:color="auto"/>
        <w:bottom w:val="none" w:sz="0" w:space="0" w:color="auto"/>
        <w:right w:val="none" w:sz="0" w:space="0" w:color="auto"/>
      </w:divBdr>
    </w:div>
    <w:div w:id="1803426091">
      <w:bodyDiv w:val="1"/>
      <w:marLeft w:val="0"/>
      <w:marRight w:val="0"/>
      <w:marTop w:val="0"/>
      <w:marBottom w:val="0"/>
      <w:divBdr>
        <w:top w:val="none" w:sz="0" w:space="0" w:color="auto"/>
        <w:left w:val="none" w:sz="0" w:space="0" w:color="auto"/>
        <w:bottom w:val="none" w:sz="0" w:space="0" w:color="auto"/>
        <w:right w:val="none" w:sz="0" w:space="0" w:color="auto"/>
      </w:divBdr>
    </w:div>
    <w:div w:id="1835755094">
      <w:bodyDiv w:val="1"/>
      <w:marLeft w:val="0"/>
      <w:marRight w:val="0"/>
      <w:marTop w:val="0"/>
      <w:marBottom w:val="0"/>
      <w:divBdr>
        <w:top w:val="none" w:sz="0" w:space="0" w:color="auto"/>
        <w:left w:val="none" w:sz="0" w:space="0" w:color="auto"/>
        <w:bottom w:val="none" w:sz="0" w:space="0" w:color="auto"/>
        <w:right w:val="none" w:sz="0" w:space="0" w:color="auto"/>
      </w:divBdr>
    </w:div>
    <w:div w:id="1956591370">
      <w:bodyDiv w:val="1"/>
      <w:marLeft w:val="0"/>
      <w:marRight w:val="0"/>
      <w:marTop w:val="0"/>
      <w:marBottom w:val="0"/>
      <w:divBdr>
        <w:top w:val="none" w:sz="0" w:space="0" w:color="auto"/>
        <w:left w:val="none" w:sz="0" w:space="0" w:color="auto"/>
        <w:bottom w:val="none" w:sz="0" w:space="0" w:color="auto"/>
        <w:right w:val="none" w:sz="0" w:space="0" w:color="auto"/>
      </w:divBdr>
    </w:div>
    <w:div w:id="1969044209">
      <w:bodyDiv w:val="1"/>
      <w:marLeft w:val="0"/>
      <w:marRight w:val="0"/>
      <w:marTop w:val="0"/>
      <w:marBottom w:val="0"/>
      <w:divBdr>
        <w:top w:val="none" w:sz="0" w:space="0" w:color="auto"/>
        <w:left w:val="none" w:sz="0" w:space="0" w:color="auto"/>
        <w:bottom w:val="none" w:sz="0" w:space="0" w:color="auto"/>
        <w:right w:val="none" w:sz="0" w:space="0" w:color="auto"/>
      </w:divBdr>
    </w:div>
    <w:div w:id="2017492951">
      <w:bodyDiv w:val="1"/>
      <w:marLeft w:val="0"/>
      <w:marRight w:val="0"/>
      <w:marTop w:val="0"/>
      <w:marBottom w:val="0"/>
      <w:divBdr>
        <w:top w:val="none" w:sz="0" w:space="0" w:color="auto"/>
        <w:left w:val="none" w:sz="0" w:space="0" w:color="auto"/>
        <w:bottom w:val="none" w:sz="0" w:space="0" w:color="auto"/>
        <w:right w:val="none" w:sz="0" w:space="0" w:color="auto"/>
      </w:divBdr>
    </w:div>
    <w:div w:id="2031636291">
      <w:bodyDiv w:val="1"/>
      <w:marLeft w:val="0"/>
      <w:marRight w:val="0"/>
      <w:marTop w:val="0"/>
      <w:marBottom w:val="0"/>
      <w:divBdr>
        <w:top w:val="none" w:sz="0" w:space="0" w:color="auto"/>
        <w:left w:val="none" w:sz="0" w:space="0" w:color="auto"/>
        <w:bottom w:val="none" w:sz="0" w:space="0" w:color="auto"/>
        <w:right w:val="none" w:sz="0" w:space="0" w:color="auto"/>
      </w:divBdr>
    </w:div>
    <w:div w:id="2061975877">
      <w:bodyDiv w:val="1"/>
      <w:marLeft w:val="0"/>
      <w:marRight w:val="0"/>
      <w:marTop w:val="0"/>
      <w:marBottom w:val="0"/>
      <w:divBdr>
        <w:top w:val="none" w:sz="0" w:space="0" w:color="auto"/>
        <w:left w:val="none" w:sz="0" w:space="0" w:color="auto"/>
        <w:bottom w:val="none" w:sz="0" w:space="0" w:color="auto"/>
        <w:right w:val="none" w:sz="0" w:space="0" w:color="auto"/>
      </w:divBdr>
    </w:div>
    <w:div w:id="207096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116</TotalTime>
  <Pages>11</Pages>
  <Words>2702</Words>
  <Characters>18182</Characters>
  <Application>Microsoft Office Word</Application>
  <DocSecurity>0</DocSecurity>
  <Lines>151</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2023030678 mt</dc:description>
  <cp:lastModifiedBy>Hanne Thy Iversen</cp:lastModifiedBy>
  <cp:revision>12</cp:revision>
  <cp:lastPrinted>2012-08-22T08:53:00Z</cp:lastPrinted>
  <dcterms:created xsi:type="dcterms:W3CDTF">2025-03-21T10:40:00Z</dcterms:created>
  <dcterms:modified xsi:type="dcterms:W3CDTF">2025-03-24T11:42:00Z</dcterms:modified>
</cp:coreProperties>
</file>