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7E20" w14:textId="77777777" w:rsidR="009260DE" w:rsidRPr="008F49E1" w:rsidRDefault="0021526C" w:rsidP="00412B94">
      <w:pPr>
        <w:rPr>
          <w:sz w:val="24"/>
          <w:szCs w:val="24"/>
        </w:rPr>
      </w:pPr>
      <w:r w:rsidRPr="009260DE">
        <w:rPr>
          <w:noProof/>
          <w:sz w:val="24"/>
          <w:szCs w:val="24"/>
          <w:lang w:eastAsia="da-DK"/>
        </w:rPr>
        <w:drawing>
          <wp:anchor distT="0" distB="0" distL="114300" distR="114300" simplePos="0" relativeHeight="251658240" behindDoc="0" locked="0" layoutInCell="1" allowOverlap="1" wp14:anchorId="5DBCBD86" wp14:editId="2CBF98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09C68EB" w14:textId="77777777" w:rsidR="009260DE" w:rsidRPr="00C84483" w:rsidRDefault="009260DE" w:rsidP="00412B94">
      <w:pPr>
        <w:pStyle w:val="Titel"/>
        <w:tabs>
          <w:tab w:val="right" w:pos="9356"/>
        </w:tabs>
        <w:jc w:val="left"/>
        <w:rPr>
          <w:b w:val="0"/>
          <w:szCs w:val="24"/>
          <w:lang w:eastAsia="en-US"/>
        </w:rPr>
      </w:pPr>
    </w:p>
    <w:p w14:paraId="5B71CA4C" w14:textId="6B4E4667" w:rsidR="009260DE" w:rsidRPr="00FB2733" w:rsidRDefault="009260DE" w:rsidP="00412B94">
      <w:pPr>
        <w:pStyle w:val="Titel"/>
        <w:tabs>
          <w:tab w:val="right" w:pos="9356"/>
        </w:tabs>
        <w:jc w:val="left"/>
        <w:rPr>
          <w:b w:val="0"/>
          <w:szCs w:val="24"/>
          <w:lang w:eastAsia="en-US"/>
        </w:rPr>
      </w:pPr>
      <w:r w:rsidRPr="00C84483">
        <w:rPr>
          <w:b w:val="0"/>
          <w:szCs w:val="24"/>
          <w:lang w:eastAsia="en-US"/>
        </w:rPr>
        <w:tab/>
      </w:r>
      <w:r w:rsidR="00743E33" w:rsidRPr="00FB2733">
        <w:rPr>
          <w:szCs w:val="24"/>
        </w:rPr>
        <w:t>8. september 2023</w:t>
      </w:r>
    </w:p>
    <w:p w14:paraId="376AB807" w14:textId="77777777" w:rsidR="009260DE" w:rsidRPr="00FB2733" w:rsidRDefault="009260DE" w:rsidP="00412B94">
      <w:pPr>
        <w:pStyle w:val="Titel"/>
        <w:tabs>
          <w:tab w:val="left" w:pos="8222"/>
        </w:tabs>
        <w:jc w:val="left"/>
        <w:rPr>
          <w:b w:val="0"/>
          <w:szCs w:val="24"/>
        </w:rPr>
      </w:pPr>
    </w:p>
    <w:p w14:paraId="1048514F" w14:textId="77777777" w:rsidR="009260DE" w:rsidRPr="00FB2733" w:rsidRDefault="009260DE" w:rsidP="00412B94">
      <w:pPr>
        <w:pStyle w:val="Titel"/>
        <w:jc w:val="left"/>
        <w:rPr>
          <w:b w:val="0"/>
          <w:szCs w:val="24"/>
        </w:rPr>
      </w:pPr>
    </w:p>
    <w:p w14:paraId="4163F35B" w14:textId="77777777" w:rsidR="009260DE" w:rsidRPr="00743E33" w:rsidRDefault="009260DE" w:rsidP="00412B94">
      <w:pPr>
        <w:jc w:val="center"/>
        <w:rPr>
          <w:b/>
          <w:sz w:val="24"/>
          <w:szCs w:val="24"/>
        </w:rPr>
      </w:pPr>
      <w:r w:rsidRPr="00743E33">
        <w:rPr>
          <w:b/>
          <w:sz w:val="24"/>
          <w:szCs w:val="24"/>
        </w:rPr>
        <w:t>PRODUKTRESUMÉ</w:t>
      </w:r>
    </w:p>
    <w:p w14:paraId="327BB19E" w14:textId="77777777" w:rsidR="009260DE" w:rsidRPr="00743E33" w:rsidRDefault="009260DE" w:rsidP="00412B94">
      <w:pPr>
        <w:jc w:val="center"/>
        <w:rPr>
          <w:b/>
          <w:sz w:val="24"/>
          <w:szCs w:val="24"/>
        </w:rPr>
      </w:pPr>
    </w:p>
    <w:p w14:paraId="4E59BFC8" w14:textId="77777777" w:rsidR="009260DE" w:rsidRPr="00743E33" w:rsidRDefault="009260DE" w:rsidP="00412B94">
      <w:pPr>
        <w:jc w:val="center"/>
        <w:rPr>
          <w:b/>
          <w:sz w:val="24"/>
          <w:szCs w:val="24"/>
        </w:rPr>
      </w:pPr>
      <w:r w:rsidRPr="00743E33">
        <w:rPr>
          <w:b/>
          <w:sz w:val="24"/>
          <w:szCs w:val="24"/>
        </w:rPr>
        <w:t>for</w:t>
      </w:r>
    </w:p>
    <w:p w14:paraId="641F3D23" w14:textId="77777777" w:rsidR="000B058C" w:rsidRPr="00743E33" w:rsidRDefault="000B058C" w:rsidP="00412B94">
      <w:pPr>
        <w:jc w:val="center"/>
        <w:rPr>
          <w:b/>
          <w:sz w:val="24"/>
          <w:szCs w:val="24"/>
        </w:rPr>
      </w:pPr>
    </w:p>
    <w:p w14:paraId="1D794D9F" w14:textId="69C934F5" w:rsidR="009260DE" w:rsidRPr="00743E33" w:rsidRDefault="001D7DE6" w:rsidP="00412B94">
      <w:pPr>
        <w:jc w:val="center"/>
        <w:rPr>
          <w:b/>
          <w:sz w:val="24"/>
          <w:szCs w:val="24"/>
        </w:rPr>
      </w:pPr>
      <w:r w:rsidRPr="00743E33">
        <w:rPr>
          <w:b/>
          <w:sz w:val="24"/>
          <w:szCs w:val="24"/>
        </w:rPr>
        <w:t xml:space="preserve">Droperidol "Sintetica", </w:t>
      </w:r>
      <w:r w:rsidR="00484922" w:rsidRPr="00743E33">
        <w:rPr>
          <w:b/>
          <w:sz w:val="24"/>
          <w:szCs w:val="24"/>
        </w:rPr>
        <w:t>injektionsvæske, opløsning</w:t>
      </w:r>
    </w:p>
    <w:p w14:paraId="51A38170" w14:textId="77777777" w:rsidR="009260DE" w:rsidRPr="00743E33" w:rsidRDefault="009260DE" w:rsidP="00412B94">
      <w:pPr>
        <w:jc w:val="both"/>
        <w:rPr>
          <w:sz w:val="24"/>
          <w:szCs w:val="24"/>
        </w:rPr>
      </w:pPr>
    </w:p>
    <w:p w14:paraId="08A973C4" w14:textId="77777777" w:rsidR="009260DE" w:rsidRPr="00743E33" w:rsidRDefault="009260DE" w:rsidP="00412B94">
      <w:pPr>
        <w:jc w:val="both"/>
        <w:rPr>
          <w:sz w:val="24"/>
          <w:szCs w:val="24"/>
        </w:rPr>
      </w:pPr>
    </w:p>
    <w:p w14:paraId="67CAE404" w14:textId="77777777" w:rsidR="009260DE" w:rsidRPr="00743E33" w:rsidRDefault="009260DE" w:rsidP="00412B94">
      <w:pPr>
        <w:tabs>
          <w:tab w:val="left" w:pos="851"/>
        </w:tabs>
        <w:ind w:left="851" w:hanging="851"/>
        <w:rPr>
          <w:b/>
          <w:sz w:val="24"/>
          <w:szCs w:val="24"/>
        </w:rPr>
      </w:pPr>
      <w:r w:rsidRPr="00743E33">
        <w:rPr>
          <w:b/>
          <w:sz w:val="24"/>
          <w:szCs w:val="24"/>
        </w:rPr>
        <w:t>0.</w:t>
      </w:r>
      <w:r w:rsidRPr="00743E33">
        <w:rPr>
          <w:b/>
          <w:sz w:val="24"/>
          <w:szCs w:val="24"/>
        </w:rPr>
        <w:tab/>
        <w:t>D.SP.NR.</w:t>
      </w:r>
    </w:p>
    <w:p w14:paraId="6D9A6809" w14:textId="24BB623D" w:rsidR="009260DE" w:rsidRPr="00C84483" w:rsidRDefault="00C504C8" w:rsidP="00412B94">
      <w:pPr>
        <w:tabs>
          <w:tab w:val="left" w:pos="851"/>
        </w:tabs>
        <w:ind w:left="851"/>
        <w:rPr>
          <w:sz w:val="24"/>
          <w:szCs w:val="24"/>
        </w:rPr>
      </w:pPr>
      <w:r>
        <w:rPr>
          <w:sz w:val="24"/>
          <w:szCs w:val="24"/>
        </w:rPr>
        <w:t>32848</w:t>
      </w:r>
    </w:p>
    <w:p w14:paraId="57960167" w14:textId="77777777" w:rsidR="009260DE" w:rsidRPr="00C84483" w:rsidRDefault="009260DE" w:rsidP="00412B94">
      <w:pPr>
        <w:tabs>
          <w:tab w:val="left" w:pos="851"/>
        </w:tabs>
        <w:ind w:left="851"/>
        <w:rPr>
          <w:sz w:val="24"/>
          <w:szCs w:val="24"/>
        </w:rPr>
      </w:pPr>
    </w:p>
    <w:p w14:paraId="30C0A80E" w14:textId="77777777" w:rsidR="009260DE" w:rsidRPr="00C84483" w:rsidRDefault="009260DE" w:rsidP="00412B94">
      <w:pPr>
        <w:tabs>
          <w:tab w:val="left" w:pos="851"/>
        </w:tabs>
        <w:ind w:left="851" w:hanging="851"/>
        <w:rPr>
          <w:b/>
          <w:sz w:val="24"/>
          <w:szCs w:val="24"/>
        </w:rPr>
      </w:pPr>
      <w:r w:rsidRPr="00C84483">
        <w:rPr>
          <w:b/>
          <w:sz w:val="24"/>
          <w:szCs w:val="24"/>
        </w:rPr>
        <w:t>1.</w:t>
      </w:r>
      <w:r w:rsidRPr="00C84483">
        <w:rPr>
          <w:b/>
          <w:sz w:val="24"/>
          <w:szCs w:val="24"/>
        </w:rPr>
        <w:tab/>
        <w:t>LÆGEMIDLETS NAVN</w:t>
      </w:r>
    </w:p>
    <w:p w14:paraId="69FC008B" w14:textId="5FEC45F0" w:rsidR="009260DE" w:rsidRPr="00C84483" w:rsidRDefault="006C2504" w:rsidP="00412B94">
      <w:pPr>
        <w:tabs>
          <w:tab w:val="left" w:pos="851"/>
        </w:tabs>
        <w:ind w:left="851"/>
        <w:rPr>
          <w:sz w:val="24"/>
          <w:szCs w:val="24"/>
        </w:rPr>
      </w:pPr>
      <w:r>
        <w:rPr>
          <w:sz w:val="24"/>
          <w:szCs w:val="24"/>
        </w:rPr>
        <w:t>Droperidol "Sintetica"</w:t>
      </w:r>
    </w:p>
    <w:p w14:paraId="03ADBE13" w14:textId="77777777" w:rsidR="009260DE" w:rsidRPr="00C84483" w:rsidRDefault="009260DE" w:rsidP="00412B94">
      <w:pPr>
        <w:tabs>
          <w:tab w:val="left" w:pos="851"/>
        </w:tabs>
        <w:ind w:left="851"/>
        <w:rPr>
          <w:sz w:val="24"/>
          <w:szCs w:val="24"/>
        </w:rPr>
      </w:pPr>
    </w:p>
    <w:p w14:paraId="3B618FC2" w14:textId="77777777" w:rsidR="009260DE" w:rsidRPr="00C84483" w:rsidRDefault="009260DE" w:rsidP="00412B9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FB6903E" w14:textId="1AA3C742" w:rsidR="006C2504" w:rsidRDefault="006C2504" w:rsidP="00412B94">
      <w:pPr>
        <w:tabs>
          <w:tab w:val="left" w:pos="851"/>
        </w:tabs>
        <w:ind w:left="851"/>
        <w:rPr>
          <w:sz w:val="24"/>
          <w:szCs w:val="24"/>
        </w:rPr>
      </w:pPr>
      <w:r w:rsidRPr="006C2504">
        <w:rPr>
          <w:sz w:val="24"/>
          <w:szCs w:val="24"/>
        </w:rPr>
        <w:t>Hver milliliter opløsning indeholder 0,5 mg droperidol (1,25 mg/2,5 ml).</w:t>
      </w:r>
    </w:p>
    <w:p w14:paraId="181FDC76" w14:textId="77777777" w:rsidR="006C2504" w:rsidRPr="006C2504" w:rsidRDefault="006C2504" w:rsidP="00412B94">
      <w:pPr>
        <w:tabs>
          <w:tab w:val="left" w:pos="851"/>
        </w:tabs>
        <w:ind w:left="851"/>
        <w:rPr>
          <w:sz w:val="24"/>
          <w:szCs w:val="24"/>
        </w:rPr>
      </w:pPr>
    </w:p>
    <w:p w14:paraId="1C91D253" w14:textId="77777777" w:rsidR="006C2504" w:rsidRPr="006C2504" w:rsidRDefault="006C2504" w:rsidP="00412B94">
      <w:pPr>
        <w:tabs>
          <w:tab w:val="left" w:pos="851"/>
        </w:tabs>
        <w:ind w:left="851"/>
        <w:rPr>
          <w:sz w:val="24"/>
          <w:szCs w:val="24"/>
        </w:rPr>
      </w:pPr>
      <w:r w:rsidRPr="006C2504">
        <w:rPr>
          <w:sz w:val="24"/>
          <w:szCs w:val="24"/>
        </w:rPr>
        <w:t xml:space="preserve">Alle hjælpestoffer er anført under pkt. 6.1. </w:t>
      </w:r>
    </w:p>
    <w:p w14:paraId="06409DDD" w14:textId="77777777" w:rsidR="009260DE" w:rsidRPr="00C84483" w:rsidRDefault="009260DE" w:rsidP="00412B94">
      <w:pPr>
        <w:tabs>
          <w:tab w:val="left" w:pos="851"/>
        </w:tabs>
        <w:ind w:left="851"/>
        <w:rPr>
          <w:sz w:val="24"/>
          <w:szCs w:val="24"/>
        </w:rPr>
      </w:pPr>
    </w:p>
    <w:p w14:paraId="77F4E865" w14:textId="77777777" w:rsidR="009260DE" w:rsidRPr="00C84483" w:rsidRDefault="009260DE" w:rsidP="00412B94">
      <w:pPr>
        <w:tabs>
          <w:tab w:val="left" w:pos="851"/>
        </w:tabs>
        <w:ind w:left="851" w:hanging="851"/>
        <w:rPr>
          <w:b/>
          <w:sz w:val="24"/>
          <w:szCs w:val="24"/>
        </w:rPr>
      </w:pPr>
      <w:r w:rsidRPr="00C84483">
        <w:rPr>
          <w:b/>
          <w:sz w:val="24"/>
          <w:szCs w:val="24"/>
        </w:rPr>
        <w:t>3.</w:t>
      </w:r>
      <w:r w:rsidRPr="00C84483">
        <w:rPr>
          <w:b/>
          <w:sz w:val="24"/>
          <w:szCs w:val="24"/>
        </w:rPr>
        <w:tab/>
        <w:t>LÆGEMIDDELFORM</w:t>
      </w:r>
    </w:p>
    <w:p w14:paraId="43479E9A" w14:textId="76237796" w:rsidR="006C2504" w:rsidRDefault="006C2504" w:rsidP="00412B94">
      <w:pPr>
        <w:tabs>
          <w:tab w:val="left" w:pos="851"/>
        </w:tabs>
        <w:ind w:left="851"/>
        <w:rPr>
          <w:sz w:val="24"/>
          <w:szCs w:val="24"/>
        </w:rPr>
      </w:pPr>
      <w:r w:rsidRPr="006C2504">
        <w:rPr>
          <w:sz w:val="24"/>
          <w:szCs w:val="24"/>
        </w:rPr>
        <w:t>Injektionsvæske, opløsning</w:t>
      </w:r>
    </w:p>
    <w:p w14:paraId="49AFA942" w14:textId="77777777" w:rsidR="006C2504" w:rsidRPr="006C2504" w:rsidRDefault="006C2504" w:rsidP="00412B94">
      <w:pPr>
        <w:tabs>
          <w:tab w:val="left" w:pos="851"/>
        </w:tabs>
        <w:ind w:left="851"/>
        <w:rPr>
          <w:sz w:val="24"/>
          <w:szCs w:val="24"/>
        </w:rPr>
      </w:pPr>
    </w:p>
    <w:p w14:paraId="2D9C59EE" w14:textId="72FD14E0" w:rsidR="006C2504" w:rsidRPr="006C2504" w:rsidRDefault="006C2504" w:rsidP="00412B94">
      <w:pPr>
        <w:tabs>
          <w:tab w:val="left" w:pos="851"/>
        </w:tabs>
        <w:ind w:left="851"/>
        <w:rPr>
          <w:sz w:val="24"/>
          <w:szCs w:val="24"/>
        </w:rPr>
      </w:pPr>
      <w:r w:rsidRPr="006C2504">
        <w:rPr>
          <w:sz w:val="24"/>
          <w:szCs w:val="24"/>
        </w:rPr>
        <w:t>Klar</w:t>
      </w:r>
      <w:r>
        <w:rPr>
          <w:sz w:val="24"/>
          <w:szCs w:val="24"/>
        </w:rPr>
        <w:t>,</w:t>
      </w:r>
      <w:r w:rsidRPr="006C2504">
        <w:rPr>
          <w:sz w:val="24"/>
          <w:szCs w:val="24"/>
        </w:rPr>
        <w:t xml:space="preserve"> farveløs opløsning uden synlige partikler. </w:t>
      </w:r>
    </w:p>
    <w:p w14:paraId="6232CD16" w14:textId="465159BB" w:rsidR="006C2504" w:rsidRPr="006C2504" w:rsidRDefault="006C2504" w:rsidP="00412B94">
      <w:pPr>
        <w:tabs>
          <w:tab w:val="left" w:pos="851"/>
        </w:tabs>
        <w:ind w:left="851"/>
        <w:rPr>
          <w:sz w:val="24"/>
          <w:szCs w:val="24"/>
        </w:rPr>
      </w:pPr>
      <w:r w:rsidRPr="006C2504">
        <w:rPr>
          <w:sz w:val="24"/>
          <w:szCs w:val="24"/>
        </w:rPr>
        <w:t>pH: 3,0</w:t>
      </w:r>
      <w:r>
        <w:rPr>
          <w:sz w:val="24"/>
          <w:szCs w:val="24"/>
        </w:rPr>
        <w:t>-</w:t>
      </w:r>
      <w:r w:rsidRPr="006C2504">
        <w:rPr>
          <w:sz w:val="24"/>
          <w:szCs w:val="24"/>
        </w:rPr>
        <w:t>3,8</w:t>
      </w:r>
      <w:r>
        <w:rPr>
          <w:sz w:val="24"/>
          <w:szCs w:val="24"/>
        </w:rPr>
        <w:t>.</w:t>
      </w:r>
      <w:r w:rsidRPr="006C2504">
        <w:rPr>
          <w:sz w:val="24"/>
          <w:szCs w:val="24"/>
        </w:rPr>
        <w:t xml:space="preserve"> </w:t>
      </w:r>
    </w:p>
    <w:p w14:paraId="37228F15" w14:textId="77777777" w:rsidR="009260DE" w:rsidRPr="00C84483" w:rsidRDefault="009260DE" w:rsidP="00412B94">
      <w:pPr>
        <w:tabs>
          <w:tab w:val="left" w:pos="851"/>
        </w:tabs>
        <w:ind w:left="851"/>
        <w:rPr>
          <w:sz w:val="24"/>
          <w:szCs w:val="24"/>
        </w:rPr>
      </w:pPr>
    </w:p>
    <w:p w14:paraId="43D7DE50" w14:textId="77777777" w:rsidR="009260DE" w:rsidRPr="00C84483" w:rsidRDefault="009260DE" w:rsidP="00412B94">
      <w:pPr>
        <w:tabs>
          <w:tab w:val="left" w:pos="851"/>
        </w:tabs>
        <w:ind w:left="851"/>
        <w:rPr>
          <w:sz w:val="24"/>
          <w:szCs w:val="24"/>
        </w:rPr>
      </w:pPr>
    </w:p>
    <w:p w14:paraId="4B787A0E" w14:textId="77777777" w:rsidR="009260DE" w:rsidRPr="00C84483" w:rsidRDefault="009260DE" w:rsidP="00412B94">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7EF4081" w14:textId="77777777" w:rsidR="009260DE" w:rsidRPr="00C84483" w:rsidRDefault="009260DE" w:rsidP="00412B94">
      <w:pPr>
        <w:tabs>
          <w:tab w:val="left" w:pos="851"/>
        </w:tabs>
        <w:ind w:left="851"/>
        <w:rPr>
          <w:b/>
          <w:sz w:val="24"/>
          <w:szCs w:val="24"/>
        </w:rPr>
      </w:pPr>
    </w:p>
    <w:p w14:paraId="608A7166" w14:textId="77777777" w:rsidR="009260DE" w:rsidRPr="00C84483" w:rsidRDefault="009260DE" w:rsidP="00412B9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744C2CC" w14:textId="77777777" w:rsidR="006C2504" w:rsidRPr="006C2504" w:rsidRDefault="006C2504" w:rsidP="00412B94">
      <w:pPr>
        <w:numPr>
          <w:ilvl w:val="0"/>
          <w:numId w:val="6"/>
        </w:numPr>
        <w:tabs>
          <w:tab w:val="left" w:pos="1134"/>
        </w:tabs>
        <w:ind w:left="1134" w:hanging="283"/>
        <w:rPr>
          <w:sz w:val="24"/>
          <w:szCs w:val="24"/>
        </w:rPr>
      </w:pPr>
      <w:r w:rsidRPr="006C2504">
        <w:rPr>
          <w:sz w:val="24"/>
          <w:szCs w:val="24"/>
        </w:rPr>
        <w:t xml:space="preserve">Forebyggelse og behandling af postoperativ kvalme og opkastning (PONV) hos voksne og, som andenlinjebehandling, hos børn (2 til 11 år) og unge (12 til 18 år). </w:t>
      </w:r>
    </w:p>
    <w:p w14:paraId="53F20C3C" w14:textId="77777777" w:rsidR="006C2504" w:rsidRPr="006C2504" w:rsidRDefault="006C2504" w:rsidP="00412B94">
      <w:pPr>
        <w:numPr>
          <w:ilvl w:val="0"/>
          <w:numId w:val="6"/>
        </w:numPr>
        <w:tabs>
          <w:tab w:val="left" w:pos="1134"/>
        </w:tabs>
        <w:ind w:left="1134" w:hanging="283"/>
        <w:rPr>
          <w:sz w:val="24"/>
          <w:szCs w:val="24"/>
        </w:rPr>
      </w:pPr>
      <w:r w:rsidRPr="006C2504">
        <w:rPr>
          <w:sz w:val="24"/>
          <w:szCs w:val="24"/>
        </w:rPr>
        <w:t xml:space="preserve">Forebyggelse af kvalme og opkastning induceret af morfin og derivater under postoperativ patientstyret analgesi (PCA) hos voksne. </w:t>
      </w:r>
    </w:p>
    <w:p w14:paraId="07CC4ADE" w14:textId="77777777" w:rsidR="006C2504" w:rsidRPr="006C2504" w:rsidRDefault="006C2504" w:rsidP="00412B94">
      <w:pPr>
        <w:tabs>
          <w:tab w:val="left" w:pos="851"/>
        </w:tabs>
        <w:ind w:left="851"/>
        <w:rPr>
          <w:sz w:val="24"/>
          <w:szCs w:val="24"/>
        </w:rPr>
      </w:pPr>
      <w:r w:rsidRPr="006C2504">
        <w:rPr>
          <w:sz w:val="24"/>
          <w:szCs w:val="24"/>
        </w:rPr>
        <w:t xml:space="preserve">Der skal træffes visse forholdsregler ved administration af droperidol: Se pkt. 4.2, 4.3 og 4.4. </w:t>
      </w:r>
    </w:p>
    <w:p w14:paraId="74734043" w14:textId="77777777" w:rsidR="009260DE" w:rsidRPr="00C84483" w:rsidRDefault="009260DE" w:rsidP="00412B94">
      <w:pPr>
        <w:tabs>
          <w:tab w:val="left" w:pos="851"/>
        </w:tabs>
        <w:ind w:left="851"/>
        <w:rPr>
          <w:sz w:val="24"/>
          <w:szCs w:val="24"/>
        </w:rPr>
      </w:pPr>
    </w:p>
    <w:p w14:paraId="04754C6B" w14:textId="77777777" w:rsidR="009260DE" w:rsidRPr="00C84483" w:rsidRDefault="009260DE" w:rsidP="00412B9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8A02F85" w14:textId="77777777" w:rsidR="00E6168D" w:rsidRDefault="00E6168D" w:rsidP="00412B94">
      <w:pPr>
        <w:tabs>
          <w:tab w:val="left" w:pos="851"/>
        </w:tabs>
        <w:ind w:left="851"/>
        <w:rPr>
          <w:b/>
          <w:i/>
          <w:sz w:val="24"/>
          <w:szCs w:val="24"/>
        </w:rPr>
      </w:pPr>
    </w:p>
    <w:p w14:paraId="6318D774" w14:textId="56893417" w:rsidR="00286F13" w:rsidRPr="00E6168D" w:rsidRDefault="00286F13" w:rsidP="00412B94">
      <w:pPr>
        <w:tabs>
          <w:tab w:val="left" w:pos="851"/>
        </w:tabs>
        <w:ind w:left="851"/>
        <w:rPr>
          <w:b/>
          <w:bCs/>
          <w:iCs/>
          <w:sz w:val="24"/>
          <w:szCs w:val="24"/>
        </w:rPr>
      </w:pPr>
      <w:r w:rsidRPr="00E6168D">
        <w:rPr>
          <w:b/>
          <w:sz w:val="24"/>
          <w:szCs w:val="24"/>
        </w:rPr>
        <w:t>Dosering</w:t>
      </w:r>
    </w:p>
    <w:p w14:paraId="4E03951D" w14:textId="77777777" w:rsidR="00E6168D" w:rsidRDefault="00E6168D" w:rsidP="00412B94">
      <w:pPr>
        <w:tabs>
          <w:tab w:val="left" w:pos="851"/>
        </w:tabs>
        <w:ind w:left="851"/>
        <w:rPr>
          <w:sz w:val="24"/>
          <w:szCs w:val="24"/>
          <w:u w:val="single"/>
        </w:rPr>
      </w:pPr>
    </w:p>
    <w:p w14:paraId="4B0E68AA" w14:textId="5E29D018" w:rsidR="00286F13" w:rsidRPr="00286F13" w:rsidRDefault="00286F13" w:rsidP="00412B94">
      <w:pPr>
        <w:tabs>
          <w:tab w:val="left" w:pos="851"/>
        </w:tabs>
        <w:ind w:left="851"/>
        <w:rPr>
          <w:sz w:val="24"/>
          <w:szCs w:val="24"/>
        </w:rPr>
      </w:pPr>
      <w:r w:rsidRPr="00286F13">
        <w:rPr>
          <w:sz w:val="24"/>
          <w:szCs w:val="24"/>
          <w:u w:val="single"/>
        </w:rPr>
        <w:t>Forebyggelse og behandling af postoperativ kvalme og opkastning (PONV)</w:t>
      </w:r>
    </w:p>
    <w:p w14:paraId="12183333" w14:textId="77777777" w:rsidR="00E6168D" w:rsidRDefault="00E6168D" w:rsidP="00412B94">
      <w:pPr>
        <w:tabs>
          <w:tab w:val="left" w:pos="851"/>
        </w:tabs>
        <w:ind w:left="851"/>
        <w:rPr>
          <w:i/>
          <w:sz w:val="24"/>
          <w:szCs w:val="24"/>
        </w:rPr>
      </w:pPr>
    </w:p>
    <w:p w14:paraId="02D20E57" w14:textId="78258ABE" w:rsidR="00286F13" w:rsidRPr="00286F13" w:rsidRDefault="00286F13" w:rsidP="00412B94">
      <w:pPr>
        <w:tabs>
          <w:tab w:val="left" w:pos="851"/>
        </w:tabs>
        <w:ind w:left="851"/>
        <w:rPr>
          <w:sz w:val="24"/>
          <w:szCs w:val="24"/>
        </w:rPr>
      </w:pPr>
      <w:r w:rsidRPr="00286F13">
        <w:rPr>
          <w:i/>
          <w:sz w:val="24"/>
          <w:szCs w:val="24"/>
        </w:rPr>
        <w:t xml:space="preserve">Voksne: </w:t>
      </w:r>
      <w:r w:rsidRPr="00286F13">
        <w:rPr>
          <w:sz w:val="24"/>
          <w:szCs w:val="24"/>
        </w:rPr>
        <w:t>0,625 mg til 1,25 mg (1,25 til 2,5 ml).</w:t>
      </w:r>
    </w:p>
    <w:p w14:paraId="4F7CC525" w14:textId="3513E2B9" w:rsidR="00286F13" w:rsidRDefault="00286F13" w:rsidP="00412B94">
      <w:pPr>
        <w:tabs>
          <w:tab w:val="left" w:pos="851"/>
        </w:tabs>
        <w:ind w:left="851"/>
        <w:rPr>
          <w:sz w:val="24"/>
          <w:szCs w:val="24"/>
        </w:rPr>
      </w:pPr>
      <w:r w:rsidRPr="00286F13">
        <w:rPr>
          <w:i/>
          <w:sz w:val="24"/>
          <w:szCs w:val="24"/>
        </w:rPr>
        <w:lastRenderedPageBreak/>
        <w:t xml:space="preserve">Ældre (over 65 år): </w:t>
      </w:r>
      <w:r w:rsidRPr="00286F13">
        <w:rPr>
          <w:sz w:val="24"/>
          <w:szCs w:val="24"/>
        </w:rPr>
        <w:t>0,625 mg (1,25 ml).</w:t>
      </w:r>
    </w:p>
    <w:p w14:paraId="56EDB42A" w14:textId="77777777" w:rsidR="00E6168D" w:rsidRPr="00286F13" w:rsidRDefault="00E6168D" w:rsidP="00412B94">
      <w:pPr>
        <w:tabs>
          <w:tab w:val="left" w:pos="851"/>
        </w:tabs>
        <w:ind w:left="851"/>
        <w:rPr>
          <w:sz w:val="24"/>
          <w:szCs w:val="24"/>
        </w:rPr>
      </w:pPr>
    </w:p>
    <w:p w14:paraId="00A3F65D" w14:textId="5FC4EA1A" w:rsidR="00286F13" w:rsidRDefault="00286F13" w:rsidP="00412B94">
      <w:pPr>
        <w:tabs>
          <w:tab w:val="left" w:pos="851"/>
        </w:tabs>
        <w:ind w:left="851"/>
        <w:rPr>
          <w:sz w:val="24"/>
          <w:szCs w:val="24"/>
        </w:rPr>
      </w:pPr>
      <w:r w:rsidRPr="00286F13">
        <w:rPr>
          <w:i/>
          <w:sz w:val="24"/>
          <w:szCs w:val="24"/>
        </w:rPr>
        <w:t xml:space="preserve">Nedsat nyre-/leverfunktion: </w:t>
      </w:r>
      <w:r w:rsidRPr="00286F13">
        <w:rPr>
          <w:sz w:val="24"/>
          <w:szCs w:val="24"/>
        </w:rPr>
        <w:t>0,625 mg (1,25 ml).</w:t>
      </w:r>
    </w:p>
    <w:p w14:paraId="2055C508" w14:textId="77777777" w:rsidR="00E6168D" w:rsidRPr="00286F13" w:rsidRDefault="00E6168D" w:rsidP="00412B94">
      <w:pPr>
        <w:tabs>
          <w:tab w:val="left" w:pos="851"/>
        </w:tabs>
        <w:ind w:left="851"/>
        <w:rPr>
          <w:sz w:val="24"/>
          <w:szCs w:val="24"/>
        </w:rPr>
      </w:pPr>
    </w:p>
    <w:p w14:paraId="2D2EF0B4" w14:textId="16A38688" w:rsidR="00286F13" w:rsidRDefault="00286F13" w:rsidP="00412B94">
      <w:pPr>
        <w:tabs>
          <w:tab w:val="left" w:pos="851"/>
        </w:tabs>
        <w:ind w:left="851"/>
        <w:rPr>
          <w:sz w:val="24"/>
          <w:szCs w:val="24"/>
        </w:rPr>
      </w:pPr>
      <w:r w:rsidRPr="00286F13">
        <w:rPr>
          <w:i/>
          <w:sz w:val="24"/>
          <w:szCs w:val="24"/>
        </w:rPr>
        <w:t xml:space="preserve">Børn (2 til 11 år) og unge (12 til 18 år): </w:t>
      </w:r>
      <w:r w:rsidRPr="00286F13">
        <w:rPr>
          <w:sz w:val="24"/>
          <w:szCs w:val="24"/>
        </w:rPr>
        <w:t>10 til 50 mikrogram/kg (op til maksimalt 1,25 mg).</w:t>
      </w:r>
    </w:p>
    <w:p w14:paraId="1A6CC98E" w14:textId="77777777" w:rsidR="00ED5AD2" w:rsidRPr="00286F13" w:rsidRDefault="00ED5AD2" w:rsidP="00412B94">
      <w:pPr>
        <w:tabs>
          <w:tab w:val="left" w:pos="851"/>
        </w:tabs>
        <w:ind w:left="851"/>
        <w:rPr>
          <w:sz w:val="24"/>
          <w:szCs w:val="24"/>
        </w:rPr>
      </w:pPr>
    </w:p>
    <w:p w14:paraId="7CD4F597" w14:textId="40B3370C" w:rsidR="00286F13" w:rsidRDefault="00286F13" w:rsidP="00412B94">
      <w:pPr>
        <w:tabs>
          <w:tab w:val="left" w:pos="851"/>
        </w:tabs>
        <w:ind w:left="851"/>
        <w:rPr>
          <w:sz w:val="24"/>
          <w:szCs w:val="24"/>
        </w:rPr>
      </w:pPr>
      <w:r w:rsidRPr="00286F13">
        <w:rPr>
          <w:i/>
          <w:sz w:val="24"/>
          <w:szCs w:val="24"/>
        </w:rPr>
        <w:t xml:space="preserve">Børn (under 2 år): </w:t>
      </w:r>
      <w:r w:rsidR="00ED5AD2">
        <w:rPr>
          <w:sz w:val="24"/>
          <w:szCs w:val="24"/>
        </w:rPr>
        <w:t>A</w:t>
      </w:r>
      <w:r w:rsidRPr="00286F13">
        <w:rPr>
          <w:sz w:val="24"/>
          <w:szCs w:val="24"/>
        </w:rPr>
        <w:t>nbefales ikke.</w:t>
      </w:r>
    </w:p>
    <w:p w14:paraId="36539AE8" w14:textId="77777777" w:rsidR="00ED5AD2" w:rsidRPr="00ED5AD2" w:rsidRDefault="00ED5AD2" w:rsidP="00412B94">
      <w:pPr>
        <w:tabs>
          <w:tab w:val="left" w:pos="851"/>
        </w:tabs>
        <w:ind w:left="851"/>
        <w:rPr>
          <w:sz w:val="24"/>
          <w:szCs w:val="24"/>
        </w:rPr>
      </w:pPr>
    </w:p>
    <w:p w14:paraId="10DEA326" w14:textId="77777777" w:rsidR="00286F13" w:rsidRPr="00286F13" w:rsidRDefault="00286F13" w:rsidP="00412B94">
      <w:pPr>
        <w:tabs>
          <w:tab w:val="left" w:pos="851"/>
        </w:tabs>
        <w:ind w:left="851"/>
        <w:rPr>
          <w:sz w:val="24"/>
          <w:szCs w:val="24"/>
        </w:rPr>
      </w:pPr>
      <w:r w:rsidRPr="00286F13">
        <w:rPr>
          <w:sz w:val="24"/>
          <w:szCs w:val="24"/>
        </w:rPr>
        <w:t xml:space="preserve">Til forebyggelse af PONV er antiemetika indiceret til patienter med moderat og høj risiko. Risikoen skal vurderes ved hjælp af accepterede standardskalaer eller -scorer som eksempelvis modificeret APFEL-score. </w:t>
      </w:r>
    </w:p>
    <w:p w14:paraId="48259948" w14:textId="14C7A7CF" w:rsidR="00286F13" w:rsidRPr="00286F13" w:rsidRDefault="00286F13" w:rsidP="00412B94">
      <w:pPr>
        <w:tabs>
          <w:tab w:val="left" w:pos="851"/>
        </w:tabs>
        <w:ind w:left="851"/>
        <w:rPr>
          <w:sz w:val="24"/>
          <w:szCs w:val="24"/>
        </w:rPr>
      </w:pPr>
      <w:r w:rsidRPr="00286F13">
        <w:rPr>
          <w:sz w:val="24"/>
          <w:szCs w:val="24"/>
        </w:rPr>
        <w:t xml:space="preserve">Administration af </w:t>
      </w:r>
      <w:r w:rsidR="004B423C">
        <w:rPr>
          <w:sz w:val="24"/>
          <w:szCs w:val="24"/>
        </w:rPr>
        <w:t>Droperidol "Sintetica"</w:t>
      </w:r>
      <w:r w:rsidRPr="00286F13">
        <w:rPr>
          <w:sz w:val="24"/>
          <w:szCs w:val="24"/>
        </w:rPr>
        <w:t xml:space="preserve"> anbefales 30 minutter før, operationen forventes afsluttet. Gentagen dosering kan gives hver 6. time efter behov.</w:t>
      </w:r>
    </w:p>
    <w:p w14:paraId="65764D00" w14:textId="77777777" w:rsidR="00286F13" w:rsidRPr="00286F13" w:rsidRDefault="00286F13" w:rsidP="00412B94">
      <w:pPr>
        <w:tabs>
          <w:tab w:val="left" w:pos="851"/>
        </w:tabs>
        <w:ind w:left="851"/>
        <w:rPr>
          <w:sz w:val="24"/>
          <w:szCs w:val="24"/>
        </w:rPr>
      </w:pPr>
      <w:r w:rsidRPr="00286F13">
        <w:rPr>
          <w:sz w:val="24"/>
          <w:szCs w:val="24"/>
        </w:rPr>
        <w:t xml:space="preserve">Hos voksne kan forebyggelse af tidlig opkastning og sen kvalme forbedres med doser over 0,75 mg, som dog ikke må overstige 1,25 mg. </w:t>
      </w:r>
    </w:p>
    <w:p w14:paraId="0674DDC8" w14:textId="5073061A" w:rsidR="00286F13" w:rsidRDefault="00286F13" w:rsidP="00412B94">
      <w:pPr>
        <w:tabs>
          <w:tab w:val="left" w:pos="851"/>
        </w:tabs>
        <w:ind w:left="851"/>
        <w:rPr>
          <w:sz w:val="24"/>
          <w:szCs w:val="24"/>
        </w:rPr>
      </w:pPr>
      <w:r w:rsidRPr="00286F13">
        <w:rPr>
          <w:sz w:val="24"/>
          <w:szCs w:val="24"/>
        </w:rPr>
        <w:t>Hos voksne og børn er højere doser forbundet med en øget risiko for sedation og døsighed.</w:t>
      </w:r>
    </w:p>
    <w:p w14:paraId="67BDE890" w14:textId="77777777" w:rsidR="00ED5AD2" w:rsidRPr="00286F13" w:rsidRDefault="00ED5AD2" w:rsidP="00412B94">
      <w:pPr>
        <w:tabs>
          <w:tab w:val="left" w:pos="851"/>
        </w:tabs>
        <w:ind w:left="851"/>
        <w:rPr>
          <w:sz w:val="24"/>
          <w:szCs w:val="24"/>
        </w:rPr>
      </w:pPr>
    </w:p>
    <w:p w14:paraId="4C6D00E5" w14:textId="6DA72966" w:rsidR="00286F13" w:rsidRDefault="00286F13" w:rsidP="00412B94">
      <w:pPr>
        <w:tabs>
          <w:tab w:val="left" w:pos="851"/>
        </w:tabs>
        <w:ind w:left="851"/>
        <w:rPr>
          <w:sz w:val="24"/>
          <w:szCs w:val="24"/>
          <w:u w:val="single"/>
        </w:rPr>
      </w:pPr>
      <w:r w:rsidRPr="00286F13">
        <w:rPr>
          <w:sz w:val="24"/>
          <w:szCs w:val="24"/>
          <w:u w:val="single"/>
        </w:rPr>
        <w:t>Forebyggelse af kvalme og opkastning induceret af morfin og derivater under postoperativ patientstyret analgesi (PCA)</w:t>
      </w:r>
    </w:p>
    <w:p w14:paraId="40EC25CA" w14:textId="77777777" w:rsidR="00ED5AD2" w:rsidRPr="00286F13" w:rsidRDefault="00ED5AD2" w:rsidP="00412B94">
      <w:pPr>
        <w:tabs>
          <w:tab w:val="left" w:pos="851"/>
        </w:tabs>
        <w:ind w:left="851"/>
        <w:rPr>
          <w:sz w:val="24"/>
          <w:szCs w:val="24"/>
        </w:rPr>
      </w:pPr>
    </w:p>
    <w:p w14:paraId="0CC836B9" w14:textId="4D9A9ACA" w:rsidR="00286F13" w:rsidRDefault="00286F13" w:rsidP="00412B94">
      <w:pPr>
        <w:tabs>
          <w:tab w:val="left" w:pos="851"/>
        </w:tabs>
        <w:ind w:left="851"/>
        <w:rPr>
          <w:sz w:val="24"/>
          <w:szCs w:val="24"/>
        </w:rPr>
      </w:pPr>
      <w:r w:rsidRPr="00286F13">
        <w:rPr>
          <w:i/>
          <w:sz w:val="24"/>
          <w:szCs w:val="24"/>
        </w:rPr>
        <w:t xml:space="preserve">Voksne: </w:t>
      </w:r>
      <w:r w:rsidRPr="00286F13">
        <w:rPr>
          <w:sz w:val="24"/>
          <w:szCs w:val="24"/>
        </w:rPr>
        <w:t>15 til 50 mikrogram droperidol pr. mg morfin op til en maksimal daglig dosis på 5 mg droperidol.</w:t>
      </w:r>
    </w:p>
    <w:p w14:paraId="3F311FC2" w14:textId="77777777" w:rsidR="00ED5AD2" w:rsidRPr="00286F13" w:rsidRDefault="00ED5AD2" w:rsidP="00412B94">
      <w:pPr>
        <w:tabs>
          <w:tab w:val="left" w:pos="851"/>
        </w:tabs>
        <w:ind w:left="851"/>
        <w:rPr>
          <w:sz w:val="24"/>
          <w:szCs w:val="24"/>
        </w:rPr>
      </w:pPr>
    </w:p>
    <w:p w14:paraId="77E80F66" w14:textId="16D482D2" w:rsidR="00286F13" w:rsidRDefault="00286F13" w:rsidP="00412B94">
      <w:pPr>
        <w:tabs>
          <w:tab w:val="left" w:pos="851"/>
        </w:tabs>
        <w:ind w:left="851"/>
        <w:rPr>
          <w:sz w:val="24"/>
          <w:szCs w:val="24"/>
        </w:rPr>
      </w:pPr>
      <w:r w:rsidRPr="00286F13">
        <w:rPr>
          <w:i/>
          <w:sz w:val="24"/>
          <w:szCs w:val="24"/>
        </w:rPr>
        <w:t xml:space="preserve">Ældre (over 65 år), nedsat nyre- og leverfunktion: </w:t>
      </w:r>
      <w:r w:rsidR="00ED5AD2">
        <w:rPr>
          <w:sz w:val="24"/>
          <w:szCs w:val="24"/>
        </w:rPr>
        <w:t>I</w:t>
      </w:r>
      <w:r w:rsidRPr="00286F13">
        <w:rPr>
          <w:sz w:val="24"/>
          <w:szCs w:val="24"/>
        </w:rPr>
        <w:t>ngen tilgængelige data i PCA.</w:t>
      </w:r>
    </w:p>
    <w:p w14:paraId="71AB769F" w14:textId="77777777" w:rsidR="00ED5AD2" w:rsidRPr="00286F13" w:rsidRDefault="00ED5AD2" w:rsidP="00412B94">
      <w:pPr>
        <w:tabs>
          <w:tab w:val="left" w:pos="851"/>
        </w:tabs>
        <w:ind w:left="851"/>
        <w:rPr>
          <w:sz w:val="24"/>
          <w:szCs w:val="24"/>
        </w:rPr>
      </w:pPr>
    </w:p>
    <w:p w14:paraId="1CA3C51A" w14:textId="4CA8393D" w:rsidR="00286F13" w:rsidRPr="00286F13" w:rsidRDefault="00286F13" w:rsidP="00412B94">
      <w:pPr>
        <w:tabs>
          <w:tab w:val="left" w:pos="851"/>
        </w:tabs>
        <w:ind w:left="851"/>
        <w:rPr>
          <w:sz w:val="24"/>
          <w:szCs w:val="24"/>
        </w:rPr>
      </w:pPr>
      <w:r w:rsidRPr="00286F13">
        <w:rPr>
          <w:i/>
          <w:sz w:val="24"/>
          <w:szCs w:val="24"/>
        </w:rPr>
        <w:t xml:space="preserve">Børn (2 til 11 år) og unge (12 til 18 år): </w:t>
      </w:r>
      <w:r w:rsidR="00ED5AD2">
        <w:rPr>
          <w:sz w:val="24"/>
          <w:szCs w:val="24"/>
        </w:rPr>
        <w:t>I</w:t>
      </w:r>
      <w:r w:rsidRPr="00286F13">
        <w:rPr>
          <w:sz w:val="24"/>
          <w:szCs w:val="24"/>
        </w:rPr>
        <w:t xml:space="preserve">kke indiceret i PCA. </w:t>
      </w:r>
    </w:p>
    <w:p w14:paraId="51CD3276" w14:textId="77777777" w:rsidR="00286F13" w:rsidRPr="00286F13" w:rsidRDefault="00286F13" w:rsidP="00412B94">
      <w:pPr>
        <w:tabs>
          <w:tab w:val="left" w:pos="851"/>
        </w:tabs>
        <w:ind w:left="851"/>
        <w:rPr>
          <w:sz w:val="24"/>
          <w:szCs w:val="24"/>
        </w:rPr>
      </w:pPr>
    </w:p>
    <w:p w14:paraId="4815C5AA" w14:textId="1F57F3A1" w:rsidR="00286F13" w:rsidRDefault="00286F13" w:rsidP="00412B94">
      <w:pPr>
        <w:tabs>
          <w:tab w:val="left" w:pos="851"/>
        </w:tabs>
        <w:ind w:left="851"/>
        <w:rPr>
          <w:sz w:val="24"/>
          <w:szCs w:val="24"/>
        </w:rPr>
      </w:pPr>
      <w:r w:rsidRPr="00286F13">
        <w:rPr>
          <w:sz w:val="24"/>
          <w:szCs w:val="24"/>
        </w:rPr>
        <w:t>For instruktioner om fortynding af lægemidlet før administration, se pkt. 6.6.</w:t>
      </w:r>
    </w:p>
    <w:p w14:paraId="0C2A39B0" w14:textId="77777777" w:rsidR="00ED5AD2" w:rsidRPr="00286F13" w:rsidRDefault="00ED5AD2" w:rsidP="00412B94">
      <w:pPr>
        <w:tabs>
          <w:tab w:val="left" w:pos="851"/>
        </w:tabs>
        <w:ind w:left="851"/>
        <w:rPr>
          <w:sz w:val="24"/>
          <w:szCs w:val="24"/>
        </w:rPr>
      </w:pPr>
    </w:p>
    <w:p w14:paraId="064CDAB6" w14:textId="77777777" w:rsidR="00286F13" w:rsidRPr="00286F13" w:rsidRDefault="00286F13" w:rsidP="00412B94">
      <w:pPr>
        <w:tabs>
          <w:tab w:val="left" w:pos="851"/>
        </w:tabs>
        <w:ind w:left="851"/>
        <w:rPr>
          <w:sz w:val="24"/>
          <w:szCs w:val="24"/>
        </w:rPr>
      </w:pPr>
      <w:r w:rsidRPr="00286F13">
        <w:rPr>
          <w:sz w:val="24"/>
          <w:szCs w:val="24"/>
        </w:rPr>
        <w:t>Der skal træffes visse forholdsregler ved administration af droperidol: Se pkt. 4.2, 4.3 og 4.4.</w:t>
      </w:r>
    </w:p>
    <w:p w14:paraId="4D6F2453" w14:textId="77777777" w:rsidR="00286F13" w:rsidRPr="00286F13" w:rsidRDefault="00286F13" w:rsidP="00412B94">
      <w:pPr>
        <w:tabs>
          <w:tab w:val="left" w:pos="851"/>
        </w:tabs>
        <w:ind w:left="851"/>
        <w:rPr>
          <w:sz w:val="24"/>
          <w:szCs w:val="24"/>
        </w:rPr>
      </w:pPr>
    </w:p>
    <w:p w14:paraId="3BD16470" w14:textId="77777777" w:rsidR="00286F13" w:rsidRPr="00E6168D" w:rsidRDefault="00286F13" w:rsidP="00412B94">
      <w:pPr>
        <w:tabs>
          <w:tab w:val="left" w:pos="851"/>
        </w:tabs>
        <w:ind w:left="851"/>
        <w:rPr>
          <w:b/>
          <w:bCs/>
          <w:iCs/>
          <w:sz w:val="24"/>
          <w:szCs w:val="24"/>
        </w:rPr>
      </w:pPr>
      <w:r w:rsidRPr="00E6168D">
        <w:rPr>
          <w:b/>
          <w:iCs/>
          <w:sz w:val="24"/>
          <w:szCs w:val="24"/>
        </w:rPr>
        <w:t xml:space="preserve">Administration </w:t>
      </w:r>
    </w:p>
    <w:p w14:paraId="6B06DFD2" w14:textId="77777777" w:rsidR="00286F13" w:rsidRPr="00286F13" w:rsidRDefault="00286F13" w:rsidP="00412B94">
      <w:pPr>
        <w:tabs>
          <w:tab w:val="left" w:pos="851"/>
        </w:tabs>
        <w:ind w:left="851"/>
        <w:rPr>
          <w:sz w:val="24"/>
          <w:szCs w:val="24"/>
        </w:rPr>
      </w:pPr>
      <w:r w:rsidRPr="00286F13">
        <w:rPr>
          <w:sz w:val="24"/>
          <w:szCs w:val="24"/>
        </w:rPr>
        <w:t xml:space="preserve">Til intravenøs anvendelse. Administreres langsomt (hypotonisk opløsning). </w:t>
      </w:r>
    </w:p>
    <w:p w14:paraId="078A0A48" w14:textId="77777777" w:rsidR="009260DE" w:rsidRPr="00C84483" w:rsidRDefault="009260DE" w:rsidP="00412B94">
      <w:pPr>
        <w:tabs>
          <w:tab w:val="left" w:pos="851"/>
        </w:tabs>
        <w:ind w:left="851"/>
        <w:rPr>
          <w:sz w:val="24"/>
          <w:szCs w:val="24"/>
        </w:rPr>
      </w:pPr>
    </w:p>
    <w:p w14:paraId="55B91D62" w14:textId="77777777" w:rsidR="009260DE" w:rsidRPr="00C84483" w:rsidRDefault="009260DE" w:rsidP="00412B94">
      <w:pPr>
        <w:tabs>
          <w:tab w:val="left" w:pos="851"/>
        </w:tabs>
        <w:ind w:left="851" w:hanging="851"/>
        <w:rPr>
          <w:b/>
          <w:sz w:val="24"/>
          <w:szCs w:val="24"/>
        </w:rPr>
      </w:pPr>
      <w:r w:rsidRPr="00C84483">
        <w:rPr>
          <w:b/>
          <w:sz w:val="24"/>
          <w:szCs w:val="24"/>
        </w:rPr>
        <w:t>4.3</w:t>
      </w:r>
      <w:r w:rsidRPr="00C84483">
        <w:rPr>
          <w:b/>
          <w:sz w:val="24"/>
          <w:szCs w:val="24"/>
        </w:rPr>
        <w:tab/>
        <w:t>Kontraindikationer</w:t>
      </w:r>
    </w:p>
    <w:p w14:paraId="4EA6F46E" w14:textId="46ECFAF3" w:rsidR="00DE1F86" w:rsidRPr="00DE1F86" w:rsidRDefault="004B423C" w:rsidP="00412B94">
      <w:pPr>
        <w:tabs>
          <w:tab w:val="left" w:pos="851"/>
        </w:tabs>
        <w:ind w:left="851"/>
        <w:rPr>
          <w:sz w:val="24"/>
          <w:szCs w:val="24"/>
        </w:rPr>
      </w:pPr>
      <w:r>
        <w:rPr>
          <w:sz w:val="24"/>
          <w:szCs w:val="24"/>
        </w:rPr>
        <w:t>Droperidol "Sintetica"</w:t>
      </w:r>
      <w:r w:rsidR="00DE1F86" w:rsidRPr="00DE1F86">
        <w:rPr>
          <w:sz w:val="24"/>
          <w:szCs w:val="24"/>
        </w:rPr>
        <w:t xml:space="preserve"> er kontraindiceret hos patienter med: </w:t>
      </w:r>
    </w:p>
    <w:p w14:paraId="75FC0290" w14:textId="77777777" w:rsidR="00DE1F86" w:rsidRPr="00DE1F86" w:rsidRDefault="00DE1F86" w:rsidP="00412B94">
      <w:pPr>
        <w:numPr>
          <w:ilvl w:val="0"/>
          <w:numId w:val="7"/>
        </w:numPr>
        <w:tabs>
          <w:tab w:val="left" w:pos="851"/>
        </w:tabs>
        <w:ind w:left="1134" w:hanging="283"/>
        <w:rPr>
          <w:sz w:val="24"/>
          <w:szCs w:val="24"/>
        </w:rPr>
      </w:pPr>
      <w:r w:rsidRPr="00DE1F86">
        <w:rPr>
          <w:sz w:val="24"/>
          <w:szCs w:val="24"/>
        </w:rPr>
        <w:t xml:space="preserve">Overfølsomhed over for det aktive stof eller over for et eller flere af hjælpestofferne anført i pkt. 6.1. </w:t>
      </w:r>
    </w:p>
    <w:p w14:paraId="5FFB5003" w14:textId="4EC516DA" w:rsidR="00DE1F86" w:rsidRPr="00DE1F86" w:rsidRDefault="00DE1F86" w:rsidP="00412B94">
      <w:pPr>
        <w:numPr>
          <w:ilvl w:val="0"/>
          <w:numId w:val="7"/>
        </w:numPr>
        <w:tabs>
          <w:tab w:val="left" w:pos="851"/>
        </w:tabs>
        <w:ind w:left="1134" w:hanging="283"/>
        <w:rPr>
          <w:sz w:val="24"/>
          <w:szCs w:val="24"/>
        </w:rPr>
      </w:pPr>
      <w:r w:rsidRPr="00DE1F86">
        <w:rPr>
          <w:sz w:val="24"/>
          <w:szCs w:val="24"/>
        </w:rPr>
        <w:t>Overfølsomhed over for butyrophenoner</w:t>
      </w:r>
      <w:r w:rsidR="00CD0BF2">
        <w:rPr>
          <w:sz w:val="24"/>
          <w:szCs w:val="24"/>
        </w:rPr>
        <w:t>.</w:t>
      </w:r>
    </w:p>
    <w:p w14:paraId="47396D1D" w14:textId="7F51ED73" w:rsidR="00DE1F86" w:rsidRPr="00DE1F86" w:rsidRDefault="00DE1F86" w:rsidP="00412B94">
      <w:pPr>
        <w:numPr>
          <w:ilvl w:val="0"/>
          <w:numId w:val="7"/>
        </w:numPr>
        <w:tabs>
          <w:tab w:val="left" w:pos="851"/>
        </w:tabs>
        <w:ind w:left="1134" w:hanging="283"/>
        <w:rPr>
          <w:sz w:val="24"/>
          <w:szCs w:val="24"/>
        </w:rPr>
      </w:pPr>
      <w:r w:rsidRPr="00DE1F86">
        <w:rPr>
          <w:sz w:val="24"/>
          <w:szCs w:val="24"/>
        </w:rPr>
        <w:t xml:space="preserve">Kendt eller formodet forlænget QT-interval (QTc på &gt; 450 msek. hos kvinder og &gt; 440 msek. hos mænd). Dette gælder også patienter med medfødt langt QT-interval, patienter med medfødt forlænget QT i familieanamnesen og patienter, som modtager samtidig behandling med lægemidler med en kendt risiko for </w:t>
      </w:r>
      <w:r w:rsidRPr="00DE1F86">
        <w:rPr>
          <w:i/>
          <w:sz w:val="24"/>
          <w:szCs w:val="24"/>
        </w:rPr>
        <w:t xml:space="preserve">torsades de pointes </w:t>
      </w:r>
      <w:r w:rsidRPr="00DE1F86">
        <w:rPr>
          <w:sz w:val="24"/>
          <w:szCs w:val="24"/>
        </w:rPr>
        <w:t>som følge af forlænget QT (se pkt. 4.5)</w:t>
      </w:r>
      <w:r w:rsidR="00CD0BF2">
        <w:rPr>
          <w:sz w:val="24"/>
          <w:szCs w:val="24"/>
        </w:rPr>
        <w:t>.</w:t>
      </w:r>
    </w:p>
    <w:p w14:paraId="011BCC34" w14:textId="35A6D0AD" w:rsidR="00DE1F86" w:rsidRPr="00DE1F86" w:rsidRDefault="00DE1F86" w:rsidP="00412B94">
      <w:pPr>
        <w:numPr>
          <w:ilvl w:val="0"/>
          <w:numId w:val="7"/>
        </w:numPr>
        <w:tabs>
          <w:tab w:val="left" w:pos="851"/>
        </w:tabs>
        <w:ind w:left="1134" w:hanging="283"/>
        <w:rPr>
          <w:sz w:val="24"/>
          <w:szCs w:val="24"/>
        </w:rPr>
      </w:pPr>
      <w:r w:rsidRPr="00DE1F86">
        <w:rPr>
          <w:sz w:val="24"/>
          <w:szCs w:val="24"/>
        </w:rPr>
        <w:t>Hypokaliæmi eller hypomagnesiæmi</w:t>
      </w:r>
      <w:r w:rsidR="00CD0BF2">
        <w:rPr>
          <w:sz w:val="24"/>
          <w:szCs w:val="24"/>
        </w:rPr>
        <w:t>.</w:t>
      </w:r>
    </w:p>
    <w:p w14:paraId="22759220" w14:textId="307557C2" w:rsidR="00DE1F86" w:rsidRPr="00DE1F86" w:rsidRDefault="00DE1F86" w:rsidP="00412B94">
      <w:pPr>
        <w:numPr>
          <w:ilvl w:val="0"/>
          <w:numId w:val="7"/>
        </w:numPr>
        <w:tabs>
          <w:tab w:val="left" w:pos="851"/>
        </w:tabs>
        <w:ind w:left="1134" w:hanging="283"/>
        <w:rPr>
          <w:sz w:val="24"/>
          <w:szCs w:val="24"/>
        </w:rPr>
      </w:pPr>
      <w:r w:rsidRPr="00DE1F86">
        <w:rPr>
          <w:sz w:val="24"/>
          <w:szCs w:val="24"/>
        </w:rPr>
        <w:t>Bradykardi (&lt; 55 hjerteslag pr. minut)</w:t>
      </w:r>
      <w:r w:rsidR="00CD0BF2">
        <w:rPr>
          <w:sz w:val="24"/>
          <w:szCs w:val="24"/>
        </w:rPr>
        <w:t>.</w:t>
      </w:r>
    </w:p>
    <w:p w14:paraId="1373A80D" w14:textId="4750B043" w:rsidR="00DE1F86" w:rsidRPr="00DE1F86" w:rsidRDefault="00DE1F86" w:rsidP="00412B94">
      <w:pPr>
        <w:numPr>
          <w:ilvl w:val="0"/>
          <w:numId w:val="7"/>
        </w:numPr>
        <w:tabs>
          <w:tab w:val="left" w:pos="851"/>
        </w:tabs>
        <w:ind w:left="1134" w:hanging="283"/>
        <w:rPr>
          <w:sz w:val="24"/>
          <w:szCs w:val="24"/>
        </w:rPr>
      </w:pPr>
      <w:r w:rsidRPr="00DE1F86">
        <w:rPr>
          <w:sz w:val="24"/>
          <w:szCs w:val="24"/>
        </w:rPr>
        <w:t>Kendt samtidig behandling, som medfører bradykardi</w:t>
      </w:r>
      <w:r w:rsidR="00CD0BF2">
        <w:rPr>
          <w:sz w:val="24"/>
          <w:szCs w:val="24"/>
        </w:rPr>
        <w:t>.</w:t>
      </w:r>
    </w:p>
    <w:p w14:paraId="5702B235" w14:textId="3AEAFED6" w:rsidR="00DE1F86" w:rsidRPr="00DE1F86" w:rsidRDefault="00DE1F86" w:rsidP="00412B94">
      <w:pPr>
        <w:numPr>
          <w:ilvl w:val="0"/>
          <w:numId w:val="7"/>
        </w:numPr>
        <w:tabs>
          <w:tab w:val="left" w:pos="851"/>
        </w:tabs>
        <w:ind w:left="1134" w:hanging="283"/>
        <w:rPr>
          <w:sz w:val="24"/>
          <w:szCs w:val="24"/>
        </w:rPr>
      </w:pPr>
      <w:r w:rsidRPr="00DE1F86">
        <w:rPr>
          <w:sz w:val="24"/>
          <w:szCs w:val="24"/>
        </w:rPr>
        <w:t>Fæokromocytom</w:t>
      </w:r>
      <w:r w:rsidR="00CD0BF2">
        <w:rPr>
          <w:sz w:val="24"/>
          <w:szCs w:val="24"/>
        </w:rPr>
        <w:t>.</w:t>
      </w:r>
    </w:p>
    <w:p w14:paraId="1D7B7548" w14:textId="67FEEB8E" w:rsidR="00DE1F86" w:rsidRPr="00DE1F86" w:rsidRDefault="00DE1F86" w:rsidP="00412B94">
      <w:pPr>
        <w:numPr>
          <w:ilvl w:val="0"/>
          <w:numId w:val="7"/>
        </w:numPr>
        <w:tabs>
          <w:tab w:val="left" w:pos="851"/>
        </w:tabs>
        <w:ind w:left="1134" w:hanging="283"/>
        <w:rPr>
          <w:sz w:val="24"/>
          <w:szCs w:val="24"/>
        </w:rPr>
      </w:pPr>
      <w:r w:rsidRPr="00DE1F86">
        <w:rPr>
          <w:sz w:val="24"/>
          <w:szCs w:val="24"/>
        </w:rPr>
        <w:t>Komatøse tilstande</w:t>
      </w:r>
      <w:r w:rsidR="00CD0BF2">
        <w:rPr>
          <w:sz w:val="24"/>
          <w:szCs w:val="24"/>
        </w:rPr>
        <w:t>.</w:t>
      </w:r>
    </w:p>
    <w:p w14:paraId="244F1B08" w14:textId="3CA626DE" w:rsidR="00DE1F86" w:rsidRPr="00DE1F86" w:rsidRDefault="00DE1F86" w:rsidP="00412B94">
      <w:pPr>
        <w:numPr>
          <w:ilvl w:val="0"/>
          <w:numId w:val="7"/>
        </w:numPr>
        <w:tabs>
          <w:tab w:val="left" w:pos="851"/>
        </w:tabs>
        <w:ind w:left="1134" w:hanging="283"/>
        <w:rPr>
          <w:sz w:val="24"/>
          <w:szCs w:val="24"/>
        </w:rPr>
      </w:pPr>
      <w:r w:rsidRPr="00DE1F86">
        <w:rPr>
          <w:sz w:val="24"/>
          <w:szCs w:val="24"/>
        </w:rPr>
        <w:t>Parkinsons sygdom</w:t>
      </w:r>
      <w:r w:rsidR="00CD0BF2">
        <w:rPr>
          <w:sz w:val="24"/>
          <w:szCs w:val="24"/>
        </w:rPr>
        <w:t>.</w:t>
      </w:r>
    </w:p>
    <w:p w14:paraId="09CCCD83" w14:textId="77777777" w:rsidR="00DE1F86" w:rsidRPr="00DE1F86" w:rsidRDefault="00DE1F86" w:rsidP="00412B94">
      <w:pPr>
        <w:numPr>
          <w:ilvl w:val="0"/>
          <w:numId w:val="7"/>
        </w:numPr>
        <w:tabs>
          <w:tab w:val="left" w:pos="851"/>
        </w:tabs>
        <w:ind w:left="1134" w:hanging="283"/>
        <w:rPr>
          <w:sz w:val="24"/>
          <w:szCs w:val="24"/>
        </w:rPr>
      </w:pPr>
      <w:r w:rsidRPr="00DE1F86">
        <w:rPr>
          <w:sz w:val="24"/>
          <w:szCs w:val="24"/>
        </w:rPr>
        <w:t xml:space="preserve">Alvorlig depression. </w:t>
      </w:r>
    </w:p>
    <w:p w14:paraId="2826945A" w14:textId="77777777" w:rsidR="009260DE" w:rsidRPr="00C84483" w:rsidRDefault="009260DE" w:rsidP="00412B94">
      <w:pPr>
        <w:tabs>
          <w:tab w:val="left" w:pos="851"/>
        </w:tabs>
        <w:ind w:left="851"/>
        <w:rPr>
          <w:sz w:val="24"/>
          <w:szCs w:val="24"/>
        </w:rPr>
      </w:pPr>
    </w:p>
    <w:p w14:paraId="6B1603AE" w14:textId="77777777" w:rsidR="009260DE" w:rsidRPr="00C84483" w:rsidRDefault="009260DE" w:rsidP="00412B9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BF3225F" w14:textId="77777777" w:rsidR="00CD0BF2" w:rsidRDefault="00CD0BF2" w:rsidP="00412B94">
      <w:pPr>
        <w:tabs>
          <w:tab w:val="left" w:pos="851"/>
        </w:tabs>
        <w:ind w:left="851"/>
        <w:rPr>
          <w:sz w:val="24"/>
          <w:szCs w:val="24"/>
          <w:u w:val="single"/>
        </w:rPr>
      </w:pPr>
    </w:p>
    <w:p w14:paraId="26AE08C6" w14:textId="50FBEE55" w:rsidR="00CD0BF2" w:rsidRPr="00CD0BF2" w:rsidRDefault="00CD0BF2" w:rsidP="00412B94">
      <w:pPr>
        <w:tabs>
          <w:tab w:val="left" w:pos="851"/>
        </w:tabs>
        <w:ind w:left="851"/>
        <w:rPr>
          <w:sz w:val="24"/>
          <w:szCs w:val="24"/>
        </w:rPr>
      </w:pPr>
      <w:r w:rsidRPr="00CD0BF2">
        <w:rPr>
          <w:sz w:val="24"/>
          <w:szCs w:val="24"/>
          <w:u w:val="single"/>
        </w:rPr>
        <w:t xml:space="preserve">Centralnervesystem </w:t>
      </w:r>
    </w:p>
    <w:p w14:paraId="7D93539E" w14:textId="77777777" w:rsidR="00CD0BF2" w:rsidRPr="00CD0BF2" w:rsidRDefault="00CD0BF2" w:rsidP="00412B94">
      <w:pPr>
        <w:tabs>
          <w:tab w:val="left" w:pos="851"/>
        </w:tabs>
        <w:ind w:left="851"/>
        <w:rPr>
          <w:sz w:val="24"/>
          <w:szCs w:val="24"/>
        </w:rPr>
      </w:pPr>
      <w:r w:rsidRPr="00CD0BF2">
        <w:rPr>
          <w:sz w:val="24"/>
          <w:szCs w:val="24"/>
        </w:rPr>
        <w:t xml:space="preserve">Droperidol kan forstærke CNS-depression, som er forårsaget af andre CNS-deprimerende lægemidler. Alle patienter, som får anæstesi, og som behandles med stærke CNS-deprimerende lægemidler, eller som viser symptomer på CNS-depression, skal overvåges nøje ved kontinueret pulsoximetri. </w:t>
      </w:r>
    </w:p>
    <w:p w14:paraId="17FBBD60" w14:textId="77777777" w:rsidR="00CD0BF2" w:rsidRPr="00CD0BF2" w:rsidRDefault="00CD0BF2" w:rsidP="00412B94">
      <w:pPr>
        <w:tabs>
          <w:tab w:val="left" w:pos="851"/>
        </w:tabs>
        <w:ind w:left="851"/>
        <w:rPr>
          <w:sz w:val="24"/>
          <w:szCs w:val="24"/>
        </w:rPr>
      </w:pPr>
      <w:r w:rsidRPr="00CD0BF2">
        <w:rPr>
          <w:sz w:val="24"/>
          <w:szCs w:val="24"/>
        </w:rPr>
        <w:t xml:space="preserve">Samtidig brug af metoclopramid og andre neuroleptika kan forøge ekstrapyramidale symptomer og bør undgås (se pkt. 4.5). </w:t>
      </w:r>
    </w:p>
    <w:p w14:paraId="2F9CD1C9" w14:textId="51C7202E" w:rsidR="00CD0BF2" w:rsidRDefault="00CD0BF2" w:rsidP="00412B94">
      <w:pPr>
        <w:tabs>
          <w:tab w:val="left" w:pos="851"/>
        </w:tabs>
        <w:ind w:left="851"/>
        <w:rPr>
          <w:sz w:val="24"/>
          <w:szCs w:val="24"/>
        </w:rPr>
      </w:pPr>
      <w:r w:rsidRPr="00CD0BF2">
        <w:rPr>
          <w:sz w:val="24"/>
          <w:szCs w:val="24"/>
        </w:rPr>
        <w:t>Skal anvendes med forsigtighed til patienter med epilepsi (eller epilepsi i anamnesen) og lidelser, der prædisponerer for epilepsi eller kramper.</w:t>
      </w:r>
    </w:p>
    <w:p w14:paraId="5F2A6F1C" w14:textId="77777777" w:rsidR="00B57C6C" w:rsidRPr="00CD0BF2" w:rsidRDefault="00B57C6C" w:rsidP="00412B94">
      <w:pPr>
        <w:tabs>
          <w:tab w:val="left" w:pos="851"/>
        </w:tabs>
        <w:ind w:left="851"/>
        <w:rPr>
          <w:sz w:val="24"/>
          <w:szCs w:val="24"/>
        </w:rPr>
      </w:pPr>
    </w:p>
    <w:p w14:paraId="2E28D18E" w14:textId="77777777" w:rsidR="00CD0BF2" w:rsidRPr="00CD0BF2" w:rsidRDefault="00CD0BF2" w:rsidP="00412B94">
      <w:pPr>
        <w:tabs>
          <w:tab w:val="left" w:pos="851"/>
        </w:tabs>
        <w:ind w:left="851"/>
        <w:rPr>
          <w:sz w:val="24"/>
          <w:szCs w:val="24"/>
        </w:rPr>
      </w:pPr>
      <w:r w:rsidRPr="00CD0BF2">
        <w:rPr>
          <w:sz w:val="24"/>
          <w:szCs w:val="24"/>
          <w:u w:val="single"/>
        </w:rPr>
        <w:t xml:space="preserve">Kardiovaskulært system </w:t>
      </w:r>
    </w:p>
    <w:p w14:paraId="6EFBFDA3" w14:textId="79F55C4F" w:rsidR="00CD0BF2" w:rsidRDefault="00CD0BF2" w:rsidP="00412B94">
      <w:pPr>
        <w:tabs>
          <w:tab w:val="left" w:pos="851"/>
        </w:tabs>
        <w:ind w:left="851"/>
        <w:rPr>
          <w:sz w:val="24"/>
          <w:szCs w:val="24"/>
        </w:rPr>
      </w:pPr>
      <w:r w:rsidRPr="00CD0BF2">
        <w:rPr>
          <w:sz w:val="24"/>
          <w:szCs w:val="24"/>
        </w:rPr>
        <w:t>Der er observeret mild til moderat hypotension og enkelte tilfælde af (refleks-) takykardi efter administration af droperidol. Denne reaktion mindskes sædvanligvis spontant. Hvis hypotensionen er vedvarende, skal mulig hypovolæmi overvejes, og der skal administreres passende væskeerstatning.</w:t>
      </w:r>
    </w:p>
    <w:p w14:paraId="54E34C6B" w14:textId="77777777" w:rsidR="00B57C6C" w:rsidRPr="00CD0BF2" w:rsidRDefault="00B57C6C" w:rsidP="00412B94">
      <w:pPr>
        <w:tabs>
          <w:tab w:val="left" w:pos="851"/>
        </w:tabs>
        <w:ind w:left="851"/>
        <w:rPr>
          <w:sz w:val="24"/>
          <w:szCs w:val="24"/>
        </w:rPr>
      </w:pPr>
    </w:p>
    <w:p w14:paraId="543E5A3D" w14:textId="77777777" w:rsidR="00CD0BF2" w:rsidRPr="00CD0BF2" w:rsidRDefault="00CD0BF2" w:rsidP="00412B94">
      <w:pPr>
        <w:tabs>
          <w:tab w:val="left" w:pos="851"/>
        </w:tabs>
        <w:ind w:left="851"/>
        <w:rPr>
          <w:sz w:val="24"/>
          <w:szCs w:val="24"/>
        </w:rPr>
      </w:pPr>
      <w:r w:rsidRPr="00CD0BF2">
        <w:rPr>
          <w:sz w:val="24"/>
          <w:szCs w:val="24"/>
        </w:rPr>
        <w:t xml:space="preserve">Patienter, som har eller formodes at have, følgende risikofaktorer for hjertearytmi, skal evalueres grundigt før administration af droperidol: </w:t>
      </w:r>
    </w:p>
    <w:p w14:paraId="7718B218" w14:textId="77777777" w:rsidR="00CD0BF2" w:rsidRPr="00CD0BF2" w:rsidRDefault="00CD0BF2" w:rsidP="00412B94">
      <w:pPr>
        <w:numPr>
          <w:ilvl w:val="0"/>
          <w:numId w:val="8"/>
        </w:numPr>
        <w:tabs>
          <w:tab w:val="left" w:pos="851"/>
        </w:tabs>
        <w:ind w:left="1134" w:hanging="283"/>
        <w:rPr>
          <w:sz w:val="24"/>
          <w:szCs w:val="24"/>
        </w:rPr>
      </w:pPr>
      <w:r w:rsidRPr="00CD0BF2">
        <w:rPr>
          <w:sz w:val="24"/>
          <w:szCs w:val="24"/>
        </w:rPr>
        <w:t xml:space="preserve">Signifikant hjertesygdom i anamnesen, herunder alvorlig ventrikelarytmi, atrioventrikulært blok af 2. eller 3. grad, sinusknudedysfunktion, kongestivt hjertesvigt, iskæmisk hjertesygdom samt venstre-ventrikel-hypertrofi </w:t>
      </w:r>
    </w:p>
    <w:p w14:paraId="09753E0E" w14:textId="77777777" w:rsidR="00CD0BF2" w:rsidRPr="00CD0BF2" w:rsidRDefault="00CD0BF2" w:rsidP="00412B94">
      <w:pPr>
        <w:numPr>
          <w:ilvl w:val="0"/>
          <w:numId w:val="8"/>
        </w:numPr>
        <w:tabs>
          <w:tab w:val="left" w:pos="851"/>
        </w:tabs>
        <w:ind w:left="1134" w:hanging="283"/>
        <w:rPr>
          <w:sz w:val="24"/>
          <w:szCs w:val="24"/>
        </w:rPr>
      </w:pPr>
      <w:r w:rsidRPr="00CD0BF2">
        <w:rPr>
          <w:sz w:val="24"/>
          <w:szCs w:val="24"/>
        </w:rPr>
        <w:t xml:space="preserve">Pludselige dødsfald i familien </w:t>
      </w:r>
    </w:p>
    <w:p w14:paraId="71DA51F6" w14:textId="77777777" w:rsidR="00CD0BF2" w:rsidRPr="00CD0BF2" w:rsidRDefault="00CD0BF2" w:rsidP="00412B94">
      <w:pPr>
        <w:numPr>
          <w:ilvl w:val="0"/>
          <w:numId w:val="8"/>
        </w:numPr>
        <w:tabs>
          <w:tab w:val="left" w:pos="851"/>
        </w:tabs>
        <w:ind w:left="1134" w:hanging="283"/>
        <w:rPr>
          <w:sz w:val="24"/>
          <w:szCs w:val="24"/>
        </w:rPr>
      </w:pPr>
      <w:r w:rsidRPr="00CD0BF2">
        <w:rPr>
          <w:sz w:val="24"/>
          <w:szCs w:val="24"/>
        </w:rPr>
        <w:t xml:space="preserve">Nyresvigt (især hos patienter i kronisk dialysebehandling) </w:t>
      </w:r>
    </w:p>
    <w:p w14:paraId="5F873104" w14:textId="77777777" w:rsidR="00CD0BF2" w:rsidRPr="00CD0BF2" w:rsidRDefault="00CD0BF2" w:rsidP="00412B94">
      <w:pPr>
        <w:numPr>
          <w:ilvl w:val="0"/>
          <w:numId w:val="8"/>
        </w:numPr>
        <w:tabs>
          <w:tab w:val="left" w:pos="851"/>
        </w:tabs>
        <w:ind w:left="1134" w:hanging="283"/>
        <w:rPr>
          <w:sz w:val="24"/>
          <w:szCs w:val="24"/>
        </w:rPr>
      </w:pPr>
      <w:r w:rsidRPr="00CD0BF2">
        <w:rPr>
          <w:sz w:val="24"/>
          <w:szCs w:val="24"/>
        </w:rPr>
        <w:t xml:space="preserve">Signifikant kronisk obstruktiv lungesygdom og respirationssvigt </w:t>
      </w:r>
    </w:p>
    <w:p w14:paraId="607060F6" w14:textId="77777777" w:rsidR="00CD0BF2" w:rsidRPr="00CD0BF2" w:rsidRDefault="00CD0BF2" w:rsidP="00412B94">
      <w:pPr>
        <w:numPr>
          <w:ilvl w:val="0"/>
          <w:numId w:val="8"/>
        </w:numPr>
        <w:tabs>
          <w:tab w:val="left" w:pos="851"/>
        </w:tabs>
        <w:ind w:left="1134" w:hanging="283"/>
        <w:rPr>
          <w:sz w:val="24"/>
          <w:szCs w:val="24"/>
        </w:rPr>
      </w:pPr>
      <w:r w:rsidRPr="00CD0BF2">
        <w:rPr>
          <w:sz w:val="24"/>
          <w:szCs w:val="24"/>
        </w:rPr>
        <w:t xml:space="preserve">Risikofaktorer for elektrolytforstyrrelser, der ses hos patienter, som tager laksativer, glukokortikoider, diuretika, som øger udskillelsen af kalium, i forbindelse med akut administration af insulin eller hos patienter med langvarig opkastning og/eller diarré. </w:t>
      </w:r>
    </w:p>
    <w:p w14:paraId="66F5E719" w14:textId="77777777" w:rsidR="00B57C6C" w:rsidRDefault="00B57C6C" w:rsidP="00412B94">
      <w:pPr>
        <w:tabs>
          <w:tab w:val="left" w:pos="851"/>
        </w:tabs>
        <w:ind w:left="851"/>
        <w:rPr>
          <w:sz w:val="24"/>
          <w:szCs w:val="24"/>
        </w:rPr>
      </w:pPr>
    </w:p>
    <w:p w14:paraId="52449688" w14:textId="2EF77951" w:rsidR="00CD0BF2" w:rsidRPr="00CD0BF2" w:rsidRDefault="00CD0BF2" w:rsidP="00412B94">
      <w:pPr>
        <w:tabs>
          <w:tab w:val="left" w:pos="851"/>
        </w:tabs>
        <w:ind w:left="851"/>
        <w:rPr>
          <w:sz w:val="24"/>
          <w:szCs w:val="24"/>
        </w:rPr>
      </w:pPr>
      <w:r w:rsidRPr="00CD0BF2">
        <w:rPr>
          <w:sz w:val="24"/>
          <w:szCs w:val="24"/>
        </w:rPr>
        <w:t xml:space="preserve">Patienter med risiko for hjertearytmi skal have vurderet serumelektrolytter og kreatininniveauer, og forlænget QT skal udelukkes før administration af droperidol. </w:t>
      </w:r>
    </w:p>
    <w:p w14:paraId="2C4FBF17" w14:textId="268C568F" w:rsidR="00CD0BF2" w:rsidRDefault="00CD0BF2" w:rsidP="00412B94">
      <w:pPr>
        <w:tabs>
          <w:tab w:val="left" w:pos="851"/>
        </w:tabs>
        <w:ind w:left="851"/>
        <w:rPr>
          <w:sz w:val="24"/>
          <w:szCs w:val="24"/>
        </w:rPr>
      </w:pPr>
      <w:r w:rsidRPr="00CD0BF2">
        <w:rPr>
          <w:sz w:val="24"/>
          <w:szCs w:val="24"/>
        </w:rPr>
        <w:t>Der bør foretages pulsoximetri og kontinuerlig EKG hos patienter med identificeret eller formodet risiko for ventrikulær arytmi, som skal fortsættes i 30 minutter efter én intravenøs administration.</w:t>
      </w:r>
    </w:p>
    <w:p w14:paraId="70E168B7" w14:textId="77777777" w:rsidR="00B57C6C" w:rsidRPr="00CD0BF2" w:rsidRDefault="00B57C6C" w:rsidP="00412B94">
      <w:pPr>
        <w:tabs>
          <w:tab w:val="left" w:pos="851"/>
        </w:tabs>
        <w:ind w:left="851"/>
        <w:rPr>
          <w:sz w:val="24"/>
          <w:szCs w:val="24"/>
        </w:rPr>
      </w:pPr>
    </w:p>
    <w:p w14:paraId="0A62AD7A" w14:textId="77777777" w:rsidR="00CD0BF2" w:rsidRPr="00CD0BF2" w:rsidRDefault="00CD0BF2" w:rsidP="00412B94">
      <w:pPr>
        <w:tabs>
          <w:tab w:val="left" w:pos="851"/>
        </w:tabs>
        <w:ind w:left="851"/>
        <w:rPr>
          <w:sz w:val="24"/>
          <w:szCs w:val="24"/>
        </w:rPr>
      </w:pPr>
      <w:r w:rsidRPr="00CD0BF2">
        <w:rPr>
          <w:sz w:val="24"/>
          <w:szCs w:val="24"/>
          <w:u w:val="single"/>
        </w:rPr>
        <w:t>Generelt</w:t>
      </w:r>
      <w:r w:rsidRPr="00CD0BF2">
        <w:rPr>
          <w:sz w:val="24"/>
          <w:szCs w:val="24"/>
        </w:rPr>
        <w:t xml:space="preserve"> </w:t>
      </w:r>
    </w:p>
    <w:p w14:paraId="06A5C5D0" w14:textId="77777777" w:rsidR="00CD0BF2" w:rsidRPr="00CD0BF2" w:rsidRDefault="00CD0BF2" w:rsidP="00412B94">
      <w:pPr>
        <w:tabs>
          <w:tab w:val="left" w:pos="851"/>
        </w:tabs>
        <w:ind w:left="851"/>
        <w:rPr>
          <w:sz w:val="24"/>
          <w:szCs w:val="24"/>
        </w:rPr>
      </w:pPr>
      <w:r w:rsidRPr="00CD0BF2">
        <w:rPr>
          <w:sz w:val="24"/>
          <w:szCs w:val="24"/>
        </w:rPr>
        <w:t>For at forhindre forlænget QT skal der udvises forsigtighed, når patienterne tager lægemidler, der sandsynligvis vil inducere elektrolytubalance (hypokalæmi og/eller hypomagnesiæmi), f.eks. diuretika, som øger udskillelsen af kalium, laksativer og glukokortikoider.</w:t>
      </w:r>
    </w:p>
    <w:p w14:paraId="20A281A6" w14:textId="77777777" w:rsidR="00CD0BF2" w:rsidRPr="00CD0BF2" w:rsidRDefault="00CD0BF2" w:rsidP="00412B94">
      <w:pPr>
        <w:tabs>
          <w:tab w:val="left" w:pos="851"/>
        </w:tabs>
        <w:ind w:left="851"/>
        <w:rPr>
          <w:sz w:val="24"/>
          <w:szCs w:val="24"/>
        </w:rPr>
      </w:pPr>
      <w:r w:rsidRPr="00CD0BF2">
        <w:rPr>
          <w:sz w:val="24"/>
          <w:szCs w:val="24"/>
        </w:rPr>
        <w:t xml:space="preserve">Stoffer, som hæmmer aktiviteten af cytochrome P450 iso-enzymer (CYP) CYP1A2, CYP3A4 eller begge, kan sænke metaboliseringshastigheden for droperidol og forlænge stoffets farmakologiske virkning. Der bør derfor udvises forsigtighed, hvis droperidol gives samtidigt med stærke CYP1A2- og CYP3A4-hæmmere (se pkt. 4.5). </w:t>
      </w:r>
    </w:p>
    <w:p w14:paraId="155482EA" w14:textId="77777777" w:rsidR="00CD0BF2" w:rsidRPr="00CD0BF2" w:rsidRDefault="00CD0BF2" w:rsidP="00412B94">
      <w:pPr>
        <w:tabs>
          <w:tab w:val="left" w:pos="851"/>
        </w:tabs>
        <w:ind w:left="851"/>
        <w:rPr>
          <w:sz w:val="24"/>
          <w:szCs w:val="24"/>
        </w:rPr>
      </w:pPr>
      <w:r w:rsidRPr="00CD0BF2">
        <w:rPr>
          <w:sz w:val="24"/>
          <w:szCs w:val="24"/>
        </w:rPr>
        <w:t>Patienter, som har eller formodes at have et alkoholmisbrug eller et nyligt højt alkoholindtag i anamnesen, skal vurderes omhyggeligt, før droperidol administreres.</w:t>
      </w:r>
    </w:p>
    <w:p w14:paraId="662F1B07" w14:textId="77777777" w:rsidR="00CD0BF2" w:rsidRPr="00CD0BF2" w:rsidRDefault="00CD0BF2" w:rsidP="00412B94">
      <w:pPr>
        <w:tabs>
          <w:tab w:val="left" w:pos="851"/>
        </w:tabs>
        <w:ind w:left="851"/>
        <w:rPr>
          <w:sz w:val="24"/>
          <w:szCs w:val="24"/>
        </w:rPr>
      </w:pPr>
      <w:r w:rsidRPr="00CD0BF2">
        <w:rPr>
          <w:sz w:val="24"/>
          <w:szCs w:val="24"/>
        </w:rPr>
        <w:t xml:space="preserve">Ved uforklaret hypertermi er det særdeles vigtigt, at behandlingen afbrydes, da dette tegn kan udgøre et af elementerne i malignt neuroleptikasyndrom. </w:t>
      </w:r>
    </w:p>
    <w:p w14:paraId="382CDB72" w14:textId="47750638" w:rsidR="00CD0BF2" w:rsidRPr="00CD0BF2" w:rsidRDefault="00CD0BF2" w:rsidP="00412B94">
      <w:pPr>
        <w:tabs>
          <w:tab w:val="left" w:pos="851"/>
        </w:tabs>
        <w:ind w:left="851"/>
        <w:rPr>
          <w:sz w:val="24"/>
          <w:szCs w:val="24"/>
        </w:rPr>
      </w:pPr>
      <w:r w:rsidRPr="00CD0BF2">
        <w:rPr>
          <w:sz w:val="24"/>
          <w:szCs w:val="24"/>
        </w:rPr>
        <w:t xml:space="preserve">Der er indberettet tilfælde af venøs tromboemboli (VTE) ved brug sammen med antipsykotiske lægemidler. Eftersom patienter, der behandles med antipsykotika, ofte har erhvervede risikofaktorer for VTE, skal alle risikofaktorer for VTE identificeres før og under behandling med </w:t>
      </w:r>
      <w:r w:rsidR="004B423C">
        <w:rPr>
          <w:sz w:val="24"/>
          <w:szCs w:val="24"/>
        </w:rPr>
        <w:t>Droperidol "Sintetica"</w:t>
      </w:r>
      <w:r w:rsidRPr="00CD0BF2">
        <w:rPr>
          <w:sz w:val="24"/>
          <w:szCs w:val="24"/>
        </w:rPr>
        <w:t xml:space="preserve">, og der skal træffes forebyggende foranstaltninger. </w:t>
      </w:r>
    </w:p>
    <w:p w14:paraId="2BEB8094" w14:textId="77777777" w:rsidR="00CD0BF2" w:rsidRPr="00CD0BF2" w:rsidRDefault="00CD0BF2" w:rsidP="00412B94">
      <w:pPr>
        <w:tabs>
          <w:tab w:val="left" w:pos="851"/>
        </w:tabs>
        <w:ind w:left="851"/>
        <w:rPr>
          <w:sz w:val="24"/>
          <w:szCs w:val="24"/>
        </w:rPr>
      </w:pPr>
      <w:r w:rsidRPr="00CD0BF2">
        <w:rPr>
          <w:sz w:val="24"/>
          <w:szCs w:val="24"/>
        </w:rPr>
        <w:t xml:space="preserve">Dosen skal reduceres hos ældre (over 65 år) og patienter med nedsat nyre- og leverfunktion (se pkt. 4.2). </w:t>
      </w:r>
    </w:p>
    <w:p w14:paraId="53195EDD" w14:textId="77777777" w:rsidR="009260DE" w:rsidRPr="00C84483" w:rsidRDefault="009260DE" w:rsidP="00412B94">
      <w:pPr>
        <w:tabs>
          <w:tab w:val="left" w:pos="851"/>
        </w:tabs>
        <w:ind w:left="851"/>
        <w:rPr>
          <w:sz w:val="24"/>
          <w:szCs w:val="24"/>
        </w:rPr>
      </w:pPr>
    </w:p>
    <w:p w14:paraId="0F591A4E" w14:textId="77777777" w:rsidR="009260DE" w:rsidRPr="00C84483" w:rsidRDefault="009260DE" w:rsidP="00412B9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4BFC34F" w14:textId="77777777" w:rsidR="004B423C" w:rsidRDefault="004B423C" w:rsidP="00412B94">
      <w:pPr>
        <w:tabs>
          <w:tab w:val="left" w:pos="851"/>
        </w:tabs>
        <w:ind w:left="851"/>
        <w:rPr>
          <w:sz w:val="24"/>
          <w:szCs w:val="24"/>
          <w:u w:val="single"/>
        </w:rPr>
      </w:pPr>
    </w:p>
    <w:p w14:paraId="3B05C8F2" w14:textId="42CE05C2" w:rsidR="00626A8A" w:rsidRPr="00626A8A" w:rsidRDefault="00626A8A" w:rsidP="00412B94">
      <w:pPr>
        <w:tabs>
          <w:tab w:val="left" w:pos="851"/>
        </w:tabs>
        <w:ind w:left="851"/>
        <w:rPr>
          <w:sz w:val="24"/>
          <w:szCs w:val="24"/>
        </w:rPr>
      </w:pPr>
      <w:r w:rsidRPr="00626A8A">
        <w:rPr>
          <w:sz w:val="24"/>
          <w:szCs w:val="24"/>
          <w:u w:val="single"/>
        </w:rPr>
        <w:t xml:space="preserve">Kontraindiceret til samtidig anvendelse </w:t>
      </w:r>
    </w:p>
    <w:p w14:paraId="67FAD017" w14:textId="77777777" w:rsidR="00626A8A" w:rsidRPr="00626A8A" w:rsidRDefault="00626A8A" w:rsidP="00412B94">
      <w:pPr>
        <w:tabs>
          <w:tab w:val="left" w:pos="851"/>
        </w:tabs>
        <w:ind w:left="851"/>
        <w:rPr>
          <w:sz w:val="24"/>
          <w:szCs w:val="24"/>
        </w:rPr>
      </w:pPr>
      <w:r w:rsidRPr="00626A8A">
        <w:rPr>
          <w:sz w:val="24"/>
          <w:szCs w:val="24"/>
        </w:rPr>
        <w:t xml:space="preserve">Lægemidler, som man ved forårsager </w:t>
      </w:r>
      <w:r w:rsidRPr="00626A8A">
        <w:rPr>
          <w:i/>
          <w:sz w:val="24"/>
          <w:szCs w:val="24"/>
        </w:rPr>
        <w:t xml:space="preserve">torsades de pointes </w:t>
      </w:r>
      <w:r w:rsidRPr="00626A8A">
        <w:rPr>
          <w:sz w:val="24"/>
          <w:szCs w:val="24"/>
        </w:rPr>
        <w:t xml:space="preserve">som følge af forlænget QT, må ikke administreres samtidigt med droperidol. Det gælder for eksempel: </w:t>
      </w:r>
    </w:p>
    <w:p w14:paraId="1C0DFCF1"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antiarytmika i klasse IA, f.eks. quinidin, disopyramid, procainamid</w:t>
      </w:r>
    </w:p>
    <w:p w14:paraId="5FAD6352"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antiarytmika i klasse III, f.eks. amiodaron, sotalol</w:t>
      </w:r>
    </w:p>
    <w:p w14:paraId="19C81C5B"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 xml:space="preserve">makrolid-antibiotika, f.eks. azithromycin, erythromycin, clarithromycin </w:t>
      </w:r>
    </w:p>
    <w:p w14:paraId="2CF48130"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fluoroquinolon-antibiotika, f.eks. sparfloxacin</w:t>
      </w:r>
    </w:p>
    <w:p w14:paraId="3B0CD5C5"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antihistaminer, f.eks. astemizol, terfenadin</w:t>
      </w:r>
    </w:p>
    <w:p w14:paraId="7671BD68"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 xml:space="preserve">antidepressiva (f.eks. amitriptylin) </w:t>
      </w:r>
    </w:p>
    <w:p w14:paraId="047C2CA1"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visse tetracykliske antidepressiva (f.eks. maprotilin)</w:t>
      </w:r>
    </w:p>
    <w:p w14:paraId="2AC8DB0E"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 xml:space="preserve">visse antipsykotiske lægemidler (f.eks. amisulprid, chlorpromazin, haloperidol, melperon, phenothiaziner, pimozid, thioridazin, sulpirid, sertindol, tiaprid) </w:t>
      </w:r>
    </w:p>
    <w:p w14:paraId="76887542"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SSRI-præparater (f.eks. fluoxetin, sertralin, fluvoxamin);</w:t>
      </w:r>
    </w:p>
    <w:p w14:paraId="6C0768A0"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midler mod malaria, f.eks. chloroquin, halofantrin</w:t>
      </w:r>
    </w:p>
    <w:p w14:paraId="7345A182" w14:textId="77777777" w:rsidR="00626A8A" w:rsidRPr="00626A8A" w:rsidRDefault="00626A8A" w:rsidP="00412B94">
      <w:pPr>
        <w:numPr>
          <w:ilvl w:val="0"/>
          <w:numId w:val="9"/>
        </w:numPr>
        <w:tabs>
          <w:tab w:val="left" w:pos="851"/>
        </w:tabs>
        <w:ind w:left="1134" w:hanging="283"/>
        <w:rPr>
          <w:sz w:val="24"/>
          <w:szCs w:val="24"/>
        </w:rPr>
      </w:pPr>
      <w:r w:rsidRPr="00626A8A">
        <w:rPr>
          <w:sz w:val="24"/>
          <w:szCs w:val="24"/>
        </w:rPr>
        <w:t>cisaprid, domperidon, metadon, pentamidin, tacrolimus, tamoxifen og vincamin</w:t>
      </w:r>
    </w:p>
    <w:p w14:paraId="5151DAE8" w14:textId="77777777" w:rsidR="00626A8A" w:rsidRPr="00626A8A" w:rsidRDefault="00626A8A" w:rsidP="00412B94">
      <w:pPr>
        <w:tabs>
          <w:tab w:val="left" w:pos="851"/>
        </w:tabs>
        <w:ind w:left="851"/>
        <w:rPr>
          <w:sz w:val="24"/>
          <w:szCs w:val="24"/>
        </w:rPr>
      </w:pPr>
      <w:r w:rsidRPr="00626A8A">
        <w:rPr>
          <w:sz w:val="24"/>
          <w:szCs w:val="24"/>
        </w:rPr>
        <w:t xml:space="preserve">Samtidig brug af lægemidler, som inducerer ekstrapyramidale symptomer, f.eks. metoclopramid og andre neuroleptika, kan medføre øget forekomst af disse symptomer og bør derfor undgås. </w:t>
      </w:r>
    </w:p>
    <w:p w14:paraId="4C47D8A9" w14:textId="79912D76" w:rsidR="00626A8A" w:rsidRDefault="00626A8A" w:rsidP="00412B94">
      <w:pPr>
        <w:tabs>
          <w:tab w:val="left" w:pos="851"/>
        </w:tabs>
        <w:ind w:left="851"/>
        <w:rPr>
          <w:sz w:val="24"/>
          <w:szCs w:val="24"/>
        </w:rPr>
      </w:pPr>
      <w:r w:rsidRPr="00626A8A">
        <w:rPr>
          <w:sz w:val="24"/>
          <w:szCs w:val="24"/>
        </w:rPr>
        <w:t>Indtagelse af alkoholholdige drikke og alkoholholdig medicin bør undgås.</w:t>
      </w:r>
    </w:p>
    <w:p w14:paraId="5189F470" w14:textId="77777777" w:rsidR="004B423C" w:rsidRPr="00626A8A" w:rsidRDefault="004B423C" w:rsidP="00412B94">
      <w:pPr>
        <w:tabs>
          <w:tab w:val="left" w:pos="851"/>
        </w:tabs>
        <w:ind w:left="851"/>
        <w:rPr>
          <w:sz w:val="24"/>
          <w:szCs w:val="24"/>
        </w:rPr>
      </w:pPr>
    </w:p>
    <w:p w14:paraId="7B4FB830" w14:textId="6E47ED6E" w:rsidR="00626A8A" w:rsidRPr="00626A8A" w:rsidRDefault="00626A8A" w:rsidP="00412B94">
      <w:pPr>
        <w:tabs>
          <w:tab w:val="left" w:pos="851"/>
        </w:tabs>
        <w:ind w:left="851"/>
        <w:rPr>
          <w:sz w:val="24"/>
          <w:szCs w:val="24"/>
        </w:rPr>
      </w:pPr>
      <w:r w:rsidRPr="00626A8A">
        <w:rPr>
          <w:sz w:val="24"/>
          <w:szCs w:val="24"/>
          <w:u w:val="single"/>
        </w:rPr>
        <w:t>Der bør udvises forsigtighed ved samtidig brug med anden medicin</w:t>
      </w:r>
    </w:p>
    <w:p w14:paraId="3C59FFC0" w14:textId="57642C49" w:rsidR="00626A8A" w:rsidRDefault="00626A8A" w:rsidP="00412B94">
      <w:pPr>
        <w:tabs>
          <w:tab w:val="left" w:pos="851"/>
        </w:tabs>
        <w:ind w:left="851"/>
        <w:rPr>
          <w:sz w:val="24"/>
          <w:szCs w:val="24"/>
        </w:rPr>
      </w:pPr>
      <w:r w:rsidRPr="00626A8A">
        <w:rPr>
          <w:sz w:val="24"/>
          <w:szCs w:val="24"/>
        </w:rPr>
        <w:t>Der bør udvises forsigtighed, når droperidol bruges sammen med anden medicin, som man ved forlænger QT-intervallet.</w:t>
      </w:r>
    </w:p>
    <w:p w14:paraId="3903C2FD" w14:textId="77777777" w:rsidR="003B142E" w:rsidRPr="00626A8A" w:rsidRDefault="003B142E" w:rsidP="00412B94">
      <w:pPr>
        <w:tabs>
          <w:tab w:val="left" w:pos="851"/>
        </w:tabs>
        <w:ind w:left="851"/>
        <w:rPr>
          <w:sz w:val="24"/>
          <w:szCs w:val="24"/>
        </w:rPr>
      </w:pPr>
    </w:p>
    <w:p w14:paraId="63B53B65" w14:textId="080884D0" w:rsidR="00626A8A" w:rsidRDefault="00626A8A" w:rsidP="00412B94">
      <w:pPr>
        <w:tabs>
          <w:tab w:val="left" w:pos="851"/>
        </w:tabs>
        <w:ind w:left="851"/>
        <w:rPr>
          <w:sz w:val="24"/>
          <w:szCs w:val="24"/>
        </w:rPr>
      </w:pPr>
      <w:r w:rsidRPr="00626A8A">
        <w:rPr>
          <w:sz w:val="24"/>
          <w:szCs w:val="24"/>
        </w:rPr>
        <w:t xml:space="preserve">For at reducere risikoen for forlænget QT skal der udvises forsigtighed, når patienterne tager lægemidler, der sandsynligvis vil inducere elektrolytubalance (hypokalæmi og/eller hypomagnesiæmi), f.eks. diuretika, som øger udskillelsen af kalium, laksativer og glukokortikoider. </w:t>
      </w:r>
    </w:p>
    <w:p w14:paraId="49DBDDAE" w14:textId="77777777" w:rsidR="00E43589" w:rsidRPr="00626A8A" w:rsidRDefault="00E43589" w:rsidP="00412B94">
      <w:pPr>
        <w:tabs>
          <w:tab w:val="left" w:pos="851"/>
        </w:tabs>
        <w:ind w:left="851"/>
        <w:rPr>
          <w:sz w:val="24"/>
          <w:szCs w:val="24"/>
        </w:rPr>
      </w:pPr>
    </w:p>
    <w:p w14:paraId="3AB478F1" w14:textId="12D425F2" w:rsidR="00626A8A" w:rsidRDefault="00626A8A" w:rsidP="00412B94">
      <w:pPr>
        <w:tabs>
          <w:tab w:val="left" w:pos="851"/>
        </w:tabs>
        <w:ind w:left="851"/>
        <w:rPr>
          <w:sz w:val="24"/>
          <w:szCs w:val="24"/>
        </w:rPr>
      </w:pPr>
      <w:r w:rsidRPr="00626A8A">
        <w:rPr>
          <w:sz w:val="24"/>
          <w:szCs w:val="24"/>
        </w:rPr>
        <w:t xml:space="preserve">Droperidol kan forstærke virkningen af sedativer (barbiturater, benzodiazepiner, morfinderivater). Det samme gælder for antihypertensive stoffer, der kan resultere i ortostatisk hypotension. Som det er tilfældet for andre sedativer, kan droperidol forstærke respirationsdepression forårsaget af opioider. </w:t>
      </w:r>
    </w:p>
    <w:p w14:paraId="6FC05E32" w14:textId="77777777" w:rsidR="00E43589" w:rsidRPr="00626A8A" w:rsidRDefault="00E43589" w:rsidP="00412B94">
      <w:pPr>
        <w:tabs>
          <w:tab w:val="left" w:pos="851"/>
        </w:tabs>
        <w:ind w:left="851"/>
        <w:rPr>
          <w:sz w:val="24"/>
          <w:szCs w:val="24"/>
        </w:rPr>
      </w:pPr>
    </w:p>
    <w:p w14:paraId="38909AEE" w14:textId="622C1668" w:rsidR="00626A8A" w:rsidRDefault="00626A8A" w:rsidP="00412B94">
      <w:pPr>
        <w:tabs>
          <w:tab w:val="left" w:pos="851"/>
        </w:tabs>
        <w:ind w:left="851"/>
        <w:rPr>
          <w:sz w:val="24"/>
          <w:szCs w:val="24"/>
        </w:rPr>
      </w:pPr>
      <w:r w:rsidRPr="00626A8A">
        <w:rPr>
          <w:sz w:val="24"/>
          <w:szCs w:val="24"/>
        </w:rPr>
        <w:t>Da droperidol blokerer dopaminreceptorerne kan det hæmme virkningen af dopaminagonister som f.eks. bromocriptin, lisurid og L-dopa.</w:t>
      </w:r>
    </w:p>
    <w:p w14:paraId="506489B8" w14:textId="77777777" w:rsidR="00E43589" w:rsidRPr="00626A8A" w:rsidRDefault="00E43589" w:rsidP="00412B94">
      <w:pPr>
        <w:tabs>
          <w:tab w:val="left" w:pos="851"/>
        </w:tabs>
        <w:ind w:left="851"/>
        <w:rPr>
          <w:sz w:val="24"/>
          <w:szCs w:val="24"/>
        </w:rPr>
      </w:pPr>
    </w:p>
    <w:p w14:paraId="1E946D16" w14:textId="77777777" w:rsidR="00626A8A" w:rsidRPr="00626A8A" w:rsidRDefault="00626A8A" w:rsidP="00412B94">
      <w:pPr>
        <w:tabs>
          <w:tab w:val="left" w:pos="851"/>
        </w:tabs>
        <w:ind w:left="851"/>
        <w:rPr>
          <w:sz w:val="24"/>
          <w:szCs w:val="24"/>
        </w:rPr>
      </w:pPr>
      <w:r w:rsidRPr="00626A8A">
        <w:rPr>
          <w:sz w:val="24"/>
          <w:szCs w:val="24"/>
        </w:rPr>
        <w:t>Stoffer, som hæmmer aktiviteten af cytochrome P450 iso-enzymer (CYP) CYP1A2, CYP3A4 eller begge, kan sænke metaboliseringshastigheden for droperidol og forlænge stoffets farmakologiske virkning. Der bør derfor udvises forsigtighed, hvis droperidol gives samtidigt med CYP1A2-hæmmere (f.eks. ciprofloxacin, ticlopidin), CYP3A4-hæmmere (f.eks. diltiazem, erythromycin, fluconazol, indinavir, itraconazol, ketoconazol, nefazodon, nelfinavir, ritonavir, saquinavir, verapamil) eller begge (f.eks. cimetidin, mibefradil).</w:t>
      </w:r>
    </w:p>
    <w:p w14:paraId="4FE3BB93" w14:textId="77777777" w:rsidR="009260DE" w:rsidRPr="00C84483" w:rsidRDefault="009260DE" w:rsidP="00412B94">
      <w:pPr>
        <w:tabs>
          <w:tab w:val="left" w:pos="851"/>
        </w:tabs>
        <w:ind w:left="851"/>
        <w:rPr>
          <w:sz w:val="24"/>
          <w:szCs w:val="24"/>
        </w:rPr>
      </w:pPr>
    </w:p>
    <w:p w14:paraId="6E9FD7E2" w14:textId="77777777" w:rsidR="009260DE" w:rsidRPr="00C84483" w:rsidRDefault="009260DE" w:rsidP="00412B94">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D6E0670" w14:textId="77777777" w:rsidR="007C3228" w:rsidRDefault="007C3228" w:rsidP="00412B94">
      <w:pPr>
        <w:tabs>
          <w:tab w:val="left" w:pos="851"/>
        </w:tabs>
        <w:ind w:left="851"/>
        <w:rPr>
          <w:sz w:val="24"/>
          <w:szCs w:val="24"/>
          <w:u w:val="single"/>
        </w:rPr>
      </w:pPr>
    </w:p>
    <w:p w14:paraId="7B4543AA" w14:textId="57C9A28E" w:rsidR="007C3228" w:rsidRPr="007C3228" w:rsidRDefault="007C3228" w:rsidP="00412B94">
      <w:pPr>
        <w:tabs>
          <w:tab w:val="left" w:pos="851"/>
        </w:tabs>
        <w:ind w:left="851"/>
        <w:rPr>
          <w:sz w:val="24"/>
          <w:szCs w:val="24"/>
        </w:rPr>
      </w:pPr>
      <w:r w:rsidRPr="007C3228">
        <w:rPr>
          <w:sz w:val="24"/>
          <w:szCs w:val="24"/>
          <w:u w:val="single"/>
        </w:rPr>
        <w:t xml:space="preserve">Graviditet </w:t>
      </w:r>
    </w:p>
    <w:p w14:paraId="4B6841E1" w14:textId="77777777" w:rsidR="00E43589" w:rsidRDefault="007C3228" w:rsidP="00412B94">
      <w:pPr>
        <w:tabs>
          <w:tab w:val="left" w:pos="851"/>
        </w:tabs>
        <w:ind w:left="851"/>
        <w:rPr>
          <w:sz w:val="24"/>
          <w:szCs w:val="24"/>
        </w:rPr>
      </w:pPr>
      <w:r w:rsidRPr="007C3228">
        <w:rPr>
          <w:sz w:val="24"/>
          <w:szCs w:val="24"/>
        </w:rPr>
        <w:t>En begrænset mængde kliniske data har vist, at der ikke er nogen forøget risiko for misdannelser.</w:t>
      </w:r>
    </w:p>
    <w:p w14:paraId="188CAD03" w14:textId="79B4371E" w:rsidR="007C3228" w:rsidRDefault="007C3228" w:rsidP="00412B94">
      <w:pPr>
        <w:tabs>
          <w:tab w:val="left" w:pos="851"/>
        </w:tabs>
        <w:ind w:left="851"/>
        <w:rPr>
          <w:sz w:val="24"/>
          <w:szCs w:val="24"/>
        </w:rPr>
      </w:pPr>
      <w:r w:rsidRPr="007C3228">
        <w:rPr>
          <w:sz w:val="24"/>
          <w:szCs w:val="24"/>
        </w:rPr>
        <w:t xml:space="preserve">Der er ikke påvist en teratogen effekt af droperidol hos rotter. Dyrestudier er utilstrækkelige, når det gælder virkningen på graviditet, embryo-/fosterudvikling, fødsel eller postnatal udvikling. </w:t>
      </w:r>
    </w:p>
    <w:p w14:paraId="11B37229" w14:textId="77777777" w:rsidR="00E43589" w:rsidRPr="007C3228" w:rsidRDefault="00E43589" w:rsidP="00412B94">
      <w:pPr>
        <w:tabs>
          <w:tab w:val="left" w:pos="851"/>
        </w:tabs>
        <w:ind w:left="851"/>
        <w:rPr>
          <w:sz w:val="24"/>
          <w:szCs w:val="24"/>
        </w:rPr>
      </w:pPr>
    </w:p>
    <w:p w14:paraId="67D60495" w14:textId="2C2F56E7" w:rsidR="007C3228" w:rsidRDefault="007C3228" w:rsidP="00412B94">
      <w:pPr>
        <w:tabs>
          <w:tab w:val="left" w:pos="851"/>
        </w:tabs>
        <w:ind w:left="851"/>
        <w:rPr>
          <w:sz w:val="24"/>
          <w:szCs w:val="24"/>
        </w:rPr>
      </w:pPr>
      <w:r w:rsidRPr="007C3228">
        <w:rPr>
          <w:sz w:val="24"/>
          <w:szCs w:val="24"/>
        </w:rPr>
        <w:t xml:space="preserve">Hos nyfødte børn af mødre, der har gennemgået langvarig behandling og har modtaget høje doser af neuroleptika, er der beskrevet midlertidige ekstrapyramidale neurologiske forstyrrelser. </w:t>
      </w:r>
    </w:p>
    <w:p w14:paraId="2F25A4C0" w14:textId="77777777" w:rsidR="00E43589" w:rsidRPr="007C3228" w:rsidRDefault="00E43589" w:rsidP="00412B94">
      <w:pPr>
        <w:tabs>
          <w:tab w:val="left" w:pos="851"/>
        </w:tabs>
        <w:ind w:left="851"/>
        <w:rPr>
          <w:sz w:val="24"/>
          <w:szCs w:val="24"/>
        </w:rPr>
      </w:pPr>
    </w:p>
    <w:p w14:paraId="187AC6AF" w14:textId="77777777" w:rsidR="007C3228" w:rsidRPr="007C3228" w:rsidRDefault="007C3228" w:rsidP="00412B94">
      <w:pPr>
        <w:tabs>
          <w:tab w:val="left" w:pos="851"/>
        </w:tabs>
        <w:ind w:left="851"/>
        <w:rPr>
          <w:sz w:val="24"/>
          <w:szCs w:val="24"/>
        </w:rPr>
      </w:pPr>
      <w:r w:rsidRPr="007C3228">
        <w:rPr>
          <w:sz w:val="24"/>
          <w:szCs w:val="24"/>
        </w:rPr>
        <w:t xml:space="preserve">I praksis foretrækkes det for en sikkerheds skyld ikke at administrere droperidol under graviditet. Hvis administration er nødvendig sent i graviditeten, anbefales det at monitorere den nyfødtes neurologiske funktioner. </w:t>
      </w:r>
    </w:p>
    <w:p w14:paraId="0102B4AF" w14:textId="77777777" w:rsidR="007C3228" w:rsidRDefault="007C3228" w:rsidP="00412B94">
      <w:pPr>
        <w:tabs>
          <w:tab w:val="left" w:pos="851"/>
        </w:tabs>
        <w:ind w:left="851"/>
        <w:rPr>
          <w:sz w:val="24"/>
          <w:szCs w:val="24"/>
          <w:u w:val="single"/>
        </w:rPr>
      </w:pPr>
    </w:p>
    <w:p w14:paraId="3924F966" w14:textId="30F9FA43" w:rsidR="007C3228" w:rsidRPr="007C3228" w:rsidRDefault="007C3228" w:rsidP="00412B94">
      <w:pPr>
        <w:tabs>
          <w:tab w:val="left" w:pos="851"/>
        </w:tabs>
        <w:ind w:left="851"/>
        <w:rPr>
          <w:sz w:val="24"/>
          <w:szCs w:val="24"/>
        </w:rPr>
      </w:pPr>
      <w:r w:rsidRPr="007C3228">
        <w:rPr>
          <w:sz w:val="24"/>
          <w:szCs w:val="24"/>
          <w:u w:val="single"/>
        </w:rPr>
        <w:t xml:space="preserve">Amning </w:t>
      </w:r>
    </w:p>
    <w:p w14:paraId="5A807F04" w14:textId="77777777" w:rsidR="007C3228" w:rsidRPr="007C3228" w:rsidRDefault="007C3228" w:rsidP="00412B94">
      <w:pPr>
        <w:tabs>
          <w:tab w:val="left" w:pos="851"/>
        </w:tabs>
        <w:ind w:left="851"/>
        <w:rPr>
          <w:sz w:val="24"/>
          <w:szCs w:val="24"/>
        </w:rPr>
      </w:pPr>
      <w:r w:rsidRPr="007C3228">
        <w:rPr>
          <w:sz w:val="24"/>
          <w:szCs w:val="24"/>
        </w:rPr>
        <w:t xml:space="preserve">Man ved, at neuroleptika af typen butyrophenon udskilles i brystmælk. Behandling med droperidol bør begrænses til én administration. Gentagen administration anbefales ikke. </w:t>
      </w:r>
    </w:p>
    <w:p w14:paraId="5647472E" w14:textId="77777777" w:rsidR="007C3228" w:rsidRDefault="007C3228" w:rsidP="00412B94">
      <w:pPr>
        <w:tabs>
          <w:tab w:val="left" w:pos="851"/>
        </w:tabs>
        <w:ind w:left="851"/>
        <w:rPr>
          <w:sz w:val="24"/>
          <w:szCs w:val="24"/>
          <w:u w:val="single"/>
        </w:rPr>
      </w:pPr>
    </w:p>
    <w:p w14:paraId="0E95A8CE" w14:textId="5FDA56F8" w:rsidR="007C3228" w:rsidRPr="007C3228" w:rsidRDefault="007C3228" w:rsidP="00412B94">
      <w:pPr>
        <w:tabs>
          <w:tab w:val="left" w:pos="851"/>
        </w:tabs>
        <w:ind w:left="851"/>
        <w:rPr>
          <w:sz w:val="24"/>
          <w:szCs w:val="24"/>
        </w:rPr>
      </w:pPr>
      <w:r w:rsidRPr="007C3228">
        <w:rPr>
          <w:sz w:val="24"/>
          <w:szCs w:val="24"/>
          <w:u w:val="single"/>
        </w:rPr>
        <w:t xml:space="preserve">Fertilitet </w:t>
      </w:r>
    </w:p>
    <w:p w14:paraId="1E798CFA" w14:textId="77777777" w:rsidR="007C3228" w:rsidRPr="007C3228" w:rsidRDefault="007C3228" w:rsidP="00412B94">
      <w:pPr>
        <w:tabs>
          <w:tab w:val="left" w:pos="851"/>
        </w:tabs>
        <w:ind w:left="851"/>
        <w:rPr>
          <w:sz w:val="24"/>
          <w:szCs w:val="24"/>
        </w:rPr>
      </w:pPr>
      <w:r w:rsidRPr="007C3228">
        <w:rPr>
          <w:sz w:val="24"/>
          <w:szCs w:val="24"/>
        </w:rPr>
        <w:t xml:space="preserve">Der var ingen effekt af droperidol på fertiliteten i studier i han- og hunrotter (se pkt. 5.3). Den kliniske effekt af droperidol på fertilitet er ikke fastlagt. </w:t>
      </w:r>
    </w:p>
    <w:p w14:paraId="325D0467" w14:textId="77777777" w:rsidR="009260DE" w:rsidRPr="00C84483" w:rsidRDefault="009260DE" w:rsidP="00412B94">
      <w:pPr>
        <w:tabs>
          <w:tab w:val="left" w:pos="851"/>
        </w:tabs>
        <w:ind w:left="851"/>
        <w:rPr>
          <w:sz w:val="24"/>
          <w:szCs w:val="24"/>
        </w:rPr>
      </w:pPr>
    </w:p>
    <w:p w14:paraId="357EB17F" w14:textId="77777777" w:rsidR="009260DE" w:rsidRPr="00C84483" w:rsidRDefault="009260DE" w:rsidP="00412B9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6E49EB4" w14:textId="77777777" w:rsidR="00FB2733" w:rsidRDefault="00FB2733" w:rsidP="00412B94">
      <w:pPr>
        <w:tabs>
          <w:tab w:val="left" w:pos="851"/>
        </w:tabs>
        <w:ind w:left="851"/>
        <w:rPr>
          <w:sz w:val="24"/>
          <w:szCs w:val="24"/>
        </w:rPr>
      </w:pPr>
      <w:r>
        <w:rPr>
          <w:sz w:val="24"/>
          <w:szCs w:val="24"/>
        </w:rPr>
        <w:t>Mærkning.</w:t>
      </w:r>
    </w:p>
    <w:p w14:paraId="008EF010" w14:textId="04CA106B" w:rsidR="00C70ECA" w:rsidRPr="00C70ECA" w:rsidRDefault="00C70ECA" w:rsidP="00412B94">
      <w:pPr>
        <w:tabs>
          <w:tab w:val="left" w:pos="851"/>
        </w:tabs>
        <w:ind w:left="851"/>
        <w:rPr>
          <w:sz w:val="24"/>
          <w:szCs w:val="24"/>
        </w:rPr>
      </w:pPr>
      <w:bookmarkStart w:id="0" w:name="_GoBack"/>
      <w:bookmarkEnd w:id="0"/>
      <w:r w:rsidRPr="00C70ECA">
        <w:rPr>
          <w:sz w:val="24"/>
          <w:szCs w:val="24"/>
        </w:rPr>
        <w:t xml:space="preserve">Droperidol påvirker i væsentlig grad evnen til at føre motorkøretøj og betjene maskiner. Patienterne må ikke føre motorkøretøj eller betjene maskiner i 24 timer efter administration af droperidol. </w:t>
      </w:r>
    </w:p>
    <w:p w14:paraId="451FEEDC" w14:textId="77777777" w:rsidR="009260DE" w:rsidRPr="00C84483" w:rsidRDefault="009260DE" w:rsidP="00412B94">
      <w:pPr>
        <w:tabs>
          <w:tab w:val="left" w:pos="851"/>
        </w:tabs>
        <w:ind w:left="851"/>
        <w:rPr>
          <w:sz w:val="24"/>
          <w:szCs w:val="24"/>
        </w:rPr>
      </w:pPr>
    </w:p>
    <w:p w14:paraId="751B4E0D" w14:textId="77777777" w:rsidR="009260DE" w:rsidRPr="00C84483" w:rsidRDefault="009260DE" w:rsidP="00412B94">
      <w:pPr>
        <w:tabs>
          <w:tab w:val="left" w:pos="851"/>
        </w:tabs>
        <w:ind w:left="851" w:hanging="851"/>
        <w:rPr>
          <w:b/>
          <w:sz w:val="24"/>
          <w:szCs w:val="24"/>
        </w:rPr>
      </w:pPr>
      <w:r w:rsidRPr="00C84483">
        <w:rPr>
          <w:b/>
          <w:sz w:val="24"/>
          <w:szCs w:val="24"/>
        </w:rPr>
        <w:t>4.8</w:t>
      </w:r>
      <w:r w:rsidRPr="00C84483">
        <w:rPr>
          <w:b/>
          <w:sz w:val="24"/>
          <w:szCs w:val="24"/>
        </w:rPr>
        <w:tab/>
        <w:t>Bivirkninger</w:t>
      </w:r>
    </w:p>
    <w:p w14:paraId="325E1506" w14:textId="77777777" w:rsidR="00C70ECA" w:rsidRPr="00440DC1" w:rsidRDefault="00C70ECA" w:rsidP="00412B94">
      <w:pPr>
        <w:ind w:left="851"/>
        <w:rPr>
          <w:sz w:val="24"/>
          <w:szCs w:val="24"/>
        </w:rPr>
      </w:pPr>
      <w:r w:rsidRPr="00440DC1">
        <w:rPr>
          <w:sz w:val="24"/>
          <w:szCs w:val="24"/>
        </w:rPr>
        <w:t>De hyppigst indberettede bivirkninger fra klinisk erfaring er døsighed og sedation. Dertil er der mindre hyppigt indberettet hypotension, hjertearytmi, malignt neuroleptikasyndrom (NMS) og symptomer knyttet til NMS samt bevægelsesforstyrrelser som f.eks. dyskinesi, og desuden er der forekommet tilfælde af angst eller ophidselse.</w:t>
      </w:r>
    </w:p>
    <w:tbl>
      <w:tblPr>
        <w:tblStyle w:val="Tabel-Gitter"/>
        <w:tblW w:w="9915" w:type="dxa"/>
        <w:tblInd w:w="0" w:type="dxa"/>
        <w:tblLayout w:type="fixed"/>
        <w:tblLook w:val="04A0" w:firstRow="1" w:lastRow="0" w:firstColumn="1" w:lastColumn="0" w:noHBand="0" w:noVBand="1"/>
      </w:tblPr>
      <w:tblGrid>
        <w:gridCol w:w="1983"/>
        <w:gridCol w:w="1531"/>
        <w:gridCol w:w="1531"/>
        <w:gridCol w:w="1752"/>
        <w:gridCol w:w="1418"/>
        <w:gridCol w:w="1700"/>
      </w:tblGrid>
      <w:tr w:rsidR="00C70ECA" w:rsidRPr="00440DC1" w14:paraId="566FDA3A"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5E596523"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b/>
                <w:sz w:val="22"/>
                <w:szCs w:val="22"/>
              </w:rPr>
              <w:t>System-organklasse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689E761"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b/>
                <w:sz w:val="22"/>
                <w:szCs w:val="22"/>
              </w:rPr>
              <w:t>Almindelig &gt;_ ≥1/100 til &lt; 1/10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37E2ACA"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b/>
                <w:sz w:val="22"/>
                <w:szCs w:val="22"/>
              </w:rPr>
              <w:t>Ikke almindelig ≥1/1.000 til &lt; 1/100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3C43D9"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b/>
                <w:sz w:val="22"/>
                <w:szCs w:val="22"/>
              </w:rPr>
              <w:t>Sjælden ≥1/10.000 til &lt; 1/1.000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3CC14"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b/>
                <w:sz w:val="22"/>
                <w:szCs w:val="22"/>
              </w:rPr>
              <w:t>Meget sjælden &lt; 1/10.000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B8D27D"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b/>
                <w:sz w:val="22"/>
                <w:szCs w:val="22"/>
              </w:rPr>
              <w:t>Ikke kendt (kan ikke estimeres ud fra forhåndenværende data)</w:t>
            </w:r>
          </w:p>
        </w:tc>
      </w:tr>
      <w:tr w:rsidR="00C70ECA" w:rsidRPr="00440DC1" w14:paraId="31E80A2D"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1C13D497"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Blod og lymfesystem</w:t>
            </w:r>
          </w:p>
        </w:tc>
        <w:tc>
          <w:tcPr>
            <w:tcW w:w="1531" w:type="dxa"/>
            <w:tcBorders>
              <w:top w:val="single" w:sz="4" w:space="0" w:color="auto"/>
              <w:left w:val="single" w:sz="4" w:space="0" w:color="auto"/>
              <w:bottom w:val="single" w:sz="4" w:space="0" w:color="auto"/>
              <w:right w:val="single" w:sz="4" w:space="0" w:color="auto"/>
            </w:tcBorders>
            <w:vAlign w:val="center"/>
          </w:tcPr>
          <w:p w14:paraId="3FCF5F73" w14:textId="77777777" w:rsidR="00C70ECA" w:rsidRPr="00440DC1" w:rsidRDefault="00C70ECA" w:rsidP="00412B94">
            <w:pPr>
              <w:jc w:val="center"/>
              <w:rPr>
                <w:rFonts w:ascii="Times New Roman" w:hAnsi="Times New Roman" w:cs="Times New Roman"/>
                <w:sz w:val="22"/>
                <w:lang w:val="en-GB"/>
              </w:rPr>
            </w:pPr>
          </w:p>
        </w:tc>
        <w:tc>
          <w:tcPr>
            <w:tcW w:w="1531" w:type="dxa"/>
            <w:tcBorders>
              <w:top w:val="single" w:sz="4" w:space="0" w:color="auto"/>
              <w:left w:val="single" w:sz="4" w:space="0" w:color="auto"/>
              <w:bottom w:val="single" w:sz="4" w:space="0" w:color="auto"/>
              <w:right w:val="single" w:sz="4" w:space="0" w:color="auto"/>
            </w:tcBorders>
            <w:vAlign w:val="center"/>
          </w:tcPr>
          <w:p w14:paraId="118D9A45" w14:textId="77777777" w:rsidR="00C70ECA" w:rsidRPr="00440DC1" w:rsidRDefault="00C70ECA" w:rsidP="00412B94">
            <w:pPr>
              <w:jc w:val="center"/>
              <w:rPr>
                <w:rFonts w:ascii="Times New Roman" w:hAnsi="Times New Roman" w:cs="Times New Roman"/>
                <w:sz w:val="22"/>
                <w:lang w:val="en-GB"/>
              </w:rPr>
            </w:pPr>
          </w:p>
        </w:tc>
        <w:tc>
          <w:tcPr>
            <w:tcW w:w="1753" w:type="dxa"/>
            <w:tcBorders>
              <w:top w:val="single" w:sz="4" w:space="0" w:color="auto"/>
              <w:left w:val="single" w:sz="4" w:space="0" w:color="auto"/>
              <w:bottom w:val="single" w:sz="4" w:space="0" w:color="auto"/>
              <w:right w:val="single" w:sz="4" w:space="0" w:color="auto"/>
            </w:tcBorders>
            <w:vAlign w:val="center"/>
          </w:tcPr>
          <w:p w14:paraId="0063F43B" w14:textId="77777777" w:rsidR="00C70ECA" w:rsidRPr="00440DC1" w:rsidRDefault="00C70ECA" w:rsidP="00412B94">
            <w:pPr>
              <w:jc w:val="center"/>
              <w:rPr>
                <w:rFonts w:ascii="Times New Roman" w:hAnsi="Times New Roman" w:cs="Times New Roman"/>
                <w:sz w:val="22"/>
                <w:lang w:val="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59D2087"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Bloddyskrasi</w:t>
            </w:r>
          </w:p>
        </w:tc>
        <w:tc>
          <w:tcPr>
            <w:tcW w:w="1701" w:type="dxa"/>
            <w:tcBorders>
              <w:top w:val="single" w:sz="4" w:space="0" w:color="auto"/>
              <w:left w:val="single" w:sz="4" w:space="0" w:color="auto"/>
              <w:bottom w:val="single" w:sz="4" w:space="0" w:color="auto"/>
              <w:right w:val="single" w:sz="4" w:space="0" w:color="auto"/>
            </w:tcBorders>
            <w:vAlign w:val="center"/>
          </w:tcPr>
          <w:p w14:paraId="47F58B26" w14:textId="77777777" w:rsidR="00C70ECA" w:rsidRPr="00440DC1" w:rsidRDefault="00C70ECA" w:rsidP="00412B94">
            <w:pPr>
              <w:jc w:val="center"/>
              <w:rPr>
                <w:rFonts w:ascii="Times New Roman" w:hAnsi="Times New Roman" w:cs="Times New Roman"/>
                <w:sz w:val="22"/>
                <w:lang w:val="en-GB"/>
              </w:rPr>
            </w:pPr>
          </w:p>
        </w:tc>
      </w:tr>
      <w:tr w:rsidR="00C70ECA" w:rsidRPr="00440DC1" w14:paraId="381E6B52"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2DDB3671"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Immunsystemet</w:t>
            </w:r>
          </w:p>
        </w:tc>
        <w:tc>
          <w:tcPr>
            <w:tcW w:w="1531" w:type="dxa"/>
            <w:tcBorders>
              <w:top w:val="single" w:sz="4" w:space="0" w:color="auto"/>
              <w:left w:val="single" w:sz="4" w:space="0" w:color="auto"/>
              <w:bottom w:val="single" w:sz="4" w:space="0" w:color="auto"/>
              <w:right w:val="single" w:sz="4" w:space="0" w:color="auto"/>
            </w:tcBorders>
            <w:vAlign w:val="center"/>
          </w:tcPr>
          <w:p w14:paraId="4DC45B93" w14:textId="77777777" w:rsidR="00C70ECA" w:rsidRPr="00440DC1" w:rsidRDefault="00C70ECA" w:rsidP="00412B94">
            <w:pPr>
              <w:jc w:val="center"/>
              <w:rPr>
                <w:rFonts w:ascii="Times New Roman" w:hAnsi="Times New Roman" w:cs="Times New Roman"/>
                <w:sz w:val="22"/>
                <w:lang w:val="en-GB"/>
              </w:rPr>
            </w:pPr>
          </w:p>
        </w:tc>
        <w:tc>
          <w:tcPr>
            <w:tcW w:w="1531" w:type="dxa"/>
            <w:tcBorders>
              <w:top w:val="single" w:sz="4" w:space="0" w:color="auto"/>
              <w:left w:val="single" w:sz="4" w:space="0" w:color="auto"/>
              <w:bottom w:val="single" w:sz="4" w:space="0" w:color="auto"/>
              <w:right w:val="single" w:sz="4" w:space="0" w:color="auto"/>
            </w:tcBorders>
            <w:vAlign w:val="center"/>
          </w:tcPr>
          <w:p w14:paraId="00F9FE08" w14:textId="77777777" w:rsidR="00C70ECA" w:rsidRPr="00440DC1" w:rsidRDefault="00C70ECA" w:rsidP="00412B94">
            <w:pPr>
              <w:jc w:val="center"/>
              <w:rPr>
                <w:rFonts w:ascii="Times New Roman" w:hAnsi="Times New Roman" w:cs="Times New Roman"/>
                <w:sz w:val="22"/>
                <w:lang w:val="en-GB"/>
              </w:rPr>
            </w:pPr>
          </w:p>
        </w:tc>
        <w:tc>
          <w:tcPr>
            <w:tcW w:w="1753" w:type="dxa"/>
            <w:tcBorders>
              <w:top w:val="single" w:sz="4" w:space="0" w:color="auto"/>
              <w:left w:val="single" w:sz="4" w:space="0" w:color="auto"/>
              <w:bottom w:val="single" w:sz="4" w:space="0" w:color="auto"/>
              <w:right w:val="single" w:sz="4" w:space="0" w:color="auto"/>
            </w:tcBorders>
            <w:vAlign w:val="center"/>
            <w:hideMark/>
          </w:tcPr>
          <w:p w14:paraId="11933467"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Anafylaktisk reaktion; angioneurotisk ødem; overfølsomhed</w:t>
            </w:r>
          </w:p>
        </w:tc>
        <w:tc>
          <w:tcPr>
            <w:tcW w:w="1418" w:type="dxa"/>
            <w:tcBorders>
              <w:top w:val="single" w:sz="4" w:space="0" w:color="auto"/>
              <w:left w:val="single" w:sz="4" w:space="0" w:color="auto"/>
              <w:bottom w:val="single" w:sz="4" w:space="0" w:color="auto"/>
              <w:right w:val="single" w:sz="4" w:space="0" w:color="auto"/>
            </w:tcBorders>
            <w:vAlign w:val="center"/>
          </w:tcPr>
          <w:p w14:paraId="574E0F70" w14:textId="77777777" w:rsidR="00C70ECA" w:rsidRPr="00440DC1" w:rsidRDefault="00C70ECA" w:rsidP="00412B94">
            <w:pPr>
              <w:jc w:val="cente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8B30D9F" w14:textId="77777777" w:rsidR="00C70ECA" w:rsidRPr="00440DC1" w:rsidRDefault="00C70ECA" w:rsidP="00412B94">
            <w:pPr>
              <w:jc w:val="center"/>
              <w:rPr>
                <w:rFonts w:ascii="Times New Roman" w:hAnsi="Times New Roman" w:cs="Times New Roman"/>
                <w:sz w:val="22"/>
              </w:rPr>
            </w:pPr>
          </w:p>
        </w:tc>
      </w:tr>
      <w:tr w:rsidR="00C70ECA" w:rsidRPr="00440DC1" w14:paraId="40B3E8B6"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02080B79"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Metabolisme og ernæring</w:t>
            </w:r>
          </w:p>
        </w:tc>
        <w:tc>
          <w:tcPr>
            <w:tcW w:w="1531" w:type="dxa"/>
            <w:tcBorders>
              <w:top w:val="single" w:sz="4" w:space="0" w:color="auto"/>
              <w:left w:val="single" w:sz="4" w:space="0" w:color="auto"/>
              <w:bottom w:val="single" w:sz="4" w:space="0" w:color="auto"/>
              <w:right w:val="single" w:sz="4" w:space="0" w:color="auto"/>
            </w:tcBorders>
            <w:vAlign w:val="center"/>
          </w:tcPr>
          <w:p w14:paraId="09ACDCE7" w14:textId="77777777" w:rsidR="00C70ECA" w:rsidRPr="00440DC1" w:rsidRDefault="00C70ECA" w:rsidP="00412B94">
            <w:pPr>
              <w:jc w:val="center"/>
              <w:rPr>
                <w:rFonts w:ascii="Times New Roman" w:hAnsi="Times New Roman" w:cs="Times New Roman"/>
                <w:sz w:val="22"/>
                <w:lang w:val="en-GB"/>
              </w:rPr>
            </w:pPr>
          </w:p>
        </w:tc>
        <w:tc>
          <w:tcPr>
            <w:tcW w:w="1531" w:type="dxa"/>
            <w:tcBorders>
              <w:top w:val="single" w:sz="4" w:space="0" w:color="auto"/>
              <w:left w:val="single" w:sz="4" w:space="0" w:color="auto"/>
              <w:bottom w:val="single" w:sz="4" w:space="0" w:color="auto"/>
              <w:right w:val="single" w:sz="4" w:space="0" w:color="auto"/>
            </w:tcBorders>
            <w:vAlign w:val="center"/>
          </w:tcPr>
          <w:p w14:paraId="47A34962" w14:textId="77777777" w:rsidR="00C70ECA" w:rsidRPr="00440DC1" w:rsidRDefault="00C70ECA" w:rsidP="00412B94">
            <w:pPr>
              <w:jc w:val="center"/>
              <w:rPr>
                <w:rFonts w:ascii="Times New Roman" w:hAnsi="Times New Roman" w:cs="Times New Roman"/>
                <w:sz w:val="22"/>
                <w:lang w:val="en-GB"/>
              </w:rPr>
            </w:pPr>
          </w:p>
        </w:tc>
        <w:tc>
          <w:tcPr>
            <w:tcW w:w="1753" w:type="dxa"/>
            <w:tcBorders>
              <w:top w:val="single" w:sz="4" w:space="0" w:color="auto"/>
              <w:left w:val="single" w:sz="4" w:space="0" w:color="auto"/>
              <w:bottom w:val="single" w:sz="4" w:space="0" w:color="auto"/>
              <w:right w:val="single" w:sz="4" w:space="0" w:color="auto"/>
            </w:tcBorders>
            <w:vAlign w:val="center"/>
          </w:tcPr>
          <w:p w14:paraId="5E431FAA" w14:textId="77777777" w:rsidR="00C70ECA" w:rsidRPr="00440DC1" w:rsidRDefault="00C70ECA" w:rsidP="00412B94">
            <w:pPr>
              <w:jc w:val="center"/>
              <w:rPr>
                <w:rFonts w:ascii="Times New Roman" w:hAnsi="Times New Roman" w:cs="Times New Roman"/>
                <w:sz w:val="22"/>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50229CF7" w14:textId="77777777" w:rsidR="00C70ECA" w:rsidRPr="00440DC1" w:rsidRDefault="00C70ECA" w:rsidP="00412B94">
            <w:pPr>
              <w:jc w:val="center"/>
              <w:rPr>
                <w:rFonts w:ascii="Times New Roman" w:hAnsi="Times New Roman" w:cs="Times New Roman"/>
                <w:sz w:val="22"/>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AEC9243"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Uhensigtsmæssig antidiuretisk hormonudskillelse</w:t>
            </w:r>
          </w:p>
        </w:tc>
      </w:tr>
      <w:tr w:rsidR="00C70ECA" w:rsidRPr="00440DC1" w14:paraId="3CBA99CB"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50F355D3"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Psykiatriske tilstande</w:t>
            </w:r>
          </w:p>
        </w:tc>
        <w:tc>
          <w:tcPr>
            <w:tcW w:w="1531" w:type="dxa"/>
            <w:tcBorders>
              <w:top w:val="single" w:sz="4" w:space="0" w:color="auto"/>
              <w:left w:val="single" w:sz="4" w:space="0" w:color="auto"/>
              <w:bottom w:val="single" w:sz="4" w:space="0" w:color="auto"/>
              <w:right w:val="single" w:sz="4" w:space="0" w:color="auto"/>
            </w:tcBorders>
            <w:vAlign w:val="center"/>
          </w:tcPr>
          <w:p w14:paraId="223052FA" w14:textId="77777777" w:rsidR="00C70ECA" w:rsidRPr="00440DC1" w:rsidRDefault="00C70ECA" w:rsidP="00412B94">
            <w:pPr>
              <w:jc w:val="center"/>
              <w:rPr>
                <w:rFonts w:ascii="Times New Roman" w:hAnsi="Times New Roman" w:cs="Times New Roman"/>
                <w:sz w:val="22"/>
                <w:lang w:val="en-GB"/>
              </w:rPr>
            </w:pPr>
          </w:p>
        </w:tc>
        <w:tc>
          <w:tcPr>
            <w:tcW w:w="1531" w:type="dxa"/>
            <w:tcBorders>
              <w:top w:val="single" w:sz="4" w:space="0" w:color="auto"/>
              <w:left w:val="single" w:sz="4" w:space="0" w:color="auto"/>
              <w:bottom w:val="single" w:sz="4" w:space="0" w:color="auto"/>
              <w:right w:val="single" w:sz="4" w:space="0" w:color="auto"/>
            </w:tcBorders>
            <w:vAlign w:val="center"/>
            <w:hideMark/>
          </w:tcPr>
          <w:p w14:paraId="32EBF3B3"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Angst; rastløshed/akatisi</w:t>
            </w:r>
          </w:p>
        </w:tc>
        <w:tc>
          <w:tcPr>
            <w:tcW w:w="1753" w:type="dxa"/>
            <w:tcBorders>
              <w:top w:val="single" w:sz="4" w:space="0" w:color="auto"/>
              <w:left w:val="single" w:sz="4" w:space="0" w:color="auto"/>
              <w:bottom w:val="single" w:sz="4" w:space="0" w:color="auto"/>
              <w:right w:val="single" w:sz="4" w:space="0" w:color="auto"/>
            </w:tcBorders>
            <w:vAlign w:val="center"/>
            <w:hideMark/>
          </w:tcPr>
          <w:p w14:paraId="20F0DA51"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Forvirringstilstande; ophidselse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F4296B"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Dysfori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E5DF76"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Hallucinationer</w:t>
            </w:r>
          </w:p>
        </w:tc>
      </w:tr>
      <w:tr w:rsidR="00C70ECA" w:rsidRPr="00440DC1" w14:paraId="5BBE8C27"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5DAAD830"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Nervesystemet</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E34824D"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Døsighed</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F77AE25"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Dystoni; okulogyration</w:t>
            </w:r>
          </w:p>
        </w:tc>
        <w:tc>
          <w:tcPr>
            <w:tcW w:w="1753" w:type="dxa"/>
            <w:tcBorders>
              <w:top w:val="single" w:sz="4" w:space="0" w:color="auto"/>
              <w:left w:val="single" w:sz="4" w:space="0" w:color="auto"/>
              <w:bottom w:val="single" w:sz="4" w:space="0" w:color="auto"/>
              <w:right w:val="single" w:sz="4" w:space="0" w:color="auto"/>
            </w:tcBorders>
            <w:vAlign w:val="center"/>
          </w:tcPr>
          <w:p w14:paraId="6D60AA1D" w14:textId="77777777" w:rsidR="00C70ECA" w:rsidRPr="00440DC1" w:rsidRDefault="00C70ECA" w:rsidP="00412B94">
            <w:pPr>
              <w:jc w:val="center"/>
              <w:rPr>
                <w:rFonts w:ascii="Times New Roman" w:hAnsi="Times New Roman" w:cs="Times New Roman"/>
                <w:sz w:val="22"/>
                <w:lang w:val="en-G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06B1139"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Ekstrapyramidale forstyrrelser; kramper; rysten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8086C2"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Epileptiske anfald; Parkinsons sygdom; psykomotorisk hyperaktivitet; koma</w:t>
            </w:r>
          </w:p>
        </w:tc>
      </w:tr>
      <w:tr w:rsidR="00C70ECA" w:rsidRPr="00440DC1" w14:paraId="691F2A95"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38139F8B"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Hjerte</w:t>
            </w:r>
          </w:p>
        </w:tc>
        <w:tc>
          <w:tcPr>
            <w:tcW w:w="1531" w:type="dxa"/>
            <w:tcBorders>
              <w:top w:val="single" w:sz="4" w:space="0" w:color="auto"/>
              <w:left w:val="single" w:sz="4" w:space="0" w:color="auto"/>
              <w:bottom w:val="single" w:sz="4" w:space="0" w:color="auto"/>
              <w:right w:val="single" w:sz="4" w:space="0" w:color="auto"/>
            </w:tcBorders>
            <w:vAlign w:val="center"/>
          </w:tcPr>
          <w:p w14:paraId="63DC5622" w14:textId="77777777" w:rsidR="00C70ECA" w:rsidRPr="00440DC1" w:rsidRDefault="00C70ECA" w:rsidP="00412B94">
            <w:pPr>
              <w:jc w:val="center"/>
              <w:rPr>
                <w:rFonts w:ascii="Times New Roman" w:hAnsi="Times New Roman" w:cs="Times New Roman"/>
                <w:sz w:val="22"/>
                <w:lang w:val="en-GB"/>
              </w:rPr>
            </w:pPr>
          </w:p>
        </w:tc>
        <w:tc>
          <w:tcPr>
            <w:tcW w:w="1531" w:type="dxa"/>
            <w:tcBorders>
              <w:top w:val="single" w:sz="4" w:space="0" w:color="auto"/>
              <w:left w:val="single" w:sz="4" w:space="0" w:color="auto"/>
              <w:bottom w:val="single" w:sz="4" w:space="0" w:color="auto"/>
              <w:right w:val="single" w:sz="4" w:space="0" w:color="auto"/>
            </w:tcBorders>
            <w:vAlign w:val="center"/>
            <w:hideMark/>
          </w:tcPr>
          <w:p w14:paraId="16E150DD"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Takykardi; svimmelhed</w:t>
            </w:r>
          </w:p>
        </w:tc>
        <w:tc>
          <w:tcPr>
            <w:tcW w:w="1753" w:type="dxa"/>
            <w:tcBorders>
              <w:top w:val="single" w:sz="4" w:space="0" w:color="auto"/>
              <w:left w:val="single" w:sz="4" w:space="0" w:color="auto"/>
              <w:bottom w:val="single" w:sz="4" w:space="0" w:color="auto"/>
              <w:right w:val="single" w:sz="4" w:space="0" w:color="auto"/>
            </w:tcBorders>
            <w:vAlign w:val="center"/>
            <w:hideMark/>
          </w:tcPr>
          <w:p w14:paraId="5CE7E116"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Hjertearytmi, herunder ventrikelarytmi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2E8AD"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Hjertestop; torsade de pointes; EKG forlænget QT</w:t>
            </w:r>
          </w:p>
        </w:tc>
        <w:tc>
          <w:tcPr>
            <w:tcW w:w="1701" w:type="dxa"/>
            <w:tcBorders>
              <w:top w:val="single" w:sz="4" w:space="0" w:color="auto"/>
              <w:left w:val="single" w:sz="4" w:space="0" w:color="auto"/>
              <w:bottom w:val="single" w:sz="4" w:space="0" w:color="auto"/>
              <w:right w:val="single" w:sz="4" w:space="0" w:color="auto"/>
            </w:tcBorders>
            <w:vAlign w:val="center"/>
          </w:tcPr>
          <w:p w14:paraId="58950CF6" w14:textId="77777777" w:rsidR="00C70ECA" w:rsidRPr="00440DC1" w:rsidRDefault="00C70ECA" w:rsidP="00412B94">
            <w:pPr>
              <w:jc w:val="center"/>
              <w:rPr>
                <w:rFonts w:ascii="Times New Roman" w:hAnsi="Times New Roman" w:cs="Times New Roman"/>
                <w:sz w:val="22"/>
              </w:rPr>
            </w:pPr>
          </w:p>
        </w:tc>
      </w:tr>
      <w:tr w:rsidR="00C70ECA" w:rsidRPr="00440DC1" w14:paraId="2B5ED847"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6BB18193"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Vaskulære sygdomme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3C4D061" w14:textId="77777777" w:rsidR="00C70ECA" w:rsidRPr="00440DC1" w:rsidRDefault="00C70ECA" w:rsidP="00412B94">
            <w:pPr>
              <w:jc w:val="center"/>
              <w:rPr>
                <w:rFonts w:ascii="Times New Roman" w:hAnsi="Times New Roman" w:cs="Times New Roman"/>
                <w:sz w:val="22"/>
              </w:rPr>
            </w:pPr>
            <w:r w:rsidRPr="00440DC1">
              <w:rPr>
                <w:rFonts w:ascii="Times New Roman" w:hAnsi="Times New Roman" w:cs="Times New Roman"/>
                <w:sz w:val="22"/>
              </w:rPr>
              <w:t>Hypotension</w:t>
            </w:r>
          </w:p>
        </w:tc>
        <w:tc>
          <w:tcPr>
            <w:tcW w:w="1531" w:type="dxa"/>
            <w:tcBorders>
              <w:top w:val="single" w:sz="4" w:space="0" w:color="auto"/>
              <w:left w:val="single" w:sz="4" w:space="0" w:color="auto"/>
              <w:bottom w:val="single" w:sz="4" w:space="0" w:color="auto"/>
              <w:right w:val="single" w:sz="4" w:space="0" w:color="auto"/>
            </w:tcBorders>
            <w:vAlign w:val="center"/>
          </w:tcPr>
          <w:p w14:paraId="007AC2FA" w14:textId="77777777" w:rsidR="00C70ECA" w:rsidRPr="00440DC1" w:rsidRDefault="00C70ECA" w:rsidP="00412B94">
            <w:pPr>
              <w:jc w:val="center"/>
              <w:rPr>
                <w:rFonts w:ascii="Times New Roman" w:hAnsi="Times New Roman" w:cs="Times New Roman"/>
                <w:sz w:val="22"/>
                <w:lang w:val="en-GB"/>
              </w:rPr>
            </w:pPr>
          </w:p>
        </w:tc>
        <w:tc>
          <w:tcPr>
            <w:tcW w:w="1753" w:type="dxa"/>
            <w:tcBorders>
              <w:top w:val="single" w:sz="4" w:space="0" w:color="auto"/>
              <w:left w:val="single" w:sz="4" w:space="0" w:color="auto"/>
              <w:bottom w:val="single" w:sz="4" w:space="0" w:color="auto"/>
              <w:right w:val="single" w:sz="4" w:space="0" w:color="auto"/>
            </w:tcBorders>
            <w:vAlign w:val="center"/>
          </w:tcPr>
          <w:p w14:paraId="0096AAF8" w14:textId="77777777" w:rsidR="00C70ECA" w:rsidRPr="00440DC1" w:rsidRDefault="00C70ECA" w:rsidP="00412B94">
            <w:pPr>
              <w:jc w:val="center"/>
              <w:rPr>
                <w:rFonts w:ascii="Times New Roman" w:hAnsi="Times New Roman" w:cs="Times New Roman"/>
                <w:sz w:val="22"/>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2F299DC6" w14:textId="77777777" w:rsidR="00C70ECA" w:rsidRPr="00440DC1" w:rsidRDefault="00C70ECA" w:rsidP="00412B94">
            <w:pPr>
              <w:jc w:val="center"/>
              <w:rPr>
                <w:rFonts w:ascii="Times New Roman" w:hAnsi="Times New Roman" w:cs="Times New Roman"/>
                <w:sz w:val="22"/>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968450"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Synkope</w:t>
            </w:r>
          </w:p>
        </w:tc>
      </w:tr>
      <w:tr w:rsidR="00C70ECA" w:rsidRPr="00440DC1" w14:paraId="7B58BC6C"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709BEA77"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Luftveje, thorax og mediastinum</w:t>
            </w:r>
          </w:p>
        </w:tc>
        <w:tc>
          <w:tcPr>
            <w:tcW w:w="1531" w:type="dxa"/>
            <w:tcBorders>
              <w:top w:val="single" w:sz="4" w:space="0" w:color="auto"/>
              <w:left w:val="single" w:sz="4" w:space="0" w:color="auto"/>
              <w:bottom w:val="single" w:sz="4" w:space="0" w:color="auto"/>
              <w:right w:val="single" w:sz="4" w:space="0" w:color="auto"/>
            </w:tcBorders>
            <w:vAlign w:val="center"/>
          </w:tcPr>
          <w:p w14:paraId="287ECCCB" w14:textId="77777777" w:rsidR="00C70ECA" w:rsidRPr="00440DC1" w:rsidRDefault="00C70ECA" w:rsidP="00412B94">
            <w:pPr>
              <w:jc w:val="center"/>
              <w:rPr>
                <w:rFonts w:ascii="Times New Roman" w:hAnsi="Times New Roman" w:cs="Times New Roman"/>
                <w:sz w:val="22"/>
                <w:lang w:val="en-GB"/>
              </w:rPr>
            </w:pPr>
          </w:p>
        </w:tc>
        <w:tc>
          <w:tcPr>
            <w:tcW w:w="1531" w:type="dxa"/>
            <w:tcBorders>
              <w:top w:val="single" w:sz="4" w:space="0" w:color="auto"/>
              <w:left w:val="single" w:sz="4" w:space="0" w:color="auto"/>
              <w:bottom w:val="single" w:sz="4" w:space="0" w:color="auto"/>
              <w:right w:val="single" w:sz="4" w:space="0" w:color="auto"/>
            </w:tcBorders>
            <w:vAlign w:val="center"/>
          </w:tcPr>
          <w:p w14:paraId="23836170" w14:textId="77777777" w:rsidR="00C70ECA" w:rsidRPr="00440DC1" w:rsidRDefault="00C70ECA" w:rsidP="00412B94">
            <w:pPr>
              <w:jc w:val="center"/>
              <w:rPr>
                <w:rFonts w:ascii="Times New Roman" w:hAnsi="Times New Roman" w:cs="Times New Roman"/>
                <w:sz w:val="22"/>
                <w:lang w:val="en-GB"/>
              </w:rPr>
            </w:pPr>
          </w:p>
        </w:tc>
        <w:tc>
          <w:tcPr>
            <w:tcW w:w="1753" w:type="dxa"/>
            <w:tcBorders>
              <w:top w:val="single" w:sz="4" w:space="0" w:color="auto"/>
              <w:left w:val="single" w:sz="4" w:space="0" w:color="auto"/>
              <w:bottom w:val="single" w:sz="4" w:space="0" w:color="auto"/>
              <w:right w:val="single" w:sz="4" w:space="0" w:color="auto"/>
            </w:tcBorders>
            <w:vAlign w:val="center"/>
          </w:tcPr>
          <w:p w14:paraId="023DC96D" w14:textId="77777777" w:rsidR="00C70ECA" w:rsidRPr="00440DC1" w:rsidRDefault="00C70ECA" w:rsidP="00412B94">
            <w:pPr>
              <w:jc w:val="center"/>
              <w:rPr>
                <w:rFonts w:ascii="Times New Roman" w:hAnsi="Times New Roman" w:cs="Times New Roman"/>
                <w:sz w:val="22"/>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176515DE" w14:textId="77777777" w:rsidR="00C70ECA" w:rsidRPr="00440DC1" w:rsidRDefault="00C70ECA" w:rsidP="00412B94">
            <w:pPr>
              <w:jc w:val="center"/>
              <w:rPr>
                <w:rFonts w:ascii="Times New Roman" w:hAnsi="Times New Roman" w:cs="Times New Roman"/>
                <w:sz w:val="22"/>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C04B321"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Bronchospasme; laryngospasme</w:t>
            </w:r>
          </w:p>
        </w:tc>
      </w:tr>
      <w:tr w:rsidR="00C70ECA" w:rsidRPr="00440DC1" w14:paraId="4AA69996"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1641675C"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Hud og subkutane system</w:t>
            </w:r>
          </w:p>
        </w:tc>
        <w:tc>
          <w:tcPr>
            <w:tcW w:w="1531" w:type="dxa"/>
            <w:tcBorders>
              <w:top w:val="single" w:sz="4" w:space="0" w:color="auto"/>
              <w:left w:val="single" w:sz="4" w:space="0" w:color="auto"/>
              <w:bottom w:val="single" w:sz="4" w:space="0" w:color="auto"/>
              <w:right w:val="single" w:sz="4" w:space="0" w:color="auto"/>
            </w:tcBorders>
            <w:vAlign w:val="center"/>
          </w:tcPr>
          <w:p w14:paraId="6626EC17" w14:textId="77777777" w:rsidR="00C70ECA" w:rsidRPr="00440DC1" w:rsidRDefault="00C70ECA" w:rsidP="00412B94">
            <w:pPr>
              <w:jc w:val="center"/>
              <w:rPr>
                <w:rFonts w:ascii="Times New Roman" w:hAnsi="Times New Roman" w:cs="Times New Roman"/>
                <w:sz w:val="22"/>
                <w:lang w:val="en-GB"/>
              </w:rPr>
            </w:pPr>
          </w:p>
        </w:tc>
        <w:tc>
          <w:tcPr>
            <w:tcW w:w="1531" w:type="dxa"/>
            <w:tcBorders>
              <w:top w:val="single" w:sz="4" w:space="0" w:color="auto"/>
              <w:left w:val="single" w:sz="4" w:space="0" w:color="auto"/>
              <w:bottom w:val="single" w:sz="4" w:space="0" w:color="auto"/>
              <w:right w:val="single" w:sz="4" w:space="0" w:color="auto"/>
            </w:tcBorders>
            <w:vAlign w:val="center"/>
          </w:tcPr>
          <w:p w14:paraId="7E3C2CFB" w14:textId="77777777" w:rsidR="00C70ECA" w:rsidRPr="00440DC1" w:rsidRDefault="00C70ECA" w:rsidP="00412B94">
            <w:pPr>
              <w:jc w:val="center"/>
              <w:rPr>
                <w:rFonts w:ascii="Times New Roman" w:hAnsi="Times New Roman" w:cs="Times New Roman"/>
                <w:sz w:val="22"/>
                <w:lang w:val="en-GB"/>
              </w:rPr>
            </w:pPr>
          </w:p>
        </w:tc>
        <w:tc>
          <w:tcPr>
            <w:tcW w:w="1753" w:type="dxa"/>
            <w:tcBorders>
              <w:top w:val="single" w:sz="4" w:space="0" w:color="auto"/>
              <w:left w:val="single" w:sz="4" w:space="0" w:color="auto"/>
              <w:bottom w:val="single" w:sz="4" w:space="0" w:color="auto"/>
              <w:right w:val="single" w:sz="4" w:space="0" w:color="auto"/>
            </w:tcBorders>
            <w:vAlign w:val="center"/>
            <w:hideMark/>
          </w:tcPr>
          <w:p w14:paraId="65969856"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Udslæt</w:t>
            </w:r>
          </w:p>
        </w:tc>
        <w:tc>
          <w:tcPr>
            <w:tcW w:w="1418" w:type="dxa"/>
            <w:tcBorders>
              <w:top w:val="single" w:sz="4" w:space="0" w:color="auto"/>
              <w:left w:val="single" w:sz="4" w:space="0" w:color="auto"/>
              <w:bottom w:val="single" w:sz="4" w:space="0" w:color="auto"/>
              <w:right w:val="single" w:sz="4" w:space="0" w:color="auto"/>
            </w:tcBorders>
            <w:vAlign w:val="center"/>
          </w:tcPr>
          <w:p w14:paraId="5D5EFE85" w14:textId="77777777" w:rsidR="00C70ECA" w:rsidRPr="00440DC1" w:rsidRDefault="00C70ECA" w:rsidP="00412B94">
            <w:pPr>
              <w:jc w:val="center"/>
              <w:rPr>
                <w:rFonts w:ascii="Times New Roman" w:hAnsi="Times New Roman" w:cs="Times New Roman"/>
                <w:sz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20572802" w14:textId="77777777" w:rsidR="00C70ECA" w:rsidRPr="00440DC1" w:rsidRDefault="00C70ECA" w:rsidP="00412B94">
            <w:pPr>
              <w:jc w:val="center"/>
              <w:rPr>
                <w:rFonts w:ascii="Times New Roman" w:hAnsi="Times New Roman" w:cs="Times New Roman"/>
                <w:sz w:val="22"/>
                <w:lang w:val="en-GB"/>
              </w:rPr>
            </w:pPr>
          </w:p>
        </w:tc>
      </w:tr>
      <w:tr w:rsidR="00C70ECA" w:rsidRPr="00440DC1" w14:paraId="5BC34367" w14:textId="77777777" w:rsidTr="00C70ECA">
        <w:tc>
          <w:tcPr>
            <w:tcW w:w="1984" w:type="dxa"/>
            <w:tcBorders>
              <w:top w:val="single" w:sz="4" w:space="0" w:color="auto"/>
              <w:left w:val="single" w:sz="4" w:space="0" w:color="auto"/>
              <w:bottom w:val="single" w:sz="4" w:space="0" w:color="auto"/>
              <w:right w:val="single" w:sz="4" w:space="0" w:color="auto"/>
            </w:tcBorders>
            <w:vAlign w:val="center"/>
            <w:hideMark/>
          </w:tcPr>
          <w:p w14:paraId="745EE68E" w14:textId="77777777" w:rsidR="00C70ECA" w:rsidRPr="00440DC1" w:rsidRDefault="00C70ECA" w:rsidP="00412B94">
            <w:pPr>
              <w:pStyle w:val="Default"/>
              <w:rPr>
                <w:rFonts w:ascii="Times New Roman" w:hAnsi="Times New Roman" w:cs="Times New Roman"/>
                <w:sz w:val="22"/>
                <w:szCs w:val="22"/>
              </w:rPr>
            </w:pPr>
            <w:r w:rsidRPr="00440DC1">
              <w:rPr>
                <w:rFonts w:ascii="Times New Roman" w:hAnsi="Times New Roman" w:cs="Times New Roman"/>
                <w:sz w:val="22"/>
                <w:szCs w:val="22"/>
              </w:rPr>
              <w:t>Almene symptomer og reaktioner på administrationsstedet</w:t>
            </w:r>
          </w:p>
        </w:tc>
        <w:tc>
          <w:tcPr>
            <w:tcW w:w="1531" w:type="dxa"/>
            <w:tcBorders>
              <w:top w:val="single" w:sz="4" w:space="0" w:color="auto"/>
              <w:left w:val="single" w:sz="4" w:space="0" w:color="auto"/>
              <w:bottom w:val="single" w:sz="4" w:space="0" w:color="auto"/>
              <w:right w:val="single" w:sz="4" w:space="0" w:color="auto"/>
            </w:tcBorders>
            <w:vAlign w:val="center"/>
          </w:tcPr>
          <w:p w14:paraId="77BFD855" w14:textId="77777777" w:rsidR="00C70ECA" w:rsidRPr="00440DC1" w:rsidRDefault="00C70ECA" w:rsidP="00412B94">
            <w:pPr>
              <w:jc w:val="center"/>
              <w:rPr>
                <w:rFonts w:ascii="Times New Roman" w:hAnsi="Times New Roman" w:cs="Times New Roman"/>
                <w:sz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15DB33BC" w14:textId="77777777" w:rsidR="00C70ECA" w:rsidRPr="00440DC1" w:rsidRDefault="00C70ECA" w:rsidP="00412B94">
            <w:pPr>
              <w:jc w:val="center"/>
              <w:rPr>
                <w:rFonts w:ascii="Times New Roman" w:hAnsi="Times New Roman" w:cs="Times New Roman"/>
                <w:sz w:val="22"/>
              </w:rPr>
            </w:pPr>
          </w:p>
        </w:tc>
        <w:tc>
          <w:tcPr>
            <w:tcW w:w="1753" w:type="dxa"/>
            <w:tcBorders>
              <w:top w:val="single" w:sz="4" w:space="0" w:color="auto"/>
              <w:left w:val="single" w:sz="4" w:space="0" w:color="auto"/>
              <w:bottom w:val="single" w:sz="4" w:space="0" w:color="auto"/>
              <w:right w:val="single" w:sz="4" w:space="0" w:color="auto"/>
            </w:tcBorders>
            <w:vAlign w:val="center"/>
            <w:hideMark/>
          </w:tcPr>
          <w:p w14:paraId="155C7AB5"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Malignt neuroleptikasyndrom (NMS)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C2934" w14:textId="77777777" w:rsidR="00C70ECA" w:rsidRPr="00440DC1" w:rsidRDefault="00C70ECA" w:rsidP="00412B94">
            <w:pPr>
              <w:pStyle w:val="Default"/>
              <w:jc w:val="center"/>
              <w:rPr>
                <w:rFonts w:ascii="Times New Roman" w:hAnsi="Times New Roman" w:cs="Times New Roman"/>
                <w:sz w:val="22"/>
                <w:szCs w:val="22"/>
              </w:rPr>
            </w:pPr>
            <w:r w:rsidRPr="00440DC1">
              <w:rPr>
                <w:rFonts w:ascii="Times New Roman" w:hAnsi="Times New Roman" w:cs="Times New Roman"/>
                <w:sz w:val="22"/>
                <w:szCs w:val="22"/>
              </w:rPr>
              <w:t>Pludselig død</w:t>
            </w:r>
          </w:p>
        </w:tc>
        <w:tc>
          <w:tcPr>
            <w:tcW w:w="1701" w:type="dxa"/>
            <w:tcBorders>
              <w:top w:val="single" w:sz="4" w:space="0" w:color="auto"/>
              <w:left w:val="single" w:sz="4" w:space="0" w:color="auto"/>
              <w:bottom w:val="single" w:sz="4" w:space="0" w:color="auto"/>
              <w:right w:val="single" w:sz="4" w:space="0" w:color="auto"/>
            </w:tcBorders>
            <w:vAlign w:val="center"/>
          </w:tcPr>
          <w:p w14:paraId="74257340" w14:textId="77777777" w:rsidR="00C70ECA" w:rsidRPr="00440DC1" w:rsidRDefault="00C70ECA" w:rsidP="00412B94">
            <w:pPr>
              <w:jc w:val="center"/>
              <w:rPr>
                <w:rFonts w:ascii="Times New Roman" w:hAnsi="Times New Roman" w:cs="Times New Roman"/>
                <w:sz w:val="22"/>
                <w:lang w:val="en-GB"/>
              </w:rPr>
            </w:pPr>
          </w:p>
        </w:tc>
      </w:tr>
    </w:tbl>
    <w:p w14:paraId="6CFDA8A6" w14:textId="522E2281" w:rsidR="00C70ECA" w:rsidRDefault="00C70ECA" w:rsidP="00412B94">
      <w:pPr>
        <w:ind w:left="851"/>
        <w:rPr>
          <w:sz w:val="24"/>
          <w:szCs w:val="24"/>
        </w:rPr>
      </w:pPr>
      <w:r w:rsidRPr="00440DC1">
        <w:rPr>
          <w:sz w:val="24"/>
          <w:szCs w:val="24"/>
        </w:rPr>
        <w:t>Der er indberettet få tilfælde af symptomer, som potentielt er knyttet til NMS: ændringer i kropstemperatur, stivhed og feber. Der er set en ændring i mental status med forvirring eller ophidselse samt ændring i bevidsthedsniveau. Autonom ustabilitet kan manifestere sig som takykardi, udsving i blodtryk, kraftig svedafsondring/kraftigt spytflåd og rysten. I ekstreme tilfælde kan NMS medføre koma eller nyreproblemer og/eller hepatobiliære problemer.</w:t>
      </w:r>
    </w:p>
    <w:p w14:paraId="4EEE9703" w14:textId="77777777" w:rsidR="00E43589" w:rsidRPr="00440DC1" w:rsidRDefault="00E43589" w:rsidP="00412B94">
      <w:pPr>
        <w:ind w:left="851"/>
        <w:rPr>
          <w:sz w:val="24"/>
          <w:szCs w:val="24"/>
        </w:rPr>
      </w:pPr>
    </w:p>
    <w:p w14:paraId="5A3BC72A" w14:textId="32DFC752" w:rsidR="00C70ECA" w:rsidRDefault="00C70ECA" w:rsidP="00412B94">
      <w:pPr>
        <w:pStyle w:val="Default"/>
        <w:ind w:left="851"/>
      </w:pPr>
      <w:r w:rsidRPr="00440DC1">
        <w:t>Enkeltstående tilfælde af amenoré, galaktoré, gynækomasti, hyperprolaktinæmi, oligomenoré og neonatalt abstinenssyndrom er blevet knyttet til langvarig eksponering i psykiatriske indikationer.</w:t>
      </w:r>
    </w:p>
    <w:p w14:paraId="4DEE5DD8" w14:textId="77777777" w:rsidR="00E43589" w:rsidRPr="00440DC1" w:rsidRDefault="00E43589" w:rsidP="00412B94">
      <w:pPr>
        <w:pStyle w:val="Default"/>
        <w:ind w:left="851"/>
      </w:pPr>
    </w:p>
    <w:p w14:paraId="42546E99" w14:textId="3F389EC7" w:rsidR="00C70ECA" w:rsidRDefault="00C70ECA" w:rsidP="00412B94">
      <w:pPr>
        <w:pStyle w:val="Default"/>
        <w:ind w:left="851"/>
      </w:pPr>
      <w:r w:rsidRPr="00440DC1">
        <w:t>Der er indberettet tilfælde af venøs tromboemboli, herunder tilfælde af lungeemboli og tilfælde af dyb venetrobose i forbindelse med antipsykotiske lægemidler – med ukendt hyppighed.</w:t>
      </w:r>
    </w:p>
    <w:p w14:paraId="7A2FFF52" w14:textId="77777777" w:rsidR="00E43589" w:rsidRPr="00440DC1" w:rsidRDefault="00E43589" w:rsidP="00412B94">
      <w:pPr>
        <w:pStyle w:val="Default"/>
        <w:ind w:left="851"/>
      </w:pPr>
    </w:p>
    <w:p w14:paraId="3C23C357" w14:textId="77777777" w:rsidR="00C70ECA" w:rsidRPr="004016DD" w:rsidRDefault="00C70ECA" w:rsidP="00412B94">
      <w:pPr>
        <w:pStyle w:val="Default"/>
        <w:ind w:left="851"/>
        <w:rPr>
          <w:u w:val="single"/>
        </w:rPr>
      </w:pPr>
      <w:r w:rsidRPr="004016DD">
        <w:rPr>
          <w:u w:val="single"/>
        </w:rPr>
        <w:t xml:space="preserve">Indberetning af formodede bivirkninger </w:t>
      </w:r>
    </w:p>
    <w:p w14:paraId="4309BFB1" w14:textId="03115457" w:rsidR="00C70ECA" w:rsidRDefault="00C70ECA" w:rsidP="00412B94">
      <w:pPr>
        <w:ind w:left="851"/>
        <w:rPr>
          <w:sz w:val="24"/>
          <w:szCs w:val="24"/>
        </w:rPr>
      </w:pPr>
      <w:r w:rsidRPr="00440DC1">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4016DD">
        <w:rPr>
          <w:sz w:val="24"/>
          <w:szCs w:val="24"/>
        </w:rPr>
        <w:t>:</w:t>
      </w:r>
    </w:p>
    <w:p w14:paraId="4ADD3A56" w14:textId="77777777" w:rsidR="004016DD" w:rsidRPr="00440DC1" w:rsidRDefault="004016DD" w:rsidP="00412B94">
      <w:pPr>
        <w:ind w:left="851"/>
        <w:rPr>
          <w:sz w:val="24"/>
          <w:szCs w:val="24"/>
        </w:rPr>
      </w:pPr>
    </w:p>
    <w:p w14:paraId="680BB008" w14:textId="29830435" w:rsidR="00C70ECA" w:rsidRPr="00440DC1" w:rsidRDefault="00C70ECA" w:rsidP="00412B94">
      <w:pPr>
        <w:ind w:left="851"/>
        <w:rPr>
          <w:rFonts w:eastAsia="Calibri" w:cstheme="minorBidi"/>
          <w:noProof/>
          <w:color w:val="0000FF"/>
          <w:sz w:val="24"/>
          <w:szCs w:val="24"/>
          <w:u w:val="single"/>
          <w:lang w:eastAsia="zh-CN"/>
        </w:rPr>
      </w:pPr>
      <w:r w:rsidRPr="00440DC1">
        <w:rPr>
          <w:sz w:val="24"/>
          <w:szCs w:val="24"/>
        </w:rPr>
        <w:t>Lægemiddelstyrelsen</w:t>
      </w:r>
      <w:r w:rsidRPr="00440DC1">
        <w:rPr>
          <w:rFonts w:eastAsia="Calibri"/>
          <w:color w:val="000000"/>
          <w:sz w:val="24"/>
          <w:szCs w:val="24"/>
          <w:lang w:eastAsia="zh-CN"/>
        </w:rPr>
        <w:br/>
      </w:r>
      <w:r w:rsidRPr="00440DC1">
        <w:rPr>
          <w:rFonts w:eastAsia="Calibri"/>
          <w:sz w:val="24"/>
          <w:szCs w:val="24"/>
          <w:lang w:eastAsia="zh-CN"/>
        </w:rPr>
        <w:t>Axel Heides Gade 1</w:t>
      </w:r>
      <w:r w:rsidRPr="00440DC1">
        <w:rPr>
          <w:rFonts w:eastAsia="Calibri"/>
          <w:noProof/>
          <w:sz w:val="24"/>
          <w:szCs w:val="24"/>
          <w:lang w:eastAsia="zh-CN"/>
        </w:rPr>
        <w:br/>
        <w:t xml:space="preserve">DK-2300 </w:t>
      </w:r>
      <w:r w:rsidRPr="00440DC1">
        <w:rPr>
          <w:rFonts w:eastAsia="Calibri"/>
          <w:sz w:val="24"/>
          <w:szCs w:val="24"/>
          <w:lang w:eastAsia="zh-CN"/>
        </w:rPr>
        <w:t>København S</w:t>
      </w:r>
      <w:r w:rsidRPr="00440DC1">
        <w:rPr>
          <w:rFonts w:eastAsia="Calibri"/>
          <w:noProof/>
          <w:sz w:val="24"/>
          <w:szCs w:val="24"/>
          <w:lang w:eastAsia="zh-CN"/>
        </w:rPr>
        <w:br/>
      </w:r>
      <w:r w:rsidRPr="00440DC1">
        <w:rPr>
          <w:rFonts w:eastAsia="Calibri"/>
          <w:sz w:val="24"/>
          <w:szCs w:val="24"/>
          <w:lang w:eastAsia="zh-CN"/>
        </w:rPr>
        <w:t>Websted</w:t>
      </w:r>
      <w:r w:rsidRPr="00440DC1">
        <w:rPr>
          <w:rFonts w:eastAsia="Calibri"/>
          <w:noProof/>
          <w:sz w:val="24"/>
          <w:szCs w:val="24"/>
          <w:lang w:eastAsia="zh-CN"/>
        </w:rPr>
        <w:t xml:space="preserve">: </w:t>
      </w:r>
      <w:r w:rsidRPr="004016DD">
        <w:rPr>
          <w:rFonts w:eastAsia="Calibri"/>
          <w:noProof/>
          <w:sz w:val="24"/>
          <w:szCs w:val="24"/>
          <w:lang w:eastAsia="zh-CN"/>
        </w:rPr>
        <w:t>www.meldenbivirkning.dk</w:t>
      </w:r>
    </w:p>
    <w:p w14:paraId="74D29AF1" w14:textId="77777777" w:rsidR="009260DE" w:rsidRPr="00A10294" w:rsidRDefault="009260DE" w:rsidP="00412B94">
      <w:pPr>
        <w:tabs>
          <w:tab w:val="left" w:pos="851"/>
        </w:tabs>
        <w:ind w:left="851"/>
        <w:rPr>
          <w:sz w:val="24"/>
          <w:szCs w:val="24"/>
        </w:rPr>
      </w:pPr>
    </w:p>
    <w:p w14:paraId="4E8F0B2F" w14:textId="77777777" w:rsidR="009260DE" w:rsidRPr="00C84483" w:rsidRDefault="009260DE" w:rsidP="00412B94">
      <w:pPr>
        <w:tabs>
          <w:tab w:val="left" w:pos="851"/>
        </w:tabs>
        <w:ind w:left="851" w:hanging="851"/>
        <w:rPr>
          <w:b/>
          <w:sz w:val="24"/>
          <w:szCs w:val="24"/>
        </w:rPr>
      </w:pPr>
      <w:r w:rsidRPr="00C84483">
        <w:rPr>
          <w:b/>
          <w:sz w:val="24"/>
          <w:szCs w:val="24"/>
        </w:rPr>
        <w:t>4.9</w:t>
      </w:r>
      <w:r w:rsidRPr="00C84483">
        <w:rPr>
          <w:b/>
          <w:sz w:val="24"/>
          <w:szCs w:val="24"/>
        </w:rPr>
        <w:tab/>
        <w:t>Overdosering</w:t>
      </w:r>
    </w:p>
    <w:p w14:paraId="69B6ED85" w14:textId="77777777" w:rsidR="00D279CE" w:rsidRDefault="00D279CE" w:rsidP="00D279CE">
      <w:pPr>
        <w:tabs>
          <w:tab w:val="left" w:pos="851"/>
        </w:tabs>
        <w:ind w:left="851"/>
        <w:rPr>
          <w:sz w:val="24"/>
          <w:szCs w:val="24"/>
          <w:u w:val="single"/>
        </w:rPr>
      </w:pPr>
    </w:p>
    <w:p w14:paraId="514E2768" w14:textId="21AFA0C2" w:rsidR="00D279CE" w:rsidRPr="00D279CE" w:rsidRDefault="00D279CE" w:rsidP="00D279CE">
      <w:pPr>
        <w:tabs>
          <w:tab w:val="left" w:pos="851"/>
        </w:tabs>
        <w:ind w:left="851"/>
        <w:rPr>
          <w:sz w:val="24"/>
          <w:szCs w:val="24"/>
        </w:rPr>
      </w:pPr>
      <w:r w:rsidRPr="00D279CE">
        <w:rPr>
          <w:sz w:val="24"/>
          <w:szCs w:val="24"/>
          <w:u w:val="single"/>
        </w:rPr>
        <w:t xml:space="preserve">Symptomer </w:t>
      </w:r>
    </w:p>
    <w:p w14:paraId="3E4A94B4" w14:textId="77777777" w:rsidR="00D279CE" w:rsidRPr="00D279CE" w:rsidRDefault="00D279CE" w:rsidP="00D279CE">
      <w:pPr>
        <w:tabs>
          <w:tab w:val="left" w:pos="851"/>
        </w:tabs>
        <w:ind w:left="851"/>
        <w:rPr>
          <w:sz w:val="24"/>
          <w:szCs w:val="24"/>
        </w:rPr>
      </w:pPr>
      <w:r w:rsidRPr="00D279CE">
        <w:rPr>
          <w:sz w:val="24"/>
          <w:szCs w:val="24"/>
        </w:rPr>
        <w:t xml:space="preserve">Tegnene på overdosering med droperidol er forlængelse af lægemidlets farmakologiske virkninger. </w:t>
      </w:r>
    </w:p>
    <w:p w14:paraId="35080469" w14:textId="77777777" w:rsidR="00D279CE" w:rsidRDefault="00D279CE" w:rsidP="00D279CE">
      <w:pPr>
        <w:tabs>
          <w:tab w:val="left" w:pos="851"/>
        </w:tabs>
        <w:ind w:left="851"/>
        <w:rPr>
          <w:sz w:val="24"/>
          <w:szCs w:val="24"/>
        </w:rPr>
      </w:pPr>
    </w:p>
    <w:p w14:paraId="4E3781A6" w14:textId="29C2E641" w:rsidR="00D279CE" w:rsidRPr="00D279CE" w:rsidRDefault="00D279CE" w:rsidP="00D279CE">
      <w:pPr>
        <w:tabs>
          <w:tab w:val="left" w:pos="851"/>
        </w:tabs>
        <w:ind w:left="851"/>
        <w:rPr>
          <w:sz w:val="24"/>
          <w:szCs w:val="24"/>
        </w:rPr>
      </w:pPr>
      <w:r w:rsidRPr="00D279CE">
        <w:rPr>
          <w:sz w:val="24"/>
          <w:szCs w:val="24"/>
        </w:rPr>
        <w:t xml:space="preserve">Symptomerne på utilsigtet overdosering er følelsesmæssig indifferens med overgang til søvn, i nogle tilfælde i tilknytning til lavere blodtryk. </w:t>
      </w:r>
    </w:p>
    <w:p w14:paraId="3B202F2C" w14:textId="77777777" w:rsidR="00D279CE" w:rsidRDefault="00D279CE" w:rsidP="00D279CE">
      <w:pPr>
        <w:tabs>
          <w:tab w:val="left" w:pos="851"/>
        </w:tabs>
        <w:ind w:left="851"/>
        <w:rPr>
          <w:sz w:val="24"/>
          <w:szCs w:val="24"/>
        </w:rPr>
      </w:pPr>
    </w:p>
    <w:p w14:paraId="4275A95A" w14:textId="0F9DFDD9" w:rsidR="00D279CE" w:rsidRPr="00D279CE" w:rsidRDefault="00D279CE" w:rsidP="00D279CE">
      <w:pPr>
        <w:tabs>
          <w:tab w:val="left" w:pos="851"/>
        </w:tabs>
        <w:ind w:left="851"/>
        <w:rPr>
          <w:sz w:val="24"/>
          <w:szCs w:val="24"/>
        </w:rPr>
      </w:pPr>
      <w:r w:rsidRPr="00D279CE">
        <w:rPr>
          <w:sz w:val="24"/>
          <w:szCs w:val="24"/>
        </w:rPr>
        <w:t xml:space="preserve">Ved højere doser eller hos sensitive patienter kan der forekomme ekstrapyramidale forstyrrelser (spytflåd, unormale bevægelser, i nogle tilfælde muskelstivhed). Kramper kan forekomme ved toksiske doser. </w:t>
      </w:r>
    </w:p>
    <w:p w14:paraId="10798CAD" w14:textId="77777777" w:rsidR="00D279CE" w:rsidRDefault="00D279CE" w:rsidP="00D279CE">
      <w:pPr>
        <w:tabs>
          <w:tab w:val="left" w:pos="851"/>
        </w:tabs>
        <w:ind w:left="851"/>
        <w:rPr>
          <w:sz w:val="24"/>
          <w:szCs w:val="24"/>
        </w:rPr>
      </w:pPr>
    </w:p>
    <w:p w14:paraId="36EEB8B0" w14:textId="5CBE6D72" w:rsidR="00D279CE" w:rsidRPr="00D279CE" w:rsidRDefault="00D279CE" w:rsidP="00D279CE">
      <w:pPr>
        <w:tabs>
          <w:tab w:val="left" w:pos="851"/>
        </w:tabs>
        <w:ind w:left="851"/>
        <w:rPr>
          <w:sz w:val="24"/>
          <w:szCs w:val="24"/>
        </w:rPr>
      </w:pPr>
      <w:r w:rsidRPr="00D279CE">
        <w:rPr>
          <w:sz w:val="24"/>
          <w:szCs w:val="24"/>
        </w:rPr>
        <w:t xml:space="preserve">Der er indberettet sjældne tilfælde af forlænget QT-interval, ventrikelarytmi og pludselig død. </w:t>
      </w:r>
    </w:p>
    <w:p w14:paraId="5691EC75" w14:textId="77777777" w:rsidR="00D279CE" w:rsidRDefault="00D279CE" w:rsidP="00D279CE">
      <w:pPr>
        <w:tabs>
          <w:tab w:val="left" w:pos="851"/>
        </w:tabs>
        <w:ind w:left="851"/>
        <w:rPr>
          <w:sz w:val="24"/>
          <w:szCs w:val="24"/>
          <w:u w:val="single"/>
        </w:rPr>
      </w:pPr>
    </w:p>
    <w:p w14:paraId="7F300D5A" w14:textId="22168FA8" w:rsidR="00D279CE" w:rsidRPr="00D279CE" w:rsidRDefault="00D279CE" w:rsidP="00D279CE">
      <w:pPr>
        <w:tabs>
          <w:tab w:val="left" w:pos="851"/>
        </w:tabs>
        <w:ind w:left="851"/>
        <w:rPr>
          <w:sz w:val="24"/>
          <w:szCs w:val="24"/>
        </w:rPr>
      </w:pPr>
      <w:r w:rsidRPr="00D279CE">
        <w:rPr>
          <w:sz w:val="24"/>
          <w:szCs w:val="24"/>
          <w:u w:val="single"/>
        </w:rPr>
        <w:t xml:space="preserve">Behandling </w:t>
      </w:r>
    </w:p>
    <w:p w14:paraId="717D3898" w14:textId="77777777" w:rsidR="00D279CE" w:rsidRPr="00D279CE" w:rsidRDefault="00D279CE" w:rsidP="00D279CE">
      <w:pPr>
        <w:tabs>
          <w:tab w:val="left" w:pos="851"/>
        </w:tabs>
        <w:ind w:left="851"/>
        <w:rPr>
          <w:sz w:val="24"/>
          <w:szCs w:val="24"/>
        </w:rPr>
      </w:pPr>
      <w:r w:rsidRPr="00D279CE">
        <w:rPr>
          <w:sz w:val="24"/>
          <w:szCs w:val="24"/>
        </w:rPr>
        <w:t xml:space="preserve">Der findes ingen kendt modgift. Når der forekommer ekstrapyramidale reaktioner, bør der dog administreres antikolinergika. </w:t>
      </w:r>
    </w:p>
    <w:p w14:paraId="41105589" w14:textId="77777777" w:rsidR="00D279CE" w:rsidRDefault="00D279CE" w:rsidP="00D279CE">
      <w:pPr>
        <w:tabs>
          <w:tab w:val="left" w:pos="851"/>
        </w:tabs>
        <w:ind w:left="851"/>
        <w:rPr>
          <w:sz w:val="24"/>
          <w:szCs w:val="24"/>
        </w:rPr>
      </w:pPr>
    </w:p>
    <w:p w14:paraId="6BF105A5" w14:textId="372928D5" w:rsidR="00D279CE" w:rsidRPr="00D279CE" w:rsidRDefault="00D279CE" w:rsidP="00D279CE">
      <w:pPr>
        <w:tabs>
          <w:tab w:val="left" w:pos="851"/>
        </w:tabs>
        <w:ind w:left="851"/>
        <w:rPr>
          <w:sz w:val="24"/>
          <w:szCs w:val="24"/>
        </w:rPr>
      </w:pPr>
      <w:r w:rsidRPr="00D279CE">
        <w:rPr>
          <w:sz w:val="24"/>
          <w:szCs w:val="24"/>
        </w:rPr>
        <w:t xml:space="preserve">Patienter, der har fået en overdosis droperidol, skal monitoreres nøje for tegn på forlænget QT-interval. </w:t>
      </w:r>
    </w:p>
    <w:p w14:paraId="79F36FB4" w14:textId="77777777" w:rsidR="00D279CE" w:rsidRDefault="00D279CE" w:rsidP="00D279CE">
      <w:pPr>
        <w:tabs>
          <w:tab w:val="left" w:pos="851"/>
        </w:tabs>
        <w:ind w:left="851"/>
        <w:rPr>
          <w:sz w:val="24"/>
          <w:szCs w:val="24"/>
        </w:rPr>
      </w:pPr>
    </w:p>
    <w:p w14:paraId="18727079" w14:textId="2AAE40A9" w:rsidR="00D279CE" w:rsidRPr="00D279CE" w:rsidRDefault="00D279CE" w:rsidP="00D279CE">
      <w:pPr>
        <w:tabs>
          <w:tab w:val="left" w:pos="851"/>
        </w:tabs>
        <w:ind w:left="851"/>
        <w:rPr>
          <w:sz w:val="24"/>
          <w:szCs w:val="24"/>
        </w:rPr>
      </w:pPr>
      <w:r w:rsidRPr="00D279CE">
        <w:rPr>
          <w:sz w:val="24"/>
          <w:szCs w:val="24"/>
        </w:rPr>
        <w:t xml:space="preserve">Der skal tages højde for faktorer, som prædisponerer for </w:t>
      </w:r>
      <w:r w:rsidRPr="00D279CE">
        <w:rPr>
          <w:i/>
          <w:sz w:val="24"/>
          <w:szCs w:val="24"/>
        </w:rPr>
        <w:t>torsades de pointes</w:t>
      </w:r>
      <w:r w:rsidRPr="00D279CE">
        <w:rPr>
          <w:sz w:val="24"/>
          <w:szCs w:val="24"/>
        </w:rPr>
        <w:t xml:space="preserve">, f.eks. elektrolytforstyrrelser (især hypokalæmi eller hypomagnesæmi) og brakdykardi. </w:t>
      </w:r>
    </w:p>
    <w:p w14:paraId="30724374" w14:textId="77777777" w:rsidR="00D279CE" w:rsidRDefault="00D279CE" w:rsidP="00D279CE">
      <w:pPr>
        <w:tabs>
          <w:tab w:val="left" w:pos="851"/>
        </w:tabs>
        <w:ind w:left="851"/>
        <w:rPr>
          <w:sz w:val="24"/>
          <w:szCs w:val="24"/>
        </w:rPr>
      </w:pPr>
    </w:p>
    <w:p w14:paraId="79518A3A" w14:textId="0B114434" w:rsidR="00D279CE" w:rsidRPr="00D279CE" w:rsidRDefault="00D279CE" w:rsidP="00D279CE">
      <w:pPr>
        <w:tabs>
          <w:tab w:val="left" w:pos="851"/>
        </w:tabs>
        <w:ind w:left="851"/>
        <w:rPr>
          <w:sz w:val="24"/>
          <w:szCs w:val="24"/>
        </w:rPr>
      </w:pPr>
      <w:r w:rsidRPr="00D279CE">
        <w:rPr>
          <w:sz w:val="24"/>
          <w:szCs w:val="24"/>
        </w:rPr>
        <w:t xml:space="preserve">Udtalt hypotension skal behandles ved at øge cirkulationsvolumenet samt ved at træffe andre passende foranstaltninger. Luftvejene skal holdes fri, og der skal opretholdes en tilstrækkelig iltning. Luftvejs- eller endotrachealintubation kan være indiceret. </w:t>
      </w:r>
    </w:p>
    <w:p w14:paraId="161F8753" w14:textId="77777777" w:rsidR="006C60F2" w:rsidRDefault="006C60F2" w:rsidP="00D279CE">
      <w:pPr>
        <w:tabs>
          <w:tab w:val="left" w:pos="851"/>
        </w:tabs>
        <w:ind w:left="851"/>
        <w:rPr>
          <w:sz w:val="24"/>
          <w:szCs w:val="24"/>
        </w:rPr>
      </w:pPr>
    </w:p>
    <w:p w14:paraId="4830BCB8" w14:textId="65B9708C" w:rsidR="00D279CE" w:rsidRPr="00D279CE" w:rsidRDefault="00D279CE" w:rsidP="00D279CE">
      <w:pPr>
        <w:tabs>
          <w:tab w:val="left" w:pos="851"/>
        </w:tabs>
        <w:ind w:left="851"/>
        <w:rPr>
          <w:sz w:val="24"/>
          <w:szCs w:val="24"/>
        </w:rPr>
      </w:pPr>
      <w:r w:rsidRPr="00D279CE">
        <w:rPr>
          <w:sz w:val="24"/>
          <w:szCs w:val="24"/>
        </w:rPr>
        <w:t xml:space="preserve">Hvis det er nødvendigt, skal patienten observeres høje i 24 timer eller længere. Kropsvarme og et tilstrækkeligt væskeindtag skal opretholdes. </w:t>
      </w:r>
    </w:p>
    <w:p w14:paraId="6206ECD1" w14:textId="77777777" w:rsidR="009260DE" w:rsidRPr="00C84483" w:rsidRDefault="009260DE" w:rsidP="00412B94">
      <w:pPr>
        <w:tabs>
          <w:tab w:val="left" w:pos="851"/>
        </w:tabs>
        <w:ind w:left="851"/>
        <w:rPr>
          <w:sz w:val="24"/>
          <w:szCs w:val="24"/>
        </w:rPr>
      </w:pPr>
    </w:p>
    <w:p w14:paraId="3EB809C8" w14:textId="77777777" w:rsidR="009260DE" w:rsidRPr="00C84483" w:rsidRDefault="009260DE" w:rsidP="00412B94">
      <w:pPr>
        <w:tabs>
          <w:tab w:val="left" w:pos="851"/>
        </w:tabs>
        <w:ind w:left="851" w:hanging="851"/>
        <w:rPr>
          <w:b/>
          <w:sz w:val="24"/>
          <w:szCs w:val="24"/>
        </w:rPr>
      </w:pPr>
      <w:r w:rsidRPr="00C84483">
        <w:rPr>
          <w:b/>
          <w:sz w:val="24"/>
          <w:szCs w:val="24"/>
        </w:rPr>
        <w:t>4.10</w:t>
      </w:r>
      <w:r w:rsidRPr="00C84483">
        <w:rPr>
          <w:b/>
          <w:sz w:val="24"/>
          <w:szCs w:val="24"/>
        </w:rPr>
        <w:tab/>
        <w:t>Udlevering</w:t>
      </w:r>
    </w:p>
    <w:p w14:paraId="355C2129" w14:textId="0DB95E98" w:rsidR="009260DE" w:rsidRPr="00C84483" w:rsidRDefault="006C60F2" w:rsidP="00412B94">
      <w:pPr>
        <w:tabs>
          <w:tab w:val="left" w:pos="851"/>
        </w:tabs>
        <w:ind w:left="851"/>
        <w:rPr>
          <w:sz w:val="24"/>
          <w:szCs w:val="24"/>
        </w:rPr>
      </w:pPr>
      <w:r>
        <w:rPr>
          <w:sz w:val="24"/>
          <w:szCs w:val="24"/>
        </w:rPr>
        <w:t>B</w:t>
      </w:r>
    </w:p>
    <w:p w14:paraId="2A710421" w14:textId="77777777" w:rsidR="009260DE" w:rsidRPr="00C84483" w:rsidRDefault="009260DE" w:rsidP="00412B94">
      <w:pPr>
        <w:tabs>
          <w:tab w:val="left" w:pos="851"/>
        </w:tabs>
        <w:ind w:left="851"/>
        <w:rPr>
          <w:sz w:val="24"/>
          <w:szCs w:val="24"/>
        </w:rPr>
      </w:pPr>
    </w:p>
    <w:p w14:paraId="4CB81E7C" w14:textId="77777777" w:rsidR="009260DE" w:rsidRPr="00C84483" w:rsidRDefault="009260DE" w:rsidP="00412B94">
      <w:pPr>
        <w:tabs>
          <w:tab w:val="left" w:pos="851"/>
        </w:tabs>
        <w:ind w:left="851"/>
        <w:rPr>
          <w:sz w:val="24"/>
          <w:szCs w:val="24"/>
        </w:rPr>
      </w:pPr>
    </w:p>
    <w:p w14:paraId="4E76533D" w14:textId="77777777" w:rsidR="009260DE" w:rsidRPr="00C84483" w:rsidRDefault="009260DE" w:rsidP="00412B94">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C641CFC" w14:textId="77777777" w:rsidR="009260DE" w:rsidRPr="00C84483" w:rsidRDefault="009260DE" w:rsidP="00412B94">
      <w:pPr>
        <w:tabs>
          <w:tab w:val="left" w:pos="851"/>
        </w:tabs>
        <w:ind w:left="851"/>
        <w:rPr>
          <w:sz w:val="24"/>
          <w:szCs w:val="24"/>
        </w:rPr>
      </w:pPr>
    </w:p>
    <w:p w14:paraId="17B8B083" w14:textId="77777777" w:rsidR="009260DE" w:rsidRPr="00C84483" w:rsidRDefault="009260DE" w:rsidP="00412B94">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165A928" w14:textId="77777777" w:rsidR="00367AEC" w:rsidRDefault="00A2598D" w:rsidP="00A2598D">
      <w:pPr>
        <w:tabs>
          <w:tab w:val="left" w:pos="851"/>
        </w:tabs>
        <w:ind w:left="851"/>
        <w:rPr>
          <w:sz w:val="24"/>
          <w:szCs w:val="24"/>
        </w:rPr>
      </w:pPr>
      <w:r w:rsidRPr="00A2598D">
        <w:rPr>
          <w:sz w:val="24"/>
          <w:szCs w:val="24"/>
        </w:rPr>
        <w:t xml:space="preserve">Farmakoterapeutisk klassifikation: </w:t>
      </w:r>
      <w:r w:rsidR="00367AEC">
        <w:rPr>
          <w:sz w:val="24"/>
          <w:szCs w:val="24"/>
        </w:rPr>
        <w:t>B</w:t>
      </w:r>
      <w:r w:rsidRPr="00A2598D">
        <w:rPr>
          <w:sz w:val="24"/>
          <w:szCs w:val="24"/>
        </w:rPr>
        <w:t xml:space="preserve">utyrophenonderivater, ATC-kode: </w:t>
      </w:r>
      <w:bookmarkStart w:id="1" w:name="_Hlk132299807"/>
      <w:r w:rsidRPr="00A2598D">
        <w:rPr>
          <w:sz w:val="24"/>
          <w:szCs w:val="24"/>
        </w:rPr>
        <w:t>N05AD08</w:t>
      </w:r>
      <w:bookmarkEnd w:id="1"/>
      <w:r w:rsidRPr="00A2598D">
        <w:rPr>
          <w:sz w:val="24"/>
          <w:szCs w:val="24"/>
        </w:rPr>
        <w:t>.</w:t>
      </w:r>
    </w:p>
    <w:p w14:paraId="05D72529" w14:textId="445B6605" w:rsidR="00A2598D" w:rsidRPr="00A2598D" w:rsidRDefault="00A2598D" w:rsidP="00A2598D">
      <w:pPr>
        <w:tabs>
          <w:tab w:val="left" w:pos="851"/>
        </w:tabs>
        <w:ind w:left="851"/>
        <w:rPr>
          <w:sz w:val="24"/>
          <w:szCs w:val="24"/>
        </w:rPr>
      </w:pPr>
      <w:r w:rsidRPr="00A2598D">
        <w:rPr>
          <w:sz w:val="24"/>
          <w:szCs w:val="24"/>
        </w:rPr>
        <w:t xml:space="preserve"> </w:t>
      </w:r>
    </w:p>
    <w:p w14:paraId="29B93D89" w14:textId="77777777" w:rsidR="00A2598D" w:rsidRPr="00A2598D" w:rsidRDefault="00A2598D" w:rsidP="00A2598D">
      <w:pPr>
        <w:tabs>
          <w:tab w:val="left" w:pos="851"/>
        </w:tabs>
        <w:ind w:left="851"/>
        <w:rPr>
          <w:sz w:val="24"/>
          <w:szCs w:val="24"/>
          <w:u w:val="single"/>
        </w:rPr>
      </w:pPr>
      <w:r w:rsidRPr="00A2598D">
        <w:rPr>
          <w:sz w:val="24"/>
          <w:szCs w:val="24"/>
          <w:u w:val="single"/>
        </w:rPr>
        <w:t>Virkningsmekanisme</w:t>
      </w:r>
    </w:p>
    <w:p w14:paraId="427A679E" w14:textId="77447D97" w:rsidR="00A2598D" w:rsidRDefault="00A2598D" w:rsidP="00A2598D">
      <w:pPr>
        <w:tabs>
          <w:tab w:val="left" w:pos="851"/>
        </w:tabs>
        <w:ind w:left="851"/>
        <w:rPr>
          <w:sz w:val="24"/>
          <w:szCs w:val="24"/>
        </w:rPr>
      </w:pPr>
      <w:r w:rsidRPr="00A2598D">
        <w:rPr>
          <w:sz w:val="24"/>
          <w:szCs w:val="24"/>
        </w:rPr>
        <w:t>Droperidol er et butyrophenon-neuroleptikum. Dets farmakologiske profil er især kendetegnet af dopaminblokering og svage α</w:t>
      </w:r>
      <w:r w:rsidRPr="00A2598D">
        <w:rPr>
          <w:sz w:val="24"/>
          <w:szCs w:val="24"/>
          <w:vertAlign w:val="subscript"/>
        </w:rPr>
        <w:t>1</w:t>
      </w:r>
      <w:r w:rsidRPr="00A2598D">
        <w:rPr>
          <w:sz w:val="24"/>
          <w:szCs w:val="24"/>
        </w:rPr>
        <w:t>-adrenolytiske effekter. Droperidol har ingen antikolinerg og antihistamin aktivitet.</w:t>
      </w:r>
    </w:p>
    <w:p w14:paraId="19931171" w14:textId="77777777" w:rsidR="00367AEC" w:rsidRPr="00A2598D" w:rsidRDefault="00367AEC" w:rsidP="00A2598D">
      <w:pPr>
        <w:tabs>
          <w:tab w:val="left" w:pos="851"/>
        </w:tabs>
        <w:ind w:left="851"/>
        <w:rPr>
          <w:sz w:val="24"/>
          <w:szCs w:val="24"/>
        </w:rPr>
      </w:pPr>
    </w:p>
    <w:p w14:paraId="6CE5F0BD" w14:textId="3A10D66C" w:rsidR="00A2598D" w:rsidRDefault="00A2598D" w:rsidP="00A2598D">
      <w:pPr>
        <w:tabs>
          <w:tab w:val="left" w:pos="851"/>
        </w:tabs>
        <w:ind w:left="851"/>
        <w:rPr>
          <w:sz w:val="24"/>
          <w:szCs w:val="24"/>
        </w:rPr>
      </w:pPr>
      <w:r w:rsidRPr="00A2598D">
        <w:rPr>
          <w:sz w:val="24"/>
          <w:szCs w:val="24"/>
        </w:rPr>
        <w:t xml:space="preserve">Droperidols hæmmende virkning på dopaminerge receptorer i triggerzonen for chemoreceptorer i area postrema giver lægemidlet en potent antiemetisk virkning, som især er nyttig til forebyggelse og behandling af postoperativ kvalme og opkastning og/eller kvalme og opkastning induceret af opioide analgetika. </w:t>
      </w:r>
    </w:p>
    <w:p w14:paraId="32FEB3D1" w14:textId="77777777" w:rsidR="00367AEC" w:rsidRPr="00A2598D" w:rsidRDefault="00367AEC" w:rsidP="00A2598D">
      <w:pPr>
        <w:tabs>
          <w:tab w:val="left" w:pos="851"/>
        </w:tabs>
        <w:ind w:left="851"/>
        <w:rPr>
          <w:sz w:val="24"/>
          <w:szCs w:val="24"/>
        </w:rPr>
      </w:pPr>
    </w:p>
    <w:p w14:paraId="4C51626B" w14:textId="77777777" w:rsidR="00A2598D" w:rsidRPr="00A2598D" w:rsidRDefault="00A2598D" w:rsidP="00A2598D">
      <w:pPr>
        <w:tabs>
          <w:tab w:val="left" w:pos="851"/>
        </w:tabs>
        <w:ind w:left="851"/>
        <w:rPr>
          <w:sz w:val="24"/>
          <w:szCs w:val="24"/>
          <w:u w:val="single"/>
        </w:rPr>
      </w:pPr>
      <w:r w:rsidRPr="00A2598D">
        <w:rPr>
          <w:sz w:val="24"/>
          <w:szCs w:val="24"/>
          <w:u w:val="single"/>
        </w:rPr>
        <w:t>Farmakodynamisk virkning</w:t>
      </w:r>
    </w:p>
    <w:p w14:paraId="6939821A" w14:textId="2A5493E5" w:rsidR="00A2598D" w:rsidRDefault="00A2598D" w:rsidP="00A2598D">
      <w:pPr>
        <w:tabs>
          <w:tab w:val="left" w:pos="851"/>
        </w:tabs>
        <w:ind w:left="851"/>
        <w:rPr>
          <w:sz w:val="24"/>
          <w:szCs w:val="24"/>
        </w:rPr>
      </w:pPr>
      <w:r w:rsidRPr="00A2598D">
        <w:rPr>
          <w:sz w:val="24"/>
          <w:szCs w:val="24"/>
        </w:rPr>
        <w:t>Ved en dosis på 0,15 mg/kg inducerer droperidol et fald i gennemsnitsblodtrykket (MBP) som følge af et fald i hjertets minutvolumen i en første fase og derefter på grund af et fald i preload. Disse ændringer forekommer uafhængigt af eventuelle forandringer i den myokardielle kontraktion eller den vaskulære modstand. Droperidol påvirker ikke den myokardielle kontraktion eller hjertefrekvensen og har derfor ingen negativ inotrop effekt. Dets svage α</w:t>
      </w:r>
      <w:r w:rsidRPr="00A2598D">
        <w:rPr>
          <w:sz w:val="24"/>
          <w:szCs w:val="24"/>
          <w:vertAlign w:val="subscript"/>
        </w:rPr>
        <w:t>1</w:t>
      </w:r>
      <w:r w:rsidRPr="00A2598D">
        <w:rPr>
          <w:sz w:val="24"/>
          <w:szCs w:val="24"/>
        </w:rPr>
        <w:t>-adrenerge blok kan forårsage en mindre hypotension og en lavere perifer vaskulær modstand og kan sænke pulmonalarterietrykket (især hvis dette er unormalt højt). Det kan også reducere forekomsten af epinephrin-induceret arytmi, men det forhindrer ikke andre typer hjertearytmi.</w:t>
      </w:r>
    </w:p>
    <w:p w14:paraId="09BA72DD" w14:textId="77777777" w:rsidR="00367AEC" w:rsidRPr="00A2598D" w:rsidRDefault="00367AEC" w:rsidP="00A2598D">
      <w:pPr>
        <w:tabs>
          <w:tab w:val="left" w:pos="851"/>
        </w:tabs>
        <w:ind w:left="851"/>
        <w:rPr>
          <w:sz w:val="24"/>
          <w:szCs w:val="24"/>
        </w:rPr>
      </w:pPr>
    </w:p>
    <w:p w14:paraId="5E411A7A" w14:textId="77777777" w:rsidR="00A2598D" w:rsidRPr="00A2598D" w:rsidRDefault="00A2598D" w:rsidP="00A2598D">
      <w:pPr>
        <w:tabs>
          <w:tab w:val="left" w:pos="851"/>
        </w:tabs>
        <w:ind w:left="851"/>
        <w:rPr>
          <w:sz w:val="24"/>
          <w:szCs w:val="24"/>
          <w:u w:val="single"/>
        </w:rPr>
      </w:pPr>
      <w:r w:rsidRPr="00A2598D">
        <w:rPr>
          <w:sz w:val="24"/>
          <w:szCs w:val="24"/>
          <w:u w:val="single"/>
        </w:rPr>
        <w:t xml:space="preserve">Klinisk virkning og sikkerhed </w:t>
      </w:r>
    </w:p>
    <w:p w14:paraId="20AD0AA4" w14:textId="77777777" w:rsidR="00367AEC" w:rsidRDefault="00367AEC" w:rsidP="00A2598D">
      <w:pPr>
        <w:tabs>
          <w:tab w:val="left" w:pos="851"/>
        </w:tabs>
        <w:ind w:left="851"/>
        <w:rPr>
          <w:i/>
          <w:sz w:val="24"/>
          <w:szCs w:val="24"/>
        </w:rPr>
      </w:pPr>
    </w:p>
    <w:p w14:paraId="02A19DE7" w14:textId="50D54460" w:rsidR="00A2598D" w:rsidRPr="00A2598D" w:rsidRDefault="00A2598D" w:rsidP="00A2598D">
      <w:pPr>
        <w:tabs>
          <w:tab w:val="left" w:pos="851"/>
        </w:tabs>
        <w:ind w:left="851"/>
        <w:rPr>
          <w:i/>
          <w:iCs/>
          <w:sz w:val="24"/>
          <w:szCs w:val="24"/>
        </w:rPr>
      </w:pPr>
      <w:r w:rsidRPr="00A2598D">
        <w:rPr>
          <w:i/>
          <w:sz w:val="24"/>
          <w:szCs w:val="24"/>
        </w:rPr>
        <w:t xml:space="preserve">PONV </w:t>
      </w:r>
    </w:p>
    <w:p w14:paraId="0D3369C2" w14:textId="77777777" w:rsidR="00A2598D" w:rsidRPr="00A2598D" w:rsidRDefault="00A2598D" w:rsidP="00A2598D">
      <w:pPr>
        <w:tabs>
          <w:tab w:val="left" w:pos="851"/>
        </w:tabs>
        <w:ind w:left="851"/>
        <w:rPr>
          <w:sz w:val="24"/>
          <w:szCs w:val="24"/>
        </w:rPr>
      </w:pPr>
      <w:r w:rsidRPr="00A2598D">
        <w:rPr>
          <w:sz w:val="24"/>
          <w:szCs w:val="24"/>
        </w:rPr>
        <w:t xml:space="preserve">I en systematisk gennemgang af 222 studier om forebyggelse af PONV blev risikoen for PONV reduceret sammenlignet med placebo med RR (95 % konfidensinterval) 0,65 (0,60-0,71) for kvalme, 0,65 (0,61-0,70) for opkastning og med 0,62 (0,58-0,67) for både kvalme og opkastning. </w:t>
      </w:r>
    </w:p>
    <w:p w14:paraId="086CEBDC" w14:textId="6208C5BA" w:rsidR="00A2598D" w:rsidRDefault="00A2598D" w:rsidP="00A2598D">
      <w:pPr>
        <w:tabs>
          <w:tab w:val="left" w:pos="851"/>
        </w:tabs>
        <w:ind w:left="851"/>
        <w:rPr>
          <w:sz w:val="24"/>
          <w:szCs w:val="24"/>
        </w:rPr>
      </w:pPr>
      <w:r w:rsidRPr="00A2598D">
        <w:rPr>
          <w:sz w:val="24"/>
          <w:szCs w:val="24"/>
        </w:rPr>
        <w:t>I en kombineret analyse af 2061 PONV-patienter med høj risiko var 1,25 mg droperidol mere effektivt end 4 mg ondansetron eller 0,625 mg droperidol til forebyggelse af kvalme (p&lt;0,05; ingen kvalme hhv. 43 %, 29 %, 29 %), til forebyggelse af opkastning (komplet reaktion 0-24 t, 56 %, 53 %, 48 %) samt til reduktion af behovet for anfaldsbrydende medicin (</w:t>
      </w:r>
      <w:r w:rsidRPr="00A2598D">
        <w:rPr>
          <w:i/>
          <w:sz w:val="24"/>
          <w:szCs w:val="24"/>
        </w:rPr>
        <w:t xml:space="preserve">rescue medication) </w:t>
      </w:r>
      <w:r w:rsidRPr="00A2598D">
        <w:rPr>
          <w:sz w:val="24"/>
          <w:szCs w:val="24"/>
        </w:rPr>
        <w:t>(26 %, 34 %, 32 %).</w:t>
      </w:r>
    </w:p>
    <w:p w14:paraId="05964D56" w14:textId="77777777" w:rsidR="00367AEC" w:rsidRPr="00A2598D" w:rsidRDefault="00367AEC" w:rsidP="00A2598D">
      <w:pPr>
        <w:tabs>
          <w:tab w:val="left" w:pos="851"/>
        </w:tabs>
        <w:ind w:left="851"/>
        <w:rPr>
          <w:sz w:val="24"/>
          <w:szCs w:val="24"/>
        </w:rPr>
      </w:pPr>
    </w:p>
    <w:p w14:paraId="55A0F9C1" w14:textId="77777777" w:rsidR="00A2598D" w:rsidRPr="00A2598D" w:rsidRDefault="00A2598D" w:rsidP="00A2598D">
      <w:pPr>
        <w:tabs>
          <w:tab w:val="left" w:pos="851"/>
        </w:tabs>
        <w:ind w:left="851"/>
        <w:rPr>
          <w:i/>
          <w:iCs/>
          <w:sz w:val="24"/>
          <w:szCs w:val="24"/>
        </w:rPr>
      </w:pPr>
      <w:r w:rsidRPr="00A2598D">
        <w:rPr>
          <w:i/>
          <w:sz w:val="24"/>
          <w:szCs w:val="24"/>
        </w:rPr>
        <w:t xml:space="preserve">Monoterapi </w:t>
      </w:r>
    </w:p>
    <w:p w14:paraId="1B9A3D75" w14:textId="1D69EF90" w:rsidR="00A2598D" w:rsidRDefault="00A2598D" w:rsidP="00A2598D">
      <w:pPr>
        <w:tabs>
          <w:tab w:val="left" w:pos="851"/>
        </w:tabs>
        <w:ind w:left="851"/>
        <w:rPr>
          <w:sz w:val="24"/>
          <w:szCs w:val="24"/>
        </w:rPr>
      </w:pPr>
      <w:r w:rsidRPr="00A2598D">
        <w:rPr>
          <w:sz w:val="24"/>
          <w:szCs w:val="24"/>
        </w:rPr>
        <w:t>I et meta-analysestudie undersøgtes data fra 74 kliniske forsøg med deltagelse af 5351 patienter, som modtog 24 forskellige behandlingsforløb med droperidol, og 3372 patienter, som modtog placebo, eller som ikke modtog behandling. Forekomsten af tidlig (0-6 timer) og sen PONV (0-24 timer) hos voksne og børn blev analyseret (se tabellen).</w:t>
      </w:r>
    </w:p>
    <w:p w14:paraId="04181CD1" w14:textId="77777777" w:rsidR="00367AEC" w:rsidRPr="00A2598D" w:rsidRDefault="00367AEC" w:rsidP="00A2598D">
      <w:pPr>
        <w:tabs>
          <w:tab w:val="left" w:pos="851"/>
        </w:tabs>
        <w:ind w:left="851"/>
        <w:rPr>
          <w:sz w:val="24"/>
          <w:szCs w:val="24"/>
        </w:rPr>
      </w:pPr>
    </w:p>
    <w:p w14:paraId="07346402" w14:textId="77777777" w:rsidR="00A2598D" w:rsidRPr="00A2598D" w:rsidRDefault="00A2598D" w:rsidP="00A2598D">
      <w:pPr>
        <w:tabs>
          <w:tab w:val="left" w:pos="851"/>
        </w:tabs>
        <w:ind w:left="851"/>
        <w:rPr>
          <w:sz w:val="24"/>
          <w:szCs w:val="24"/>
          <w:u w:val="single"/>
        </w:rPr>
      </w:pPr>
      <w:r w:rsidRPr="00A2598D">
        <w:rPr>
          <w:sz w:val="24"/>
          <w:szCs w:val="24"/>
          <w:u w:val="single"/>
        </w:rPr>
        <w:t>Tidlige og sene udfald efter droperidol sammenlignet med placebo eller ingen behandling.</w:t>
      </w:r>
    </w:p>
    <w:p w14:paraId="7FED6488" w14:textId="42255276" w:rsidR="00A2598D" w:rsidRDefault="00A2598D" w:rsidP="00A2598D">
      <w:pPr>
        <w:tabs>
          <w:tab w:val="left" w:pos="851"/>
        </w:tabs>
        <w:ind w:left="851"/>
        <w:rPr>
          <w:sz w:val="24"/>
          <w:szCs w:val="24"/>
          <w:u w:val="single"/>
        </w:rPr>
      </w:pPr>
      <w:r w:rsidRPr="00A2598D">
        <w:rPr>
          <w:sz w:val="24"/>
          <w:szCs w:val="24"/>
          <w:u w:val="single"/>
        </w:rPr>
        <w:t>De viste procenttal angiver forekomsten af kvalme eller opkastning</w:t>
      </w:r>
    </w:p>
    <w:p w14:paraId="2CD948D1" w14:textId="77777777" w:rsidR="001D0481" w:rsidRPr="00A2598D" w:rsidRDefault="001D0481" w:rsidP="00A2598D">
      <w:pPr>
        <w:tabs>
          <w:tab w:val="left" w:pos="851"/>
        </w:tabs>
        <w:ind w:left="851"/>
        <w:rPr>
          <w:sz w:val="24"/>
          <w:szCs w:val="24"/>
          <w:u w:val="single"/>
        </w:rPr>
      </w:pPr>
    </w:p>
    <w:tbl>
      <w:tblPr>
        <w:tblStyle w:val="Tabel-Gitter"/>
        <w:tblW w:w="9628" w:type="dxa"/>
        <w:tblInd w:w="846" w:type="dxa"/>
        <w:tblLook w:val="04A0" w:firstRow="1" w:lastRow="0" w:firstColumn="1" w:lastColumn="0" w:noHBand="0" w:noVBand="1"/>
      </w:tblPr>
      <w:tblGrid>
        <w:gridCol w:w="2394"/>
        <w:gridCol w:w="2403"/>
        <w:gridCol w:w="2404"/>
        <w:gridCol w:w="2427"/>
      </w:tblGrid>
      <w:tr w:rsidR="00A2598D" w:rsidRPr="00A2598D" w14:paraId="7D1A22FE" w14:textId="77777777" w:rsidTr="001D0481">
        <w:tc>
          <w:tcPr>
            <w:tcW w:w="4797" w:type="dxa"/>
            <w:gridSpan w:val="2"/>
            <w:tcBorders>
              <w:top w:val="single" w:sz="4" w:space="0" w:color="auto"/>
              <w:left w:val="single" w:sz="4" w:space="0" w:color="auto"/>
              <w:bottom w:val="single" w:sz="4" w:space="0" w:color="auto"/>
              <w:right w:val="single" w:sz="4" w:space="0" w:color="auto"/>
            </w:tcBorders>
            <w:vAlign w:val="center"/>
            <w:hideMark/>
          </w:tcPr>
          <w:p w14:paraId="5136C45E" w14:textId="77777777" w:rsidR="00A2598D" w:rsidRPr="00A2598D" w:rsidRDefault="00A2598D" w:rsidP="001D0481">
            <w:pPr>
              <w:ind w:left="33"/>
              <w:rPr>
                <w:rFonts w:ascii="Times New Roman" w:hAnsi="Times New Roman" w:cs="Times New Roman"/>
                <w:sz w:val="24"/>
                <w:szCs w:val="24"/>
              </w:rPr>
            </w:pPr>
            <w:r w:rsidRPr="00A2598D">
              <w:rPr>
                <w:rFonts w:ascii="Times New Roman" w:hAnsi="Times New Roman" w:cs="Times New Roman"/>
                <w:sz w:val="24"/>
                <w:szCs w:val="24"/>
              </w:rPr>
              <w:t>Parameter</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D1839DE" w14:textId="77777777" w:rsidR="00A2598D" w:rsidRPr="00A2598D" w:rsidRDefault="00A2598D" w:rsidP="001D0481">
            <w:pPr>
              <w:ind w:left="52"/>
              <w:rPr>
                <w:rFonts w:ascii="Times New Roman" w:hAnsi="Times New Roman" w:cs="Times New Roman"/>
                <w:sz w:val="24"/>
                <w:szCs w:val="24"/>
              </w:rPr>
            </w:pPr>
            <w:r w:rsidRPr="00A2598D">
              <w:rPr>
                <w:rFonts w:ascii="Times New Roman" w:hAnsi="Times New Roman" w:cs="Times New Roman"/>
                <w:sz w:val="24"/>
                <w:szCs w:val="24"/>
              </w:rPr>
              <w:t>Droperidol</w:t>
            </w:r>
          </w:p>
          <w:p w14:paraId="6570CCD1" w14:textId="77777777" w:rsidR="00A2598D" w:rsidRPr="00A2598D" w:rsidRDefault="00A2598D" w:rsidP="001D0481">
            <w:pPr>
              <w:ind w:left="52"/>
              <w:rPr>
                <w:rFonts w:ascii="Times New Roman" w:hAnsi="Times New Roman" w:cs="Times New Roman"/>
                <w:sz w:val="24"/>
                <w:szCs w:val="24"/>
              </w:rPr>
            </w:pPr>
            <w:r w:rsidRPr="00A2598D">
              <w:rPr>
                <w:rFonts w:ascii="Times New Roman" w:hAnsi="Times New Roman" w:cs="Times New Roman"/>
                <w:sz w:val="24"/>
                <w:szCs w:val="24"/>
              </w:rPr>
              <w:t>Gennemsnit (variation) i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36E5F98" w14:textId="77777777" w:rsidR="00A2598D" w:rsidRPr="00A2598D" w:rsidRDefault="00A2598D" w:rsidP="001D0481">
            <w:pPr>
              <w:rPr>
                <w:rFonts w:ascii="Times New Roman" w:hAnsi="Times New Roman" w:cs="Times New Roman"/>
                <w:sz w:val="24"/>
                <w:szCs w:val="24"/>
              </w:rPr>
            </w:pPr>
            <w:r w:rsidRPr="00A2598D">
              <w:rPr>
                <w:rFonts w:ascii="Times New Roman" w:hAnsi="Times New Roman" w:cs="Times New Roman"/>
                <w:sz w:val="24"/>
                <w:szCs w:val="24"/>
              </w:rPr>
              <w:t>Placebo/ingen behandling</w:t>
            </w:r>
          </w:p>
          <w:p w14:paraId="2C5612C0" w14:textId="77777777" w:rsidR="00A2598D" w:rsidRPr="00A2598D" w:rsidRDefault="00A2598D" w:rsidP="001D0481">
            <w:pPr>
              <w:rPr>
                <w:rFonts w:ascii="Times New Roman" w:hAnsi="Times New Roman" w:cs="Times New Roman"/>
                <w:sz w:val="24"/>
                <w:szCs w:val="24"/>
              </w:rPr>
            </w:pPr>
            <w:r w:rsidRPr="00A2598D">
              <w:rPr>
                <w:rFonts w:ascii="Times New Roman" w:hAnsi="Times New Roman" w:cs="Times New Roman"/>
                <w:sz w:val="24"/>
                <w:szCs w:val="24"/>
              </w:rPr>
              <w:t>Gennemsnit (variation) i %</w:t>
            </w:r>
          </w:p>
        </w:tc>
      </w:tr>
      <w:tr w:rsidR="00A2598D" w:rsidRPr="00A2598D" w14:paraId="127C4447" w14:textId="77777777" w:rsidTr="001D0481">
        <w:tc>
          <w:tcPr>
            <w:tcW w:w="2394" w:type="dxa"/>
            <w:vMerge w:val="restart"/>
            <w:tcBorders>
              <w:top w:val="single" w:sz="4" w:space="0" w:color="auto"/>
              <w:left w:val="single" w:sz="4" w:space="0" w:color="auto"/>
              <w:bottom w:val="single" w:sz="4" w:space="0" w:color="auto"/>
              <w:right w:val="single" w:sz="4" w:space="0" w:color="auto"/>
            </w:tcBorders>
            <w:vAlign w:val="center"/>
            <w:hideMark/>
          </w:tcPr>
          <w:p w14:paraId="6EBD62E8" w14:textId="77777777" w:rsidR="00A2598D" w:rsidRPr="00A2598D" w:rsidRDefault="00A2598D" w:rsidP="001D0481">
            <w:pPr>
              <w:ind w:left="33"/>
              <w:rPr>
                <w:rFonts w:ascii="Times New Roman" w:hAnsi="Times New Roman" w:cs="Times New Roman"/>
                <w:sz w:val="24"/>
                <w:szCs w:val="24"/>
              </w:rPr>
            </w:pPr>
            <w:r w:rsidRPr="00A2598D">
              <w:rPr>
                <w:rFonts w:ascii="Times New Roman" w:hAnsi="Times New Roman" w:cs="Times New Roman"/>
                <w:sz w:val="24"/>
                <w:szCs w:val="24"/>
              </w:rPr>
              <w:t>Tidligt udfald (0-6 timer)</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2884933" w14:textId="77777777" w:rsidR="00A2598D" w:rsidRPr="00A2598D" w:rsidRDefault="00A2598D" w:rsidP="001D0481">
            <w:pPr>
              <w:ind w:left="33"/>
              <w:rPr>
                <w:rFonts w:ascii="Times New Roman" w:hAnsi="Times New Roman" w:cs="Times New Roman"/>
                <w:sz w:val="24"/>
                <w:szCs w:val="24"/>
              </w:rPr>
            </w:pPr>
            <w:r w:rsidRPr="00A2598D">
              <w:rPr>
                <w:rFonts w:ascii="Times New Roman" w:hAnsi="Times New Roman" w:cs="Times New Roman"/>
                <w:sz w:val="24"/>
                <w:szCs w:val="24"/>
              </w:rPr>
              <w:t>Kvalme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16D3185" w14:textId="77777777" w:rsidR="00A2598D" w:rsidRPr="00A2598D" w:rsidRDefault="00A2598D" w:rsidP="00FE4C69">
            <w:pPr>
              <w:ind w:left="52"/>
              <w:rPr>
                <w:rFonts w:ascii="Times New Roman" w:hAnsi="Times New Roman" w:cs="Times New Roman"/>
                <w:sz w:val="24"/>
                <w:szCs w:val="24"/>
              </w:rPr>
            </w:pPr>
            <w:r w:rsidRPr="00A2598D">
              <w:rPr>
                <w:rFonts w:ascii="Times New Roman" w:hAnsi="Times New Roman" w:cs="Times New Roman"/>
                <w:sz w:val="24"/>
                <w:szCs w:val="24"/>
              </w:rPr>
              <w:t>16 (3-41)</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511AF3C" w14:textId="77777777" w:rsidR="00A2598D" w:rsidRPr="00A2598D" w:rsidRDefault="00A2598D" w:rsidP="00FE4C69">
            <w:pPr>
              <w:ind w:left="62"/>
              <w:rPr>
                <w:rFonts w:ascii="Times New Roman" w:hAnsi="Times New Roman" w:cs="Times New Roman"/>
                <w:sz w:val="24"/>
                <w:szCs w:val="24"/>
              </w:rPr>
            </w:pPr>
            <w:r w:rsidRPr="00A2598D">
              <w:rPr>
                <w:rFonts w:ascii="Times New Roman" w:hAnsi="Times New Roman" w:cs="Times New Roman"/>
                <w:sz w:val="24"/>
                <w:szCs w:val="24"/>
              </w:rPr>
              <w:t>33 (15-80)</w:t>
            </w:r>
          </w:p>
        </w:tc>
      </w:tr>
      <w:tr w:rsidR="00A2598D" w:rsidRPr="00A2598D" w14:paraId="6A1E91CF" w14:textId="77777777" w:rsidTr="001D0481">
        <w:tc>
          <w:tcPr>
            <w:tcW w:w="0" w:type="auto"/>
            <w:vMerge/>
            <w:tcBorders>
              <w:top w:val="single" w:sz="4" w:space="0" w:color="auto"/>
              <w:left w:val="single" w:sz="4" w:space="0" w:color="auto"/>
              <w:bottom w:val="single" w:sz="4" w:space="0" w:color="auto"/>
              <w:right w:val="single" w:sz="4" w:space="0" w:color="auto"/>
            </w:tcBorders>
            <w:vAlign w:val="center"/>
            <w:hideMark/>
          </w:tcPr>
          <w:p w14:paraId="4454031A" w14:textId="77777777" w:rsidR="00A2598D" w:rsidRPr="00A2598D" w:rsidRDefault="00A2598D" w:rsidP="001D0481">
            <w:pPr>
              <w:ind w:left="33"/>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6607D5D5" w14:textId="77777777" w:rsidR="00A2598D" w:rsidRPr="00A2598D" w:rsidRDefault="00A2598D" w:rsidP="001D0481">
            <w:pPr>
              <w:ind w:left="33"/>
              <w:rPr>
                <w:rFonts w:ascii="Times New Roman" w:hAnsi="Times New Roman" w:cs="Times New Roman"/>
                <w:sz w:val="24"/>
                <w:szCs w:val="24"/>
              </w:rPr>
            </w:pPr>
            <w:r w:rsidRPr="00A2598D">
              <w:rPr>
                <w:rFonts w:ascii="Times New Roman" w:hAnsi="Times New Roman" w:cs="Times New Roman"/>
                <w:sz w:val="24"/>
                <w:szCs w:val="24"/>
              </w:rPr>
              <w:t>Opkastning</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5A340F7" w14:textId="77777777" w:rsidR="00A2598D" w:rsidRPr="00A2598D" w:rsidRDefault="00A2598D" w:rsidP="00FE4C69">
            <w:pPr>
              <w:ind w:left="52"/>
              <w:rPr>
                <w:rFonts w:ascii="Times New Roman" w:hAnsi="Times New Roman" w:cs="Times New Roman"/>
                <w:sz w:val="24"/>
                <w:szCs w:val="24"/>
              </w:rPr>
            </w:pPr>
            <w:r w:rsidRPr="00A2598D">
              <w:rPr>
                <w:rFonts w:ascii="Times New Roman" w:hAnsi="Times New Roman" w:cs="Times New Roman"/>
                <w:sz w:val="24"/>
                <w:szCs w:val="24"/>
              </w:rPr>
              <w:t>14 (0-56)</w:t>
            </w:r>
          </w:p>
        </w:tc>
        <w:tc>
          <w:tcPr>
            <w:tcW w:w="2427" w:type="dxa"/>
            <w:tcBorders>
              <w:top w:val="single" w:sz="4" w:space="0" w:color="auto"/>
              <w:left w:val="single" w:sz="4" w:space="0" w:color="auto"/>
              <w:bottom w:val="single" w:sz="4" w:space="0" w:color="auto"/>
              <w:right w:val="single" w:sz="4" w:space="0" w:color="auto"/>
            </w:tcBorders>
            <w:vAlign w:val="center"/>
            <w:hideMark/>
          </w:tcPr>
          <w:p w14:paraId="730035D8" w14:textId="77777777" w:rsidR="00A2598D" w:rsidRPr="00A2598D" w:rsidRDefault="00A2598D" w:rsidP="00FE4C69">
            <w:pPr>
              <w:ind w:left="62"/>
              <w:rPr>
                <w:rFonts w:ascii="Times New Roman" w:hAnsi="Times New Roman" w:cs="Times New Roman"/>
                <w:sz w:val="24"/>
                <w:szCs w:val="24"/>
              </w:rPr>
            </w:pPr>
            <w:r w:rsidRPr="00A2598D">
              <w:rPr>
                <w:rFonts w:ascii="Times New Roman" w:hAnsi="Times New Roman" w:cs="Times New Roman"/>
                <w:sz w:val="24"/>
                <w:szCs w:val="24"/>
              </w:rPr>
              <w:t>29 (6-86)</w:t>
            </w:r>
          </w:p>
        </w:tc>
      </w:tr>
      <w:tr w:rsidR="00A2598D" w:rsidRPr="00A2598D" w14:paraId="073B6C4A" w14:textId="77777777" w:rsidTr="001D0481">
        <w:tc>
          <w:tcPr>
            <w:tcW w:w="2394" w:type="dxa"/>
            <w:vMerge w:val="restart"/>
            <w:tcBorders>
              <w:top w:val="single" w:sz="4" w:space="0" w:color="auto"/>
              <w:left w:val="single" w:sz="4" w:space="0" w:color="auto"/>
              <w:bottom w:val="single" w:sz="4" w:space="0" w:color="auto"/>
              <w:right w:val="single" w:sz="4" w:space="0" w:color="auto"/>
            </w:tcBorders>
            <w:vAlign w:val="center"/>
            <w:hideMark/>
          </w:tcPr>
          <w:p w14:paraId="31CC933C" w14:textId="77777777" w:rsidR="00A2598D" w:rsidRPr="00A2598D" w:rsidRDefault="00A2598D" w:rsidP="001D0481">
            <w:pPr>
              <w:ind w:left="33"/>
              <w:rPr>
                <w:rFonts w:ascii="Times New Roman" w:hAnsi="Times New Roman" w:cs="Times New Roman"/>
                <w:sz w:val="24"/>
                <w:szCs w:val="24"/>
              </w:rPr>
            </w:pPr>
            <w:r w:rsidRPr="00A2598D">
              <w:rPr>
                <w:rFonts w:ascii="Times New Roman" w:hAnsi="Times New Roman" w:cs="Times New Roman"/>
                <w:sz w:val="24"/>
                <w:szCs w:val="24"/>
              </w:rPr>
              <w:t>Sent udfald (0-24 timer)</w:t>
            </w:r>
          </w:p>
        </w:tc>
        <w:tc>
          <w:tcPr>
            <w:tcW w:w="2403" w:type="dxa"/>
            <w:tcBorders>
              <w:top w:val="single" w:sz="4" w:space="0" w:color="auto"/>
              <w:left w:val="single" w:sz="4" w:space="0" w:color="auto"/>
              <w:bottom w:val="single" w:sz="4" w:space="0" w:color="auto"/>
              <w:right w:val="single" w:sz="4" w:space="0" w:color="auto"/>
            </w:tcBorders>
            <w:vAlign w:val="center"/>
            <w:hideMark/>
          </w:tcPr>
          <w:p w14:paraId="103920E5" w14:textId="77777777" w:rsidR="00A2598D" w:rsidRPr="00A2598D" w:rsidRDefault="00A2598D" w:rsidP="001D0481">
            <w:pPr>
              <w:ind w:left="33"/>
              <w:rPr>
                <w:rFonts w:ascii="Times New Roman" w:hAnsi="Times New Roman" w:cs="Times New Roman"/>
                <w:sz w:val="24"/>
                <w:szCs w:val="24"/>
              </w:rPr>
            </w:pPr>
            <w:r w:rsidRPr="00A2598D">
              <w:rPr>
                <w:rFonts w:ascii="Times New Roman" w:hAnsi="Times New Roman" w:cs="Times New Roman"/>
                <w:sz w:val="24"/>
                <w:szCs w:val="24"/>
              </w:rPr>
              <w:t>Kvalme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AAF983A" w14:textId="77777777" w:rsidR="00A2598D" w:rsidRPr="00A2598D" w:rsidRDefault="00A2598D" w:rsidP="00FE4C69">
            <w:pPr>
              <w:ind w:left="52"/>
              <w:rPr>
                <w:rFonts w:ascii="Times New Roman" w:hAnsi="Times New Roman" w:cs="Times New Roman"/>
                <w:sz w:val="24"/>
                <w:szCs w:val="24"/>
              </w:rPr>
            </w:pPr>
            <w:r w:rsidRPr="00A2598D">
              <w:rPr>
                <w:rFonts w:ascii="Times New Roman" w:hAnsi="Times New Roman" w:cs="Times New Roman"/>
                <w:sz w:val="24"/>
                <w:szCs w:val="24"/>
              </w:rPr>
              <w:t>45 (1-86)</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D6FDB43" w14:textId="77777777" w:rsidR="00A2598D" w:rsidRPr="00A2598D" w:rsidRDefault="00A2598D" w:rsidP="00FE4C69">
            <w:pPr>
              <w:ind w:left="62"/>
              <w:rPr>
                <w:rFonts w:ascii="Times New Roman" w:hAnsi="Times New Roman" w:cs="Times New Roman"/>
                <w:sz w:val="24"/>
                <w:szCs w:val="24"/>
              </w:rPr>
            </w:pPr>
            <w:r w:rsidRPr="00A2598D">
              <w:rPr>
                <w:rFonts w:ascii="Times New Roman" w:hAnsi="Times New Roman" w:cs="Times New Roman"/>
                <w:sz w:val="24"/>
                <w:szCs w:val="24"/>
              </w:rPr>
              <w:t>58 (11-96)</w:t>
            </w:r>
          </w:p>
        </w:tc>
      </w:tr>
      <w:tr w:rsidR="00A2598D" w:rsidRPr="00A2598D" w14:paraId="2A7F5333" w14:textId="77777777" w:rsidTr="001D0481">
        <w:tc>
          <w:tcPr>
            <w:tcW w:w="0" w:type="auto"/>
            <w:vMerge/>
            <w:tcBorders>
              <w:top w:val="single" w:sz="4" w:space="0" w:color="auto"/>
              <w:left w:val="single" w:sz="4" w:space="0" w:color="auto"/>
              <w:bottom w:val="single" w:sz="4" w:space="0" w:color="auto"/>
              <w:right w:val="single" w:sz="4" w:space="0" w:color="auto"/>
            </w:tcBorders>
            <w:vAlign w:val="center"/>
            <w:hideMark/>
          </w:tcPr>
          <w:p w14:paraId="0DB60949" w14:textId="77777777" w:rsidR="00A2598D" w:rsidRPr="00A2598D" w:rsidRDefault="00A2598D" w:rsidP="001D0481">
            <w:pPr>
              <w:ind w:left="33"/>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1B8EE40D" w14:textId="77777777" w:rsidR="00A2598D" w:rsidRPr="00A2598D" w:rsidRDefault="00A2598D" w:rsidP="001D0481">
            <w:pPr>
              <w:ind w:left="33"/>
              <w:rPr>
                <w:rFonts w:ascii="Times New Roman" w:hAnsi="Times New Roman" w:cs="Times New Roman"/>
                <w:sz w:val="24"/>
                <w:szCs w:val="24"/>
              </w:rPr>
            </w:pPr>
            <w:r w:rsidRPr="00A2598D">
              <w:rPr>
                <w:rFonts w:ascii="Times New Roman" w:hAnsi="Times New Roman" w:cs="Times New Roman"/>
                <w:sz w:val="24"/>
                <w:szCs w:val="24"/>
              </w:rPr>
              <w:t>Opkastning</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3CF98D8" w14:textId="77777777" w:rsidR="00A2598D" w:rsidRPr="00A2598D" w:rsidRDefault="00A2598D" w:rsidP="00FE4C69">
            <w:pPr>
              <w:ind w:left="52"/>
              <w:rPr>
                <w:rFonts w:ascii="Times New Roman" w:hAnsi="Times New Roman" w:cs="Times New Roman"/>
                <w:sz w:val="24"/>
                <w:szCs w:val="24"/>
              </w:rPr>
            </w:pPr>
            <w:r w:rsidRPr="00A2598D">
              <w:rPr>
                <w:rFonts w:ascii="Times New Roman" w:hAnsi="Times New Roman" w:cs="Times New Roman"/>
                <w:sz w:val="24"/>
                <w:szCs w:val="24"/>
              </w:rPr>
              <w:t>28 (4-83)</w:t>
            </w:r>
          </w:p>
        </w:tc>
        <w:tc>
          <w:tcPr>
            <w:tcW w:w="2427" w:type="dxa"/>
            <w:tcBorders>
              <w:top w:val="single" w:sz="4" w:space="0" w:color="auto"/>
              <w:left w:val="single" w:sz="4" w:space="0" w:color="auto"/>
              <w:bottom w:val="single" w:sz="4" w:space="0" w:color="auto"/>
              <w:right w:val="single" w:sz="4" w:space="0" w:color="auto"/>
            </w:tcBorders>
            <w:vAlign w:val="center"/>
            <w:hideMark/>
          </w:tcPr>
          <w:p w14:paraId="5E27734E" w14:textId="77777777" w:rsidR="00A2598D" w:rsidRPr="00A2598D" w:rsidRDefault="00A2598D" w:rsidP="00FE4C69">
            <w:pPr>
              <w:ind w:left="62"/>
              <w:rPr>
                <w:rFonts w:ascii="Times New Roman" w:hAnsi="Times New Roman" w:cs="Times New Roman"/>
                <w:sz w:val="24"/>
                <w:szCs w:val="24"/>
              </w:rPr>
            </w:pPr>
            <w:r w:rsidRPr="00A2598D">
              <w:rPr>
                <w:rFonts w:ascii="Times New Roman" w:hAnsi="Times New Roman" w:cs="Times New Roman"/>
                <w:sz w:val="24"/>
                <w:szCs w:val="24"/>
              </w:rPr>
              <w:t>46 (12-97)</w:t>
            </w:r>
          </w:p>
        </w:tc>
      </w:tr>
    </w:tbl>
    <w:p w14:paraId="71A79986" w14:textId="77777777" w:rsidR="00A2598D" w:rsidRPr="00A2598D" w:rsidRDefault="00A2598D" w:rsidP="00A2598D">
      <w:pPr>
        <w:tabs>
          <w:tab w:val="left" w:pos="851"/>
        </w:tabs>
        <w:ind w:left="851"/>
        <w:rPr>
          <w:sz w:val="24"/>
          <w:szCs w:val="24"/>
          <w:lang w:val="en-GB"/>
        </w:rPr>
      </w:pPr>
    </w:p>
    <w:p w14:paraId="45B9AD41" w14:textId="7915EB8C" w:rsidR="00A2598D" w:rsidRDefault="00A2598D" w:rsidP="00A2598D">
      <w:pPr>
        <w:tabs>
          <w:tab w:val="left" w:pos="851"/>
        </w:tabs>
        <w:ind w:left="851"/>
        <w:rPr>
          <w:sz w:val="24"/>
          <w:szCs w:val="24"/>
        </w:rPr>
      </w:pPr>
      <w:r w:rsidRPr="00A2598D">
        <w:rPr>
          <w:sz w:val="24"/>
          <w:szCs w:val="24"/>
        </w:rPr>
        <w:t>Droperidol var mere virkningsfuld end placebo eller ingen behandling til forebyggelse af PONV hos voksne og børn.</w:t>
      </w:r>
    </w:p>
    <w:p w14:paraId="58FA59C3" w14:textId="17526A14" w:rsidR="00FE4C69" w:rsidRDefault="00FE4C69">
      <w:pPr>
        <w:rPr>
          <w:sz w:val="24"/>
          <w:szCs w:val="24"/>
        </w:rPr>
      </w:pPr>
      <w:r>
        <w:rPr>
          <w:sz w:val="24"/>
          <w:szCs w:val="24"/>
        </w:rPr>
        <w:br w:type="page"/>
      </w:r>
    </w:p>
    <w:p w14:paraId="4FBC4BBE" w14:textId="77777777" w:rsidR="00FE4C69" w:rsidRPr="00A2598D" w:rsidRDefault="00FE4C69" w:rsidP="00A2598D">
      <w:pPr>
        <w:tabs>
          <w:tab w:val="left" w:pos="851"/>
        </w:tabs>
        <w:ind w:left="851"/>
        <w:rPr>
          <w:sz w:val="24"/>
          <w:szCs w:val="24"/>
        </w:rPr>
      </w:pPr>
    </w:p>
    <w:p w14:paraId="7F386EF3" w14:textId="77777777" w:rsidR="00A2598D" w:rsidRPr="00A2598D" w:rsidRDefault="00A2598D" w:rsidP="00A2598D">
      <w:pPr>
        <w:tabs>
          <w:tab w:val="left" w:pos="851"/>
        </w:tabs>
        <w:ind w:left="851"/>
        <w:rPr>
          <w:i/>
          <w:iCs/>
          <w:sz w:val="24"/>
          <w:szCs w:val="24"/>
        </w:rPr>
      </w:pPr>
      <w:r w:rsidRPr="00A2598D">
        <w:rPr>
          <w:i/>
          <w:sz w:val="24"/>
          <w:szCs w:val="24"/>
        </w:rPr>
        <w:t xml:space="preserve">Kombinationsbehandling </w:t>
      </w:r>
    </w:p>
    <w:p w14:paraId="33056666" w14:textId="77777777" w:rsidR="00A2598D" w:rsidRPr="00A2598D" w:rsidRDefault="00A2598D" w:rsidP="00A2598D">
      <w:pPr>
        <w:tabs>
          <w:tab w:val="left" w:pos="851"/>
        </w:tabs>
        <w:ind w:left="851"/>
        <w:rPr>
          <w:sz w:val="24"/>
          <w:szCs w:val="24"/>
          <w:lang w:val="sv-SE"/>
        </w:rPr>
      </w:pPr>
      <w:r w:rsidRPr="00A2598D">
        <w:rPr>
          <w:sz w:val="24"/>
          <w:szCs w:val="24"/>
        </w:rPr>
        <w:t xml:space="preserve">I et randomiseret studie med deltagelse af 4123 patienter vurderedes virkningen af enkelt og kombineret antiemetisk intervention hos patienter med høj risiko for PONV. </w:t>
      </w:r>
      <w:r w:rsidRPr="00A2598D">
        <w:rPr>
          <w:sz w:val="24"/>
          <w:szCs w:val="24"/>
          <w:lang w:val="sv-SE"/>
        </w:rPr>
        <w:t xml:space="preserve">Behandlingen bestod af 1,25 mg droperidol eller ingen droperidol; 4 mg ondansetron eller ingen ondansetron; 4 mg dexamethason eller ingen dexamethason. </w:t>
      </w:r>
    </w:p>
    <w:p w14:paraId="71363649" w14:textId="31BD387D" w:rsidR="00A2598D" w:rsidRDefault="00A2598D" w:rsidP="00A2598D">
      <w:pPr>
        <w:tabs>
          <w:tab w:val="left" w:pos="851"/>
        </w:tabs>
        <w:ind w:left="851"/>
        <w:rPr>
          <w:sz w:val="24"/>
          <w:szCs w:val="24"/>
        </w:rPr>
      </w:pPr>
      <w:r w:rsidRPr="00A2598D">
        <w:rPr>
          <w:sz w:val="24"/>
          <w:szCs w:val="24"/>
        </w:rPr>
        <w:t>Tilføjelse af yderligere antiemetika reducerede forekomsten af PONV svarende til en reduktion på ca. 26 % af den relative risiko for kvalme og opkastning for hvert yderligere anvendt antiemetikum. Alle de testede antiemetika var lige effektive.</w:t>
      </w:r>
    </w:p>
    <w:p w14:paraId="432CE18F" w14:textId="77777777" w:rsidR="00FE4C69" w:rsidRPr="00A2598D" w:rsidRDefault="00FE4C69" w:rsidP="00A2598D">
      <w:pPr>
        <w:tabs>
          <w:tab w:val="left" w:pos="851"/>
        </w:tabs>
        <w:ind w:left="851"/>
        <w:rPr>
          <w:sz w:val="24"/>
          <w:szCs w:val="24"/>
        </w:rPr>
      </w:pPr>
    </w:p>
    <w:p w14:paraId="47CD898D" w14:textId="77777777" w:rsidR="00A2598D" w:rsidRPr="00A2598D" w:rsidRDefault="00A2598D" w:rsidP="00A2598D">
      <w:pPr>
        <w:tabs>
          <w:tab w:val="left" w:pos="851"/>
        </w:tabs>
        <w:ind w:left="851"/>
        <w:rPr>
          <w:i/>
          <w:iCs/>
          <w:sz w:val="24"/>
          <w:szCs w:val="24"/>
        </w:rPr>
      </w:pPr>
      <w:r w:rsidRPr="00A2598D">
        <w:rPr>
          <w:i/>
          <w:sz w:val="24"/>
          <w:szCs w:val="24"/>
        </w:rPr>
        <w:t xml:space="preserve">PCA </w:t>
      </w:r>
    </w:p>
    <w:p w14:paraId="3322C9F4" w14:textId="77777777" w:rsidR="00A2598D" w:rsidRPr="00A2598D" w:rsidRDefault="00A2598D" w:rsidP="00A2598D">
      <w:pPr>
        <w:tabs>
          <w:tab w:val="left" w:pos="851"/>
        </w:tabs>
        <w:ind w:left="851"/>
        <w:rPr>
          <w:sz w:val="24"/>
          <w:szCs w:val="24"/>
        </w:rPr>
      </w:pPr>
      <w:r w:rsidRPr="00A2598D">
        <w:rPr>
          <w:sz w:val="24"/>
          <w:szCs w:val="24"/>
        </w:rPr>
        <w:t xml:space="preserve">Der blev foretaget en systematisk gennemgang af 14 studier med deltagelse af 1117 patienter, som modtog PCA. </w:t>
      </w:r>
    </w:p>
    <w:p w14:paraId="58AA666A" w14:textId="4F1A8D2E" w:rsidR="00A2598D" w:rsidRDefault="00A2598D" w:rsidP="00A2598D">
      <w:pPr>
        <w:tabs>
          <w:tab w:val="left" w:pos="851"/>
        </w:tabs>
        <w:ind w:left="851"/>
        <w:rPr>
          <w:sz w:val="24"/>
          <w:szCs w:val="24"/>
        </w:rPr>
      </w:pPr>
      <w:r w:rsidRPr="00A2598D">
        <w:rPr>
          <w:sz w:val="24"/>
          <w:szCs w:val="24"/>
        </w:rPr>
        <w:t>Droperidol blev brugt i 6 studier med en dosisvariation på 0,017-0,17 mg/mg morfin; 0,017-0,33 mg/bolus. Forekomsten af emetiske hændelser hos patienter, som fik placebo, var 66 % sammenlignet med 30 % for patienter, som fik droperidol.</w:t>
      </w:r>
    </w:p>
    <w:p w14:paraId="48A6FE38" w14:textId="77777777" w:rsidR="00FE4C69" w:rsidRPr="00A2598D" w:rsidRDefault="00FE4C69" w:rsidP="00A2598D">
      <w:pPr>
        <w:tabs>
          <w:tab w:val="left" w:pos="851"/>
        </w:tabs>
        <w:ind w:left="851"/>
        <w:rPr>
          <w:sz w:val="24"/>
          <w:szCs w:val="24"/>
        </w:rPr>
      </w:pPr>
    </w:p>
    <w:p w14:paraId="1C27C302" w14:textId="77777777" w:rsidR="00A2598D" w:rsidRPr="00A2598D" w:rsidRDefault="00A2598D" w:rsidP="00A2598D">
      <w:pPr>
        <w:tabs>
          <w:tab w:val="left" w:pos="851"/>
        </w:tabs>
        <w:ind w:left="851"/>
        <w:rPr>
          <w:i/>
          <w:iCs/>
          <w:sz w:val="24"/>
          <w:szCs w:val="24"/>
        </w:rPr>
      </w:pPr>
      <w:r w:rsidRPr="00A2598D">
        <w:rPr>
          <w:i/>
          <w:sz w:val="24"/>
          <w:szCs w:val="24"/>
        </w:rPr>
        <w:t xml:space="preserve">QTc </w:t>
      </w:r>
    </w:p>
    <w:p w14:paraId="3C70D6AE" w14:textId="77777777" w:rsidR="00A2598D" w:rsidRPr="00A2598D" w:rsidRDefault="00A2598D" w:rsidP="00A2598D">
      <w:pPr>
        <w:tabs>
          <w:tab w:val="left" w:pos="851"/>
        </w:tabs>
        <w:ind w:left="851"/>
        <w:rPr>
          <w:sz w:val="24"/>
          <w:szCs w:val="24"/>
        </w:rPr>
      </w:pPr>
      <w:r w:rsidRPr="00A2598D">
        <w:rPr>
          <w:sz w:val="24"/>
          <w:szCs w:val="24"/>
        </w:rPr>
        <w:t xml:space="preserve">I et placebokontrolleret studie identificeredes ved behandling med droperidol et forlænget QT-interval ved 3-6 min. efter administration af 0,625 og 1,25 mg droperidol (hhv. 15 ± 40 og 22 ± 41 msek.), men disse ændringer afveg ikke signifikant fra placebo (12 ± 35 msek.). Der var ingen statistisk signifikante forskelle sammenlignet med placebo hos det antal patienter, som havde et mere end 10 % forlænget QTc. I et andet studie med 0,75 mg intravenøs droperidol og 4 mg ondansetron identificeredes en signifikant forlængelse af QTc-intervallet (17 ± 9 msek. for droperidol, 20 ± 13 msek. for ondansetron), hvor QTc-intervallet var signifikant lavere efter det 90. minut. </w:t>
      </w:r>
    </w:p>
    <w:p w14:paraId="4FE89878" w14:textId="7820D128" w:rsidR="00A2598D" w:rsidRPr="00A2598D" w:rsidRDefault="00A2598D" w:rsidP="00A2598D">
      <w:pPr>
        <w:tabs>
          <w:tab w:val="left" w:pos="851"/>
        </w:tabs>
        <w:ind w:left="851"/>
        <w:rPr>
          <w:sz w:val="24"/>
          <w:szCs w:val="24"/>
        </w:rPr>
      </w:pPr>
      <w:r w:rsidRPr="00A2598D">
        <w:rPr>
          <w:sz w:val="24"/>
          <w:szCs w:val="24"/>
        </w:rPr>
        <w:t>Et studie, som undersøgte kombinationen af ondansetron (4 mg) og droperidol (1 mg), viste, at begge lægemidler forøgede QTc-intervallet separat (17 ± 10 msek. for ondansetron, 25 ± 8 msek. for droperidol), men der var ingen additiv effekt, da de blev givet sammen (28 ± 10 msek.).</w:t>
      </w:r>
    </w:p>
    <w:p w14:paraId="0F246EE8" w14:textId="77777777" w:rsidR="009260DE" w:rsidRPr="00C84483" w:rsidRDefault="009260DE" w:rsidP="00412B94">
      <w:pPr>
        <w:tabs>
          <w:tab w:val="left" w:pos="851"/>
        </w:tabs>
        <w:ind w:left="851"/>
        <w:rPr>
          <w:sz w:val="24"/>
          <w:szCs w:val="24"/>
        </w:rPr>
      </w:pPr>
    </w:p>
    <w:p w14:paraId="03BF7F38" w14:textId="77777777" w:rsidR="009260DE" w:rsidRPr="00C84483" w:rsidRDefault="009260DE" w:rsidP="00412B94">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1928397" w14:textId="50250B75" w:rsidR="00945C48" w:rsidRDefault="00945C48" w:rsidP="00945C48">
      <w:pPr>
        <w:tabs>
          <w:tab w:val="left" w:pos="851"/>
        </w:tabs>
        <w:ind w:left="851"/>
        <w:rPr>
          <w:sz w:val="24"/>
          <w:szCs w:val="24"/>
        </w:rPr>
      </w:pPr>
      <w:r w:rsidRPr="00945C48">
        <w:rPr>
          <w:sz w:val="24"/>
          <w:szCs w:val="24"/>
        </w:rPr>
        <w:t>Virkningen af én intravenøs dosis indtræder 2-3 minutter efter administration. De beroligende og sedative effekter varer ofte i 2 til 4 timer, men opmærksomheden kan være påvirket i op til 12 timer.</w:t>
      </w:r>
    </w:p>
    <w:p w14:paraId="3835677D" w14:textId="77777777" w:rsidR="00084525" w:rsidRPr="00945C48" w:rsidRDefault="00084525" w:rsidP="00945C48">
      <w:pPr>
        <w:tabs>
          <w:tab w:val="left" w:pos="851"/>
        </w:tabs>
        <w:ind w:left="851"/>
        <w:rPr>
          <w:sz w:val="24"/>
          <w:szCs w:val="24"/>
        </w:rPr>
      </w:pPr>
    </w:p>
    <w:p w14:paraId="2CCF1538" w14:textId="77777777" w:rsidR="00945C48" w:rsidRPr="00945C48" w:rsidRDefault="00945C48" w:rsidP="00945C48">
      <w:pPr>
        <w:tabs>
          <w:tab w:val="left" w:pos="851"/>
        </w:tabs>
        <w:ind w:left="851"/>
        <w:rPr>
          <w:sz w:val="24"/>
          <w:szCs w:val="24"/>
        </w:rPr>
      </w:pPr>
      <w:r w:rsidRPr="00945C48">
        <w:rPr>
          <w:sz w:val="24"/>
          <w:szCs w:val="24"/>
          <w:u w:val="single"/>
        </w:rPr>
        <w:t xml:space="preserve">Fordeling </w:t>
      </w:r>
    </w:p>
    <w:p w14:paraId="1F6DC543" w14:textId="77777777" w:rsidR="00945C48" w:rsidRPr="00945C48" w:rsidRDefault="00945C48" w:rsidP="00945C48">
      <w:pPr>
        <w:tabs>
          <w:tab w:val="left" w:pos="851"/>
        </w:tabs>
        <w:ind w:left="851"/>
        <w:rPr>
          <w:sz w:val="24"/>
          <w:szCs w:val="24"/>
        </w:rPr>
      </w:pPr>
      <w:r w:rsidRPr="00945C48">
        <w:rPr>
          <w:sz w:val="24"/>
          <w:szCs w:val="24"/>
        </w:rPr>
        <w:t xml:space="preserve">Efter intravenøs administration falder plasmakoncentrationerne hurtigt i de første 15 minutter. Dette er en metabolismeuafhængig omfordeling af lægemidlet. Proteinbindingen i plasma er på 85-90 %. Fordelingsvolumenet er ca. 1,5 l/kg. </w:t>
      </w:r>
    </w:p>
    <w:p w14:paraId="0BD1DE01" w14:textId="77777777" w:rsidR="00084525" w:rsidRDefault="00084525" w:rsidP="00945C48">
      <w:pPr>
        <w:tabs>
          <w:tab w:val="left" w:pos="851"/>
        </w:tabs>
        <w:ind w:left="851"/>
        <w:rPr>
          <w:sz w:val="24"/>
          <w:szCs w:val="24"/>
          <w:u w:val="single"/>
        </w:rPr>
      </w:pPr>
    </w:p>
    <w:p w14:paraId="51354C7E" w14:textId="73CFF408" w:rsidR="00945C48" w:rsidRPr="00945C48" w:rsidRDefault="00945C48" w:rsidP="00945C48">
      <w:pPr>
        <w:tabs>
          <w:tab w:val="left" w:pos="851"/>
        </w:tabs>
        <w:ind w:left="851"/>
        <w:rPr>
          <w:sz w:val="24"/>
          <w:szCs w:val="24"/>
        </w:rPr>
      </w:pPr>
      <w:r w:rsidRPr="00945C48">
        <w:rPr>
          <w:sz w:val="24"/>
          <w:szCs w:val="24"/>
          <w:u w:val="single"/>
        </w:rPr>
        <w:t xml:space="preserve">Biotransformation </w:t>
      </w:r>
    </w:p>
    <w:p w14:paraId="04C45D9C" w14:textId="77777777" w:rsidR="00945C48" w:rsidRPr="00945C48" w:rsidRDefault="00945C48" w:rsidP="00945C48">
      <w:pPr>
        <w:tabs>
          <w:tab w:val="left" w:pos="851"/>
        </w:tabs>
        <w:ind w:left="851"/>
        <w:rPr>
          <w:sz w:val="24"/>
          <w:szCs w:val="24"/>
        </w:rPr>
      </w:pPr>
      <w:r w:rsidRPr="00945C48">
        <w:rPr>
          <w:sz w:val="24"/>
          <w:szCs w:val="24"/>
        </w:rPr>
        <w:t xml:space="preserve">Droperidol metaboliseres i høj grad i leveren og gennemgår oxidering, dealkylering, demetylering og hydroxylering af cytochrome P450-isoenzymer 1A2 og 3A4 samt i mindre grad af 2C19. Metabolitterne har ingen neuroleptisk aktivitet. </w:t>
      </w:r>
    </w:p>
    <w:p w14:paraId="349B0BAC" w14:textId="77777777" w:rsidR="00084525" w:rsidRDefault="00084525" w:rsidP="00945C48">
      <w:pPr>
        <w:tabs>
          <w:tab w:val="left" w:pos="851"/>
        </w:tabs>
        <w:ind w:left="851"/>
        <w:rPr>
          <w:sz w:val="24"/>
          <w:szCs w:val="24"/>
          <w:u w:val="single"/>
        </w:rPr>
      </w:pPr>
    </w:p>
    <w:p w14:paraId="7C47E95C" w14:textId="0D3E9306" w:rsidR="00945C48" w:rsidRPr="00945C48" w:rsidRDefault="00945C48" w:rsidP="00945C48">
      <w:pPr>
        <w:tabs>
          <w:tab w:val="left" w:pos="851"/>
        </w:tabs>
        <w:ind w:left="851"/>
        <w:rPr>
          <w:sz w:val="24"/>
          <w:szCs w:val="24"/>
        </w:rPr>
      </w:pPr>
      <w:r w:rsidRPr="00945C48">
        <w:rPr>
          <w:sz w:val="24"/>
          <w:szCs w:val="24"/>
          <w:u w:val="single"/>
        </w:rPr>
        <w:t xml:space="preserve">Elimination </w:t>
      </w:r>
    </w:p>
    <w:p w14:paraId="6DD05765" w14:textId="2ACAE6B6" w:rsidR="00945C48" w:rsidRDefault="00945C48" w:rsidP="00945C48">
      <w:pPr>
        <w:tabs>
          <w:tab w:val="left" w:pos="851"/>
        </w:tabs>
        <w:ind w:left="851"/>
        <w:rPr>
          <w:sz w:val="24"/>
          <w:szCs w:val="24"/>
        </w:rPr>
      </w:pPr>
      <w:r w:rsidRPr="00945C48">
        <w:rPr>
          <w:sz w:val="24"/>
          <w:szCs w:val="24"/>
        </w:rPr>
        <w:t>Elimination sker først og fremmest via metabolisme; 75 % udskilles via nyrerne. Kun 1 % af det aktive stof udskilles uændret i urinen og 11 % i fæces. Plasmaclearance er 0,8 (0,4-1,8) l/min. Eliminationshalveringstiden (t</w:t>
      </w:r>
      <w:r w:rsidRPr="00945C48">
        <w:rPr>
          <w:sz w:val="24"/>
          <w:szCs w:val="24"/>
          <w:vertAlign w:val="subscript"/>
        </w:rPr>
        <w:t>½ß</w:t>
      </w:r>
      <w:r w:rsidRPr="00945C48">
        <w:rPr>
          <w:sz w:val="24"/>
          <w:szCs w:val="24"/>
        </w:rPr>
        <w:t>) er 134 ± 13 min.</w:t>
      </w:r>
    </w:p>
    <w:p w14:paraId="45018CB0" w14:textId="77777777" w:rsidR="00084525" w:rsidRPr="00945C48" w:rsidRDefault="00084525" w:rsidP="00945C48">
      <w:pPr>
        <w:tabs>
          <w:tab w:val="left" w:pos="851"/>
        </w:tabs>
        <w:ind w:left="851"/>
        <w:rPr>
          <w:sz w:val="24"/>
          <w:szCs w:val="24"/>
        </w:rPr>
      </w:pPr>
    </w:p>
    <w:p w14:paraId="6CB5A9F6" w14:textId="77777777" w:rsidR="00945C48" w:rsidRPr="00945C48" w:rsidRDefault="00945C48" w:rsidP="00945C48">
      <w:pPr>
        <w:tabs>
          <w:tab w:val="left" w:pos="851"/>
        </w:tabs>
        <w:ind w:left="851"/>
        <w:rPr>
          <w:sz w:val="24"/>
          <w:szCs w:val="24"/>
        </w:rPr>
      </w:pPr>
      <w:r w:rsidRPr="00945C48">
        <w:rPr>
          <w:sz w:val="24"/>
          <w:szCs w:val="24"/>
          <w:u w:val="single"/>
        </w:rPr>
        <w:t xml:space="preserve">Lægemiddelinteraktioner </w:t>
      </w:r>
    </w:p>
    <w:p w14:paraId="10462E58" w14:textId="123F5BC9" w:rsidR="00945C48" w:rsidRDefault="00945C48" w:rsidP="00945C48">
      <w:pPr>
        <w:tabs>
          <w:tab w:val="left" w:pos="851"/>
        </w:tabs>
        <w:ind w:left="851"/>
        <w:rPr>
          <w:sz w:val="24"/>
          <w:szCs w:val="24"/>
        </w:rPr>
      </w:pPr>
      <w:r w:rsidRPr="00945C48">
        <w:rPr>
          <w:sz w:val="24"/>
          <w:szCs w:val="24"/>
        </w:rPr>
        <w:t>Et studie, der kombinerer ondansetron (4 mg) og droperidol (1 mg), viste, at der ikke var nogen farmakokinetisk interaktion mellem de to lægemidler, når de blev administreret sammen.</w:t>
      </w:r>
    </w:p>
    <w:p w14:paraId="23B0EF5C" w14:textId="77777777" w:rsidR="00084525" w:rsidRPr="00945C48" w:rsidRDefault="00084525" w:rsidP="00945C48">
      <w:pPr>
        <w:tabs>
          <w:tab w:val="left" w:pos="851"/>
        </w:tabs>
        <w:ind w:left="851"/>
        <w:rPr>
          <w:sz w:val="24"/>
          <w:szCs w:val="24"/>
        </w:rPr>
      </w:pPr>
    </w:p>
    <w:p w14:paraId="6F6C8FB4" w14:textId="77777777" w:rsidR="00945C48" w:rsidRPr="00945C48" w:rsidRDefault="00945C48" w:rsidP="00945C48">
      <w:pPr>
        <w:tabs>
          <w:tab w:val="left" w:pos="851"/>
        </w:tabs>
        <w:ind w:left="851"/>
        <w:rPr>
          <w:sz w:val="24"/>
          <w:szCs w:val="24"/>
        </w:rPr>
      </w:pPr>
      <w:r w:rsidRPr="00945C48">
        <w:rPr>
          <w:sz w:val="24"/>
          <w:szCs w:val="24"/>
          <w:u w:val="single"/>
        </w:rPr>
        <w:t xml:space="preserve">Pædiatrisk population </w:t>
      </w:r>
    </w:p>
    <w:p w14:paraId="32D1CCE6" w14:textId="77777777" w:rsidR="00945C48" w:rsidRPr="00945C48" w:rsidRDefault="00945C48" w:rsidP="00945C48">
      <w:pPr>
        <w:tabs>
          <w:tab w:val="left" w:pos="851"/>
        </w:tabs>
        <w:ind w:left="851"/>
        <w:rPr>
          <w:sz w:val="24"/>
          <w:szCs w:val="24"/>
        </w:rPr>
      </w:pPr>
      <w:r w:rsidRPr="00945C48">
        <w:rPr>
          <w:sz w:val="24"/>
          <w:szCs w:val="24"/>
        </w:rPr>
        <w:t>I et studie med deltagelse af 12 børn (i alderen 3,5 til 12 år) var de rapporterede værdier for fordelingsvolumen og clearance lavere end for den voksne population (hhv. 0,58 ± 0,29 l/kg og 4,66 ± 2,28 ml/kg</w:t>
      </w:r>
      <w:r w:rsidRPr="00945C48">
        <w:rPr>
          <w:sz w:val="24"/>
          <w:szCs w:val="24"/>
          <w:vertAlign w:val="superscript"/>
        </w:rPr>
        <w:t>*</w:t>
      </w:r>
      <w:r w:rsidRPr="00945C48">
        <w:rPr>
          <w:sz w:val="24"/>
          <w:szCs w:val="24"/>
        </w:rPr>
        <w:t xml:space="preserve">min.) og faldt parallelt. Eliminationshalveringstiden (101,5 ± 26,4 min.) svarede til værdien for voksne. </w:t>
      </w:r>
    </w:p>
    <w:p w14:paraId="26FE54B8" w14:textId="77777777" w:rsidR="009260DE" w:rsidRPr="00C84483" w:rsidRDefault="009260DE" w:rsidP="00412B94">
      <w:pPr>
        <w:tabs>
          <w:tab w:val="left" w:pos="851"/>
        </w:tabs>
        <w:ind w:left="851"/>
        <w:rPr>
          <w:sz w:val="24"/>
          <w:szCs w:val="24"/>
        </w:rPr>
      </w:pPr>
    </w:p>
    <w:p w14:paraId="0604EFA3" w14:textId="77777777" w:rsidR="009260DE" w:rsidRPr="00C84483" w:rsidRDefault="009260DE" w:rsidP="00412B94">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44FD369" w14:textId="4A354789" w:rsidR="00084525" w:rsidRDefault="00084525" w:rsidP="00084525">
      <w:pPr>
        <w:tabs>
          <w:tab w:val="left" w:pos="851"/>
        </w:tabs>
        <w:ind w:left="851"/>
        <w:rPr>
          <w:sz w:val="24"/>
          <w:szCs w:val="24"/>
        </w:rPr>
      </w:pPr>
      <w:r w:rsidRPr="00084525">
        <w:rPr>
          <w:sz w:val="24"/>
          <w:szCs w:val="24"/>
        </w:rPr>
        <w:t>Non-kliniske data viser ingen særlig risiko for mennesker vurderet ud fra konventionelle studier af toksicitet ved gentagne doser, genotoksicitet samt reproduktionstoksicitet. Et studie med oral droperidol hos rotter viste ingen hæmning af fertiliteten hos hanner eller hunner ved op til 20 gange den maksimale humane dosis.</w:t>
      </w:r>
    </w:p>
    <w:p w14:paraId="7906396B" w14:textId="77777777" w:rsidR="00CF6D91" w:rsidRPr="00084525" w:rsidRDefault="00CF6D91" w:rsidP="00084525">
      <w:pPr>
        <w:tabs>
          <w:tab w:val="left" w:pos="851"/>
        </w:tabs>
        <w:ind w:left="851"/>
        <w:rPr>
          <w:sz w:val="24"/>
          <w:szCs w:val="24"/>
        </w:rPr>
      </w:pPr>
    </w:p>
    <w:p w14:paraId="68097ABC" w14:textId="2CBF3C86" w:rsidR="00CF6D91" w:rsidRDefault="00084525" w:rsidP="00CF6D91">
      <w:pPr>
        <w:tabs>
          <w:tab w:val="left" w:pos="851"/>
        </w:tabs>
        <w:ind w:left="851"/>
        <w:rPr>
          <w:sz w:val="24"/>
          <w:szCs w:val="24"/>
        </w:rPr>
      </w:pPr>
      <w:r w:rsidRPr="00084525">
        <w:rPr>
          <w:sz w:val="24"/>
          <w:szCs w:val="24"/>
        </w:rPr>
        <w:t xml:space="preserve">Elektrofysiologiske </w:t>
      </w:r>
      <w:r w:rsidRPr="00084525">
        <w:rPr>
          <w:i/>
          <w:sz w:val="24"/>
          <w:szCs w:val="24"/>
        </w:rPr>
        <w:t xml:space="preserve">in vitro- </w:t>
      </w:r>
      <w:r w:rsidRPr="00084525">
        <w:rPr>
          <w:sz w:val="24"/>
          <w:szCs w:val="24"/>
        </w:rPr>
        <w:t xml:space="preserve">og </w:t>
      </w:r>
      <w:r w:rsidRPr="00084525">
        <w:rPr>
          <w:i/>
          <w:sz w:val="24"/>
          <w:szCs w:val="24"/>
        </w:rPr>
        <w:t>in vivo-</w:t>
      </w:r>
      <w:r w:rsidRPr="00084525">
        <w:rPr>
          <w:sz w:val="24"/>
          <w:szCs w:val="24"/>
        </w:rPr>
        <w:t>studier indikerer en samlet risiko for, at droperidol forlænger QT-intervallet hos mennesker.</w:t>
      </w:r>
    </w:p>
    <w:p w14:paraId="3F81A577" w14:textId="77777777" w:rsidR="00CF6D91" w:rsidRPr="00084525" w:rsidRDefault="00CF6D91" w:rsidP="00CF6D91">
      <w:pPr>
        <w:tabs>
          <w:tab w:val="left" w:pos="851"/>
        </w:tabs>
        <w:ind w:left="851"/>
        <w:rPr>
          <w:sz w:val="24"/>
          <w:szCs w:val="24"/>
        </w:rPr>
      </w:pPr>
    </w:p>
    <w:p w14:paraId="51A4DB87" w14:textId="77777777" w:rsidR="00084525" w:rsidRPr="00084525" w:rsidRDefault="00084525" w:rsidP="00084525">
      <w:pPr>
        <w:tabs>
          <w:tab w:val="left" w:pos="851"/>
        </w:tabs>
        <w:ind w:left="851"/>
        <w:rPr>
          <w:sz w:val="24"/>
          <w:szCs w:val="24"/>
        </w:rPr>
      </w:pPr>
      <w:r w:rsidRPr="00084525">
        <w:rPr>
          <w:sz w:val="24"/>
          <w:szCs w:val="24"/>
        </w:rPr>
        <w:t xml:space="preserve">Hos mennesker er den fri peak-plasmakoncentration ca. 4 gange højere til 25 gange lavere end de droperidol-koncentrationer, der påvirker de endpoints, som blev studeret i de forskellige </w:t>
      </w:r>
      <w:r w:rsidRPr="00084525">
        <w:rPr>
          <w:i/>
          <w:sz w:val="24"/>
          <w:szCs w:val="24"/>
        </w:rPr>
        <w:t xml:space="preserve">in vitro- </w:t>
      </w:r>
      <w:r w:rsidRPr="00084525">
        <w:rPr>
          <w:sz w:val="24"/>
          <w:szCs w:val="24"/>
        </w:rPr>
        <w:t xml:space="preserve">og </w:t>
      </w:r>
      <w:r w:rsidRPr="00084525">
        <w:rPr>
          <w:i/>
          <w:sz w:val="24"/>
          <w:szCs w:val="24"/>
        </w:rPr>
        <w:t>in vivo-</w:t>
      </w:r>
      <w:r w:rsidRPr="00084525">
        <w:rPr>
          <w:sz w:val="24"/>
          <w:szCs w:val="24"/>
        </w:rPr>
        <w:t xml:space="preserve">testsystemer, som er brugt til at vurdere dette lægemiddels påvirkning af hjertets repolarisering. Plasmaniveauerne falder med ca. én "order of magnitude" over de første tyve minutter efter administration. </w:t>
      </w:r>
    </w:p>
    <w:p w14:paraId="2B1DEECF" w14:textId="77777777" w:rsidR="009260DE" w:rsidRPr="00C84483" w:rsidRDefault="009260DE" w:rsidP="00412B94">
      <w:pPr>
        <w:tabs>
          <w:tab w:val="left" w:pos="851"/>
        </w:tabs>
        <w:ind w:left="851"/>
        <w:rPr>
          <w:sz w:val="24"/>
          <w:szCs w:val="24"/>
        </w:rPr>
      </w:pPr>
    </w:p>
    <w:p w14:paraId="365F442E" w14:textId="77777777" w:rsidR="009260DE" w:rsidRPr="00C84483" w:rsidRDefault="009260DE" w:rsidP="00412B94">
      <w:pPr>
        <w:tabs>
          <w:tab w:val="left" w:pos="851"/>
        </w:tabs>
        <w:ind w:left="851"/>
        <w:rPr>
          <w:sz w:val="24"/>
          <w:szCs w:val="24"/>
        </w:rPr>
      </w:pPr>
    </w:p>
    <w:p w14:paraId="7FC76F66" w14:textId="77777777" w:rsidR="009260DE" w:rsidRPr="00C84483" w:rsidRDefault="009260DE" w:rsidP="00412B94">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109A254" w14:textId="77777777" w:rsidR="009260DE" w:rsidRPr="00BA09F1" w:rsidRDefault="009260DE" w:rsidP="00412B94">
      <w:pPr>
        <w:tabs>
          <w:tab w:val="left" w:pos="851"/>
        </w:tabs>
        <w:ind w:left="851"/>
        <w:rPr>
          <w:sz w:val="24"/>
          <w:szCs w:val="24"/>
        </w:rPr>
      </w:pPr>
    </w:p>
    <w:p w14:paraId="09A5372D" w14:textId="77777777" w:rsidR="009260DE" w:rsidRPr="00C84483" w:rsidRDefault="009260DE" w:rsidP="00412B94">
      <w:pPr>
        <w:tabs>
          <w:tab w:val="left" w:pos="851"/>
        </w:tabs>
        <w:ind w:left="851" w:hanging="851"/>
        <w:rPr>
          <w:b/>
          <w:sz w:val="24"/>
          <w:szCs w:val="24"/>
        </w:rPr>
      </w:pPr>
      <w:r w:rsidRPr="00C84483">
        <w:rPr>
          <w:b/>
          <w:sz w:val="24"/>
          <w:szCs w:val="24"/>
        </w:rPr>
        <w:t>6.1</w:t>
      </w:r>
      <w:r w:rsidRPr="00C84483">
        <w:rPr>
          <w:b/>
          <w:sz w:val="24"/>
          <w:szCs w:val="24"/>
        </w:rPr>
        <w:tab/>
        <w:t>Hjælpestoffer</w:t>
      </w:r>
    </w:p>
    <w:p w14:paraId="5DBA0529" w14:textId="77777777" w:rsidR="002C7B16" w:rsidRPr="002C7B16" w:rsidRDefault="002C7B16" w:rsidP="002C7B16">
      <w:pPr>
        <w:tabs>
          <w:tab w:val="left" w:pos="851"/>
        </w:tabs>
        <w:ind w:left="851"/>
        <w:rPr>
          <w:sz w:val="24"/>
          <w:szCs w:val="24"/>
        </w:rPr>
      </w:pPr>
      <w:r w:rsidRPr="002C7B16">
        <w:rPr>
          <w:sz w:val="24"/>
          <w:szCs w:val="24"/>
        </w:rPr>
        <w:t>(s)-mælkesyre (også til regulering af pH)</w:t>
      </w:r>
    </w:p>
    <w:p w14:paraId="4464D115" w14:textId="77777777" w:rsidR="002C7B16" w:rsidRPr="002C7B16" w:rsidRDefault="002C7B16" w:rsidP="002C7B16">
      <w:pPr>
        <w:tabs>
          <w:tab w:val="left" w:pos="851"/>
        </w:tabs>
        <w:ind w:left="851"/>
        <w:rPr>
          <w:sz w:val="24"/>
          <w:szCs w:val="24"/>
        </w:rPr>
      </w:pPr>
      <w:r w:rsidRPr="002C7B16">
        <w:rPr>
          <w:sz w:val="24"/>
          <w:szCs w:val="24"/>
        </w:rPr>
        <w:t xml:space="preserve">Vand til injektionsvæsker </w:t>
      </w:r>
    </w:p>
    <w:p w14:paraId="6AFC3950" w14:textId="77777777" w:rsidR="009260DE" w:rsidRPr="00C84483" w:rsidRDefault="009260DE" w:rsidP="00412B94">
      <w:pPr>
        <w:tabs>
          <w:tab w:val="left" w:pos="851"/>
        </w:tabs>
        <w:ind w:left="851"/>
        <w:rPr>
          <w:sz w:val="24"/>
          <w:szCs w:val="24"/>
        </w:rPr>
      </w:pPr>
    </w:p>
    <w:p w14:paraId="692F9378" w14:textId="77777777" w:rsidR="009260DE" w:rsidRPr="00C84483" w:rsidRDefault="009260DE" w:rsidP="00412B94">
      <w:pPr>
        <w:tabs>
          <w:tab w:val="left" w:pos="851"/>
        </w:tabs>
        <w:ind w:left="851" w:hanging="851"/>
        <w:rPr>
          <w:b/>
          <w:sz w:val="24"/>
          <w:szCs w:val="24"/>
        </w:rPr>
      </w:pPr>
      <w:r w:rsidRPr="00C84483">
        <w:rPr>
          <w:b/>
          <w:sz w:val="24"/>
          <w:szCs w:val="24"/>
        </w:rPr>
        <w:t>6.2</w:t>
      </w:r>
      <w:r w:rsidRPr="00C84483">
        <w:rPr>
          <w:b/>
          <w:sz w:val="24"/>
          <w:szCs w:val="24"/>
        </w:rPr>
        <w:tab/>
        <w:t>Uforligeligheder</w:t>
      </w:r>
    </w:p>
    <w:p w14:paraId="3295857F" w14:textId="77777777" w:rsidR="002C7B16" w:rsidRDefault="002C7B16" w:rsidP="002C7B16">
      <w:pPr>
        <w:tabs>
          <w:tab w:val="left" w:pos="851"/>
        </w:tabs>
        <w:ind w:left="851"/>
        <w:rPr>
          <w:sz w:val="24"/>
          <w:szCs w:val="24"/>
        </w:rPr>
      </w:pPr>
      <w:r w:rsidRPr="002C7B16">
        <w:rPr>
          <w:sz w:val="24"/>
          <w:szCs w:val="24"/>
        </w:rPr>
        <w:t>Uforligelig med barbiturater.</w:t>
      </w:r>
    </w:p>
    <w:p w14:paraId="0BE7AD09" w14:textId="4F0FF778" w:rsidR="002C7B16" w:rsidRPr="002C7B16" w:rsidRDefault="002C7B16" w:rsidP="002C7B16">
      <w:pPr>
        <w:tabs>
          <w:tab w:val="left" w:pos="851"/>
        </w:tabs>
        <w:ind w:left="851"/>
        <w:rPr>
          <w:sz w:val="24"/>
          <w:szCs w:val="24"/>
        </w:rPr>
      </w:pPr>
      <w:r w:rsidRPr="002C7B16">
        <w:rPr>
          <w:sz w:val="24"/>
          <w:szCs w:val="24"/>
        </w:rPr>
        <w:t xml:space="preserve">Dette lægemiddel må ikke blandes med andre lægemidler end dem, der er anført under pkt. 6.6. </w:t>
      </w:r>
    </w:p>
    <w:p w14:paraId="6C93B733" w14:textId="77777777" w:rsidR="009260DE" w:rsidRPr="00C84483" w:rsidRDefault="009260DE" w:rsidP="00412B94">
      <w:pPr>
        <w:tabs>
          <w:tab w:val="left" w:pos="851"/>
        </w:tabs>
        <w:ind w:left="851"/>
        <w:rPr>
          <w:sz w:val="24"/>
          <w:szCs w:val="24"/>
        </w:rPr>
      </w:pPr>
    </w:p>
    <w:p w14:paraId="79E81397" w14:textId="77777777" w:rsidR="009260DE" w:rsidRPr="00C84483" w:rsidRDefault="009260DE" w:rsidP="00412B94">
      <w:pPr>
        <w:tabs>
          <w:tab w:val="left" w:pos="851"/>
        </w:tabs>
        <w:ind w:left="851" w:hanging="851"/>
        <w:rPr>
          <w:b/>
          <w:sz w:val="24"/>
          <w:szCs w:val="24"/>
        </w:rPr>
      </w:pPr>
      <w:r w:rsidRPr="00C84483">
        <w:rPr>
          <w:b/>
          <w:sz w:val="24"/>
          <w:szCs w:val="24"/>
        </w:rPr>
        <w:t>6.3</w:t>
      </w:r>
      <w:r w:rsidRPr="00C84483">
        <w:rPr>
          <w:b/>
          <w:sz w:val="24"/>
          <w:szCs w:val="24"/>
        </w:rPr>
        <w:tab/>
        <w:t>Opbevaringstid</w:t>
      </w:r>
    </w:p>
    <w:p w14:paraId="3804BEB3" w14:textId="77777777" w:rsidR="002C7B16" w:rsidRPr="002C7B16" w:rsidRDefault="002C7B16" w:rsidP="002C7B16">
      <w:pPr>
        <w:tabs>
          <w:tab w:val="left" w:pos="851"/>
        </w:tabs>
        <w:ind w:left="851"/>
        <w:rPr>
          <w:sz w:val="24"/>
          <w:szCs w:val="24"/>
        </w:rPr>
      </w:pPr>
      <w:r w:rsidRPr="002C7B16">
        <w:rPr>
          <w:sz w:val="24"/>
          <w:szCs w:val="24"/>
        </w:rPr>
        <w:t xml:space="preserve">Uåbnet: 3 år. </w:t>
      </w:r>
    </w:p>
    <w:p w14:paraId="548B3BC8" w14:textId="77777777" w:rsidR="002C7B16" w:rsidRDefault="002C7B16" w:rsidP="002C7B16">
      <w:pPr>
        <w:tabs>
          <w:tab w:val="left" w:pos="851"/>
        </w:tabs>
        <w:ind w:left="851"/>
        <w:rPr>
          <w:sz w:val="24"/>
          <w:szCs w:val="24"/>
        </w:rPr>
      </w:pPr>
    </w:p>
    <w:p w14:paraId="6CCCE653" w14:textId="77777777" w:rsidR="002C7B16" w:rsidRPr="002C7B16" w:rsidRDefault="002C7B16" w:rsidP="002C7B16">
      <w:pPr>
        <w:tabs>
          <w:tab w:val="left" w:pos="851"/>
        </w:tabs>
        <w:ind w:left="851"/>
        <w:rPr>
          <w:sz w:val="24"/>
          <w:szCs w:val="24"/>
          <w:u w:val="single"/>
        </w:rPr>
      </w:pPr>
      <w:r w:rsidRPr="002C7B16">
        <w:rPr>
          <w:sz w:val="24"/>
          <w:szCs w:val="24"/>
          <w:u w:val="single"/>
        </w:rPr>
        <w:t>Efter anbrud</w:t>
      </w:r>
    </w:p>
    <w:p w14:paraId="2914A156" w14:textId="048E93E8" w:rsidR="002C7B16" w:rsidRPr="002C7B16" w:rsidRDefault="002C7B16" w:rsidP="002C7B16">
      <w:pPr>
        <w:tabs>
          <w:tab w:val="left" w:pos="851"/>
        </w:tabs>
        <w:ind w:left="851"/>
        <w:rPr>
          <w:sz w:val="24"/>
          <w:szCs w:val="24"/>
        </w:rPr>
      </w:pPr>
      <w:r w:rsidRPr="002C7B16">
        <w:rPr>
          <w:sz w:val="24"/>
          <w:szCs w:val="24"/>
        </w:rPr>
        <w:t xml:space="preserve">Skal bruges omgående. </w:t>
      </w:r>
    </w:p>
    <w:p w14:paraId="01AA743B" w14:textId="77777777" w:rsidR="002C7B16" w:rsidRDefault="002C7B16" w:rsidP="002C7B16">
      <w:pPr>
        <w:tabs>
          <w:tab w:val="left" w:pos="851"/>
        </w:tabs>
        <w:ind w:left="851"/>
        <w:rPr>
          <w:sz w:val="24"/>
          <w:szCs w:val="24"/>
        </w:rPr>
      </w:pPr>
    </w:p>
    <w:p w14:paraId="2CDF5A74" w14:textId="77777777" w:rsidR="002C7B16" w:rsidRPr="002C7B16" w:rsidRDefault="002C7B16" w:rsidP="002C7B16">
      <w:pPr>
        <w:tabs>
          <w:tab w:val="left" w:pos="851"/>
        </w:tabs>
        <w:ind w:left="851"/>
        <w:rPr>
          <w:sz w:val="24"/>
          <w:szCs w:val="24"/>
          <w:u w:val="single"/>
        </w:rPr>
      </w:pPr>
      <w:r w:rsidRPr="002C7B16">
        <w:rPr>
          <w:sz w:val="24"/>
          <w:szCs w:val="24"/>
          <w:u w:val="single"/>
        </w:rPr>
        <w:t>Efter fortynding</w:t>
      </w:r>
    </w:p>
    <w:p w14:paraId="177E1E96" w14:textId="0F9DD94D" w:rsidR="002C7B16" w:rsidRPr="002C7B16" w:rsidRDefault="002C7B16" w:rsidP="002C7B16">
      <w:pPr>
        <w:tabs>
          <w:tab w:val="left" w:pos="851"/>
        </w:tabs>
        <w:ind w:left="851"/>
        <w:rPr>
          <w:sz w:val="24"/>
          <w:szCs w:val="24"/>
        </w:rPr>
      </w:pPr>
      <w:r w:rsidRPr="002C7B16">
        <w:rPr>
          <w:sz w:val="24"/>
          <w:szCs w:val="24"/>
        </w:rPr>
        <w:t>Kemisk og fysisk stabilitet under brug for 5 mg droperidol sammen med 100 mg morfinsulfat i 50 ml 0,9 % natriumchlorid er påvist i en plastiksprøjte i op til 14 dage ved 25 °C samt ved 2-8 °C. Fra et mikrobiologisk synspunkt skal det fortyndede produkt bruges omgående. Hvis det ikke bruges omgående, er brugsopbevaringstiden og -betingelserne før brug brugerens ansvar og vil normalt ikke overstige 24 timer ved 2-8 ℃, medmindre fortynding er sket under kontrollerede og validerede aseptiske forhold.</w:t>
      </w:r>
    </w:p>
    <w:p w14:paraId="777B635A" w14:textId="77777777" w:rsidR="009260DE" w:rsidRPr="00C84483" w:rsidRDefault="009260DE" w:rsidP="00412B94">
      <w:pPr>
        <w:tabs>
          <w:tab w:val="left" w:pos="851"/>
        </w:tabs>
        <w:ind w:left="851"/>
        <w:rPr>
          <w:sz w:val="24"/>
          <w:szCs w:val="24"/>
        </w:rPr>
      </w:pPr>
    </w:p>
    <w:p w14:paraId="539F7B2A" w14:textId="77777777" w:rsidR="009260DE" w:rsidRPr="00C84483" w:rsidRDefault="009260DE" w:rsidP="00412B9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91E94AE" w14:textId="5E600168" w:rsidR="002C7B16" w:rsidRDefault="002C7B16" w:rsidP="002C7B16">
      <w:pPr>
        <w:tabs>
          <w:tab w:val="left" w:pos="851"/>
        </w:tabs>
        <w:ind w:left="851"/>
        <w:rPr>
          <w:sz w:val="24"/>
          <w:szCs w:val="24"/>
        </w:rPr>
      </w:pPr>
      <w:r w:rsidRPr="002C7B16">
        <w:rPr>
          <w:sz w:val="24"/>
          <w:szCs w:val="24"/>
        </w:rPr>
        <w:t>Opbevares i den originale pakning for at beskytte mod lys.</w:t>
      </w:r>
    </w:p>
    <w:p w14:paraId="053AC00A" w14:textId="666FB42B" w:rsidR="002C7B16" w:rsidRDefault="002C7B16" w:rsidP="002C7B16">
      <w:pPr>
        <w:tabs>
          <w:tab w:val="left" w:pos="851"/>
        </w:tabs>
        <w:ind w:left="851"/>
        <w:rPr>
          <w:sz w:val="24"/>
          <w:szCs w:val="24"/>
        </w:rPr>
      </w:pPr>
      <w:r w:rsidRPr="002C7B16">
        <w:rPr>
          <w:sz w:val="24"/>
          <w:szCs w:val="24"/>
        </w:rPr>
        <w:t>Der er ingen særlige krav vedrørende opbevaringstemperaturer for dette lægemiddel.</w:t>
      </w:r>
    </w:p>
    <w:p w14:paraId="665FB767" w14:textId="77777777" w:rsidR="002C7B16" w:rsidRPr="002C7B16" w:rsidRDefault="002C7B16" w:rsidP="002C7B16">
      <w:pPr>
        <w:tabs>
          <w:tab w:val="left" w:pos="851"/>
        </w:tabs>
        <w:ind w:left="851"/>
        <w:rPr>
          <w:sz w:val="24"/>
          <w:szCs w:val="24"/>
        </w:rPr>
      </w:pPr>
    </w:p>
    <w:p w14:paraId="39E5F788" w14:textId="77777777" w:rsidR="002C7B16" w:rsidRPr="002C7B16" w:rsidRDefault="002C7B16" w:rsidP="002C7B16">
      <w:pPr>
        <w:tabs>
          <w:tab w:val="left" w:pos="851"/>
        </w:tabs>
        <w:ind w:left="851"/>
        <w:rPr>
          <w:sz w:val="24"/>
          <w:szCs w:val="24"/>
        </w:rPr>
      </w:pPr>
      <w:r w:rsidRPr="002C7B16">
        <w:rPr>
          <w:sz w:val="24"/>
          <w:szCs w:val="24"/>
        </w:rPr>
        <w:t xml:space="preserve">Opbevaringsforhold efter anbrud/fortynding af lægemidlet, se pkt. 6.3. </w:t>
      </w:r>
    </w:p>
    <w:p w14:paraId="75DF79DA" w14:textId="77777777" w:rsidR="009260DE" w:rsidRPr="00C84483" w:rsidRDefault="009260DE" w:rsidP="00412B94">
      <w:pPr>
        <w:tabs>
          <w:tab w:val="left" w:pos="851"/>
        </w:tabs>
        <w:ind w:left="851"/>
        <w:rPr>
          <w:sz w:val="24"/>
          <w:szCs w:val="24"/>
        </w:rPr>
      </w:pPr>
    </w:p>
    <w:p w14:paraId="195292C3" w14:textId="77777777" w:rsidR="009260DE" w:rsidRPr="00C84483" w:rsidRDefault="009260DE" w:rsidP="00412B9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B946CDE" w14:textId="77777777" w:rsidR="00B70B9A" w:rsidRDefault="00B70B9A" w:rsidP="00B70B9A">
      <w:pPr>
        <w:tabs>
          <w:tab w:val="left" w:pos="851"/>
        </w:tabs>
        <w:ind w:left="851"/>
        <w:rPr>
          <w:sz w:val="24"/>
          <w:szCs w:val="24"/>
        </w:rPr>
      </w:pPr>
      <w:r w:rsidRPr="00B70B9A">
        <w:rPr>
          <w:sz w:val="24"/>
          <w:szCs w:val="24"/>
        </w:rPr>
        <w:t>Brun glasampul med 2,5 ml injektionsvæske, opløsning</w:t>
      </w:r>
      <w:r>
        <w:rPr>
          <w:sz w:val="24"/>
          <w:szCs w:val="24"/>
        </w:rPr>
        <w:t>.</w:t>
      </w:r>
    </w:p>
    <w:p w14:paraId="079B457B" w14:textId="77777777" w:rsidR="00B70B9A" w:rsidRDefault="00B70B9A" w:rsidP="00B70B9A">
      <w:pPr>
        <w:tabs>
          <w:tab w:val="left" w:pos="851"/>
        </w:tabs>
        <w:ind w:left="851"/>
        <w:rPr>
          <w:sz w:val="24"/>
          <w:szCs w:val="24"/>
        </w:rPr>
      </w:pPr>
    </w:p>
    <w:p w14:paraId="0B655DCB" w14:textId="23D6CA01" w:rsidR="00B70B9A" w:rsidRDefault="00B70B9A" w:rsidP="00B70B9A">
      <w:pPr>
        <w:tabs>
          <w:tab w:val="left" w:pos="851"/>
        </w:tabs>
        <w:ind w:left="851"/>
        <w:rPr>
          <w:sz w:val="24"/>
          <w:szCs w:val="24"/>
        </w:rPr>
      </w:pPr>
      <w:r>
        <w:rPr>
          <w:sz w:val="24"/>
          <w:szCs w:val="24"/>
        </w:rPr>
        <w:t xml:space="preserve">Pakningsstørrelser: </w:t>
      </w:r>
      <w:r w:rsidRPr="00B70B9A">
        <w:rPr>
          <w:sz w:val="24"/>
          <w:szCs w:val="24"/>
        </w:rPr>
        <w:t>10 ampuller.</w:t>
      </w:r>
    </w:p>
    <w:p w14:paraId="02105877" w14:textId="481E8760" w:rsidR="00B70B9A" w:rsidRDefault="00B70B9A" w:rsidP="00B70B9A">
      <w:pPr>
        <w:tabs>
          <w:tab w:val="left" w:pos="851"/>
        </w:tabs>
        <w:ind w:left="851"/>
        <w:rPr>
          <w:sz w:val="24"/>
          <w:szCs w:val="24"/>
        </w:rPr>
      </w:pPr>
    </w:p>
    <w:p w14:paraId="563C45EB" w14:textId="77C70CCB" w:rsidR="00B70B9A" w:rsidRPr="00B70B9A" w:rsidRDefault="00B70B9A" w:rsidP="00B70B9A">
      <w:pPr>
        <w:tabs>
          <w:tab w:val="left" w:pos="851"/>
        </w:tabs>
        <w:ind w:left="851"/>
        <w:rPr>
          <w:sz w:val="24"/>
          <w:szCs w:val="24"/>
        </w:rPr>
      </w:pPr>
      <w:r>
        <w:rPr>
          <w:sz w:val="24"/>
          <w:szCs w:val="24"/>
        </w:rPr>
        <w:t>Ikke alle pakningsstørrelser er nødvendigvis markedsført.</w:t>
      </w:r>
    </w:p>
    <w:p w14:paraId="7C2D62BA" w14:textId="77777777" w:rsidR="009260DE" w:rsidRPr="00C84483" w:rsidRDefault="009260DE" w:rsidP="00412B94">
      <w:pPr>
        <w:tabs>
          <w:tab w:val="left" w:pos="851"/>
        </w:tabs>
        <w:ind w:left="851"/>
        <w:rPr>
          <w:sz w:val="24"/>
          <w:szCs w:val="24"/>
        </w:rPr>
      </w:pPr>
    </w:p>
    <w:p w14:paraId="74317294" w14:textId="77777777" w:rsidR="009260DE" w:rsidRPr="00C84483" w:rsidRDefault="009260DE" w:rsidP="00412B9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B661AD8" w14:textId="14D9E72B" w:rsidR="00EE029C" w:rsidRDefault="00EE029C" w:rsidP="009A7E4C">
      <w:pPr>
        <w:tabs>
          <w:tab w:val="left" w:pos="851"/>
        </w:tabs>
        <w:ind w:left="851"/>
        <w:rPr>
          <w:sz w:val="24"/>
          <w:szCs w:val="24"/>
        </w:rPr>
      </w:pPr>
      <w:r w:rsidRPr="00EE029C">
        <w:rPr>
          <w:sz w:val="24"/>
          <w:szCs w:val="24"/>
        </w:rPr>
        <w:t>Kun til engangsbrug.</w:t>
      </w:r>
      <w:r w:rsidR="009A7E4C">
        <w:rPr>
          <w:sz w:val="24"/>
          <w:szCs w:val="24"/>
        </w:rPr>
        <w:t xml:space="preserve"> </w:t>
      </w:r>
      <w:r w:rsidRPr="00EE029C">
        <w:rPr>
          <w:sz w:val="24"/>
          <w:szCs w:val="24"/>
        </w:rPr>
        <w:t xml:space="preserve">Ubrugt indhold skal kasseres. </w:t>
      </w:r>
    </w:p>
    <w:p w14:paraId="06860636" w14:textId="77777777" w:rsidR="009A7E4C" w:rsidRPr="00EE029C" w:rsidRDefault="009A7E4C" w:rsidP="009A7E4C">
      <w:pPr>
        <w:tabs>
          <w:tab w:val="left" w:pos="851"/>
        </w:tabs>
        <w:ind w:left="851"/>
        <w:rPr>
          <w:sz w:val="24"/>
          <w:szCs w:val="24"/>
        </w:rPr>
      </w:pPr>
    </w:p>
    <w:p w14:paraId="12520BF0" w14:textId="508EB893" w:rsidR="009A7E4C" w:rsidRDefault="00EE029C" w:rsidP="009A7E4C">
      <w:pPr>
        <w:tabs>
          <w:tab w:val="left" w:pos="851"/>
        </w:tabs>
        <w:ind w:left="851"/>
        <w:rPr>
          <w:sz w:val="24"/>
          <w:szCs w:val="24"/>
        </w:rPr>
      </w:pPr>
      <w:r w:rsidRPr="00EE029C">
        <w:rPr>
          <w:sz w:val="24"/>
          <w:szCs w:val="24"/>
        </w:rPr>
        <w:t>Opløsningen skal kontrolleres visuelt før brug. Kun klare og farveløse opløsninger uden synlige partikler må bruges.</w:t>
      </w:r>
    </w:p>
    <w:p w14:paraId="0E4BB62C" w14:textId="77777777" w:rsidR="009A7E4C" w:rsidRPr="00EE029C" w:rsidRDefault="009A7E4C" w:rsidP="009A7E4C">
      <w:pPr>
        <w:tabs>
          <w:tab w:val="left" w:pos="851"/>
        </w:tabs>
        <w:ind w:left="851"/>
        <w:rPr>
          <w:sz w:val="24"/>
          <w:szCs w:val="24"/>
        </w:rPr>
      </w:pPr>
    </w:p>
    <w:p w14:paraId="2BE4A25B" w14:textId="4343443D" w:rsidR="00EE029C" w:rsidRDefault="00EE029C" w:rsidP="00EE029C">
      <w:pPr>
        <w:tabs>
          <w:tab w:val="left" w:pos="851"/>
        </w:tabs>
        <w:ind w:left="851"/>
        <w:rPr>
          <w:sz w:val="24"/>
          <w:szCs w:val="24"/>
        </w:rPr>
      </w:pPr>
      <w:r w:rsidRPr="00EE029C">
        <w:rPr>
          <w:sz w:val="24"/>
          <w:szCs w:val="24"/>
        </w:rPr>
        <w:t>Til brug i PCA: Træk Droperidol "Sintetica" og morfin op i en sprøjte</w:t>
      </w:r>
      <w:r w:rsidR="009A7E4C">
        <w:rPr>
          <w:sz w:val="24"/>
          <w:szCs w:val="24"/>
        </w:rPr>
        <w:t xml:space="preserve"> </w:t>
      </w:r>
      <w:r w:rsidRPr="00EE029C">
        <w:rPr>
          <w:sz w:val="24"/>
          <w:szCs w:val="24"/>
        </w:rPr>
        <w:t>og tilsæt 0,9 % natriumchlorid op til volumenet.</w:t>
      </w:r>
    </w:p>
    <w:p w14:paraId="069DB8F9" w14:textId="77777777" w:rsidR="009A7E4C" w:rsidRPr="00EE029C" w:rsidRDefault="009A7E4C" w:rsidP="00EE029C">
      <w:pPr>
        <w:tabs>
          <w:tab w:val="left" w:pos="851"/>
        </w:tabs>
        <w:ind w:left="851"/>
        <w:rPr>
          <w:sz w:val="24"/>
          <w:szCs w:val="24"/>
        </w:rPr>
      </w:pPr>
    </w:p>
    <w:p w14:paraId="7D353D1E" w14:textId="77777777" w:rsidR="00EE029C" w:rsidRPr="00EE029C" w:rsidRDefault="00EE029C" w:rsidP="00EE029C">
      <w:pPr>
        <w:tabs>
          <w:tab w:val="left" w:pos="851"/>
        </w:tabs>
        <w:ind w:left="851"/>
        <w:rPr>
          <w:sz w:val="24"/>
          <w:szCs w:val="24"/>
        </w:rPr>
      </w:pPr>
      <w:r w:rsidRPr="00EE029C">
        <w:rPr>
          <w:sz w:val="24"/>
          <w:szCs w:val="24"/>
        </w:rPr>
        <w:t xml:space="preserve">Ikke anvendt lægemiddel samt affald heraf skal bortskaffes i henhold til lokale retningslinjer. </w:t>
      </w:r>
    </w:p>
    <w:p w14:paraId="75E981C6" w14:textId="77777777" w:rsidR="009260DE" w:rsidRPr="00C84483" w:rsidRDefault="009260DE" w:rsidP="00412B94">
      <w:pPr>
        <w:tabs>
          <w:tab w:val="left" w:pos="851"/>
        </w:tabs>
        <w:ind w:left="851"/>
        <w:rPr>
          <w:sz w:val="24"/>
          <w:szCs w:val="24"/>
        </w:rPr>
      </w:pPr>
    </w:p>
    <w:p w14:paraId="1A2482C4" w14:textId="77777777" w:rsidR="009260DE" w:rsidRPr="00C84483" w:rsidRDefault="009260DE" w:rsidP="00412B9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ADC159E" w14:textId="77777777" w:rsidR="009A7E4C" w:rsidRPr="009A7E4C" w:rsidRDefault="009A7E4C" w:rsidP="009A7E4C">
      <w:pPr>
        <w:tabs>
          <w:tab w:val="left" w:pos="851"/>
        </w:tabs>
        <w:ind w:left="851"/>
        <w:rPr>
          <w:sz w:val="24"/>
          <w:szCs w:val="24"/>
        </w:rPr>
      </w:pPr>
      <w:r w:rsidRPr="009A7E4C">
        <w:rPr>
          <w:sz w:val="24"/>
          <w:szCs w:val="24"/>
        </w:rPr>
        <w:t>Sintetica GmbH</w:t>
      </w:r>
    </w:p>
    <w:p w14:paraId="68364130" w14:textId="77777777" w:rsidR="009A7E4C" w:rsidRPr="009A7E4C" w:rsidRDefault="009A7E4C" w:rsidP="009A7E4C">
      <w:pPr>
        <w:tabs>
          <w:tab w:val="left" w:pos="851"/>
        </w:tabs>
        <w:ind w:left="851"/>
        <w:rPr>
          <w:sz w:val="24"/>
          <w:szCs w:val="24"/>
        </w:rPr>
      </w:pPr>
      <w:r w:rsidRPr="009A7E4C">
        <w:rPr>
          <w:sz w:val="24"/>
          <w:szCs w:val="24"/>
        </w:rPr>
        <w:t>Albersloher Weg 11</w:t>
      </w:r>
    </w:p>
    <w:p w14:paraId="046FB2C5" w14:textId="77777777" w:rsidR="009A7E4C" w:rsidRPr="009A7E4C" w:rsidRDefault="009A7E4C" w:rsidP="009A7E4C">
      <w:pPr>
        <w:tabs>
          <w:tab w:val="left" w:pos="851"/>
        </w:tabs>
        <w:ind w:left="851"/>
        <w:rPr>
          <w:sz w:val="24"/>
          <w:szCs w:val="24"/>
        </w:rPr>
      </w:pPr>
      <w:r w:rsidRPr="009A7E4C">
        <w:rPr>
          <w:sz w:val="24"/>
          <w:szCs w:val="24"/>
        </w:rPr>
        <w:t>48155 Münster</w:t>
      </w:r>
    </w:p>
    <w:p w14:paraId="4C29EB5C" w14:textId="77777777" w:rsidR="009A7E4C" w:rsidRPr="009A7E4C" w:rsidRDefault="009A7E4C" w:rsidP="009A7E4C">
      <w:pPr>
        <w:tabs>
          <w:tab w:val="left" w:pos="851"/>
        </w:tabs>
        <w:ind w:left="851"/>
        <w:rPr>
          <w:sz w:val="24"/>
          <w:szCs w:val="24"/>
        </w:rPr>
      </w:pPr>
      <w:r w:rsidRPr="009A7E4C">
        <w:rPr>
          <w:sz w:val="24"/>
          <w:szCs w:val="24"/>
        </w:rPr>
        <w:t>Tyskland</w:t>
      </w:r>
    </w:p>
    <w:p w14:paraId="32C4E99B" w14:textId="77777777" w:rsidR="009260DE" w:rsidRDefault="009260DE" w:rsidP="00412B94">
      <w:pPr>
        <w:tabs>
          <w:tab w:val="left" w:pos="851"/>
        </w:tabs>
        <w:ind w:left="851"/>
        <w:rPr>
          <w:sz w:val="24"/>
          <w:szCs w:val="24"/>
        </w:rPr>
      </w:pPr>
    </w:p>
    <w:p w14:paraId="7262C53F" w14:textId="77777777" w:rsidR="009260DE" w:rsidRPr="00C84483" w:rsidRDefault="009260DE" w:rsidP="00412B9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236010A" w14:textId="1FD3DAE9" w:rsidR="009260DE" w:rsidRPr="00C84483" w:rsidRDefault="003B1566" w:rsidP="00412B94">
      <w:pPr>
        <w:tabs>
          <w:tab w:val="left" w:pos="851"/>
        </w:tabs>
        <w:ind w:left="851"/>
        <w:rPr>
          <w:sz w:val="24"/>
          <w:szCs w:val="24"/>
        </w:rPr>
      </w:pPr>
      <w:r>
        <w:rPr>
          <w:sz w:val="24"/>
          <w:szCs w:val="24"/>
        </w:rPr>
        <w:t>67275</w:t>
      </w:r>
    </w:p>
    <w:p w14:paraId="7CD2BFE9" w14:textId="77777777" w:rsidR="009260DE" w:rsidRPr="00C84483" w:rsidRDefault="009260DE" w:rsidP="00412B94">
      <w:pPr>
        <w:tabs>
          <w:tab w:val="left" w:pos="851"/>
        </w:tabs>
        <w:ind w:left="851"/>
        <w:jc w:val="both"/>
        <w:rPr>
          <w:sz w:val="24"/>
          <w:szCs w:val="24"/>
        </w:rPr>
      </w:pPr>
    </w:p>
    <w:p w14:paraId="3C194156" w14:textId="77777777" w:rsidR="009260DE" w:rsidRPr="00C84483" w:rsidRDefault="009260DE" w:rsidP="00412B9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FEC451A" w14:textId="356346F8" w:rsidR="009260DE" w:rsidRPr="00C84483" w:rsidRDefault="00743E33" w:rsidP="00412B94">
      <w:pPr>
        <w:tabs>
          <w:tab w:val="left" w:pos="851"/>
        </w:tabs>
        <w:ind w:left="851"/>
        <w:rPr>
          <w:sz w:val="24"/>
          <w:szCs w:val="24"/>
        </w:rPr>
      </w:pPr>
      <w:r>
        <w:rPr>
          <w:sz w:val="24"/>
          <w:szCs w:val="24"/>
        </w:rPr>
        <w:t>8. september 2023</w:t>
      </w:r>
    </w:p>
    <w:p w14:paraId="1623CD84" w14:textId="77777777" w:rsidR="009260DE" w:rsidRPr="00C84483" w:rsidRDefault="009260DE" w:rsidP="00412B94">
      <w:pPr>
        <w:tabs>
          <w:tab w:val="left" w:pos="851"/>
        </w:tabs>
        <w:ind w:left="851"/>
        <w:rPr>
          <w:sz w:val="24"/>
          <w:szCs w:val="24"/>
        </w:rPr>
      </w:pPr>
    </w:p>
    <w:p w14:paraId="768FF6F9" w14:textId="77777777" w:rsidR="009260DE" w:rsidRPr="00C84483" w:rsidRDefault="009260DE" w:rsidP="00412B9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C02AD3D" w14:textId="5B4AFDE5" w:rsidR="009260DE" w:rsidRPr="00C84483" w:rsidRDefault="00AB06BA" w:rsidP="00412B94">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1FD5" w14:textId="77777777" w:rsidR="00AB0376" w:rsidRDefault="00AB0376">
      <w:r>
        <w:separator/>
      </w:r>
    </w:p>
  </w:endnote>
  <w:endnote w:type="continuationSeparator" w:id="0">
    <w:p w14:paraId="515837E1" w14:textId="77777777" w:rsidR="00AB0376" w:rsidRDefault="00AB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7C23" w14:textId="77777777" w:rsidR="000259B9" w:rsidRDefault="000259B9">
    <w:pPr>
      <w:pStyle w:val="Sidefod"/>
      <w:pBdr>
        <w:bottom w:val="single" w:sz="6" w:space="1" w:color="auto"/>
      </w:pBdr>
    </w:pPr>
  </w:p>
  <w:p w14:paraId="258C4A9F" w14:textId="77777777" w:rsidR="000259B9" w:rsidRDefault="000259B9" w:rsidP="00C42586">
    <w:pPr>
      <w:pStyle w:val="Sidefod"/>
      <w:tabs>
        <w:tab w:val="clear" w:pos="4819"/>
        <w:tab w:val="left" w:pos="8505"/>
      </w:tabs>
      <w:rPr>
        <w:i/>
        <w:sz w:val="18"/>
        <w:szCs w:val="18"/>
      </w:rPr>
    </w:pPr>
  </w:p>
  <w:p w14:paraId="12176BA3" w14:textId="18E55B7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6168D">
      <w:rPr>
        <w:i/>
        <w:noProof/>
        <w:sz w:val="18"/>
        <w:szCs w:val="18"/>
      </w:rPr>
      <w:t>Droperidol Sintetica, injektionsvæske, opløsning 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BE09" w14:textId="77777777" w:rsidR="00AB0376" w:rsidRDefault="00AB0376">
      <w:r>
        <w:separator/>
      </w:r>
    </w:p>
  </w:footnote>
  <w:footnote w:type="continuationSeparator" w:id="0">
    <w:p w14:paraId="6A05E68D" w14:textId="77777777" w:rsidR="00AB0376" w:rsidRDefault="00AB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4BEC"/>
    <w:multiLevelType w:val="hybridMultilevel"/>
    <w:tmpl w:val="BB7E6AA8"/>
    <w:lvl w:ilvl="0" w:tplc="08090001">
      <w:start w:val="1"/>
      <w:numFmt w:val="bullet"/>
      <w:lvlText w:val=""/>
      <w:lvlJc w:val="left"/>
      <w:pPr>
        <w:ind w:left="720" w:hanging="360"/>
      </w:pPr>
      <w:rPr>
        <w:rFonts w:ascii="Symbol" w:hAnsi="Symbol" w:hint="default"/>
        <w:w w:val="102"/>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BA41E4A"/>
    <w:multiLevelType w:val="hybridMultilevel"/>
    <w:tmpl w:val="82AC96A6"/>
    <w:lvl w:ilvl="0" w:tplc="08090001">
      <w:start w:val="1"/>
      <w:numFmt w:val="bullet"/>
      <w:lvlText w:val=""/>
      <w:lvlJc w:val="left"/>
      <w:pPr>
        <w:ind w:left="719" w:hanging="360"/>
      </w:pPr>
      <w:rPr>
        <w:rFonts w:ascii="Symbol" w:hAnsi="Symbol" w:hint="default"/>
      </w:rPr>
    </w:lvl>
    <w:lvl w:ilvl="1" w:tplc="08090003">
      <w:start w:val="1"/>
      <w:numFmt w:val="bullet"/>
      <w:lvlText w:val="o"/>
      <w:lvlJc w:val="left"/>
      <w:pPr>
        <w:ind w:left="1439" w:hanging="360"/>
      </w:pPr>
      <w:rPr>
        <w:rFonts w:ascii="Courier New" w:hAnsi="Courier New" w:cs="Courier New" w:hint="default"/>
      </w:rPr>
    </w:lvl>
    <w:lvl w:ilvl="2" w:tplc="08090005">
      <w:start w:val="1"/>
      <w:numFmt w:val="bullet"/>
      <w:lvlText w:val=""/>
      <w:lvlJc w:val="left"/>
      <w:pPr>
        <w:ind w:left="2159" w:hanging="360"/>
      </w:pPr>
      <w:rPr>
        <w:rFonts w:ascii="Wingdings" w:hAnsi="Wingdings" w:hint="default"/>
      </w:rPr>
    </w:lvl>
    <w:lvl w:ilvl="3" w:tplc="08090001">
      <w:start w:val="1"/>
      <w:numFmt w:val="bullet"/>
      <w:lvlText w:val=""/>
      <w:lvlJc w:val="left"/>
      <w:pPr>
        <w:ind w:left="2879" w:hanging="360"/>
      </w:pPr>
      <w:rPr>
        <w:rFonts w:ascii="Symbol" w:hAnsi="Symbol" w:hint="default"/>
      </w:rPr>
    </w:lvl>
    <w:lvl w:ilvl="4" w:tplc="08090003">
      <w:start w:val="1"/>
      <w:numFmt w:val="bullet"/>
      <w:lvlText w:val="o"/>
      <w:lvlJc w:val="left"/>
      <w:pPr>
        <w:ind w:left="3599" w:hanging="360"/>
      </w:pPr>
      <w:rPr>
        <w:rFonts w:ascii="Courier New" w:hAnsi="Courier New" w:cs="Courier New" w:hint="default"/>
      </w:rPr>
    </w:lvl>
    <w:lvl w:ilvl="5" w:tplc="08090005">
      <w:start w:val="1"/>
      <w:numFmt w:val="bullet"/>
      <w:lvlText w:val=""/>
      <w:lvlJc w:val="left"/>
      <w:pPr>
        <w:ind w:left="4319" w:hanging="360"/>
      </w:pPr>
      <w:rPr>
        <w:rFonts w:ascii="Wingdings" w:hAnsi="Wingdings" w:hint="default"/>
      </w:rPr>
    </w:lvl>
    <w:lvl w:ilvl="6" w:tplc="08090001">
      <w:start w:val="1"/>
      <w:numFmt w:val="bullet"/>
      <w:lvlText w:val=""/>
      <w:lvlJc w:val="left"/>
      <w:pPr>
        <w:ind w:left="5039" w:hanging="360"/>
      </w:pPr>
      <w:rPr>
        <w:rFonts w:ascii="Symbol" w:hAnsi="Symbol" w:hint="default"/>
      </w:rPr>
    </w:lvl>
    <w:lvl w:ilvl="7" w:tplc="08090003">
      <w:start w:val="1"/>
      <w:numFmt w:val="bullet"/>
      <w:lvlText w:val="o"/>
      <w:lvlJc w:val="left"/>
      <w:pPr>
        <w:ind w:left="5759" w:hanging="360"/>
      </w:pPr>
      <w:rPr>
        <w:rFonts w:ascii="Courier New" w:hAnsi="Courier New" w:cs="Courier New" w:hint="default"/>
      </w:rPr>
    </w:lvl>
    <w:lvl w:ilvl="8" w:tplc="08090005">
      <w:start w:val="1"/>
      <w:numFmt w:val="bullet"/>
      <w:lvlText w:val=""/>
      <w:lvlJc w:val="left"/>
      <w:pPr>
        <w:ind w:left="6479"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FDA7A35"/>
    <w:multiLevelType w:val="hybridMultilevel"/>
    <w:tmpl w:val="50C047B0"/>
    <w:lvl w:ilvl="0" w:tplc="08090001">
      <w:start w:val="1"/>
      <w:numFmt w:val="bullet"/>
      <w:lvlText w:val=""/>
      <w:lvlJc w:val="left"/>
      <w:pPr>
        <w:ind w:left="683" w:hanging="360"/>
      </w:pPr>
      <w:rPr>
        <w:rFonts w:ascii="Symbol" w:hAnsi="Symbol" w:hint="default"/>
        <w:w w:val="102"/>
        <w:sz w:val="22"/>
        <w:szCs w:val="22"/>
      </w:rPr>
    </w:lvl>
    <w:lvl w:ilvl="1" w:tplc="FFFFFFFF">
      <w:start w:val="1"/>
      <w:numFmt w:val="bullet"/>
      <w:lvlText w:val="o"/>
      <w:lvlJc w:val="left"/>
      <w:pPr>
        <w:ind w:left="1403" w:hanging="360"/>
      </w:pPr>
      <w:rPr>
        <w:rFonts w:ascii="Courier New" w:hAnsi="Courier New" w:cs="Courier New" w:hint="default"/>
      </w:rPr>
    </w:lvl>
    <w:lvl w:ilvl="2" w:tplc="FFFFFFFF">
      <w:start w:val="1"/>
      <w:numFmt w:val="bullet"/>
      <w:lvlText w:val=""/>
      <w:lvlJc w:val="left"/>
      <w:pPr>
        <w:ind w:left="2123" w:hanging="360"/>
      </w:pPr>
      <w:rPr>
        <w:rFonts w:ascii="Wingdings" w:hAnsi="Wingdings" w:hint="default"/>
      </w:rPr>
    </w:lvl>
    <w:lvl w:ilvl="3" w:tplc="FFFFFFFF">
      <w:start w:val="1"/>
      <w:numFmt w:val="bullet"/>
      <w:lvlText w:val=""/>
      <w:lvlJc w:val="left"/>
      <w:pPr>
        <w:ind w:left="2843" w:hanging="360"/>
      </w:pPr>
      <w:rPr>
        <w:rFonts w:ascii="Symbol" w:hAnsi="Symbol" w:hint="default"/>
      </w:rPr>
    </w:lvl>
    <w:lvl w:ilvl="4" w:tplc="FFFFFFFF">
      <w:start w:val="1"/>
      <w:numFmt w:val="bullet"/>
      <w:lvlText w:val="o"/>
      <w:lvlJc w:val="left"/>
      <w:pPr>
        <w:ind w:left="3563" w:hanging="360"/>
      </w:pPr>
      <w:rPr>
        <w:rFonts w:ascii="Courier New" w:hAnsi="Courier New" w:cs="Courier New" w:hint="default"/>
      </w:rPr>
    </w:lvl>
    <w:lvl w:ilvl="5" w:tplc="FFFFFFFF">
      <w:start w:val="1"/>
      <w:numFmt w:val="bullet"/>
      <w:lvlText w:val=""/>
      <w:lvlJc w:val="left"/>
      <w:pPr>
        <w:ind w:left="4283" w:hanging="360"/>
      </w:pPr>
      <w:rPr>
        <w:rFonts w:ascii="Wingdings" w:hAnsi="Wingdings" w:hint="default"/>
      </w:rPr>
    </w:lvl>
    <w:lvl w:ilvl="6" w:tplc="FFFFFFFF">
      <w:start w:val="1"/>
      <w:numFmt w:val="bullet"/>
      <w:lvlText w:val=""/>
      <w:lvlJc w:val="left"/>
      <w:pPr>
        <w:ind w:left="5003" w:hanging="360"/>
      </w:pPr>
      <w:rPr>
        <w:rFonts w:ascii="Symbol" w:hAnsi="Symbol" w:hint="default"/>
      </w:rPr>
    </w:lvl>
    <w:lvl w:ilvl="7" w:tplc="FFFFFFFF">
      <w:start w:val="1"/>
      <w:numFmt w:val="bullet"/>
      <w:lvlText w:val="o"/>
      <w:lvlJc w:val="left"/>
      <w:pPr>
        <w:ind w:left="5723" w:hanging="360"/>
      </w:pPr>
      <w:rPr>
        <w:rFonts w:ascii="Courier New" w:hAnsi="Courier New" w:cs="Courier New" w:hint="default"/>
      </w:rPr>
    </w:lvl>
    <w:lvl w:ilvl="8" w:tplc="FFFFFFFF">
      <w:start w:val="1"/>
      <w:numFmt w:val="bullet"/>
      <w:lvlText w:val=""/>
      <w:lvlJc w:val="left"/>
      <w:pPr>
        <w:ind w:left="6443" w:hanging="360"/>
      </w:pPr>
      <w:rPr>
        <w:rFonts w:ascii="Wingdings" w:hAnsi="Wingdings" w:hint="default"/>
      </w:rPr>
    </w:lvl>
  </w:abstractNum>
  <w:abstractNum w:abstractNumId="8" w15:restartNumberingAfterBreak="0">
    <w:nsid w:val="754F2DF4"/>
    <w:multiLevelType w:val="hybridMultilevel"/>
    <w:tmpl w:val="6B60AF7E"/>
    <w:lvl w:ilvl="0" w:tplc="1F00BB7A">
      <w:numFmt w:val="bullet"/>
      <w:lvlText w:val="-"/>
      <w:lvlJc w:val="left"/>
      <w:pPr>
        <w:ind w:left="720" w:hanging="360"/>
      </w:pPr>
      <w:rPr>
        <w:rFonts w:ascii="Times New Roman" w:eastAsia="Times New Roman" w:hAnsi="Times New Roman" w:cs="Times New Roman" w:hint="default"/>
        <w:w w:val="102"/>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76"/>
    <w:rsid w:val="000259B9"/>
    <w:rsid w:val="00041491"/>
    <w:rsid w:val="00050D16"/>
    <w:rsid w:val="000730CA"/>
    <w:rsid w:val="00074F2A"/>
    <w:rsid w:val="00084525"/>
    <w:rsid w:val="000A1CA8"/>
    <w:rsid w:val="000A466B"/>
    <w:rsid w:val="000B058C"/>
    <w:rsid w:val="000D68B0"/>
    <w:rsid w:val="000E4EE6"/>
    <w:rsid w:val="001454E2"/>
    <w:rsid w:val="001D0481"/>
    <w:rsid w:val="001D7DE6"/>
    <w:rsid w:val="00206CE8"/>
    <w:rsid w:val="0021526C"/>
    <w:rsid w:val="00283A2B"/>
    <w:rsid w:val="00286F13"/>
    <w:rsid w:val="002B30AD"/>
    <w:rsid w:val="002C1EC0"/>
    <w:rsid w:val="002C2C01"/>
    <w:rsid w:val="002C7B16"/>
    <w:rsid w:val="003665B8"/>
    <w:rsid w:val="00367AEC"/>
    <w:rsid w:val="003A29AE"/>
    <w:rsid w:val="003A32D7"/>
    <w:rsid w:val="003B142E"/>
    <w:rsid w:val="003B1566"/>
    <w:rsid w:val="003B4074"/>
    <w:rsid w:val="003C769A"/>
    <w:rsid w:val="003D3A90"/>
    <w:rsid w:val="003F1838"/>
    <w:rsid w:val="004016DD"/>
    <w:rsid w:val="00412B94"/>
    <w:rsid w:val="00440DC1"/>
    <w:rsid w:val="0045746C"/>
    <w:rsid w:val="00484922"/>
    <w:rsid w:val="0049104B"/>
    <w:rsid w:val="004B423C"/>
    <w:rsid w:val="004E3B12"/>
    <w:rsid w:val="00532310"/>
    <w:rsid w:val="00565F0F"/>
    <w:rsid w:val="00594A86"/>
    <w:rsid w:val="00596D86"/>
    <w:rsid w:val="00626A8A"/>
    <w:rsid w:val="00637F5A"/>
    <w:rsid w:val="00641C65"/>
    <w:rsid w:val="006560B1"/>
    <w:rsid w:val="006756DD"/>
    <w:rsid w:val="006C2504"/>
    <w:rsid w:val="006C60F2"/>
    <w:rsid w:val="0071241E"/>
    <w:rsid w:val="00737275"/>
    <w:rsid w:val="00740EEC"/>
    <w:rsid w:val="00743E33"/>
    <w:rsid w:val="0078011A"/>
    <w:rsid w:val="00782AF4"/>
    <w:rsid w:val="00790EE7"/>
    <w:rsid w:val="007B6649"/>
    <w:rsid w:val="007C3228"/>
    <w:rsid w:val="0082576E"/>
    <w:rsid w:val="00907F75"/>
    <w:rsid w:val="00921BEA"/>
    <w:rsid w:val="009260DE"/>
    <w:rsid w:val="0093258A"/>
    <w:rsid w:val="00945C48"/>
    <w:rsid w:val="009A7E4C"/>
    <w:rsid w:val="009C7BA3"/>
    <w:rsid w:val="009D1F5A"/>
    <w:rsid w:val="00A10294"/>
    <w:rsid w:val="00A2598D"/>
    <w:rsid w:val="00A83C61"/>
    <w:rsid w:val="00AB0376"/>
    <w:rsid w:val="00AB06BA"/>
    <w:rsid w:val="00B003BF"/>
    <w:rsid w:val="00B373D7"/>
    <w:rsid w:val="00B55271"/>
    <w:rsid w:val="00B57C6C"/>
    <w:rsid w:val="00B70B9A"/>
    <w:rsid w:val="00BD7931"/>
    <w:rsid w:val="00BF6243"/>
    <w:rsid w:val="00C36276"/>
    <w:rsid w:val="00C42586"/>
    <w:rsid w:val="00C45F6B"/>
    <w:rsid w:val="00C504C8"/>
    <w:rsid w:val="00C60CCD"/>
    <w:rsid w:val="00C70ECA"/>
    <w:rsid w:val="00C84483"/>
    <w:rsid w:val="00C95551"/>
    <w:rsid w:val="00CB20D7"/>
    <w:rsid w:val="00CD0BF2"/>
    <w:rsid w:val="00CF6D91"/>
    <w:rsid w:val="00D020B0"/>
    <w:rsid w:val="00D11748"/>
    <w:rsid w:val="00D237F6"/>
    <w:rsid w:val="00D279CE"/>
    <w:rsid w:val="00D34D98"/>
    <w:rsid w:val="00D366CF"/>
    <w:rsid w:val="00D93992"/>
    <w:rsid w:val="00DE1F86"/>
    <w:rsid w:val="00E108AA"/>
    <w:rsid w:val="00E3749A"/>
    <w:rsid w:val="00E43589"/>
    <w:rsid w:val="00E6168D"/>
    <w:rsid w:val="00E7437F"/>
    <w:rsid w:val="00E865B8"/>
    <w:rsid w:val="00EC0B9B"/>
    <w:rsid w:val="00ED5AD2"/>
    <w:rsid w:val="00ED5E9F"/>
    <w:rsid w:val="00EE029C"/>
    <w:rsid w:val="00F66D4F"/>
    <w:rsid w:val="00FB2733"/>
    <w:rsid w:val="00FB6D01"/>
    <w:rsid w:val="00FE4C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D7586"/>
  <w15:chartTrackingRefBased/>
  <w15:docId w15:val="{727E5C4B-7848-4A85-93E3-B162D30C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70ECA"/>
    <w:pPr>
      <w:autoSpaceDE w:val="0"/>
      <w:autoSpaceDN w:val="0"/>
      <w:adjustRightInd w:val="0"/>
    </w:pPr>
    <w:rPr>
      <w:rFonts w:eastAsiaTheme="minorHAnsi"/>
      <w:color w:val="000000"/>
      <w:sz w:val="24"/>
      <w:szCs w:val="24"/>
      <w:lang w:eastAsia="en-US"/>
    </w:rPr>
  </w:style>
  <w:style w:type="table" w:styleId="Tabel-Gitter">
    <w:name w:val="Table Grid"/>
    <w:basedOn w:val="Tabel-Normal"/>
    <w:uiPriority w:val="39"/>
    <w:rsid w:val="00C70EC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C70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4868">
      <w:bodyDiv w:val="1"/>
      <w:marLeft w:val="0"/>
      <w:marRight w:val="0"/>
      <w:marTop w:val="0"/>
      <w:marBottom w:val="0"/>
      <w:divBdr>
        <w:top w:val="none" w:sz="0" w:space="0" w:color="auto"/>
        <w:left w:val="none" w:sz="0" w:space="0" w:color="auto"/>
        <w:bottom w:val="none" w:sz="0" w:space="0" w:color="auto"/>
        <w:right w:val="none" w:sz="0" w:space="0" w:color="auto"/>
      </w:divBdr>
    </w:div>
    <w:div w:id="92363611">
      <w:bodyDiv w:val="1"/>
      <w:marLeft w:val="0"/>
      <w:marRight w:val="0"/>
      <w:marTop w:val="0"/>
      <w:marBottom w:val="0"/>
      <w:divBdr>
        <w:top w:val="none" w:sz="0" w:space="0" w:color="auto"/>
        <w:left w:val="none" w:sz="0" w:space="0" w:color="auto"/>
        <w:bottom w:val="none" w:sz="0" w:space="0" w:color="auto"/>
        <w:right w:val="none" w:sz="0" w:space="0" w:color="auto"/>
      </w:divBdr>
    </w:div>
    <w:div w:id="158271504">
      <w:bodyDiv w:val="1"/>
      <w:marLeft w:val="0"/>
      <w:marRight w:val="0"/>
      <w:marTop w:val="0"/>
      <w:marBottom w:val="0"/>
      <w:divBdr>
        <w:top w:val="none" w:sz="0" w:space="0" w:color="auto"/>
        <w:left w:val="none" w:sz="0" w:space="0" w:color="auto"/>
        <w:bottom w:val="none" w:sz="0" w:space="0" w:color="auto"/>
        <w:right w:val="none" w:sz="0" w:space="0" w:color="auto"/>
      </w:divBdr>
    </w:div>
    <w:div w:id="1661007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0643846">
      <w:bodyDiv w:val="1"/>
      <w:marLeft w:val="0"/>
      <w:marRight w:val="0"/>
      <w:marTop w:val="0"/>
      <w:marBottom w:val="0"/>
      <w:divBdr>
        <w:top w:val="none" w:sz="0" w:space="0" w:color="auto"/>
        <w:left w:val="none" w:sz="0" w:space="0" w:color="auto"/>
        <w:bottom w:val="none" w:sz="0" w:space="0" w:color="auto"/>
        <w:right w:val="none" w:sz="0" w:space="0" w:color="auto"/>
      </w:divBdr>
    </w:div>
    <w:div w:id="319431205">
      <w:bodyDiv w:val="1"/>
      <w:marLeft w:val="0"/>
      <w:marRight w:val="0"/>
      <w:marTop w:val="0"/>
      <w:marBottom w:val="0"/>
      <w:divBdr>
        <w:top w:val="none" w:sz="0" w:space="0" w:color="auto"/>
        <w:left w:val="none" w:sz="0" w:space="0" w:color="auto"/>
        <w:bottom w:val="none" w:sz="0" w:space="0" w:color="auto"/>
        <w:right w:val="none" w:sz="0" w:space="0" w:color="auto"/>
      </w:divBdr>
    </w:div>
    <w:div w:id="344869250">
      <w:bodyDiv w:val="1"/>
      <w:marLeft w:val="0"/>
      <w:marRight w:val="0"/>
      <w:marTop w:val="0"/>
      <w:marBottom w:val="0"/>
      <w:divBdr>
        <w:top w:val="none" w:sz="0" w:space="0" w:color="auto"/>
        <w:left w:val="none" w:sz="0" w:space="0" w:color="auto"/>
        <w:bottom w:val="none" w:sz="0" w:space="0" w:color="auto"/>
        <w:right w:val="none" w:sz="0" w:space="0" w:color="auto"/>
      </w:divBdr>
    </w:div>
    <w:div w:id="397679158">
      <w:bodyDiv w:val="1"/>
      <w:marLeft w:val="0"/>
      <w:marRight w:val="0"/>
      <w:marTop w:val="0"/>
      <w:marBottom w:val="0"/>
      <w:divBdr>
        <w:top w:val="none" w:sz="0" w:space="0" w:color="auto"/>
        <w:left w:val="none" w:sz="0" w:space="0" w:color="auto"/>
        <w:bottom w:val="none" w:sz="0" w:space="0" w:color="auto"/>
        <w:right w:val="none" w:sz="0" w:space="0" w:color="auto"/>
      </w:divBdr>
    </w:div>
    <w:div w:id="439686994">
      <w:bodyDiv w:val="1"/>
      <w:marLeft w:val="0"/>
      <w:marRight w:val="0"/>
      <w:marTop w:val="0"/>
      <w:marBottom w:val="0"/>
      <w:divBdr>
        <w:top w:val="none" w:sz="0" w:space="0" w:color="auto"/>
        <w:left w:val="none" w:sz="0" w:space="0" w:color="auto"/>
        <w:bottom w:val="none" w:sz="0" w:space="0" w:color="auto"/>
        <w:right w:val="none" w:sz="0" w:space="0" w:color="auto"/>
      </w:divBdr>
    </w:div>
    <w:div w:id="452945599">
      <w:bodyDiv w:val="1"/>
      <w:marLeft w:val="0"/>
      <w:marRight w:val="0"/>
      <w:marTop w:val="0"/>
      <w:marBottom w:val="0"/>
      <w:divBdr>
        <w:top w:val="none" w:sz="0" w:space="0" w:color="auto"/>
        <w:left w:val="none" w:sz="0" w:space="0" w:color="auto"/>
        <w:bottom w:val="none" w:sz="0" w:space="0" w:color="auto"/>
        <w:right w:val="none" w:sz="0" w:space="0" w:color="auto"/>
      </w:divBdr>
    </w:div>
    <w:div w:id="528222953">
      <w:bodyDiv w:val="1"/>
      <w:marLeft w:val="0"/>
      <w:marRight w:val="0"/>
      <w:marTop w:val="0"/>
      <w:marBottom w:val="0"/>
      <w:divBdr>
        <w:top w:val="none" w:sz="0" w:space="0" w:color="auto"/>
        <w:left w:val="none" w:sz="0" w:space="0" w:color="auto"/>
        <w:bottom w:val="none" w:sz="0" w:space="0" w:color="auto"/>
        <w:right w:val="none" w:sz="0" w:space="0" w:color="auto"/>
      </w:divBdr>
    </w:div>
    <w:div w:id="539171308">
      <w:bodyDiv w:val="1"/>
      <w:marLeft w:val="0"/>
      <w:marRight w:val="0"/>
      <w:marTop w:val="0"/>
      <w:marBottom w:val="0"/>
      <w:divBdr>
        <w:top w:val="none" w:sz="0" w:space="0" w:color="auto"/>
        <w:left w:val="none" w:sz="0" w:space="0" w:color="auto"/>
        <w:bottom w:val="none" w:sz="0" w:space="0" w:color="auto"/>
        <w:right w:val="none" w:sz="0" w:space="0" w:color="auto"/>
      </w:divBdr>
    </w:div>
    <w:div w:id="573003885">
      <w:bodyDiv w:val="1"/>
      <w:marLeft w:val="0"/>
      <w:marRight w:val="0"/>
      <w:marTop w:val="0"/>
      <w:marBottom w:val="0"/>
      <w:divBdr>
        <w:top w:val="none" w:sz="0" w:space="0" w:color="auto"/>
        <w:left w:val="none" w:sz="0" w:space="0" w:color="auto"/>
        <w:bottom w:val="none" w:sz="0" w:space="0" w:color="auto"/>
        <w:right w:val="none" w:sz="0" w:space="0" w:color="auto"/>
      </w:divBdr>
    </w:div>
    <w:div w:id="623461089">
      <w:bodyDiv w:val="1"/>
      <w:marLeft w:val="0"/>
      <w:marRight w:val="0"/>
      <w:marTop w:val="0"/>
      <w:marBottom w:val="0"/>
      <w:divBdr>
        <w:top w:val="none" w:sz="0" w:space="0" w:color="auto"/>
        <w:left w:val="none" w:sz="0" w:space="0" w:color="auto"/>
        <w:bottom w:val="none" w:sz="0" w:space="0" w:color="auto"/>
        <w:right w:val="none" w:sz="0" w:space="0" w:color="auto"/>
      </w:divBdr>
    </w:div>
    <w:div w:id="627399095">
      <w:bodyDiv w:val="1"/>
      <w:marLeft w:val="0"/>
      <w:marRight w:val="0"/>
      <w:marTop w:val="0"/>
      <w:marBottom w:val="0"/>
      <w:divBdr>
        <w:top w:val="none" w:sz="0" w:space="0" w:color="auto"/>
        <w:left w:val="none" w:sz="0" w:space="0" w:color="auto"/>
        <w:bottom w:val="none" w:sz="0" w:space="0" w:color="auto"/>
        <w:right w:val="none" w:sz="0" w:space="0" w:color="auto"/>
      </w:divBdr>
    </w:div>
    <w:div w:id="702553945">
      <w:bodyDiv w:val="1"/>
      <w:marLeft w:val="0"/>
      <w:marRight w:val="0"/>
      <w:marTop w:val="0"/>
      <w:marBottom w:val="0"/>
      <w:divBdr>
        <w:top w:val="none" w:sz="0" w:space="0" w:color="auto"/>
        <w:left w:val="none" w:sz="0" w:space="0" w:color="auto"/>
        <w:bottom w:val="none" w:sz="0" w:space="0" w:color="auto"/>
        <w:right w:val="none" w:sz="0" w:space="0" w:color="auto"/>
      </w:divBdr>
    </w:div>
    <w:div w:id="800345835">
      <w:bodyDiv w:val="1"/>
      <w:marLeft w:val="0"/>
      <w:marRight w:val="0"/>
      <w:marTop w:val="0"/>
      <w:marBottom w:val="0"/>
      <w:divBdr>
        <w:top w:val="none" w:sz="0" w:space="0" w:color="auto"/>
        <w:left w:val="none" w:sz="0" w:space="0" w:color="auto"/>
        <w:bottom w:val="none" w:sz="0" w:space="0" w:color="auto"/>
        <w:right w:val="none" w:sz="0" w:space="0" w:color="auto"/>
      </w:divBdr>
    </w:div>
    <w:div w:id="835995182">
      <w:bodyDiv w:val="1"/>
      <w:marLeft w:val="0"/>
      <w:marRight w:val="0"/>
      <w:marTop w:val="0"/>
      <w:marBottom w:val="0"/>
      <w:divBdr>
        <w:top w:val="none" w:sz="0" w:space="0" w:color="auto"/>
        <w:left w:val="none" w:sz="0" w:space="0" w:color="auto"/>
        <w:bottom w:val="none" w:sz="0" w:space="0" w:color="auto"/>
        <w:right w:val="none" w:sz="0" w:space="0" w:color="auto"/>
      </w:divBdr>
    </w:div>
    <w:div w:id="908005247">
      <w:bodyDiv w:val="1"/>
      <w:marLeft w:val="0"/>
      <w:marRight w:val="0"/>
      <w:marTop w:val="0"/>
      <w:marBottom w:val="0"/>
      <w:divBdr>
        <w:top w:val="none" w:sz="0" w:space="0" w:color="auto"/>
        <w:left w:val="none" w:sz="0" w:space="0" w:color="auto"/>
        <w:bottom w:val="none" w:sz="0" w:space="0" w:color="auto"/>
        <w:right w:val="none" w:sz="0" w:space="0" w:color="auto"/>
      </w:divBdr>
    </w:div>
    <w:div w:id="913055192">
      <w:bodyDiv w:val="1"/>
      <w:marLeft w:val="0"/>
      <w:marRight w:val="0"/>
      <w:marTop w:val="0"/>
      <w:marBottom w:val="0"/>
      <w:divBdr>
        <w:top w:val="none" w:sz="0" w:space="0" w:color="auto"/>
        <w:left w:val="none" w:sz="0" w:space="0" w:color="auto"/>
        <w:bottom w:val="none" w:sz="0" w:space="0" w:color="auto"/>
        <w:right w:val="none" w:sz="0" w:space="0" w:color="auto"/>
      </w:divBdr>
    </w:div>
    <w:div w:id="918444185">
      <w:bodyDiv w:val="1"/>
      <w:marLeft w:val="0"/>
      <w:marRight w:val="0"/>
      <w:marTop w:val="0"/>
      <w:marBottom w:val="0"/>
      <w:divBdr>
        <w:top w:val="none" w:sz="0" w:space="0" w:color="auto"/>
        <w:left w:val="none" w:sz="0" w:space="0" w:color="auto"/>
        <w:bottom w:val="none" w:sz="0" w:space="0" w:color="auto"/>
        <w:right w:val="none" w:sz="0" w:space="0" w:color="auto"/>
      </w:divBdr>
    </w:div>
    <w:div w:id="1003239673">
      <w:bodyDiv w:val="1"/>
      <w:marLeft w:val="0"/>
      <w:marRight w:val="0"/>
      <w:marTop w:val="0"/>
      <w:marBottom w:val="0"/>
      <w:divBdr>
        <w:top w:val="none" w:sz="0" w:space="0" w:color="auto"/>
        <w:left w:val="none" w:sz="0" w:space="0" w:color="auto"/>
        <w:bottom w:val="none" w:sz="0" w:space="0" w:color="auto"/>
        <w:right w:val="none" w:sz="0" w:space="0" w:color="auto"/>
      </w:divBdr>
    </w:div>
    <w:div w:id="1010181782">
      <w:bodyDiv w:val="1"/>
      <w:marLeft w:val="0"/>
      <w:marRight w:val="0"/>
      <w:marTop w:val="0"/>
      <w:marBottom w:val="0"/>
      <w:divBdr>
        <w:top w:val="none" w:sz="0" w:space="0" w:color="auto"/>
        <w:left w:val="none" w:sz="0" w:space="0" w:color="auto"/>
        <w:bottom w:val="none" w:sz="0" w:space="0" w:color="auto"/>
        <w:right w:val="none" w:sz="0" w:space="0" w:color="auto"/>
      </w:divBdr>
    </w:div>
    <w:div w:id="1014724284">
      <w:bodyDiv w:val="1"/>
      <w:marLeft w:val="0"/>
      <w:marRight w:val="0"/>
      <w:marTop w:val="0"/>
      <w:marBottom w:val="0"/>
      <w:divBdr>
        <w:top w:val="none" w:sz="0" w:space="0" w:color="auto"/>
        <w:left w:val="none" w:sz="0" w:space="0" w:color="auto"/>
        <w:bottom w:val="none" w:sz="0" w:space="0" w:color="auto"/>
        <w:right w:val="none" w:sz="0" w:space="0" w:color="auto"/>
      </w:divBdr>
    </w:div>
    <w:div w:id="1034959223">
      <w:bodyDiv w:val="1"/>
      <w:marLeft w:val="0"/>
      <w:marRight w:val="0"/>
      <w:marTop w:val="0"/>
      <w:marBottom w:val="0"/>
      <w:divBdr>
        <w:top w:val="none" w:sz="0" w:space="0" w:color="auto"/>
        <w:left w:val="none" w:sz="0" w:space="0" w:color="auto"/>
        <w:bottom w:val="none" w:sz="0" w:space="0" w:color="auto"/>
        <w:right w:val="none" w:sz="0" w:space="0" w:color="auto"/>
      </w:divBdr>
    </w:div>
    <w:div w:id="1129401440">
      <w:bodyDiv w:val="1"/>
      <w:marLeft w:val="0"/>
      <w:marRight w:val="0"/>
      <w:marTop w:val="0"/>
      <w:marBottom w:val="0"/>
      <w:divBdr>
        <w:top w:val="none" w:sz="0" w:space="0" w:color="auto"/>
        <w:left w:val="none" w:sz="0" w:space="0" w:color="auto"/>
        <w:bottom w:val="none" w:sz="0" w:space="0" w:color="auto"/>
        <w:right w:val="none" w:sz="0" w:space="0" w:color="auto"/>
      </w:divBdr>
    </w:div>
    <w:div w:id="1165589685">
      <w:bodyDiv w:val="1"/>
      <w:marLeft w:val="0"/>
      <w:marRight w:val="0"/>
      <w:marTop w:val="0"/>
      <w:marBottom w:val="0"/>
      <w:divBdr>
        <w:top w:val="none" w:sz="0" w:space="0" w:color="auto"/>
        <w:left w:val="none" w:sz="0" w:space="0" w:color="auto"/>
        <w:bottom w:val="none" w:sz="0" w:space="0" w:color="auto"/>
        <w:right w:val="none" w:sz="0" w:space="0" w:color="auto"/>
      </w:divBdr>
    </w:div>
    <w:div w:id="1209299214">
      <w:bodyDiv w:val="1"/>
      <w:marLeft w:val="0"/>
      <w:marRight w:val="0"/>
      <w:marTop w:val="0"/>
      <w:marBottom w:val="0"/>
      <w:divBdr>
        <w:top w:val="none" w:sz="0" w:space="0" w:color="auto"/>
        <w:left w:val="none" w:sz="0" w:space="0" w:color="auto"/>
        <w:bottom w:val="none" w:sz="0" w:space="0" w:color="auto"/>
        <w:right w:val="none" w:sz="0" w:space="0" w:color="auto"/>
      </w:divBdr>
    </w:div>
    <w:div w:id="1226911127">
      <w:bodyDiv w:val="1"/>
      <w:marLeft w:val="0"/>
      <w:marRight w:val="0"/>
      <w:marTop w:val="0"/>
      <w:marBottom w:val="0"/>
      <w:divBdr>
        <w:top w:val="none" w:sz="0" w:space="0" w:color="auto"/>
        <w:left w:val="none" w:sz="0" w:space="0" w:color="auto"/>
        <w:bottom w:val="none" w:sz="0" w:space="0" w:color="auto"/>
        <w:right w:val="none" w:sz="0" w:space="0" w:color="auto"/>
      </w:divBdr>
    </w:div>
    <w:div w:id="1232040724">
      <w:bodyDiv w:val="1"/>
      <w:marLeft w:val="0"/>
      <w:marRight w:val="0"/>
      <w:marTop w:val="0"/>
      <w:marBottom w:val="0"/>
      <w:divBdr>
        <w:top w:val="none" w:sz="0" w:space="0" w:color="auto"/>
        <w:left w:val="none" w:sz="0" w:space="0" w:color="auto"/>
        <w:bottom w:val="none" w:sz="0" w:space="0" w:color="auto"/>
        <w:right w:val="none" w:sz="0" w:space="0" w:color="auto"/>
      </w:divBdr>
    </w:div>
    <w:div w:id="1232042321">
      <w:bodyDiv w:val="1"/>
      <w:marLeft w:val="0"/>
      <w:marRight w:val="0"/>
      <w:marTop w:val="0"/>
      <w:marBottom w:val="0"/>
      <w:divBdr>
        <w:top w:val="none" w:sz="0" w:space="0" w:color="auto"/>
        <w:left w:val="none" w:sz="0" w:space="0" w:color="auto"/>
        <w:bottom w:val="none" w:sz="0" w:space="0" w:color="auto"/>
        <w:right w:val="none" w:sz="0" w:space="0" w:color="auto"/>
      </w:divBdr>
    </w:div>
    <w:div w:id="1274747715">
      <w:bodyDiv w:val="1"/>
      <w:marLeft w:val="0"/>
      <w:marRight w:val="0"/>
      <w:marTop w:val="0"/>
      <w:marBottom w:val="0"/>
      <w:divBdr>
        <w:top w:val="none" w:sz="0" w:space="0" w:color="auto"/>
        <w:left w:val="none" w:sz="0" w:space="0" w:color="auto"/>
        <w:bottom w:val="none" w:sz="0" w:space="0" w:color="auto"/>
        <w:right w:val="none" w:sz="0" w:space="0" w:color="auto"/>
      </w:divBdr>
    </w:div>
    <w:div w:id="1480266104">
      <w:bodyDiv w:val="1"/>
      <w:marLeft w:val="0"/>
      <w:marRight w:val="0"/>
      <w:marTop w:val="0"/>
      <w:marBottom w:val="0"/>
      <w:divBdr>
        <w:top w:val="none" w:sz="0" w:space="0" w:color="auto"/>
        <w:left w:val="none" w:sz="0" w:space="0" w:color="auto"/>
        <w:bottom w:val="none" w:sz="0" w:space="0" w:color="auto"/>
        <w:right w:val="none" w:sz="0" w:space="0" w:color="auto"/>
      </w:divBdr>
    </w:div>
    <w:div w:id="1569724125">
      <w:bodyDiv w:val="1"/>
      <w:marLeft w:val="0"/>
      <w:marRight w:val="0"/>
      <w:marTop w:val="0"/>
      <w:marBottom w:val="0"/>
      <w:divBdr>
        <w:top w:val="none" w:sz="0" w:space="0" w:color="auto"/>
        <w:left w:val="none" w:sz="0" w:space="0" w:color="auto"/>
        <w:bottom w:val="none" w:sz="0" w:space="0" w:color="auto"/>
        <w:right w:val="none" w:sz="0" w:space="0" w:color="auto"/>
      </w:divBdr>
    </w:div>
    <w:div w:id="1639216808">
      <w:bodyDiv w:val="1"/>
      <w:marLeft w:val="0"/>
      <w:marRight w:val="0"/>
      <w:marTop w:val="0"/>
      <w:marBottom w:val="0"/>
      <w:divBdr>
        <w:top w:val="none" w:sz="0" w:space="0" w:color="auto"/>
        <w:left w:val="none" w:sz="0" w:space="0" w:color="auto"/>
        <w:bottom w:val="none" w:sz="0" w:space="0" w:color="auto"/>
        <w:right w:val="none" w:sz="0" w:space="0" w:color="auto"/>
      </w:divBdr>
    </w:div>
    <w:div w:id="1640499836">
      <w:bodyDiv w:val="1"/>
      <w:marLeft w:val="0"/>
      <w:marRight w:val="0"/>
      <w:marTop w:val="0"/>
      <w:marBottom w:val="0"/>
      <w:divBdr>
        <w:top w:val="none" w:sz="0" w:space="0" w:color="auto"/>
        <w:left w:val="none" w:sz="0" w:space="0" w:color="auto"/>
        <w:bottom w:val="none" w:sz="0" w:space="0" w:color="auto"/>
        <w:right w:val="none" w:sz="0" w:space="0" w:color="auto"/>
      </w:divBdr>
    </w:div>
    <w:div w:id="1680041148">
      <w:bodyDiv w:val="1"/>
      <w:marLeft w:val="0"/>
      <w:marRight w:val="0"/>
      <w:marTop w:val="0"/>
      <w:marBottom w:val="0"/>
      <w:divBdr>
        <w:top w:val="none" w:sz="0" w:space="0" w:color="auto"/>
        <w:left w:val="none" w:sz="0" w:space="0" w:color="auto"/>
        <w:bottom w:val="none" w:sz="0" w:space="0" w:color="auto"/>
        <w:right w:val="none" w:sz="0" w:space="0" w:color="auto"/>
      </w:divBdr>
    </w:div>
    <w:div w:id="1716274455">
      <w:bodyDiv w:val="1"/>
      <w:marLeft w:val="0"/>
      <w:marRight w:val="0"/>
      <w:marTop w:val="0"/>
      <w:marBottom w:val="0"/>
      <w:divBdr>
        <w:top w:val="none" w:sz="0" w:space="0" w:color="auto"/>
        <w:left w:val="none" w:sz="0" w:space="0" w:color="auto"/>
        <w:bottom w:val="none" w:sz="0" w:space="0" w:color="auto"/>
        <w:right w:val="none" w:sz="0" w:space="0" w:color="auto"/>
      </w:divBdr>
    </w:div>
    <w:div w:id="1788743699">
      <w:bodyDiv w:val="1"/>
      <w:marLeft w:val="0"/>
      <w:marRight w:val="0"/>
      <w:marTop w:val="0"/>
      <w:marBottom w:val="0"/>
      <w:divBdr>
        <w:top w:val="none" w:sz="0" w:space="0" w:color="auto"/>
        <w:left w:val="none" w:sz="0" w:space="0" w:color="auto"/>
        <w:bottom w:val="none" w:sz="0" w:space="0" w:color="auto"/>
        <w:right w:val="none" w:sz="0" w:space="0" w:color="auto"/>
      </w:divBdr>
    </w:div>
    <w:div w:id="1905023237">
      <w:bodyDiv w:val="1"/>
      <w:marLeft w:val="0"/>
      <w:marRight w:val="0"/>
      <w:marTop w:val="0"/>
      <w:marBottom w:val="0"/>
      <w:divBdr>
        <w:top w:val="none" w:sz="0" w:space="0" w:color="auto"/>
        <w:left w:val="none" w:sz="0" w:space="0" w:color="auto"/>
        <w:bottom w:val="none" w:sz="0" w:space="0" w:color="auto"/>
        <w:right w:val="none" w:sz="0" w:space="0" w:color="auto"/>
      </w:divBdr>
    </w:div>
    <w:div w:id="21286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84</TotalTime>
  <Pages>11</Pages>
  <Words>3218</Words>
  <Characters>20991</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2022012120 mt</dc:description>
  <cp:lastModifiedBy>Hanne Thy Iversen</cp:lastModifiedBy>
  <cp:revision>12</cp:revision>
  <cp:lastPrinted>2012-08-22T08:53:00Z</cp:lastPrinted>
  <dcterms:created xsi:type="dcterms:W3CDTF">2023-09-07T07:51:00Z</dcterms:created>
  <dcterms:modified xsi:type="dcterms:W3CDTF">2023-09-08T09:39:00Z</dcterms:modified>
</cp:coreProperties>
</file>