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5362" w:rsidRPr="005A3D80" w:rsidRDefault="00A440CC" w:rsidP="00F64BDE">
      <w:pPr>
        <w:rPr>
          <w:b/>
          <w:sz w:val="24"/>
          <w:szCs w:val="24"/>
        </w:rPr>
      </w:pPr>
      <w:bookmarkStart w:id="0" w:name="_GoBack"/>
      <w:bookmarkEnd w:id="0"/>
      <w:r w:rsidRPr="005A3D80">
        <w:rPr>
          <w:noProof/>
          <w:sz w:val="24"/>
          <w:szCs w:val="24"/>
          <w:lang w:eastAsia="da-DK"/>
        </w:rPr>
        <w:drawing>
          <wp:anchor distT="0" distB="0" distL="114300" distR="114300" simplePos="0" relativeHeight="251659264" behindDoc="0" locked="0" layoutInCell="1" allowOverlap="1" wp14:anchorId="224BB46A" wp14:editId="4D551170">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5A3D80">
        <w:rPr>
          <w:sz w:val="24"/>
          <w:szCs w:val="24"/>
        </w:rPr>
        <w:br w:type="textWrapping" w:clear="all"/>
      </w:r>
    </w:p>
    <w:p w:rsidR="00A440CC" w:rsidRPr="005A3D80" w:rsidRDefault="00A440CC" w:rsidP="00A440CC">
      <w:pPr>
        <w:pStyle w:val="Titel"/>
        <w:tabs>
          <w:tab w:val="right" w:pos="9356"/>
        </w:tabs>
        <w:jc w:val="left"/>
        <w:rPr>
          <w:b w:val="0"/>
          <w:szCs w:val="24"/>
          <w:lang w:eastAsia="en-US"/>
        </w:rPr>
      </w:pPr>
      <w:r w:rsidRPr="005A3D80">
        <w:rPr>
          <w:b w:val="0"/>
          <w:szCs w:val="24"/>
          <w:lang w:eastAsia="en-US"/>
        </w:rPr>
        <w:tab/>
      </w:r>
      <w:r w:rsidR="005A3D80">
        <w:rPr>
          <w:szCs w:val="24"/>
        </w:rPr>
        <w:t>24. oktober 2024</w:t>
      </w:r>
    </w:p>
    <w:p w:rsidR="00A440CC" w:rsidRPr="005A3D80" w:rsidRDefault="00A440CC" w:rsidP="00A440CC">
      <w:pPr>
        <w:pStyle w:val="Titel"/>
        <w:jc w:val="left"/>
        <w:rPr>
          <w:b w:val="0"/>
          <w:szCs w:val="24"/>
        </w:rPr>
      </w:pPr>
    </w:p>
    <w:p w:rsidR="00961D99" w:rsidRPr="005A3D80" w:rsidRDefault="00961D99" w:rsidP="00A440CC">
      <w:pPr>
        <w:pStyle w:val="Titel"/>
        <w:jc w:val="left"/>
        <w:rPr>
          <w:b w:val="0"/>
          <w:szCs w:val="24"/>
        </w:rPr>
      </w:pPr>
    </w:p>
    <w:p w:rsidR="00F64BDE" w:rsidRPr="005A3D80" w:rsidRDefault="00F64BDE" w:rsidP="00A440CC">
      <w:pPr>
        <w:pStyle w:val="Titel"/>
        <w:jc w:val="left"/>
        <w:rPr>
          <w:b w:val="0"/>
          <w:szCs w:val="24"/>
        </w:rPr>
      </w:pPr>
    </w:p>
    <w:p w:rsidR="00A440CC" w:rsidRPr="005A3D80" w:rsidRDefault="00A440CC" w:rsidP="00A440CC">
      <w:pPr>
        <w:jc w:val="center"/>
        <w:rPr>
          <w:b/>
          <w:sz w:val="24"/>
          <w:szCs w:val="24"/>
        </w:rPr>
      </w:pPr>
      <w:r w:rsidRPr="005A3D80">
        <w:rPr>
          <w:b/>
          <w:sz w:val="24"/>
          <w:szCs w:val="24"/>
        </w:rPr>
        <w:t>PRODUKTRESUMÉ</w:t>
      </w:r>
    </w:p>
    <w:p w:rsidR="00A440CC" w:rsidRPr="005A3D80" w:rsidRDefault="00A440CC" w:rsidP="00A440CC">
      <w:pPr>
        <w:jc w:val="center"/>
        <w:rPr>
          <w:b/>
          <w:sz w:val="24"/>
          <w:szCs w:val="24"/>
        </w:rPr>
      </w:pPr>
    </w:p>
    <w:p w:rsidR="00A440CC" w:rsidRPr="005A3D80" w:rsidRDefault="00A440CC" w:rsidP="00A440CC">
      <w:pPr>
        <w:jc w:val="center"/>
        <w:rPr>
          <w:b/>
          <w:sz w:val="24"/>
          <w:szCs w:val="24"/>
        </w:rPr>
      </w:pPr>
      <w:r w:rsidRPr="005A3D80">
        <w:rPr>
          <w:b/>
          <w:sz w:val="24"/>
          <w:szCs w:val="24"/>
        </w:rPr>
        <w:t>for</w:t>
      </w:r>
    </w:p>
    <w:p w:rsidR="00A440CC" w:rsidRPr="005A3D80" w:rsidRDefault="00A440CC" w:rsidP="00A440CC">
      <w:pPr>
        <w:jc w:val="center"/>
        <w:rPr>
          <w:b/>
          <w:sz w:val="24"/>
          <w:szCs w:val="24"/>
        </w:rPr>
      </w:pPr>
    </w:p>
    <w:p w:rsidR="00A440CC" w:rsidRPr="005A3D80" w:rsidRDefault="00A440CC" w:rsidP="00A440CC">
      <w:pPr>
        <w:jc w:val="center"/>
        <w:rPr>
          <w:b/>
          <w:sz w:val="24"/>
          <w:szCs w:val="24"/>
        </w:rPr>
      </w:pPr>
      <w:proofErr w:type="spellStart"/>
      <w:r w:rsidRPr="005A3D80">
        <w:rPr>
          <w:b/>
          <w:sz w:val="24"/>
          <w:szCs w:val="24"/>
        </w:rPr>
        <w:t>Dropizol</w:t>
      </w:r>
      <w:proofErr w:type="spellEnd"/>
      <w:r w:rsidRPr="005A3D80">
        <w:rPr>
          <w:b/>
          <w:sz w:val="24"/>
          <w:szCs w:val="24"/>
        </w:rPr>
        <w:t>, orale dråber, opløsning</w:t>
      </w:r>
    </w:p>
    <w:p w:rsidR="00A440CC" w:rsidRPr="005A3D80" w:rsidRDefault="00A440CC" w:rsidP="00A440CC">
      <w:pPr>
        <w:jc w:val="both"/>
        <w:rPr>
          <w:sz w:val="24"/>
          <w:szCs w:val="24"/>
        </w:rPr>
      </w:pPr>
    </w:p>
    <w:p w:rsidR="00A440CC" w:rsidRPr="005A3D80" w:rsidRDefault="00A440CC" w:rsidP="00A440CC">
      <w:pPr>
        <w:ind w:left="851" w:hanging="851"/>
        <w:jc w:val="both"/>
        <w:rPr>
          <w:sz w:val="24"/>
          <w:szCs w:val="24"/>
        </w:rPr>
      </w:pPr>
    </w:p>
    <w:p w:rsidR="005A3D80" w:rsidRPr="00C84483" w:rsidRDefault="005A3D80" w:rsidP="005A3D80">
      <w:pPr>
        <w:tabs>
          <w:tab w:val="left" w:pos="851"/>
        </w:tabs>
        <w:ind w:left="851" w:hanging="851"/>
        <w:rPr>
          <w:b/>
          <w:sz w:val="24"/>
          <w:szCs w:val="24"/>
        </w:rPr>
      </w:pPr>
      <w:r w:rsidRPr="00C84483">
        <w:rPr>
          <w:b/>
          <w:sz w:val="24"/>
          <w:szCs w:val="24"/>
        </w:rPr>
        <w:t>0.</w:t>
      </w:r>
      <w:r w:rsidRPr="00C84483">
        <w:rPr>
          <w:b/>
          <w:sz w:val="24"/>
          <w:szCs w:val="24"/>
        </w:rPr>
        <w:tab/>
        <w:t>D.SP.NR.</w:t>
      </w:r>
    </w:p>
    <w:p w:rsidR="00A440CC" w:rsidRPr="005A3D80" w:rsidRDefault="00A440CC" w:rsidP="00A440CC">
      <w:pPr>
        <w:ind w:left="851" w:hanging="851"/>
        <w:rPr>
          <w:sz w:val="24"/>
          <w:szCs w:val="24"/>
        </w:rPr>
      </w:pPr>
      <w:r w:rsidRPr="005A3D80">
        <w:rPr>
          <w:sz w:val="24"/>
          <w:szCs w:val="24"/>
        </w:rPr>
        <w:tab/>
        <w:t>30452</w:t>
      </w:r>
    </w:p>
    <w:p w:rsidR="00A440CC" w:rsidRPr="005A3D80" w:rsidRDefault="00A440CC" w:rsidP="00A440CC">
      <w:pPr>
        <w:ind w:left="851" w:hanging="851"/>
        <w:rPr>
          <w:sz w:val="24"/>
          <w:szCs w:val="24"/>
        </w:rPr>
      </w:pPr>
    </w:p>
    <w:p w:rsidR="005A3D80" w:rsidRPr="00C84483" w:rsidRDefault="005A3D80" w:rsidP="005A3D80">
      <w:pPr>
        <w:tabs>
          <w:tab w:val="left" w:pos="851"/>
        </w:tabs>
        <w:ind w:left="851" w:hanging="851"/>
        <w:rPr>
          <w:b/>
          <w:sz w:val="24"/>
          <w:szCs w:val="24"/>
        </w:rPr>
      </w:pPr>
      <w:r w:rsidRPr="00C84483">
        <w:rPr>
          <w:b/>
          <w:sz w:val="24"/>
          <w:szCs w:val="24"/>
        </w:rPr>
        <w:t>1.</w:t>
      </w:r>
      <w:r w:rsidRPr="00C84483">
        <w:rPr>
          <w:b/>
          <w:sz w:val="24"/>
          <w:szCs w:val="24"/>
        </w:rPr>
        <w:tab/>
        <w:t>LÆGEMIDLETS NAVN</w:t>
      </w:r>
    </w:p>
    <w:p w:rsidR="00A440CC" w:rsidRPr="005A3D80" w:rsidRDefault="00A440CC" w:rsidP="00A440CC">
      <w:pPr>
        <w:ind w:left="851" w:hanging="851"/>
        <w:rPr>
          <w:sz w:val="24"/>
          <w:szCs w:val="24"/>
        </w:rPr>
      </w:pPr>
      <w:r w:rsidRPr="005A3D80">
        <w:rPr>
          <w:sz w:val="24"/>
          <w:szCs w:val="24"/>
        </w:rPr>
        <w:tab/>
      </w:r>
      <w:proofErr w:type="spellStart"/>
      <w:r w:rsidRPr="005A3D80">
        <w:rPr>
          <w:sz w:val="24"/>
          <w:szCs w:val="24"/>
        </w:rPr>
        <w:t>Dropizol</w:t>
      </w:r>
      <w:proofErr w:type="spellEnd"/>
    </w:p>
    <w:p w:rsidR="00A440CC" w:rsidRPr="005A3D80" w:rsidRDefault="00A440CC" w:rsidP="00A440CC">
      <w:pPr>
        <w:ind w:left="851" w:hanging="851"/>
        <w:rPr>
          <w:sz w:val="24"/>
          <w:szCs w:val="24"/>
        </w:rPr>
      </w:pPr>
    </w:p>
    <w:p w:rsidR="005A3D80" w:rsidRPr="00C84483" w:rsidRDefault="005A3D80" w:rsidP="005A3D80">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A440CC" w:rsidRPr="005A3D80" w:rsidRDefault="00A440CC" w:rsidP="00A440CC">
      <w:pPr>
        <w:suppressAutoHyphens/>
        <w:ind w:left="851"/>
        <w:rPr>
          <w:sz w:val="24"/>
          <w:szCs w:val="24"/>
        </w:rPr>
      </w:pPr>
      <w:r w:rsidRPr="005A3D80">
        <w:rPr>
          <w:sz w:val="24"/>
          <w:szCs w:val="24"/>
        </w:rPr>
        <w:t xml:space="preserve">1 ml oral opløsning indeholder 1 ml tinktur fra </w:t>
      </w:r>
      <w:proofErr w:type="spellStart"/>
      <w:r w:rsidRPr="005A3D80">
        <w:rPr>
          <w:i/>
          <w:sz w:val="24"/>
          <w:szCs w:val="24"/>
        </w:rPr>
        <w:t>Papaver</w:t>
      </w:r>
      <w:proofErr w:type="spellEnd"/>
      <w:r w:rsidRPr="005A3D80">
        <w:rPr>
          <w:i/>
          <w:sz w:val="24"/>
          <w:szCs w:val="24"/>
        </w:rPr>
        <w:t xml:space="preserve"> </w:t>
      </w:r>
      <w:proofErr w:type="spellStart"/>
      <w:r w:rsidRPr="005A3D80">
        <w:rPr>
          <w:i/>
          <w:sz w:val="24"/>
          <w:szCs w:val="24"/>
        </w:rPr>
        <w:t>somniferum</w:t>
      </w:r>
      <w:proofErr w:type="spellEnd"/>
      <w:r w:rsidRPr="005A3D80">
        <w:rPr>
          <w:i/>
          <w:sz w:val="24"/>
          <w:szCs w:val="24"/>
        </w:rPr>
        <w:t xml:space="preserve"> L., </w:t>
      </w:r>
      <w:proofErr w:type="spellStart"/>
      <w:r w:rsidRPr="005A3D80">
        <w:rPr>
          <w:i/>
          <w:sz w:val="24"/>
          <w:szCs w:val="24"/>
        </w:rPr>
        <w:t>succus</w:t>
      </w:r>
      <w:proofErr w:type="spellEnd"/>
      <w:r w:rsidRPr="005A3D80">
        <w:rPr>
          <w:i/>
          <w:sz w:val="24"/>
          <w:szCs w:val="24"/>
        </w:rPr>
        <w:t xml:space="preserve"> </w:t>
      </w:r>
      <w:proofErr w:type="spellStart"/>
      <w:r w:rsidRPr="005A3D80">
        <w:rPr>
          <w:i/>
          <w:sz w:val="24"/>
          <w:szCs w:val="24"/>
        </w:rPr>
        <w:t>siccus</w:t>
      </w:r>
      <w:proofErr w:type="spellEnd"/>
      <w:r w:rsidRPr="005A3D80">
        <w:rPr>
          <w:sz w:val="24"/>
          <w:szCs w:val="24"/>
        </w:rPr>
        <w:t xml:space="preserve"> (rå opium) svarende til 10 mg vandfrit </w:t>
      </w:r>
      <w:proofErr w:type="spellStart"/>
      <w:r w:rsidRPr="005A3D80">
        <w:rPr>
          <w:sz w:val="24"/>
          <w:szCs w:val="24"/>
        </w:rPr>
        <w:t>morphin</w:t>
      </w:r>
      <w:proofErr w:type="spellEnd"/>
      <w:r w:rsidRPr="005A3D80">
        <w:rPr>
          <w:sz w:val="24"/>
          <w:szCs w:val="24"/>
        </w:rPr>
        <w:t>.</w:t>
      </w:r>
    </w:p>
    <w:p w:rsidR="00A440CC" w:rsidRPr="005A3D80" w:rsidRDefault="00A440CC" w:rsidP="00A440CC">
      <w:pPr>
        <w:suppressAutoHyphens/>
        <w:ind w:left="851"/>
        <w:rPr>
          <w:sz w:val="24"/>
          <w:szCs w:val="24"/>
        </w:rPr>
      </w:pPr>
    </w:p>
    <w:p w:rsidR="00A440CC" w:rsidRPr="005A3D80" w:rsidRDefault="00A440CC" w:rsidP="00A440CC">
      <w:pPr>
        <w:suppressAutoHyphens/>
        <w:ind w:left="851"/>
        <w:rPr>
          <w:sz w:val="24"/>
          <w:szCs w:val="24"/>
        </w:rPr>
      </w:pPr>
      <w:bookmarkStart w:id="1" w:name="_Hlk490753750"/>
      <w:r w:rsidRPr="005A3D80">
        <w:rPr>
          <w:sz w:val="24"/>
          <w:szCs w:val="24"/>
        </w:rPr>
        <w:t xml:space="preserve">1 dråbe indeholder 50 mg </w:t>
      </w:r>
      <w:bookmarkStart w:id="2" w:name="_Hlk490753659"/>
      <w:r w:rsidRPr="005A3D80">
        <w:rPr>
          <w:sz w:val="24"/>
          <w:szCs w:val="24"/>
        </w:rPr>
        <w:t xml:space="preserve">opiumtinktur </w:t>
      </w:r>
      <w:bookmarkEnd w:id="2"/>
      <w:r w:rsidRPr="005A3D80">
        <w:rPr>
          <w:sz w:val="24"/>
          <w:szCs w:val="24"/>
        </w:rPr>
        <w:t xml:space="preserve">svarende til 0,5 mg (10 mg/ml) vandfrit </w:t>
      </w:r>
      <w:proofErr w:type="spellStart"/>
      <w:r w:rsidRPr="005A3D80">
        <w:rPr>
          <w:sz w:val="24"/>
          <w:szCs w:val="24"/>
        </w:rPr>
        <w:t>morphin</w:t>
      </w:r>
      <w:proofErr w:type="spellEnd"/>
      <w:r w:rsidRPr="005A3D80">
        <w:rPr>
          <w:sz w:val="24"/>
          <w:szCs w:val="24"/>
        </w:rPr>
        <w:t>.</w:t>
      </w:r>
    </w:p>
    <w:bookmarkEnd w:id="1"/>
    <w:p w:rsidR="00A440CC" w:rsidRPr="005A3D80" w:rsidRDefault="00A440CC" w:rsidP="00A440CC">
      <w:pPr>
        <w:suppressAutoHyphens/>
        <w:ind w:left="851"/>
        <w:rPr>
          <w:sz w:val="24"/>
          <w:szCs w:val="24"/>
        </w:rPr>
      </w:pPr>
      <w:r w:rsidRPr="005A3D80">
        <w:rPr>
          <w:sz w:val="24"/>
          <w:szCs w:val="24"/>
        </w:rPr>
        <w:t>1 ml = 20 dråber.</w:t>
      </w:r>
    </w:p>
    <w:p w:rsidR="00A440CC" w:rsidRPr="005A3D80" w:rsidRDefault="00A440CC" w:rsidP="00A440CC">
      <w:pPr>
        <w:suppressAutoHyphens/>
        <w:ind w:left="851"/>
        <w:rPr>
          <w:sz w:val="24"/>
          <w:szCs w:val="24"/>
        </w:rPr>
      </w:pPr>
      <w:bookmarkStart w:id="3" w:name="_Hlk490753779"/>
      <w:r w:rsidRPr="005A3D80">
        <w:rPr>
          <w:sz w:val="24"/>
          <w:szCs w:val="24"/>
        </w:rPr>
        <w:t xml:space="preserve">Ekstraktionsmiddel: 33 % </w:t>
      </w:r>
      <w:proofErr w:type="spellStart"/>
      <w:r w:rsidRPr="005A3D80">
        <w:rPr>
          <w:sz w:val="24"/>
          <w:szCs w:val="24"/>
        </w:rPr>
        <w:t>ethanol</w:t>
      </w:r>
      <w:proofErr w:type="spellEnd"/>
      <w:r w:rsidR="00EE3AA2" w:rsidRPr="005A3D80">
        <w:rPr>
          <w:sz w:val="24"/>
          <w:szCs w:val="24"/>
        </w:rPr>
        <w:t>.</w:t>
      </w:r>
    </w:p>
    <w:bookmarkEnd w:id="3"/>
    <w:p w:rsidR="00A440CC" w:rsidRPr="005A3D80" w:rsidRDefault="00A440CC" w:rsidP="00A440CC">
      <w:pPr>
        <w:pStyle w:val="EMEAEnBodyText"/>
        <w:autoSpaceDE w:val="0"/>
        <w:autoSpaceDN w:val="0"/>
        <w:adjustRightInd w:val="0"/>
        <w:spacing w:before="0" w:after="0"/>
        <w:ind w:left="851"/>
        <w:rPr>
          <w:sz w:val="24"/>
          <w:szCs w:val="24"/>
          <w:lang w:val="da-DK"/>
        </w:rPr>
      </w:pPr>
    </w:p>
    <w:p w:rsidR="00AE3E66" w:rsidRPr="005A3D80" w:rsidRDefault="00A440CC" w:rsidP="00A440CC">
      <w:pPr>
        <w:pStyle w:val="EMEAEnBodyText"/>
        <w:autoSpaceDE w:val="0"/>
        <w:autoSpaceDN w:val="0"/>
        <w:adjustRightInd w:val="0"/>
        <w:spacing w:before="0" w:after="0"/>
        <w:ind w:left="851"/>
        <w:rPr>
          <w:sz w:val="24"/>
          <w:szCs w:val="24"/>
          <w:u w:val="single"/>
          <w:lang w:val="da-DK"/>
        </w:rPr>
      </w:pPr>
      <w:r w:rsidRPr="005A3D80">
        <w:rPr>
          <w:sz w:val="24"/>
          <w:szCs w:val="24"/>
          <w:u w:val="single"/>
          <w:lang w:val="da-DK"/>
        </w:rPr>
        <w:t>Hjælpestof, som behandleren skal være opmærksom på</w:t>
      </w:r>
    </w:p>
    <w:p w:rsidR="00A440CC" w:rsidRPr="005A3D80" w:rsidRDefault="00A440CC" w:rsidP="00A440CC">
      <w:pPr>
        <w:pStyle w:val="EMEAEnBodyText"/>
        <w:autoSpaceDE w:val="0"/>
        <w:autoSpaceDN w:val="0"/>
        <w:adjustRightInd w:val="0"/>
        <w:spacing w:before="0" w:after="0"/>
        <w:ind w:left="851"/>
        <w:rPr>
          <w:sz w:val="24"/>
          <w:szCs w:val="24"/>
          <w:lang w:val="da-DK"/>
        </w:rPr>
      </w:pPr>
      <w:r w:rsidRPr="005A3D80">
        <w:rPr>
          <w:sz w:val="24"/>
          <w:szCs w:val="24"/>
          <w:lang w:val="da-DK"/>
        </w:rPr>
        <w:t xml:space="preserve">33 % </w:t>
      </w:r>
      <w:proofErr w:type="spellStart"/>
      <w:r w:rsidRPr="005A3D80">
        <w:rPr>
          <w:sz w:val="24"/>
          <w:szCs w:val="24"/>
          <w:lang w:val="da-DK"/>
        </w:rPr>
        <w:t>ethanol</w:t>
      </w:r>
      <w:proofErr w:type="spellEnd"/>
      <w:r w:rsidRPr="005A3D80">
        <w:rPr>
          <w:sz w:val="24"/>
          <w:szCs w:val="24"/>
          <w:lang w:val="da-DK"/>
        </w:rPr>
        <w:t>.</w:t>
      </w:r>
    </w:p>
    <w:p w:rsidR="00AE3E66" w:rsidRPr="005A3D80" w:rsidRDefault="00AE3E66" w:rsidP="00A440CC">
      <w:pPr>
        <w:pStyle w:val="EMEAEnBodyText"/>
        <w:autoSpaceDE w:val="0"/>
        <w:autoSpaceDN w:val="0"/>
        <w:adjustRightInd w:val="0"/>
        <w:spacing w:before="0" w:after="0"/>
        <w:ind w:left="851"/>
        <w:rPr>
          <w:sz w:val="24"/>
          <w:szCs w:val="24"/>
          <w:lang w:val="da-DK"/>
        </w:rPr>
      </w:pPr>
    </w:p>
    <w:p w:rsidR="00A440CC" w:rsidRPr="005A3D80" w:rsidRDefault="00A440CC" w:rsidP="00A440CC">
      <w:pPr>
        <w:ind w:left="851"/>
        <w:rPr>
          <w:sz w:val="24"/>
          <w:szCs w:val="24"/>
        </w:rPr>
      </w:pPr>
      <w:r w:rsidRPr="005A3D80">
        <w:rPr>
          <w:sz w:val="24"/>
          <w:szCs w:val="24"/>
        </w:rPr>
        <w:t>Alle hjælpestoffer er anført under pkt. 6.1.</w:t>
      </w:r>
    </w:p>
    <w:p w:rsidR="00A440CC" w:rsidRPr="005A3D80" w:rsidRDefault="00A440CC" w:rsidP="00A440CC">
      <w:pPr>
        <w:ind w:left="851" w:hanging="851"/>
        <w:rPr>
          <w:sz w:val="24"/>
          <w:szCs w:val="24"/>
        </w:rPr>
      </w:pPr>
    </w:p>
    <w:p w:rsidR="005A3D80" w:rsidRPr="00C84483" w:rsidRDefault="005A3D80" w:rsidP="005A3D80">
      <w:pPr>
        <w:tabs>
          <w:tab w:val="left" w:pos="851"/>
        </w:tabs>
        <w:ind w:left="851" w:hanging="851"/>
        <w:rPr>
          <w:b/>
          <w:sz w:val="24"/>
          <w:szCs w:val="24"/>
        </w:rPr>
      </w:pPr>
      <w:r w:rsidRPr="00C84483">
        <w:rPr>
          <w:b/>
          <w:sz w:val="24"/>
          <w:szCs w:val="24"/>
        </w:rPr>
        <w:t>3.</w:t>
      </w:r>
      <w:r w:rsidRPr="00C84483">
        <w:rPr>
          <w:b/>
          <w:sz w:val="24"/>
          <w:szCs w:val="24"/>
        </w:rPr>
        <w:tab/>
        <w:t>LÆGEMIDDELFORM</w:t>
      </w:r>
    </w:p>
    <w:p w:rsidR="00A440CC" w:rsidRPr="005A3D80" w:rsidRDefault="00A440CC" w:rsidP="00A440CC">
      <w:pPr>
        <w:suppressAutoHyphens/>
        <w:ind w:left="851"/>
        <w:rPr>
          <w:spacing w:val="-3"/>
          <w:sz w:val="24"/>
          <w:szCs w:val="24"/>
        </w:rPr>
      </w:pPr>
      <w:r w:rsidRPr="005A3D80">
        <w:rPr>
          <w:spacing w:val="-3"/>
          <w:sz w:val="24"/>
          <w:szCs w:val="24"/>
        </w:rPr>
        <w:t>Orale dråber, opløsning</w:t>
      </w:r>
    </w:p>
    <w:p w:rsidR="00A440CC" w:rsidRPr="005A3D80" w:rsidRDefault="00A440CC" w:rsidP="00A440CC">
      <w:pPr>
        <w:suppressAutoHyphens/>
        <w:ind w:left="851" w:hanging="851"/>
        <w:rPr>
          <w:sz w:val="24"/>
          <w:szCs w:val="24"/>
        </w:rPr>
      </w:pPr>
    </w:p>
    <w:p w:rsidR="00A440CC" w:rsidRPr="005A3D80" w:rsidRDefault="00EE3AA2" w:rsidP="00A440CC">
      <w:pPr>
        <w:suppressAutoHyphens/>
        <w:ind w:left="851"/>
        <w:rPr>
          <w:sz w:val="24"/>
          <w:szCs w:val="24"/>
        </w:rPr>
      </w:pPr>
      <w:r w:rsidRPr="005A3D80">
        <w:rPr>
          <w:sz w:val="24"/>
          <w:szCs w:val="24"/>
        </w:rPr>
        <w:t>M</w:t>
      </w:r>
      <w:bookmarkStart w:id="4" w:name="_Hlk490753966"/>
      <w:r w:rsidR="00A440CC" w:rsidRPr="005A3D80">
        <w:rPr>
          <w:sz w:val="24"/>
          <w:szCs w:val="24"/>
        </w:rPr>
        <w:t>ørk, rødbrun væske</w:t>
      </w:r>
      <w:bookmarkEnd w:id="4"/>
      <w:r w:rsidR="00A440CC" w:rsidRPr="005A3D80">
        <w:rPr>
          <w:sz w:val="24"/>
          <w:szCs w:val="24"/>
        </w:rPr>
        <w:t>.</w:t>
      </w:r>
    </w:p>
    <w:p w:rsidR="00A440CC" w:rsidRPr="005A3D80" w:rsidRDefault="00A440CC" w:rsidP="00A440CC">
      <w:pPr>
        <w:ind w:left="851" w:hanging="851"/>
        <w:rPr>
          <w:sz w:val="24"/>
          <w:szCs w:val="24"/>
        </w:rPr>
      </w:pPr>
    </w:p>
    <w:p w:rsidR="00A440CC" w:rsidRPr="005A3D80" w:rsidRDefault="00A440CC" w:rsidP="00A440CC">
      <w:pPr>
        <w:ind w:left="851" w:hanging="851"/>
        <w:rPr>
          <w:sz w:val="24"/>
          <w:szCs w:val="24"/>
        </w:rPr>
      </w:pPr>
    </w:p>
    <w:p w:rsidR="005A3D80" w:rsidRPr="00C84483" w:rsidRDefault="005A3D80" w:rsidP="005A3D80">
      <w:pPr>
        <w:tabs>
          <w:tab w:val="left" w:pos="851"/>
        </w:tabs>
        <w:ind w:left="851" w:hanging="851"/>
        <w:rPr>
          <w:b/>
          <w:sz w:val="24"/>
          <w:szCs w:val="24"/>
        </w:rPr>
      </w:pPr>
      <w:r w:rsidRPr="00C84483">
        <w:rPr>
          <w:b/>
          <w:sz w:val="24"/>
          <w:szCs w:val="24"/>
        </w:rPr>
        <w:t>4.</w:t>
      </w:r>
      <w:r w:rsidRPr="00C84483">
        <w:rPr>
          <w:b/>
          <w:sz w:val="24"/>
          <w:szCs w:val="24"/>
        </w:rPr>
        <w:tab/>
        <w:t>KLINISKE OPLYSNINGER</w:t>
      </w:r>
    </w:p>
    <w:p w:rsidR="005A3D80" w:rsidRPr="00C84483" w:rsidRDefault="005A3D80" w:rsidP="005A3D80">
      <w:pPr>
        <w:tabs>
          <w:tab w:val="left" w:pos="851"/>
        </w:tabs>
        <w:ind w:left="851"/>
        <w:rPr>
          <w:b/>
          <w:sz w:val="24"/>
          <w:szCs w:val="24"/>
        </w:rPr>
      </w:pPr>
    </w:p>
    <w:p w:rsidR="005A3D80" w:rsidRPr="00C84483" w:rsidRDefault="005A3D80" w:rsidP="005A3D80">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A440CC" w:rsidRPr="005A3D80" w:rsidRDefault="00A440CC" w:rsidP="00A440CC">
      <w:pPr>
        <w:ind w:left="851"/>
        <w:rPr>
          <w:noProof/>
          <w:sz w:val="24"/>
          <w:szCs w:val="24"/>
        </w:rPr>
      </w:pPr>
      <w:r w:rsidRPr="005A3D80">
        <w:rPr>
          <w:sz w:val="24"/>
          <w:szCs w:val="24"/>
        </w:rPr>
        <w:t>Symptomatisk behandling af</w:t>
      </w:r>
      <w:r w:rsidRPr="005A3D80">
        <w:rPr>
          <w:noProof/>
          <w:sz w:val="24"/>
          <w:szCs w:val="24"/>
        </w:rPr>
        <w:t xml:space="preserve"> alvorlig diarré hos voksne, når effekten af andre </w:t>
      </w:r>
      <w:proofErr w:type="spellStart"/>
      <w:r w:rsidRPr="005A3D80">
        <w:rPr>
          <w:color w:val="000000"/>
          <w:spacing w:val="-3"/>
          <w:sz w:val="24"/>
          <w:szCs w:val="24"/>
        </w:rPr>
        <w:t>obstipantia</w:t>
      </w:r>
      <w:proofErr w:type="spellEnd"/>
      <w:r w:rsidRPr="005A3D80">
        <w:rPr>
          <w:color w:val="000000"/>
          <w:spacing w:val="-3"/>
          <w:sz w:val="24"/>
          <w:szCs w:val="24"/>
        </w:rPr>
        <w:t xml:space="preserve"> </w:t>
      </w:r>
      <w:r w:rsidRPr="005A3D80">
        <w:rPr>
          <w:noProof/>
          <w:sz w:val="24"/>
          <w:szCs w:val="24"/>
        </w:rPr>
        <w:t>ikke har været tilstrækkelig.</w:t>
      </w:r>
    </w:p>
    <w:p w:rsidR="00A440CC" w:rsidRPr="005A3D80" w:rsidRDefault="00A440CC" w:rsidP="00A440CC">
      <w:pPr>
        <w:ind w:left="851" w:hanging="851"/>
        <w:rPr>
          <w:sz w:val="24"/>
          <w:szCs w:val="24"/>
        </w:rPr>
      </w:pPr>
    </w:p>
    <w:p w:rsidR="005A3D80" w:rsidRPr="00C84483" w:rsidRDefault="005A3D80" w:rsidP="005A3D80">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A440CC" w:rsidRPr="005A3D80" w:rsidRDefault="00A440CC" w:rsidP="00A440CC">
      <w:pPr>
        <w:ind w:left="851"/>
        <w:rPr>
          <w:noProof/>
          <w:sz w:val="24"/>
          <w:szCs w:val="24"/>
        </w:rPr>
      </w:pPr>
    </w:p>
    <w:p w:rsidR="00A440CC" w:rsidRPr="005A3D80" w:rsidRDefault="00A440CC" w:rsidP="00A440CC">
      <w:pPr>
        <w:ind w:left="851"/>
        <w:rPr>
          <w:noProof/>
          <w:sz w:val="24"/>
          <w:szCs w:val="24"/>
          <w:u w:val="single"/>
        </w:rPr>
      </w:pPr>
      <w:r w:rsidRPr="005A3D80">
        <w:rPr>
          <w:noProof/>
          <w:sz w:val="24"/>
          <w:szCs w:val="24"/>
          <w:u w:val="single"/>
        </w:rPr>
        <w:t>Dosering</w:t>
      </w:r>
    </w:p>
    <w:p w:rsidR="00A440CC" w:rsidRPr="005A3D80" w:rsidRDefault="00A440CC" w:rsidP="00A440CC">
      <w:pPr>
        <w:ind w:left="851"/>
        <w:rPr>
          <w:spacing w:val="-3"/>
          <w:sz w:val="24"/>
          <w:szCs w:val="24"/>
        </w:rPr>
      </w:pPr>
      <w:bookmarkStart w:id="5" w:name="_Hlk490750889"/>
      <w:r w:rsidRPr="005A3D80">
        <w:rPr>
          <w:spacing w:val="-3"/>
          <w:sz w:val="24"/>
          <w:szCs w:val="24"/>
        </w:rPr>
        <w:lastRenderedPageBreak/>
        <w:t>Sædvanlig begyndelsesdosis til voksne: 5-10 dråber 2-3</w:t>
      </w:r>
      <w:bookmarkStart w:id="6" w:name="_Hlk490750871"/>
      <w:r w:rsidRPr="005A3D80">
        <w:rPr>
          <w:spacing w:val="-3"/>
          <w:sz w:val="24"/>
          <w:szCs w:val="24"/>
        </w:rPr>
        <w:t> gange daglig</w:t>
      </w:r>
      <w:bookmarkEnd w:id="6"/>
      <w:r w:rsidRPr="005A3D80">
        <w:rPr>
          <w:spacing w:val="-3"/>
          <w:sz w:val="24"/>
          <w:szCs w:val="24"/>
        </w:rPr>
        <w:t>.</w:t>
      </w:r>
    </w:p>
    <w:p w:rsidR="00A440CC" w:rsidRPr="005A3D80" w:rsidRDefault="00A440CC" w:rsidP="00A440CC">
      <w:pPr>
        <w:ind w:left="851"/>
        <w:rPr>
          <w:sz w:val="24"/>
          <w:szCs w:val="24"/>
        </w:rPr>
      </w:pPr>
    </w:p>
    <w:p w:rsidR="00A440CC" w:rsidRPr="005A3D80" w:rsidRDefault="00A440CC" w:rsidP="00A440CC">
      <w:pPr>
        <w:ind w:left="851"/>
        <w:rPr>
          <w:sz w:val="24"/>
          <w:szCs w:val="24"/>
        </w:rPr>
      </w:pPr>
      <w:r w:rsidRPr="005A3D80">
        <w:rPr>
          <w:sz w:val="24"/>
          <w:szCs w:val="24"/>
        </w:rPr>
        <w:t>Enkeltdosis bør ikke overstige 1 ml og den totale døgndosis bør ikke overstige 6 ml.</w:t>
      </w:r>
    </w:p>
    <w:bookmarkEnd w:id="5"/>
    <w:p w:rsidR="00A440CC" w:rsidRPr="005A3D80" w:rsidRDefault="00A440CC" w:rsidP="00A440CC">
      <w:pPr>
        <w:ind w:left="851"/>
        <w:rPr>
          <w:sz w:val="24"/>
          <w:szCs w:val="24"/>
        </w:rPr>
      </w:pPr>
    </w:p>
    <w:p w:rsidR="00A440CC" w:rsidRPr="005A3D80" w:rsidRDefault="00A440CC" w:rsidP="00A440CC">
      <w:pPr>
        <w:ind w:left="851"/>
        <w:rPr>
          <w:sz w:val="24"/>
          <w:szCs w:val="24"/>
        </w:rPr>
      </w:pPr>
      <w:r w:rsidRPr="005A3D80">
        <w:rPr>
          <w:sz w:val="24"/>
          <w:szCs w:val="24"/>
        </w:rPr>
        <w:t>Doseringen bør individualiseres, så der anvendes den laveste effektive dosis i den korteste mulige periode under hensyntagen til patientens almene tilstand, alder, vægt og medicinske historie (se pkt. 4.3 og 4.4).</w:t>
      </w:r>
    </w:p>
    <w:p w:rsidR="00A440CC" w:rsidRPr="005A3D80" w:rsidRDefault="00A440CC" w:rsidP="00A440CC">
      <w:pPr>
        <w:ind w:left="851"/>
        <w:rPr>
          <w:sz w:val="24"/>
          <w:szCs w:val="24"/>
        </w:rPr>
      </w:pPr>
    </w:p>
    <w:p w:rsidR="00A440CC" w:rsidRPr="005A3D80" w:rsidRDefault="00A440CC" w:rsidP="00A440CC">
      <w:pPr>
        <w:ind w:left="851"/>
        <w:rPr>
          <w:noProof/>
          <w:sz w:val="24"/>
          <w:szCs w:val="24"/>
        </w:rPr>
      </w:pPr>
      <w:r w:rsidRPr="005A3D80">
        <w:rPr>
          <w:i/>
          <w:noProof/>
          <w:sz w:val="24"/>
          <w:szCs w:val="24"/>
        </w:rPr>
        <w:t>Pædiatrisk population</w:t>
      </w:r>
    </w:p>
    <w:p w:rsidR="00A440CC" w:rsidRPr="005A3D80" w:rsidRDefault="00A440CC" w:rsidP="00A440CC">
      <w:pPr>
        <w:ind w:left="851"/>
        <w:rPr>
          <w:sz w:val="24"/>
          <w:szCs w:val="24"/>
        </w:rPr>
      </w:pPr>
      <w:bookmarkStart w:id="7" w:name="_Hlk490751502"/>
      <w:proofErr w:type="spellStart"/>
      <w:r w:rsidRPr="005A3D80">
        <w:rPr>
          <w:sz w:val="24"/>
          <w:szCs w:val="24"/>
        </w:rPr>
        <w:t>Dropizol</w:t>
      </w:r>
      <w:proofErr w:type="spellEnd"/>
      <w:r w:rsidRPr="005A3D80">
        <w:rPr>
          <w:sz w:val="24"/>
          <w:szCs w:val="24"/>
        </w:rPr>
        <w:t xml:space="preserve"> bør ikke anvendes til børn og unge under 18 år på grund af problemstillinger vedrørende sikkerhed, se pkt. 5.1.</w:t>
      </w:r>
    </w:p>
    <w:bookmarkEnd w:id="7"/>
    <w:p w:rsidR="00A440CC" w:rsidRPr="005A3D80" w:rsidRDefault="00A440CC" w:rsidP="00A440CC">
      <w:pPr>
        <w:ind w:left="851"/>
        <w:rPr>
          <w:sz w:val="24"/>
          <w:szCs w:val="24"/>
        </w:rPr>
      </w:pPr>
    </w:p>
    <w:p w:rsidR="00A440CC" w:rsidRPr="005A3D80" w:rsidRDefault="00A440CC" w:rsidP="00A440CC">
      <w:pPr>
        <w:ind w:left="851"/>
        <w:rPr>
          <w:sz w:val="24"/>
          <w:szCs w:val="24"/>
        </w:rPr>
      </w:pPr>
      <w:r w:rsidRPr="005A3D80">
        <w:rPr>
          <w:sz w:val="24"/>
          <w:szCs w:val="24"/>
        </w:rPr>
        <w:t xml:space="preserve">Behandling bør initieres og overvåges af en specialist, f.eks. onkolog eller </w:t>
      </w:r>
      <w:proofErr w:type="spellStart"/>
      <w:r w:rsidRPr="005A3D80">
        <w:rPr>
          <w:sz w:val="24"/>
          <w:szCs w:val="24"/>
        </w:rPr>
        <w:t>gastroenterolog</w:t>
      </w:r>
      <w:proofErr w:type="spellEnd"/>
      <w:r w:rsidRPr="005A3D80">
        <w:rPr>
          <w:sz w:val="24"/>
          <w:szCs w:val="24"/>
        </w:rPr>
        <w:t>.</w:t>
      </w:r>
    </w:p>
    <w:p w:rsidR="00A440CC" w:rsidRPr="005A3D80" w:rsidRDefault="00A440CC" w:rsidP="00A440CC">
      <w:pPr>
        <w:ind w:left="851"/>
        <w:rPr>
          <w:sz w:val="24"/>
          <w:szCs w:val="24"/>
        </w:rPr>
      </w:pPr>
    </w:p>
    <w:p w:rsidR="00A440CC" w:rsidRPr="005A3D80" w:rsidRDefault="00A440CC" w:rsidP="00A440CC">
      <w:pPr>
        <w:ind w:left="851"/>
        <w:rPr>
          <w:sz w:val="24"/>
          <w:szCs w:val="24"/>
        </w:rPr>
      </w:pPr>
      <w:r w:rsidRPr="005A3D80">
        <w:rPr>
          <w:sz w:val="24"/>
          <w:szCs w:val="24"/>
        </w:rPr>
        <w:t xml:space="preserve">Særlig forsigtighed bør udvises ved ordination af dette lægemiddel på grund af dets indhold af </w:t>
      </w:r>
      <w:proofErr w:type="spellStart"/>
      <w:r w:rsidRPr="005A3D80">
        <w:rPr>
          <w:sz w:val="24"/>
          <w:szCs w:val="24"/>
        </w:rPr>
        <w:t>morphin</w:t>
      </w:r>
      <w:proofErr w:type="spellEnd"/>
      <w:r w:rsidRPr="005A3D80">
        <w:rPr>
          <w:sz w:val="24"/>
          <w:szCs w:val="24"/>
        </w:rPr>
        <w:t xml:space="preserve">. Behandlingsperioden bør være så kort som muligt. </w:t>
      </w:r>
    </w:p>
    <w:p w:rsidR="00A440CC" w:rsidRPr="005A3D80" w:rsidRDefault="00A440CC" w:rsidP="00A440CC">
      <w:pPr>
        <w:ind w:left="851"/>
        <w:rPr>
          <w:sz w:val="24"/>
          <w:szCs w:val="24"/>
        </w:rPr>
      </w:pPr>
    </w:p>
    <w:p w:rsidR="00A440CC" w:rsidRPr="005A3D80" w:rsidRDefault="00A440CC" w:rsidP="00A440CC">
      <w:pPr>
        <w:ind w:left="851"/>
        <w:rPr>
          <w:i/>
          <w:sz w:val="24"/>
          <w:szCs w:val="24"/>
        </w:rPr>
      </w:pPr>
      <w:bookmarkStart w:id="8" w:name="_Hlk490750946"/>
      <w:r w:rsidRPr="005A3D80">
        <w:rPr>
          <w:i/>
          <w:sz w:val="24"/>
          <w:szCs w:val="24"/>
        </w:rPr>
        <w:t xml:space="preserve">Ældre </w:t>
      </w:r>
    </w:p>
    <w:p w:rsidR="00A440CC" w:rsidRPr="005A3D80" w:rsidRDefault="00A440CC" w:rsidP="00A440CC">
      <w:pPr>
        <w:ind w:left="851"/>
        <w:rPr>
          <w:sz w:val="24"/>
          <w:szCs w:val="24"/>
        </w:rPr>
      </w:pPr>
      <w:r w:rsidRPr="005A3D80">
        <w:rPr>
          <w:sz w:val="24"/>
          <w:szCs w:val="24"/>
        </w:rPr>
        <w:t>Forsigtighed bør udvises, og startdosis bør reduceres ved behandling af ældre.</w:t>
      </w:r>
    </w:p>
    <w:p w:rsidR="00A440CC" w:rsidRPr="005A3D80" w:rsidRDefault="00A440CC" w:rsidP="00A440CC">
      <w:pPr>
        <w:ind w:left="851"/>
        <w:rPr>
          <w:sz w:val="24"/>
          <w:szCs w:val="24"/>
        </w:rPr>
      </w:pPr>
    </w:p>
    <w:p w:rsidR="00A440CC" w:rsidRPr="005A3D80" w:rsidRDefault="00A440CC" w:rsidP="00A440CC">
      <w:pPr>
        <w:ind w:left="851"/>
        <w:rPr>
          <w:i/>
          <w:sz w:val="24"/>
          <w:szCs w:val="24"/>
        </w:rPr>
      </w:pPr>
      <w:r w:rsidRPr="005A3D80">
        <w:rPr>
          <w:i/>
          <w:sz w:val="24"/>
          <w:szCs w:val="24"/>
        </w:rPr>
        <w:t>Nedsat leverfunktion</w:t>
      </w:r>
    </w:p>
    <w:p w:rsidR="00A440CC" w:rsidRPr="005A3D80" w:rsidRDefault="00A440CC" w:rsidP="00A440CC">
      <w:pPr>
        <w:ind w:left="851"/>
        <w:rPr>
          <w:sz w:val="24"/>
          <w:szCs w:val="24"/>
        </w:rPr>
      </w:pPr>
      <w:proofErr w:type="spellStart"/>
      <w:r w:rsidRPr="005A3D80">
        <w:rPr>
          <w:sz w:val="24"/>
          <w:szCs w:val="24"/>
        </w:rPr>
        <w:t>Morphin</w:t>
      </w:r>
      <w:proofErr w:type="spellEnd"/>
      <w:r w:rsidRPr="005A3D80">
        <w:rPr>
          <w:sz w:val="24"/>
          <w:szCs w:val="24"/>
        </w:rPr>
        <w:t xml:space="preserve"> kan udløse koma ved nedsat leverfunktion - undgå brug eller reducer dosis. Se pkt. 4.3 og 4.4.</w:t>
      </w:r>
    </w:p>
    <w:p w:rsidR="00A440CC" w:rsidRPr="005A3D80" w:rsidRDefault="00A440CC" w:rsidP="00A440CC">
      <w:pPr>
        <w:ind w:left="851"/>
        <w:rPr>
          <w:sz w:val="24"/>
          <w:szCs w:val="24"/>
        </w:rPr>
      </w:pPr>
    </w:p>
    <w:p w:rsidR="00A440CC" w:rsidRPr="005A3D80" w:rsidRDefault="00A440CC" w:rsidP="00A440CC">
      <w:pPr>
        <w:ind w:left="851"/>
        <w:rPr>
          <w:i/>
          <w:sz w:val="24"/>
          <w:szCs w:val="24"/>
        </w:rPr>
      </w:pPr>
      <w:r w:rsidRPr="005A3D80">
        <w:rPr>
          <w:i/>
          <w:sz w:val="24"/>
          <w:szCs w:val="24"/>
        </w:rPr>
        <w:t>Nedsat nyrefunktion</w:t>
      </w:r>
    </w:p>
    <w:p w:rsidR="00A440CC" w:rsidRPr="005A3D80" w:rsidRDefault="00A440CC" w:rsidP="00A440CC">
      <w:pPr>
        <w:ind w:left="851"/>
        <w:rPr>
          <w:sz w:val="24"/>
          <w:szCs w:val="24"/>
        </w:rPr>
      </w:pPr>
      <w:r w:rsidRPr="005A3D80">
        <w:rPr>
          <w:sz w:val="24"/>
          <w:szCs w:val="24"/>
        </w:rPr>
        <w:t>Elimination reduceres og forsinkes ved nedsat nyrefunktion - undgå brug eller reducer dosis. Se pkt. 4.3 og 4.4.</w:t>
      </w:r>
    </w:p>
    <w:bookmarkEnd w:id="8"/>
    <w:p w:rsidR="00A440CC" w:rsidRPr="005A3D80" w:rsidRDefault="00A440CC" w:rsidP="00A440CC">
      <w:pPr>
        <w:ind w:left="851"/>
        <w:rPr>
          <w:sz w:val="24"/>
          <w:szCs w:val="24"/>
        </w:rPr>
      </w:pPr>
    </w:p>
    <w:p w:rsidR="00A440CC" w:rsidRPr="005A3D80" w:rsidRDefault="00A440CC" w:rsidP="00A440CC">
      <w:pPr>
        <w:ind w:left="851"/>
        <w:rPr>
          <w:noProof/>
          <w:sz w:val="24"/>
          <w:szCs w:val="24"/>
          <w:u w:val="single"/>
        </w:rPr>
      </w:pPr>
      <w:r w:rsidRPr="005A3D80">
        <w:rPr>
          <w:noProof/>
          <w:sz w:val="24"/>
          <w:szCs w:val="24"/>
          <w:u w:val="single"/>
        </w:rPr>
        <w:t>Administration</w:t>
      </w:r>
    </w:p>
    <w:p w:rsidR="00A440CC" w:rsidRPr="005A3D80" w:rsidRDefault="00A440CC" w:rsidP="00A440CC">
      <w:pPr>
        <w:ind w:left="851"/>
        <w:rPr>
          <w:noProof/>
          <w:sz w:val="24"/>
          <w:szCs w:val="24"/>
        </w:rPr>
      </w:pPr>
      <w:r w:rsidRPr="005A3D80">
        <w:rPr>
          <w:noProof/>
          <w:sz w:val="24"/>
          <w:szCs w:val="24"/>
        </w:rPr>
        <w:t>Oral anvendelse.</w:t>
      </w:r>
    </w:p>
    <w:p w:rsidR="00A440CC" w:rsidRPr="005A3D80" w:rsidRDefault="00A440CC" w:rsidP="00A440CC">
      <w:pPr>
        <w:ind w:left="851"/>
        <w:rPr>
          <w:noProof/>
          <w:sz w:val="24"/>
          <w:szCs w:val="24"/>
        </w:rPr>
      </w:pPr>
      <w:r w:rsidRPr="005A3D80">
        <w:rPr>
          <w:noProof/>
          <w:sz w:val="24"/>
          <w:szCs w:val="24"/>
        </w:rPr>
        <w:t xml:space="preserve">Produktet </w:t>
      </w:r>
      <w:bookmarkStart w:id="9" w:name="_Hlk490751333"/>
      <w:r w:rsidRPr="005A3D80">
        <w:rPr>
          <w:noProof/>
          <w:sz w:val="24"/>
          <w:szCs w:val="24"/>
        </w:rPr>
        <w:t>kan anvendes ufortyndet eller blandet i et glas vand. Efter blanding med vand skal det straks anvendes. Hvis produktet anvendes ufortyndet, kan den korrekte dosis indgives med en ske.</w:t>
      </w:r>
    </w:p>
    <w:bookmarkEnd w:id="9"/>
    <w:p w:rsidR="00A440CC" w:rsidRPr="005A3D80" w:rsidRDefault="00A440CC" w:rsidP="00A440CC">
      <w:pPr>
        <w:ind w:left="851" w:hanging="851"/>
        <w:rPr>
          <w:sz w:val="24"/>
          <w:szCs w:val="24"/>
        </w:rPr>
      </w:pPr>
    </w:p>
    <w:p w:rsidR="005A3D80" w:rsidRPr="005A3D80" w:rsidRDefault="005A3D80" w:rsidP="005A3D80">
      <w:pPr>
        <w:tabs>
          <w:tab w:val="left" w:pos="851"/>
        </w:tabs>
        <w:ind w:left="851" w:hanging="851"/>
        <w:rPr>
          <w:b/>
          <w:sz w:val="24"/>
          <w:szCs w:val="24"/>
        </w:rPr>
      </w:pPr>
      <w:r w:rsidRPr="005A3D80">
        <w:rPr>
          <w:b/>
          <w:sz w:val="24"/>
          <w:szCs w:val="24"/>
        </w:rPr>
        <w:t>4.3</w:t>
      </w:r>
      <w:r w:rsidRPr="005A3D80">
        <w:rPr>
          <w:b/>
          <w:sz w:val="24"/>
          <w:szCs w:val="24"/>
        </w:rPr>
        <w:tab/>
        <w:t>Kontraindikationer</w:t>
      </w:r>
    </w:p>
    <w:p w:rsidR="00A440CC" w:rsidRPr="005A3D80" w:rsidRDefault="00A440CC" w:rsidP="005F3BEC">
      <w:pPr>
        <w:pStyle w:val="Listeafsnit"/>
        <w:numPr>
          <w:ilvl w:val="0"/>
          <w:numId w:val="8"/>
        </w:numPr>
        <w:ind w:left="1134" w:hanging="283"/>
        <w:rPr>
          <w:sz w:val="24"/>
          <w:szCs w:val="24"/>
        </w:rPr>
      </w:pPr>
      <w:r w:rsidRPr="005A3D80">
        <w:rPr>
          <w:sz w:val="24"/>
          <w:szCs w:val="24"/>
        </w:rPr>
        <w:t>Overfølsomhed over for det aktive stof eller over for et eller flere af hjælpestofferne anført i pkt. 6.1.</w:t>
      </w:r>
    </w:p>
    <w:p w:rsidR="00A440CC" w:rsidRPr="005A3D80" w:rsidRDefault="00A440CC" w:rsidP="005F3BEC">
      <w:pPr>
        <w:pStyle w:val="Listeafsnit"/>
        <w:numPr>
          <w:ilvl w:val="0"/>
          <w:numId w:val="8"/>
        </w:numPr>
        <w:ind w:left="1134" w:hanging="283"/>
        <w:rPr>
          <w:sz w:val="24"/>
          <w:szCs w:val="24"/>
        </w:rPr>
      </w:pPr>
      <w:r w:rsidRPr="005A3D80">
        <w:rPr>
          <w:sz w:val="24"/>
          <w:szCs w:val="24"/>
        </w:rPr>
        <w:t>Afhængighed af opiater.</w:t>
      </w:r>
    </w:p>
    <w:p w:rsidR="00A440CC" w:rsidRPr="005A3D80" w:rsidRDefault="00A440CC" w:rsidP="005F3BEC">
      <w:pPr>
        <w:pStyle w:val="Listeafsnit"/>
        <w:numPr>
          <w:ilvl w:val="0"/>
          <w:numId w:val="8"/>
        </w:numPr>
        <w:ind w:left="1134" w:hanging="283"/>
        <w:rPr>
          <w:sz w:val="24"/>
          <w:szCs w:val="24"/>
        </w:rPr>
      </w:pPr>
      <w:proofErr w:type="spellStart"/>
      <w:r w:rsidRPr="005A3D80">
        <w:rPr>
          <w:sz w:val="24"/>
          <w:szCs w:val="24"/>
        </w:rPr>
        <w:t>Glaukom</w:t>
      </w:r>
      <w:proofErr w:type="spellEnd"/>
      <w:r w:rsidRPr="005A3D80">
        <w:rPr>
          <w:sz w:val="24"/>
          <w:szCs w:val="24"/>
        </w:rPr>
        <w:t>.</w:t>
      </w:r>
    </w:p>
    <w:p w:rsidR="00A440CC" w:rsidRPr="005A3D80" w:rsidRDefault="00A440CC" w:rsidP="005F3BEC">
      <w:pPr>
        <w:pStyle w:val="Listeafsnit"/>
        <w:numPr>
          <w:ilvl w:val="0"/>
          <w:numId w:val="8"/>
        </w:numPr>
        <w:ind w:left="1134" w:hanging="283"/>
        <w:rPr>
          <w:sz w:val="24"/>
          <w:szCs w:val="24"/>
        </w:rPr>
      </w:pPr>
      <w:r w:rsidRPr="005A3D80">
        <w:rPr>
          <w:sz w:val="24"/>
          <w:szCs w:val="24"/>
        </w:rPr>
        <w:t>Alvorlig nedsat lever- eller nyrefunktion.</w:t>
      </w:r>
    </w:p>
    <w:p w:rsidR="00A440CC" w:rsidRPr="005A3D80" w:rsidRDefault="00A440CC" w:rsidP="005F3BEC">
      <w:pPr>
        <w:pStyle w:val="Listeafsnit"/>
        <w:numPr>
          <w:ilvl w:val="0"/>
          <w:numId w:val="8"/>
        </w:numPr>
        <w:ind w:left="1134" w:hanging="283"/>
        <w:rPr>
          <w:sz w:val="24"/>
          <w:szCs w:val="24"/>
        </w:rPr>
      </w:pPr>
      <w:r w:rsidRPr="005A3D80">
        <w:rPr>
          <w:sz w:val="24"/>
          <w:szCs w:val="24"/>
        </w:rPr>
        <w:t>Delirium tremens.</w:t>
      </w:r>
    </w:p>
    <w:p w:rsidR="00A440CC" w:rsidRPr="005A3D80" w:rsidRDefault="00A440CC" w:rsidP="005F3BEC">
      <w:pPr>
        <w:pStyle w:val="Listeafsnit"/>
        <w:numPr>
          <w:ilvl w:val="0"/>
          <w:numId w:val="8"/>
        </w:numPr>
        <w:ind w:left="1134" w:hanging="283"/>
        <w:rPr>
          <w:sz w:val="24"/>
          <w:szCs w:val="24"/>
        </w:rPr>
      </w:pPr>
      <w:r w:rsidRPr="005A3D80">
        <w:rPr>
          <w:sz w:val="24"/>
          <w:szCs w:val="24"/>
        </w:rPr>
        <w:t>Svært hovedtraume.</w:t>
      </w:r>
    </w:p>
    <w:p w:rsidR="00A440CC" w:rsidRPr="005A3D80" w:rsidRDefault="00A440CC" w:rsidP="005F3BEC">
      <w:pPr>
        <w:pStyle w:val="Listeafsnit"/>
        <w:numPr>
          <w:ilvl w:val="0"/>
          <w:numId w:val="8"/>
        </w:numPr>
        <w:ind w:left="1134" w:hanging="283"/>
        <w:rPr>
          <w:sz w:val="24"/>
          <w:szCs w:val="24"/>
        </w:rPr>
      </w:pPr>
      <w:r w:rsidRPr="005A3D80">
        <w:rPr>
          <w:sz w:val="24"/>
          <w:szCs w:val="24"/>
        </w:rPr>
        <w:t xml:space="preserve">Risiko for paralytisk </w:t>
      </w:r>
      <w:proofErr w:type="spellStart"/>
      <w:r w:rsidRPr="005A3D80">
        <w:rPr>
          <w:sz w:val="24"/>
          <w:szCs w:val="24"/>
        </w:rPr>
        <w:t>ileus</w:t>
      </w:r>
      <w:proofErr w:type="spellEnd"/>
      <w:r w:rsidRPr="005A3D80">
        <w:rPr>
          <w:sz w:val="24"/>
          <w:szCs w:val="24"/>
        </w:rPr>
        <w:t>.</w:t>
      </w:r>
    </w:p>
    <w:p w:rsidR="00A440CC" w:rsidRPr="005A3D80" w:rsidRDefault="00A440CC" w:rsidP="005F3BEC">
      <w:pPr>
        <w:pStyle w:val="Listeafsnit"/>
        <w:numPr>
          <w:ilvl w:val="0"/>
          <w:numId w:val="8"/>
        </w:numPr>
        <w:ind w:left="1134" w:hanging="283"/>
        <w:rPr>
          <w:sz w:val="24"/>
          <w:szCs w:val="24"/>
        </w:rPr>
      </w:pPr>
      <w:r w:rsidRPr="005A3D80">
        <w:rPr>
          <w:sz w:val="24"/>
          <w:szCs w:val="24"/>
        </w:rPr>
        <w:t>KOL (Kronisk obstruktiv lungesygdom)</w:t>
      </w:r>
    </w:p>
    <w:p w:rsidR="00A440CC" w:rsidRPr="005A3D80" w:rsidRDefault="00A440CC" w:rsidP="005F3BEC">
      <w:pPr>
        <w:pStyle w:val="Listeafsnit"/>
        <w:numPr>
          <w:ilvl w:val="0"/>
          <w:numId w:val="8"/>
        </w:numPr>
        <w:ind w:left="1134" w:hanging="283"/>
        <w:rPr>
          <w:sz w:val="24"/>
          <w:szCs w:val="24"/>
        </w:rPr>
      </w:pPr>
      <w:r w:rsidRPr="005A3D80">
        <w:rPr>
          <w:sz w:val="24"/>
          <w:szCs w:val="24"/>
        </w:rPr>
        <w:t>Akut astma</w:t>
      </w:r>
    </w:p>
    <w:p w:rsidR="00A440CC" w:rsidRPr="005A3D80" w:rsidRDefault="00A440CC" w:rsidP="005F3BEC">
      <w:pPr>
        <w:pStyle w:val="Listeafsnit"/>
        <w:numPr>
          <w:ilvl w:val="0"/>
          <w:numId w:val="8"/>
        </w:numPr>
        <w:ind w:left="1134" w:hanging="283"/>
        <w:rPr>
          <w:sz w:val="24"/>
          <w:szCs w:val="24"/>
        </w:rPr>
      </w:pPr>
      <w:r w:rsidRPr="005A3D80">
        <w:rPr>
          <w:sz w:val="24"/>
          <w:szCs w:val="24"/>
        </w:rPr>
        <w:t xml:space="preserve">Alvorlig åndedrætsdepression med </w:t>
      </w:r>
      <w:proofErr w:type="spellStart"/>
      <w:r w:rsidRPr="005A3D80">
        <w:rPr>
          <w:sz w:val="24"/>
          <w:szCs w:val="24"/>
        </w:rPr>
        <w:t>hypoxi</w:t>
      </w:r>
      <w:proofErr w:type="spellEnd"/>
      <w:r w:rsidRPr="005A3D80">
        <w:rPr>
          <w:sz w:val="24"/>
          <w:szCs w:val="24"/>
        </w:rPr>
        <w:t xml:space="preserve"> og/eller </w:t>
      </w:r>
      <w:proofErr w:type="spellStart"/>
      <w:r w:rsidRPr="005A3D80">
        <w:rPr>
          <w:sz w:val="24"/>
          <w:szCs w:val="24"/>
        </w:rPr>
        <w:t>hyperkapni</w:t>
      </w:r>
      <w:proofErr w:type="spellEnd"/>
    </w:p>
    <w:p w:rsidR="00A440CC" w:rsidRPr="005A3D80" w:rsidRDefault="00A440CC" w:rsidP="005F3BEC">
      <w:pPr>
        <w:pStyle w:val="Listeafsnit"/>
        <w:numPr>
          <w:ilvl w:val="0"/>
          <w:numId w:val="8"/>
        </w:numPr>
        <w:ind w:left="1134" w:hanging="283"/>
        <w:rPr>
          <w:sz w:val="24"/>
          <w:szCs w:val="24"/>
        </w:rPr>
      </w:pPr>
      <w:r w:rsidRPr="005A3D80">
        <w:rPr>
          <w:sz w:val="24"/>
          <w:szCs w:val="24"/>
        </w:rPr>
        <w:t>Hjertesvigt sekundær til lungesygdom (</w:t>
      </w:r>
      <w:proofErr w:type="spellStart"/>
      <w:r w:rsidRPr="005A3D80">
        <w:rPr>
          <w:sz w:val="24"/>
          <w:szCs w:val="24"/>
        </w:rPr>
        <w:t>Cor</w:t>
      </w:r>
      <w:proofErr w:type="spellEnd"/>
      <w:r w:rsidRPr="005A3D80">
        <w:rPr>
          <w:sz w:val="24"/>
          <w:szCs w:val="24"/>
        </w:rPr>
        <w:t xml:space="preserve"> </w:t>
      </w:r>
      <w:proofErr w:type="spellStart"/>
      <w:r w:rsidRPr="005A3D80">
        <w:rPr>
          <w:sz w:val="24"/>
          <w:szCs w:val="24"/>
        </w:rPr>
        <w:t>pulmonale</w:t>
      </w:r>
      <w:proofErr w:type="spellEnd"/>
      <w:r w:rsidRPr="005A3D80">
        <w:rPr>
          <w:sz w:val="24"/>
          <w:szCs w:val="24"/>
        </w:rPr>
        <w:t>)</w:t>
      </w:r>
    </w:p>
    <w:p w:rsidR="001C6BF6" w:rsidRPr="005A3D80" w:rsidRDefault="001C6BF6" w:rsidP="00875C00">
      <w:pPr>
        <w:pStyle w:val="Listeafsnit"/>
        <w:numPr>
          <w:ilvl w:val="0"/>
          <w:numId w:val="8"/>
        </w:numPr>
        <w:ind w:left="1134" w:hanging="283"/>
        <w:rPr>
          <w:sz w:val="24"/>
          <w:szCs w:val="24"/>
        </w:rPr>
      </w:pPr>
      <w:r w:rsidRPr="005A3D80">
        <w:rPr>
          <w:sz w:val="24"/>
          <w:szCs w:val="24"/>
        </w:rPr>
        <w:t>Amning, se pkt. 4.6</w:t>
      </w:r>
    </w:p>
    <w:p w:rsidR="00A440CC" w:rsidRPr="005A3D80" w:rsidRDefault="00A440CC" w:rsidP="00A440CC">
      <w:pPr>
        <w:ind w:left="851" w:hanging="851"/>
        <w:rPr>
          <w:sz w:val="24"/>
          <w:szCs w:val="24"/>
        </w:rPr>
      </w:pPr>
    </w:p>
    <w:p w:rsidR="005A3D80" w:rsidRPr="00C84483" w:rsidRDefault="005A3D80" w:rsidP="005A3D80">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A440CC" w:rsidRPr="005A3D80" w:rsidRDefault="00A440CC" w:rsidP="00A440CC">
      <w:pPr>
        <w:ind w:left="851"/>
        <w:rPr>
          <w:noProof/>
          <w:sz w:val="24"/>
          <w:szCs w:val="24"/>
        </w:rPr>
      </w:pPr>
      <w:r w:rsidRPr="005A3D80">
        <w:rPr>
          <w:noProof/>
          <w:sz w:val="24"/>
          <w:szCs w:val="24"/>
        </w:rPr>
        <w:t>Dropizol bør kun anvendes efter undersøgelser af ætiologien, der forårsager symptomerne, og når førstevalgsbehandling ikke har givet tilstrækkelige resultater.</w:t>
      </w:r>
    </w:p>
    <w:p w:rsidR="00A440CC" w:rsidRPr="005A3D80" w:rsidRDefault="00A440CC" w:rsidP="00A440CC">
      <w:pPr>
        <w:ind w:left="851" w:hanging="851"/>
        <w:rPr>
          <w:noProof/>
          <w:sz w:val="24"/>
          <w:szCs w:val="24"/>
        </w:rPr>
      </w:pPr>
    </w:p>
    <w:p w:rsidR="00A440CC" w:rsidRPr="005A3D80" w:rsidRDefault="00A440CC" w:rsidP="00A440CC">
      <w:pPr>
        <w:ind w:left="851"/>
        <w:rPr>
          <w:noProof/>
          <w:sz w:val="24"/>
          <w:szCs w:val="24"/>
        </w:rPr>
      </w:pPr>
      <w:r w:rsidRPr="005A3D80">
        <w:rPr>
          <w:noProof/>
          <w:sz w:val="24"/>
          <w:szCs w:val="24"/>
        </w:rPr>
        <w:t>Dropizoldråber bør anvendes med forsigtighed under følgende forhold/til følgende patienter:</w:t>
      </w:r>
    </w:p>
    <w:p w:rsidR="00A440CC" w:rsidRPr="005A3D80" w:rsidRDefault="00A440CC" w:rsidP="005F3BEC">
      <w:pPr>
        <w:pStyle w:val="Listeafsnit"/>
        <w:numPr>
          <w:ilvl w:val="0"/>
          <w:numId w:val="9"/>
        </w:numPr>
        <w:ind w:left="1134" w:hanging="283"/>
        <w:rPr>
          <w:sz w:val="24"/>
          <w:szCs w:val="24"/>
        </w:rPr>
      </w:pPr>
      <w:r w:rsidRPr="005A3D80">
        <w:rPr>
          <w:sz w:val="24"/>
          <w:szCs w:val="24"/>
        </w:rPr>
        <w:t>Ældre</w:t>
      </w:r>
    </w:p>
    <w:p w:rsidR="00A440CC" w:rsidRPr="005A3D80" w:rsidRDefault="00A440CC" w:rsidP="005F3BEC">
      <w:pPr>
        <w:pStyle w:val="Listeafsnit"/>
        <w:numPr>
          <w:ilvl w:val="0"/>
          <w:numId w:val="9"/>
        </w:numPr>
        <w:ind w:left="1134" w:hanging="283"/>
        <w:rPr>
          <w:sz w:val="24"/>
          <w:szCs w:val="24"/>
        </w:rPr>
      </w:pPr>
      <w:r w:rsidRPr="005A3D80">
        <w:rPr>
          <w:sz w:val="24"/>
          <w:szCs w:val="24"/>
        </w:rPr>
        <w:t>Kronisk nyre- og/eller leversygdom</w:t>
      </w:r>
    </w:p>
    <w:p w:rsidR="00A440CC" w:rsidRPr="005A3D80" w:rsidRDefault="00A440CC" w:rsidP="005F3BEC">
      <w:pPr>
        <w:pStyle w:val="Listeafsnit"/>
        <w:numPr>
          <w:ilvl w:val="0"/>
          <w:numId w:val="9"/>
        </w:numPr>
        <w:ind w:left="1134" w:hanging="283"/>
        <w:rPr>
          <w:sz w:val="24"/>
          <w:szCs w:val="24"/>
        </w:rPr>
      </w:pPr>
      <w:r w:rsidRPr="005A3D80">
        <w:rPr>
          <w:sz w:val="24"/>
          <w:szCs w:val="24"/>
        </w:rPr>
        <w:t>Alkoholisme</w:t>
      </w:r>
    </w:p>
    <w:p w:rsidR="00A440CC" w:rsidRPr="005A3D80" w:rsidRDefault="00A440CC" w:rsidP="005F3BEC">
      <w:pPr>
        <w:pStyle w:val="Listeafsnit"/>
        <w:numPr>
          <w:ilvl w:val="0"/>
          <w:numId w:val="9"/>
        </w:numPr>
        <w:ind w:left="1134" w:hanging="283"/>
        <w:rPr>
          <w:sz w:val="24"/>
          <w:szCs w:val="24"/>
        </w:rPr>
      </w:pPr>
      <w:r w:rsidRPr="005A3D80">
        <w:rPr>
          <w:sz w:val="24"/>
          <w:szCs w:val="24"/>
        </w:rPr>
        <w:t xml:space="preserve">Biliær kolik, </w:t>
      </w:r>
      <w:proofErr w:type="spellStart"/>
      <w:r w:rsidRPr="005A3D80">
        <w:rPr>
          <w:sz w:val="24"/>
          <w:szCs w:val="24"/>
        </w:rPr>
        <w:t>kolelithiasis</w:t>
      </w:r>
      <w:proofErr w:type="spellEnd"/>
      <w:r w:rsidRPr="005A3D80">
        <w:rPr>
          <w:sz w:val="24"/>
          <w:szCs w:val="24"/>
        </w:rPr>
        <w:t>, galdevejssygdomme</w:t>
      </w:r>
    </w:p>
    <w:p w:rsidR="00A440CC" w:rsidRPr="005A3D80" w:rsidRDefault="00A440CC" w:rsidP="005F3BEC">
      <w:pPr>
        <w:pStyle w:val="Listeafsnit"/>
        <w:numPr>
          <w:ilvl w:val="0"/>
          <w:numId w:val="9"/>
        </w:numPr>
        <w:ind w:left="1134" w:hanging="283"/>
        <w:rPr>
          <w:sz w:val="24"/>
          <w:szCs w:val="24"/>
        </w:rPr>
      </w:pPr>
      <w:r w:rsidRPr="005A3D80">
        <w:rPr>
          <w:sz w:val="24"/>
          <w:szCs w:val="24"/>
        </w:rPr>
        <w:t xml:space="preserve">Hovedtraume eller forhøjet </w:t>
      </w:r>
      <w:proofErr w:type="spellStart"/>
      <w:r w:rsidRPr="005A3D80">
        <w:rPr>
          <w:sz w:val="24"/>
          <w:szCs w:val="24"/>
        </w:rPr>
        <w:t>intrakranielt</w:t>
      </w:r>
      <w:proofErr w:type="spellEnd"/>
      <w:r w:rsidRPr="005A3D80">
        <w:rPr>
          <w:sz w:val="24"/>
          <w:szCs w:val="24"/>
        </w:rPr>
        <w:t xml:space="preserve"> tryk</w:t>
      </w:r>
    </w:p>
    <w:p w:rsidR="00A440CC" w:rsidRPr="005A3D80" w:rsidRDefault="00A440CC" w:rsidP="005F3BEC">
      <w:pPr>
        <w:pStyle w:val="Listeafsnit"/>
        <w:numPr>
          <w:ilvl w:val="0"/>
          <w:numId w:val="9"/>
        </w:numPr>
        <w:ind w:left="1134" w:hanging="283"/>
        <w:rPr>
          <w:sz w:val="24"/>
          <w:szCs w:val="24"/>
        </w:rPr>
      </w:pPr>
      <w:r w:rsidRPr="005A3D80">
        <w:rPr>
          <w:sz w:val="24"/>
          <w:szCs w:val="24"/>
        </w:rPr>
        <w:t>Nedsat bevidsthed</w:t>
      </w:r>
    </w:p>
    <w:p w:rsidR="00A440CC" w:rsidRPr="005A3D80" w:rsidRDefault="00A440CC" w:rsidP="005F3BEC">
      <w:pPr>
        <w:pStyle w:val="Listeafsnit"/>
        <w:numPr>
          <w:ilvl w:val="0"/>
          <w:numId w:val="9"/>
        </w:numPr>
        <w:ind w:left="1134" w:hanging="283"/>
        <w:rPr>
          <w:sz w:val="24"/>
          <w:szCs w:val="24"/>
        </w:rPr>
      </w:pPr>
      <w:proofErr w:type="spellStart"/>
      <w:r w:rsidRPr="005A3D80">
        <w:rPr>
          <w:sz w:val="24"/>
          <w:szCs w:val="24"/>
        </w:rPr>
        <w:t>Kardiorespiratorisk</w:t>
      </w:r>
      <w:proofErr w:type="spellEnd"/>
      <w:r w:rsidRPr="005A3D80">
        <w:rPr>
          <w:sz w:val="24"/>
          <w:szCs w:val="24"/>
        </w:rPr>
        <w:t xml:space="preserve"> </w:t>
      </w:r>
      <w:proofErr w:type="spellStart"/>
      <w:r w:rsidRPr="005A3D80">
        <w:rPr>
          <w:sz w:val="24"/>
          <w:szCs w:val="24"/>
        </w:rPr>
        <w:t>shock</w:t>
      </w:r>
      <w:proofErr w:type="spellEnd"/>
    </w:p>
    <w:p w:rsidR="00A440CC" w:rsidRPr="005A3D80" w:rsidRDefault="00A440CC" w:rsidP="005F3BEC">
      <w:pPr>
        <w:pStyle w:val="Listeafsnit"/>
        <w:numPr>
          <w:ilvl w:val="0"/>
          <w:numId w:val="9"/>
        </w:numPr>
        <w:ind w:left="1134" w:hanging="283"/>
        <w:rPr>
          <w:sz w:val="24"/>
          <w:szCs w:val="24"/>
        </w:rPr>
      </w:pPr>
      <w:proofErr w:type="spellStart"/>
      <w:r w:rsidRPr="005A3D80">
        <w:rPr>
          <w:sz w:val="24"/>
          <w:szCs w:val="24"/>
        </w:rPr>
        <w:t>Monoaminooxidase</w:t>
      </w:r>
      <w:proofErr w:type="spellEnd"/>
      <w:r w:rsidRPr="005A3D80">
        <w:rPr>
          <w:sz w:val="24"/>
          <w:szCs w:val="24"/>
        </w:rPr>
        <w:t xml:space="preserve">- (MAO) </w:t>
      </w:r>
      <w:proofErr w:type="spellStart"/>
      <w:r w:rsidRPr="005A3D80">
        <w:rPr>
          <w:sz w:val="24"/>
          <w:szCs w:val="24"/>
        </w:rPr>
        <w:t>hæmmere</w:t>
      </w:r>
      <w:proofErr w:type="spellEnd"/>
      <w:r w:rsidRPr="005A3D80">
        <w:rPr>
          <w:sz w:val="24"/>
          <w:szCs w:val="24"/>
        </w:rPr>
        <w:t xml:space="preserve"> (inkl. </w:t>
      </w:r>
      <w:proofErr w:type="spellStart"/>
      <w:r w:rsidRPr="005A3D80">
        <w:rPr>
          <w:sz w:val="24"/>
          <w:szCs w:val="24"/>
        </w:rPr>
        <w:t>moclobemid</w:t>
      </w:r>
      <w:proofErr w:type="spellEnd"/>
      <w:r w:rsidRPr="005A3D80">
        <w:rPr>
          <w:sz w:val="24"/>
          <w:szCs w:val="24"/>
        </w:rPr>
        <w:t xml:space="preserve">) eller inden for to uger efter </w:t>
      </w:r>
      <w:proofErr w:type="spellStart"/>
      <w:r w:rsidRPr="005A3D80">
        <w:rPr>
          <w:sz w:val="24"/>
          <w:szCs w:val="24"/>
        </w:rPr>
        <w:t>seponering</w:t>
      </w:r>
      <w:proofErr w:type="spellEnd"/>
    </w:p>
    <w:p w:rsidR="00A440CC" w:rsidRPr="005A3D80" w:rsidRDefault="00A440CC" w:rsidP="005F3BEC">
      <w:pPr>
        <w:pStyle w:val="Listeafsnit"/>
        <w:numPr>
          <w:ilvl w:val="0"/>
          <w:numId w:val="9"/>
        </w:numPr>
        <w:ind w:left="1134" w:hanging="283"/>
        <w:rPr>
          <w:sz w:val="24"/>
          <w:szCs w:val="24"/>
        </w:rPr>
      </w:pPr>
      <w:r w:rsidRPr="005A3D80">
        <w:rPr>
          <w:sz w:val="24"/>
          <w:szCs w:val="24"/>
        </w:rPr>
        <w:t xml:space="preserve">Binyrebarkinsufficiens </w:t>
      </w:r>
    </w:p>
    <w:p w:rsidR="00A440CC" w:rsidRPr="005A3D80" w:rsidRDefault="00A440CC" w:rsidP="005F3BEC">
      <w:pPr>
        <w:pStyle w:val="Listeafsnit"/>
        <w:numPr>
          <w:ilvl w:val="0"/>
          <w:numId w:val="9"/>
        </w:numPr>
        <w:ind w:left="1134" w:hanging="283"/>
        <w:rPr>
          <w:sz w:val="24"/>
          <w:szCs w:val="24"/>
        </w:rPr>
      </w:pPr>
      <w:proofErr w:type="spellStart"/>
      <w:r w:rsidRPr="005A3D80">
        <w:rPr>
          <w:sz w:val="24"/>
          <w:szCs w:val="24"/>
        </w:rPr>
        <w:t>Hypothyroidisme</w:t>
      </w:r>
      <w:proofErr w:type="spellEnd"/>
    </w:p>
    <w:p w:rsidR="00A440CC" w:rsidRPr="005A3D80" w:rsidRDefault="00A440CC" w:rsidP="005F3BEC">
      <w:pPr>
        <w:pStyle w:val="Listeafsnit"/>
        <w:numPr>
          <w:ilvl w:val="0"/>
          <w:numId w:val="9"/>
        </w:numPr>
        <w:ind w:left="1134" w:hanging="283"/>
        <w:rPr>
          <w:sz w:val="24"/>
          <w:szCs w:val="24"/>
        </w:rPr>
      </w:pPr>
      <w:r w:rsidRPr="005A3D80">
        <w:rPr>
          <w:sz w:val="24"/>
          <w:szCs w:val="24"/>
        </w:rPr>
        <w:t xml:space="preserve">Lavt blodtryk med </w:t>
      </w:r>
      <w:proofErr w:type="spellStart"/>
      <w:r w:rsidRPr="005A3D80">
        <w:rPr>
          <w:sz w:val="24"/>
          <w:szCs w:val="24"/>
        </w:rPr>
        <w:t>hypovolæmi</w:t>
      </w:r>
      <w:proofErr w:type="spellEnd"/>
    </w:p>
    <w:p w:rsidR="00A440CC" w:rsidRPr="005A3D80" w:rsidRDefault="00A440CC" w:rsidP="005F3BEC">
      <w:pPr>
        <w:pStyle w:val="Listeafsnit"/>
        <w:numPr>
          <w:ilvl w:val="0"/>
          <w:numId w:val="9"/>
        </w:numPr>
        <w:ind w:left="1134" w:hanging="283"/>
        <w:rPr>
          <w:sz w:val="24"/>
          <w:szCs w:val="24"/>
        </w:rPr>
      </w:pPr>
      <w:proofErr w:type="spellStart"/>
      <w:r w:rsidRPr="005A3D80">
        <w:rPr>
          <w:sz w:val="24"/>
          <w:szCs w:val="24"/>
        </w:rPr>
        <w:t>Pankreatitis</w:t>
      </w:r>
      <w:proofErr w:type="spellEnd"/>
    </w:p>
    <w:p w:rsidR="00A440CC" w:rsidRPr="005A3D80" w:rsidRDefault="00A440CC" w:rsidP="005F3BEC">
      <w:pPr>
        <w:pStyle w:val="Listeafsnit"/>
        <w:numPr>
          <w:ilvl w:val="0"/>
          <w:numId w:val="9"/>
        </w:numPr>
        <w:ind w:left="1134" w:hanging="283"/>
        <w:rPr>
          <w:sz w:val="24"/>
          <w:szCs w:val="24"/>
        </w:rPr>
      </w:pPr>
      <w:proofErr w:type="spellStart"/>
      <w:r w:rsidRPr="005A3D80">
        <w:rPr>
          <w:sz w:val="24"/>
          <w:szCs w:val="24"/>
        </w:rPr>
        <w:t>Prostatahyperplasi</w:t>
      </w:r>
      <w:proofErr w:type="spellEnd"/>
      <w:r w:rsidRPr="005A3D80">
        <w:rPr>
          <w:sz w:val="24"/>
          <w:szCs w:val="24"/>
        </w:rPr>
        <w:t xml:space="preserve"> og andre tilstande, der prædisponerer for urinretention</w:t>
      </w:r>
    </w:p>
    <w:p w:rsidR="00A440CC" w:rsidRPr="005A3D80" w:rsidRDefault="00A440CC" w:rsidP="005F3BEC">
      <w:pPr>
        <w:pStyle w:val="Listeafsnit"/>
        <w:numPr>
          <w:ilvl w:val="0"/>
          <w:numId w:val="9"/>
        </w:numPr>
        <w:ind w:left="1134" w:hanging="283"/>
        <w:rPr>
          <w:sz w:val="24"/>
          <w:szCs w:val="24"/>
        </w:rPr>
      </w:pPr>
      <w:r w:rsidRPr="005A3D80">
        <w:rPr>
          <w:sz w:val="24"/>
          <w:szCs w:val="24"/>
        </w:rPr>
        <w:t xml:space="preserve">Samtidig administration af andre antidiarré- eller antiperistaltiske lægemidler, </w:t>
      </w:r>
      <w:proofErr w:type="spellStart"/>
      <w:r w:rsidRPr="005A3D80">
        <w:rPr>
          <w:sz w:val="24"/>
          <w:szCs w:val="24"/>
        </w:rPr>
        <w:t>antikolinergika</w:t>
      </w:r>
      <w:proofErr w:type="spellEnd"/>
      <w:r w:rsidRPr="005A3D80">
        <w:rPr>
          <w:sz w:val="24"/>
          <w:szCs w:val="24"/>
        </w:rPr>
        <w:t xml:space="preserve">, </w:t>
      </w:r>
      <w:proofErr w:type="spellStart"/>
      <w:r w:rsidRPr="005A3D80">
        <w:rPr>
          <w:sz w:val="24"/>
          <w:szCs w:val="24"/>
        </w:rPr>
        <w:t>antihypertensiva</w:t>
      </w:r>
      <w:proofErr w:type="spellEnd"/>
      <w:r w:rsidRPr="005A3D80">
        <w:rPr>
          <w:sz w:val="24"/>
          <w:szCs w:val="24"/>
        </w:rPr>
        <w:t>, se pkt. 4.5.</w:t>
      </w:r>
    </w:p>
    <w:p w:rsidR="00A440CC" w:rsidRPr="005A3D80" w:rsidRDefault="00A440CC" w:rsidP="005F3BEC">
      <w:pPr>
        <w:pStyle w:val="Listeafsnit"/>
        <w:numPr>
          <w:ilvl w:val="0"/>
          <w:numId w:val="9"/>
        </w:numPr>
        <w:ind w:left="1134" w:hanging="283"/>
        <w:rPr>
          <w:sz w:val="24"/>
          <w:szCs w:val="24"/>
        </w:rPr>
      </w:pPr>
      <w:proofErr w:type="spellStart"/>
      <w:r w:rsidRPr="005A3D80">
        <w:rPr>
          <w:sz w:val="24"/>
          <w:szCs w:val="24"/>
        </w:rPr>
        <w:t>Konvulsive</w:t>
      </w:r>
      <w:proofErr w:type="spellEnd"/>
      <w:r w:rsidRPr="005A3D80">
        <w:rPr>
          <w:sz w:val="24"/>
          <w:szCs w:val="24"/>
        </w:rPr>
        <w:t xml:space="preserve"> anfald</w:t>
      </w:r>
    </w:p>
    <w:p w:rsidR="00A440CC" w:rsidRPr="005A3D80" w:rsidRDefault="00A440CC" w:rsidP="005F3BEC">
      <w:pPr>
        <w:pStyle w:val="Listeafsnit"/>
        <w:numPr>
          <w:ilvl w:val="0"/>
          <w:numId w:val="9"/>
        </w:numPr>
        <w:ind w:left="1134" w:hanging="283"/>
        <w:rPr>
          <w:sz w:val="24"/>
          <w:szCs w:val="24"/>
        </w:rPr>
      </w:pPr>
      <w:r w:rsidRPr="005A3D80">
        <w:rPr>
          <w:sz w:val="24"/>
          <w:szCs w:val="24"/>
        </w:rPr>
        <w:t>Mave-tarm-blødning</w:t>
      </w:r>
    </w:p>
    <w:p w:rsidR="00A440CC" w:rsidRPr="005A3D80" w:rsidRDefault="00A440CC" w:rsidP="00A440CC">
      <w:pPr>
        <w:ind w:left="851" w:hanging="851"/>
        <w:rPr>
          <w:noProof/>
          <w:sz w:val="24"/>
          <w:szCs w:val="24"/>
        </w:rPr>
      </w:pPr>
    </w:p>
    <w:p w:rsidR="00A440CC" w:rsidRPr="005A3D80" w:rsidRDefault="00A440CC" w:rsidP="00A440CC">
      <w:pPr>
        <w:ind w:left="851"/>
        <w:rPr>
          <w:noProof/>
          <w:sz w:val="24"/>
          <w:szCs w:val="24"/>
        </w:rPr>
      </w:pPr>
      <w:r w:rsidRPr="005A3D80">
        <w:rPr>
          <w:noProof/>
          <w:sz w:val="24"/>
          <w:szCs w:val="24"/>
        </w:rPr>
        <w:t>Sundhedspersonalet bør kontaktes i tilfælde af problemer med at urinere.</w:t>
      </w:r>
    </w:p>
    <w:p w:rsidR="00A440CC" w:rsidRPr="005A3D80" w:rsidRDefault="00A440CC" w:rsidP="00A440CC">
      <w:pPr>
        <w:ind w:left="851" w:hanging="851"/>
        <w:rPr>
          <w:noProof/>
          <w:sz w:val="24"/>
          <w:szCs w:val="24"/>
        </w:rPr>
      </w:pPr>
    </w:p>
    <w:p w:rsidR="00A440CC" w:rsidRPr="005A3D80" w:rsidRDefault="00A440CC" w:rsidP="00A440CC">
      <w:pPr>
        <w:ind w:left="851"/>
        <w:rPr>
          <w:noProof/>
          <w:sz w:val="24"/>
          <w:szCs w:val="24"/>
        </w:rPr>
      </w:pPr>
      <w:r w:rsidRPr="005A3D80">
        <w:rPr>
          <w:noProof/>
          <w:sz w:val="24"/>
          <w:szCs w:val="24"/>
        </w:rPr>
        <w:t>Det kan være nødvendigt at justere dosis hos ældre, patienter med skjoldbruskkirtelsvigt og patienter med mild til moderat nedsat nyre- eller leverfunktion (se også pkt. 4.2 og 4.3).</w:t>
      </w:r>
    </w:p>
    <w:p w:rsidR="00A440CC" w:rsidRPr="005A3D80" w:rsidRDefault="00A440CC" w:rsidP="00A440CC">
      <w:pPr>
        <w:ind w:left="851"/>
        <w:rPr>
          <w:noProof/>
          <w:sz w:val="24"/>
          <w:szCs w:val="24"/>
        </w:rPr>
      </w:pPr>
    </w:p>
    <w:p w:rsidR="00A440CC" w:rsidRPr="005A3D80" w:rsidRDefault="00A440CC" w:rsidP="00A440CC">
      <w:pPr>
        <w:ind w:left="851"/>
        <w:rPr>
          <w:noProof/>
          <w:sz w:val="24"/>
          <w:szCs w:val="24"/>
        </w:rPr>
      </w:pPr>
      <w:r w:rsidRPr="005A3D80">
        <w:rPr>
          <w:noProof/>
          <w:sz w:val="24"/>
          <w:szCs w:val="24"/>
        </w:rPr>
        <w:t>Undgå anvendelse hos ældre voksne med fald eller brud i anamnesen, da der kan forekomme ataksi, nedsat psykomotorisk funktion, synkope og yderligere fald. Hvis anvendelse er nødvendig, skal det overvejes at reducere brugen af andre CNS-aktive stoffer, der øger risikoen for fald og brud samt implementere andre strategier for at reducere risikoen for fald.</w:t>
      </w:r>
    </w:p>
    <w:p w:rsidR="00A440CC" w:rsidRPr="005A3D80" w:rsidRDefault="00A440CC" w:rsidP="00A440CC">
      <w:pPr>
        <w:ind w:left="851" w:hanging="851"/>
        <w:rPr>
          <w:noProof/>
          <w:sz w:val="24"/>
          <w:szCs w:val="24"/>
        </w:rPr>
      </w:pPr>
    </w:p>
    <w:p w:rsidR="00A440CC" w:rsidRPr="005A3D80" w:rsidRDefault="00A440CC" w:rsidP="00A440CC">
      <w:pPr>
        <w:ind w:left="851"/>
        <w:rPr>
          <w:noProof/>
          <w:sz w:val="24"/>
          <w:szCs w:val="24"/>
        </w:rPr>
      </w:pPr>
      <w:r w:rsidRPr="005A3D80">
        <w:rPr>
          <w:noProof/>
          <w:sz w:val="24"/>
          <w:szCs w:val="24"/>
        </w:rPr>
        <w:t xml:space="preserve">Peristaltikhæmmende </w:t>
      </w:r>
      <w:proofErr w:type="spellStart"/>
      <w:r w:rsidRPr="005A3D80">
        <w:rPr>
          <w:color w:val="000000"/>
          <w:spacing w:val="-3"/>
          <w:sz w:val="24"/>
          <w:szCs w:val="24"/>
        </w:rPr>
        <w:t>obstipantia</w:t>
      </w:r>
      <w:proofErr w:type="spellEnd"/>
      <w:r w:rsidRPr="005A3D80">
        <w:rPr>
          <w:noProof/>
          <w:sz w:val="24"/>
          <w:szCs w:val="24"/>
        </w:rPr>
        <w:t xml:space="preserve"> bør anvendes med forsigtighed hos patienter med infektion eller inflammatoriske tarmsygdomme pga. den øgede risiko for absorption af toksiner samt risiko for udvikling af toksisk megacolon og tarmperforation. Dropizol anbefales ikke før kirurgisk indgreb eller inden for 24 timer efter operation, pga. risiko for paralytisk ileus. Hvis paralytisk ileus mistænkes ved brug af Dropizol, skal behandlingen straks stoppes.</w:t>
      </w:r>
    </w:p>
    <w:p w:rsidR="00A440CC" w:rsidRPr="005A3D80" w:rsidRDefault="00A440CC" w:rsidP="00A440CC">
      <w:pPr>
        <w:ind w:left="851"/>
        <w:rPr>
          <w:noProof/>
          <w:sz w:val="24"/>
          <w:szCs w:val="24"/>
        </w:rPr>
      </w:pPr>
    </w:p>
    <w:p w:rsidR="00A440CC" w:rsidRPr="005A3D80" w:rsidRDefault="00A440CC" w:rsidP="00A440CC">
      <w:pPr>
        <w:ind w:left="851"/>
        <w:rPr>
          <w:noProof/>
          <w:sz w:val="24"/>
          <w:szCs w:val="24"/>
        </w:rPr>
      </w:pPr>
      <w:r w:rsidRPr="005A3D80">
        <w:rPr>
          <w:noProof/>
          <w:sz w:val="24"/>
          <w:szCs w:val="24"/>
        </w:rPr>
        <w:t>Gentagen brug kan forårsage afhængighed og tolerance, og brugen af opium kan føre til afhængighed af stoffet. Særlig forsigtighed bør udvises hos personer, med narkotika- og alkoholafhængighed i anamnesen.</w:t>
      </w:r>
    </w:p>
    <w:p w:rsidR="00A440CC" w:rsidRPr="005A3D80" w:rsidRDefault="00A440CC" w:rsidP="00A440CC">
      <w:pPr>
        <w:ind w:left="851"/>
        <w:rPr>
          <w:noProof/>
          <w:sz w:val="24"/>
          <w:szCs w:val="24"/>
        </w:rPr>
      </w:pPr>
    </w:p>
    <w:p w:rsidR="00A440CC" w:rsidRPr="005A3D80" w:rsidRDefault="00A440CC" w:rsidP="00A440CC">
      <w:pPr>
        <w:ind w:left="851"/>
        <w:rPr>
          <w:noProof/>
          <w:sz w:val="24"/>
          <w:szCs w:val="24"/>
        </w:rPr>
      </w:pPr>
      <w:r w:rsidRPr="005A3D80">
        <w:rPr>
          <w:noProof/>
          <w:sz w:val="24"/>
          <w:szCs w:val="24"/>
        </w:rPr>
        <w:t>Risiko ved samtidig brug af beroligende medicin såsom benzodiazepiner eller beslægtede lægemidler.</w:t>
      </w:r>
    </w:p>
    <w:p w:rsidR="00A440CC" w:rsidRPr="005A3D80" w:rsidRDefault="00A440CC" w:rsidP="00A440CC">
      <w:pPr>
        <w:ind w:left="851"/>
        <w:rPr>
          <w:noProof/>
          <w:sz w:val="24"/>
          <w:szCs w:val="24"/>
        </w:rPr>
      </w:pPr>
      <w:r w:rsidRPr="005A3D80">
        <w:rPr>
          <w:noProof/>
          <w:sz w:val="24"/>
          <w:szCs w:val="24"/>
        </w:rPr>
        <w:t>Samtidig brug af Dropizol og sedativer såsom benzodiazepiner eller beslægtede lægemidler kan resultere i sedation, luftvejsdepression, koma og død. På grund af disse risici bør samtidig ordination med disse sedativer forbeholdes patienter, for hvilke der ikke er alternative behandlingsmuligheder. Hvis der træffes beslutning om at ordinere Dropizol samtidigt med sedativer, skal den laveste effektive dosis anvendes, og behandlings</w:t>
      </w:r>
      <w:r w:rsidRPr="005A3D80">
        <w:rPr>
          <w:noProof/>
          <w:sz w:val="24"/>
          <w:szCs w:val="24"/>
        </w:rPr>
        <w:softHyphen/>
        <w:t>varigheden bør være så kort som muligt.</w:t>
      </w:r>
    </w:p>
    <w:p w:rsidR="00A440CC" w:rsidRPr="005A3D80" w:rsidRDefault="00A440CC" w:rsidP="00A440CC">
      <w:pPr>
        <w:ind w:left="851"/>
        <w:rPr>
          <w:noProof/>
          <w:sz w:val="24"/>
          <w:szCs w:val="24"/>
        </w:rPr>
      </w:pPr>
    </w:p>
    <w:p w:rsidR="00A440CC" w:rsidRPr="005A3D80" w:rsidRDefault="00A440CC" w:rsidP="00A440CC">
      <w:pPr>
        <w:ind w:left="851"/>
        <w:rPr>
          <w:noProof/>
          <w:sz w:val="24"/>
          <w:szCs w:val="24"/>
        </w:rPr>
      </w:pPr>
      <w:r w:rsidRPr="005A3D80">
        <w:rPr>
          <w:noProof/>
          <w:sz w:val="24"/>
          <w:szCs w:val="24"/>
        </w:rPr>
        <w:t>Patienterne skal følges nøje for tegn og symptomer på respirationsdepression og sedation. I denne henseende anbefales det på det kraftigste at oplyse patienter og deres plejepersonale om at være opmærksomme på disse symptomer (se pkt. 4.5).</w:t>
      </w:r>
    </w:p>
    <w:p w:rsidR="00A440CC" w:rsidRPr="005A3D80" w:rsidRDefault="00A440CC" w:rsidP="00A440CC">
      <w:pPr>
        <w:ind w:left="851" w:hanging="851"/>
        <w:rPr>
          <w:noProof/>
          <w:sz w:val="24"/>
          <w:szCs w:val="24"/>
        </w:rPr>
      </w:pPr>
    </w:p>
    <w:p w:rsidR="00A440CC" w:rsidRPr="005A3D80" w:rsidRDefault="00A440CC" w:rsidP="005F3BEC">
      <w:pPr>
        <w:ind w:left="851"/>
        <w:rPr>
          <w:noProof/>
          <w:sz w:val="24"/>
          <w:szCs w:val="24"/>
        </w:rPr>
      </w:pPr>
      <w:r w:rsidRPr="005A3D80">
        <w:rPr>
          <w:noProof/>
          <w:sz w:val="24"/>
          <w:szCs w:val="24"/>
        </w:rPr>
        <w:t>Administrer reducerede doser og med den største forsigtighed til patienter, der samtidig får andre narkotiske lægemidler, sedativer, tricykliske antidepressiva og MAO-hæmmere (se også pkt. 4.2).</w:t>
      </w:r>
    </w:p>
    <w:p w:rsidR="00A440CC" w:rsidRPr="005A3D80" w:rsidRDefault="00A440CC" w:rsidP="005F3BEC">
      <w:pPr>
        <w:ind w:left="851"/>
        <w:rPr>
          <w:noProof/>
          <w:sz w:val="24"/>
          <w:szCs w:val="24"/>
        </w:rPr>
      </w:pPr>
    </w:p>
    <w:p w:rsidR="00215378" w:rsidRPr="005A3D80" w:rsidRDefault="00215378" w:rsidP="005A3D80">
      <w:pPr>
        <w:ind w:left="851"/>
        <w:rPr>
          <w:noProof/>
          <w:sz w:val="24"/>
          <w:szCs w:val="24"/>
        </w:rPr>
      </w:pPr>
      <w:r w:rsidRPr="005A3D80">
        <w:rPr>
          <w:noProof/>
          <w:sz w:val="24"/>
          <w:szCs w:val="24"/>
        </w:rPr>
        <w:t xml:space="preserve">Trombocythæmmende behandling med orale P2Y12-hæmmere </w:t>
      </w:r>
    </w:p>
    <w:p w:rsidR="00215378" w:rsidRPr="005A3D80" w:rsidRDefault="00215378" w:rsidP="005A3D80">
      <w:pPr>
        <w:ind w:left="851"/>
        <w:rPr>
          <w:noProof/>
          <w:sz w:val="24"/>
          <w:szCs w:val="24"/>
        </w:rPr>
      </w:pPr>
      <w:r w:rsidRPr="005A3D80">
        <w:rPr>
          <w:noProof/>
          <w:sz w:val="24"/>
          <w:szCs w:val="24"/>
        </w:rPr>
        <w:t>Der er blevet observeret en nedsat effekt af behandlingen med P2Y12-hæmmere inden for den første dag af samtidig behandling med P2Y12-hæmmere og morfin (se pkt. 4.5).</w:t>
      </w:r>
    </w:p>
    <w:p w:rsidR="00215378" w:rsidRPr="005A3D80" w:rsidRDefault="00215378" w:rsidP="005A3D80">
      <w:pPr>
        <w:ind w:left="851"/>
        <w:rPr>
          <w:noProof/>
          <w:sz w:val="24"/>
          <w:szCs w:val="24"/>
        </w:rPr>
      </w:pPr>
    </w:p>
    <w:p w:rsidR="00215378" w:rsidRPr="005A3D80" w:rsidRDefault="00215378" w:rsidP="005A3D80">
      <w:pPr>
        <w:ind w:left="851"/>
        <w:rPr>
          <w:noProof/>
          <w:sz w:val="24"/>
          <w:szCs w:val="24"/>
        </w:rPr>
      </w:pPr>
      <w:r w:rsidRPr="005A3D80">
        <w:rPr>
          <w:noProof/>
          <w:sz w:val="24"/>
          <w:szCs w:val="24"/>
        </w:rPr>
        <w:t>Søvnrelaterede vejrtrækningsforstyrrelser</w:t>
      </w:r>
    </w:p>
    <w:p w:rsidR="00215378" w:rsidRPr="005A3D80" w:rsidRDefault="00215378" w:rsidP="005A3D80">
      <w:pPr>
        <w:ind w:left="851"/>
        <w:rPr>
          <w:noProof/>
          <w:sz w:val="24"/>
          <w:szCs w:val="24"/>
        </w:rPr>
      </w:pPr>
      <w:r w:rsidRPr="005A3D80">
        <w:rPr>
          <w:noProof/>
          <w:sz w:val="24"/>
          <w:szCs w:val="24"/>
        </w:rPr>
        <w:t>Opioider kan forårsage søvnrelaterede vejrtrækningsforstyrrelser, herunder central søvnapnø og søvnrelateret hypoxæmi. Brug af opioider øger risikoen for central søvnapnøpå en dosisafhængig måde. Det bør overvejes at reducere den totale opioiddosis hos patienter med central søvnapnø.</w:t>
      </w:r>
    </w:p>
    <w:p w:rsidR="00215378" w:rsidRPr="005A3D80" w:rsidRDefault="00215378" w:rsidP="005A3D80">
      <w:pPr>
        <w:ind w:left="851"/>
        <w:rPr>
          <w:noProof/>
          <w:sz w:val="24"/>
          <w:szCs w:val="24"/>
        </w:rPr>
      </w:pPr>
    </w:p>
    <w:p w:rsidR="00215378" w:rsidRPr="005A3D80" w:rsidRDefault="00215378" w:rsidP="005A3D80">
      <w:pPr>
        <w:ind w:left="851"/>
        <w:rPr>
          <w:noProof/>
          <w:sz w:val="24"/>
          <w:szCs w:val="24"/>
        </w:rPr>
      </w:pPr>
      <w:r w:rsidRPr="005A3D80">
        <w:rPr>
          <w:noProof/>
          <w:sz w:val="24"/>
          <w:szCs w:val="24"/>
        </w:rPr>
        <w:t>Svære kutane bivirkninger</w:t>
      </w:r>
    </w:p>
    <w:p w:rsidR="00215378" w:rsidRPr="005A3D80" w:rsidRDefault="00215378" w:rsidP="005A3D80">
      <w:pPr>
        <w:ind w:left="851"/>
        <w:rPr>
          <w:noProof/>
          <w:sz w:val="24"/>
          <w:szCs w:val="24"/>
        </w:rPr>
      </w:pPr>
      <w:r w:rsidRPr="005A3D80">
        <w:rPr>
          <w:noProof/>
          <w:sz w:val="24"/>
          <w:szCs w:val="24"/>
        </w:rPr>
        <w:t>Der er rapporteret om akut generaliseret eksantematøs pustulose (AGEP), som kan være livstruende eller dødelig, i forbindelse med behandling med morfin. De fleste af disse bivirkninger opstod inden for de første 10 dage af behandlingen. Patienter bør informeres om tegn og symptomer på AGEP og rådes til at søge lægehjælp, hvis de oplever sådanne symptomer.</w:t>
      </w:r>
    </w:p>
    <w:p w:rsidR="00215378" w:rsidRPr="005A3D80" w:rsidRDefault="00215378" w:rsidP="005A3D80">
      <w:pPr>
        <w:ind w:left="851"/>
        <w:rPr>
          <w:noProof/>
          <w:sz w:val="24"/>
          <w:szCs w:val="24"/>
        </w:rPr>
      </w:pPr>
      <w:r w:rsidRPr="005A3D80">
        <w:rPr>
          <w:noProof/>
          <w:sz w:val="24"/>
          <w:szCs w:val="24"/>
        </w:rPr>
        <w:t>Hvis der opstår tegn og symptomer på disse kutane bivirkninger, bør morfin seponeres, og en alternativ behandling overvejes.</w:t>
      </w:r>
    </w:p>
    <w:p w:rsidR="00215378" w:rsidRPr="005A3D80" w:rsidRDefault="00215378" w:rsidP="005A3D80">
      <w:pPr>
        <w:ind w:left="851"/>
        <w:rPr>
          <w:noProof/>
          <w:sz w:val="24"/>
          <w:szCs w:val="24"/>
        </w:rPr>
      </w:pPr>
    </w:p>
    <w:p w:rsidR="00215378" w:rsidRPr="005A3D80" w:rsidRDefault="00215378" w:rsidP="005A3D80">
      <w:pPr>
        <w:ind w:left="851"/>
        <w:rPr>
          <w:noProof/>
          <w:sz w:val="24"/>
          <w:szCs w:val="24"/>
        </w:rPr>
      </w:pPr>
      <w:r w:rsidRPr="005A3D80">
        <w:rPr>
          <w:noProof/>
          <w:sz w:val="24"/>
          <w:szCs w:val="24"/>
        </w:rPr>
        <w:t>Lever og galdeveje</w:t>
      </w:r>
    </w:p>
    <w:p w:rsidR="00215378" w:rsidRPr="005A3D80" w:rsidRDefault="00215378" w:rsidP="005A3D80">
      <w:pPr>
        <w:ind w:left="851"/>
        <w:rPr>
          <w:noProof/>
          <w:sz w:val="24"/>
          <w:szCs w:val="24"/>
        </w:rPr>
      </w:pPr>
      <w:r w:rsidRPr="005A3D80">
        <w:rPr>
          <w:noProof/>
          <w:sz w:val="24"/>
          <w:szCs w:val="24"/>
        </w:rPr>
        <w:t>Morfin kan forårsage dysfunktion og spasmer i sphincter Oddi og dermed øge det intrabiliære tryk og risikoen for symptomer i galdevejene og pancreatitis.</w:t>
      </w:r>
    </w:p>
    <w:p w:rsidR="00215378" w:rsidRPr="005A3D80" w:rsidRDefault="00215378" w:rsidP="005A3D80">
      <w:pPr>
        <w:ind w:left="851"/>
        <w:rPr>
          <w:noProof/>
          <w:sz w:val="24"/>
          <w:szCs w:val="24"/>
        </w:rPr>
      </w:pPr>
    </w:p>
    <w:p w:rsidR="00215378" w:rsidRPr="005A3D80" w:rsidRDefault="00215378" w:rsidP="005A3D80">
      <w:pPr>
        <w:ind w:left="851"/>
        <w:rPr>
          <w:noProof/>
          <w:sz w:val="24"/>
          <w:szCs w:val="24"/>
        </w:rPr>
      </w:pPr>
      <w:r w:rsidRPr="005A3D80">
        <w:rPr>
          <w:noProof/>
          <w:sz w:val="24"/>
          <w:szCs w:val="24"/>
        </w:rPr>
        <w:t>Opioidbrugsforstyrrelse (misbrug og afhængighed)</w:t>
      </w:r>
    </w:p>
    <w:p w:rsidR="00215378" w:rsidRPr="005A3D80" w:rsidRDefault="00215378" w:rsidP="005A3D80">
      <w:pPr>
        <w:ind w:left="851"/>
        <w:rPr>
          <w:noProof/>
          <w:sz w:val="24"/>
          <w:szCs w:val="24"/>
        </w:rPr>
      </w:pPr>
      <w:r w:rsidRPr="005A3D80">
        <w:rPr>
          <w:noProof/>
          <w:sz w:val="24"/>
          <w:szCs w:val="24"/>
        </w:rPr>
        <w:t>Der kan opstå tolerans og fysisk og/eller psykisk afhængighed efter gentagen administration af opioider som Dropizol.</w:t>
      </w:r>
    </w:p>
    <w:p w:rsidR="00215378" w:rsidRPr="005A3D80" w:rsidRDefault="00215378" w:rsidP="005A3D80">
      <w:pPr>
        <w:ind w:left="851"/>
        <w:rPr>
          <w:noProof/>
          <w:sz w:val="24"/>
          <w:szCs w:val="24"/>
        </w:rPr>
      </w:pPr>
      <w:r w:rsidRPr="005A3D80">
        <w:rPr>
          <w:noProof/>
          <w:sz w:val="24"/>
          <w:szCs w:val="24"/>
        </w:rPr>
        <w:t>Gentagen brug af Dropizol kan medføre opioidbrugsforstyrrelser. En højere dosis og længere varighed af behandling med opioider kan øge risikoen for at udvikle opioidforstyrrelser. Misbrug eller bevidst forkert brug af Dropizol kan føre til overdosering og/eller død. Risikoen for at udvikle opioidforstyrrelser er øget hos patienter med en personlig eller familiær (forældre eller søskende) sygehistorie omfattende misbrugsrelaterede lidelser (herunder alkoholmisbrug), hos nuværende tobaksbrugere eller hos patienter med en personlig sygehistorie omfattende andre psykiske lidelser (f.eks. svær depression, angst og personlighedsforstyrrelser).</w:t>
      </w:r>
    </w:p>
    <w:p w:rsidR="00215378" w:rsidRPr="005A3D80" w:rsidRDefault="00215378" w:rsidP="005A3D80">
      <w:pPr>
        <w:pStyle w:val="Default"/>
        <w:ind w:left="851"/>
        <w:rPr>
          <w:rFonts w:ascii="Times New Roman" w:hAnsi="Times New Roman" w:cs="Times New Roman"/>
          <w:bCs/>
        </w:rPr>
      </w:pPr>
      <w:r w:rsidRPr="005A3D80">
        <w:rPr>
          <w:rFonts w:ascii="Times New Roman" w:hAnsi="Times New Roman" w:cs="Times New Roman"/>
          <w:bCs/>
        </w:rPr>
        <w:t xml:space="preserve">Før indledning af behandling med </w:t>
      </w:r>
      <w:proofErr w:type="spellStart"/>
      <w:r w:rsidR="00362674">
        <w:rPr>
          <w:rFonts w:ascii="Times New Roman" w:hAnsi="Times New Roman" w:cs="Times New Roman"/>
          <w:bCs/>
        </w:rPr>
        <w:t>Dropizol</w:t>
      </w:r>
      <w:proofErr w:type="spellEnd"/>
      <w:r w:rsidRPr="005A3D80">
        <w:rPr>
          <w:rFonts w:ascii="Times New Roman" w:hAnsi="Times New Roman" w:cs="Times New Roman"/>
          <w:bCs/>
        </w:rPr>
        <w:t xml:space="preserve"> og under behandlingen bør behandlingsmålene og en </w:t>
      </w:r>
      <w:proofErr w:type="spellStart"/>
      <w:r w:rsidRPr="005A3D80">
        <w:rPr>
          <w:rFonts w:ascii="Times New Roman" w:hAnsi="Times New Roman" w:cs="Times New Roman"/>
          <w:bCs/>
        </w:rPr>
        <w:t>seponeringsplan</w:t>
      </w:r>
      <w:proofErr w:type="spellEnd"/>
      <w:r w:rsidRPr="005A3D80">
        <w:rPr>
          <w:rFonts w:ascii="Times New Roman" w:hAnsi="Times New Roman" w:cs="Times New Roman"/>
          <w:bCs/>
        </w:rPr>
        <w:t xml:space="preserve"> aftales med patienten (se pkt. 4.2). Før og under behandling bør patienten også orienteres om risiciene for og tegnene på opioidbrugsforstyrrelser. Hvis disse tegn forekommer, bør patienten rådes til at kontakte lægen.</w:t>
      </w:r>
    </w:p>
    <w:p w:rsidR="00215378" w:rsidRPr="005A3D80" w:rsidRDefault="00215378" w:rsidP="005A3D80">
      <w:pPr>
        <w:pStyle w:val="Default"/>
        <w:ind w:left="851"/>
        <w:rPr>
          <w:rFonts w:ascii="Times New Roman" w:hAnsi="Times New Roman" w:cs="Times New Roman"/>
        </w:rPr>
      </w:pPr>
    </w:p>
    <w:p w:rsidR="00215378" w:rsidRPr="005A3D80" w:rsidRDefault="00215378" w:rsidP="005A3D80">
      <w:pPr>
        <w:pStyle w:val="Default"/>
        <w:ind w:left="851"/>
        <w:rPr>
          <w:rFonts w:ascii="Times New Roman" w:hAnsi="Times New Roman" w:cs="Times New Roman"/>
        </w:rPr>
      </w:pPr>
      <w:r w:rsidRPr="005A3D80">
        <w:rPr>
          <w:rFonts w:ascii="Times New Roman" w:hAnsi="Times New Roman" w:cs="Times New Roman"/>
          <w:bCs/>
        </w:rPr>
        <w:t xml:space="preserve">Patienter skal overvåges for tegn på stofsøgende adfærd (f.eks. for tidlige anmodninger om receptfornyelser). Dette omfatter gennemgang af samtidig behandling med opioider og psykoaktive lægemidler (f.eks. benzodiazepiner). Hos patienter med tegn og symptomer på opioidbrugsforstyrrelser bør det overvejes at konsultere en specialist i fysisk og psykisk afhængighed. </w:t>
      </w:r>
    </w:p>
    <w:p w:rsidR="00215378" w:rsidRPr="005A3D80" w:rsidRDefault="00215378" w:rsidP="005A3D80">
      <w:pPr>
        <w:ind w:left="851"/>
        <w:rPr>
          <w:noProof/>
          <w:sz w:val="24"/>
          <w:szCs w:val="24"/>
        </w:rPr>
      </w:pPr>
    </w:p>
    <w:p w:rsidR="00215378" w:rsidRPr="005A3D80" w:rsidRDefault="00215378" w:rsidP="005A3D80">
      <w:pPr>
        <w:ind w:left="851"/>
        <w:rPr>
          <w:noProof/>
          <w:sz w:val="24"/>
          <w:szCs w:val="24"/>
        </w:rPr>
      </w:pPr>
      <w:r w:rsidRPr="005A3D80">
        <w:rPr>
          <w:noProof/>
          <w:sz w:val="24"/>
          <w:szCs w:val="24"/>
        </w:rPr>
        <w:t>Bør kun anvendes med forsigtighed til patienter i højrisikogrupper, som feks. patienter med epilepsi og leversygdom.</w:t>
      </w:r>
    </w:p>
    <w:p w:rsidR="00215378" w:rsidRPr="005A3D80" w:rsidRDefault="00215378" w:rsidP="005A3D80">
      <w:pPr>
        <w:ind w:left="851"/>
        <w:rPr>
          <w:noProof/>
          <w:sz w:val="24"/>
          <w:szCs w:val="24"/>
        </w:rPr>
      </w:pPr>
    </w:p>
    <w:p w:rsidR="00215378" w:rsidRPr="005A3D80" w:rsidRDefault="00215378" w:rsidP="005A3D80">
      <w:pPr>
        <w:ind w:left="851"/>
        <w:rPr>
          <w:noProof/>
          <w:sz w:val="24"/>
          <w:szCs w:val="24"/>
        </w:rPr>
      </w:pPr>
      <w:r w:rsidRPr="005A3D80">
        <w:rPr>
          <w:noProof/>
          <w:sz w:val="24"/>
          <w:szCs w:val="24"/>
        </w:rPr>
        <w:t>Opioider kan hæmme hypothalamus-hypofyse-binyrebarkfunktionen (HPA) eller gonadalaksen på flere niveauer og er mest udtalt efter langvarig brug.</w:t>
      </w:r>
    </w:p>
    <w:p w:rsidR="00215378" w:rsidRPr="005A3D80" w:rsidRDefault="00215378" w:rsidP="005A3D80">
      <w:pPr>
        <w:ind w:left="851"/>
        <w:rPr>
          <w:noProof/>
          <w:sz w:val="24"/>
          <w:szCs w:val="24"/>
        </w:rPr>
      </w:pPr>
      <w:r w:rsidRPr="005A3D80">
        <w:rPr>
          <w:noProof/>
          <w:sz w:val="24"/>
          <w:szCs w:val="24"/>
        </w:rPr>
        <w:t>Dette kan føre til symptomer på binyreinsufficiens (se også pkt. 4.8).</w:t>
      </w:r>
    </w:p>
    <w:p w:rsidR="00215378" w:rsidRPr="005A3D80" w:rsidRDefault="00215378" w:rsidP="005A3D80">
      <w:pPr>
        <w:ind w:left="851"/>
        <w:rPr>
          <w:noProof/>
          <w:sz w:val="24"/>
          <w:szCs w:val="24"/>
        </w:rPr>
      </w:pPr>
    </w:p>
    <w:p w:rsidR="00215378" w:rsidRPr="005A3D80" w:rsidRDefault="00215378" w:rsidP="005A3D80">
      <w:pPr>
        <w:ind w:left="851"/>
        <w:rPr>
          <w:noProof/>
          <w:sz w:val="24"/>
          <w:szCs w:val="24"/>
        </w:rPr>
      </w:pPr>
      <w:r w:rsidRPr="005A3D80">
        <w:rPr>
          <w:noProof/>
          <w:sz w:val="24"/>
          <w:szCs w:val="24"/>
        </w:rPr>
        <w:t>Dette lægemiddel indeholder 33 % v/v ethanol (alkohol), dvs. op til 260 mg pr. dosis, svarende til 6,6 ml øl eller 2,8 ml vin.</w:t>
      </w:r>
    </w:p>
    <w:p w:rsidR="00A440CC" w:rsidRPr="005A3D80" w:rsidRDefault="00A440CC" w:rsidP="00A440CC">
      <w:pPr>
        <w:ind w:left="851" w:hanging="851"/>
        <w:rPr>
          <w:sz w:val="24"/>
          <w:szCs w:val="24"/>
        </w:rPr>
      </w:pPr>
    </w:p>
    <w:p w:rsidR="005A3D80" w:rsidRPr="00C84483" w:rsidRDefault="005A3D80" w:rsidP="005A3D80">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A440CC" w:rsidRPr="005A3D80" w:rsidRDefault="00A440CC" w:rsidP="00A440CC">
      <w:pPr>
        <w:ind w:left="851"/>
        <w:rPr>
          <w:noProof/>
          <w:sz w:val="24"/>
          <w:szCs w:val="24"/>
        </w:rPr>
      </w:pPr>
      <w:r w:rsidRPr="005A3D80">
        <w:rPr>
          <w:noProof/>
          <w:sz w:val="24"/>
          <w:szCs w:val="24"/>
        </w:rPr>
        <w:t xml:space="preserve">Risikoen for sedation, respirationssvækkelse, koma eller død øges pga. den additive CNS-depressive virkning forårsaget af ethanol, hypnotika (f.eks. zolpidem), generel anæstetika (f.eks. barbiturater), MAO-hæmmere (f.eks. safinamid), tricykliske antidepressiva og psykofarmaka med sedativ virkning (f.eks. phenothiazin), </w:t>
      </w:r>
      <w:r w:rsidR="00215378" w:rsidRPr="005A3D80">
        <w:rPr>
          <w:noProof/>
          <w:sz w:val="24"/>
          <w:szCs w:val="24"/>
        </w:rPr>
        <w:t>gabapentin eller pregabalin</w:t>
      </w:r>
      <w:r w:rsidR="00215378" w:rsidRPr="005A3D80">
        <w:rPr>
          <w:noProof/>
          <w:sz w:val="24"/>
          <w:szCs w:val="24"/>
        </w:rPr>
        <w:t>,</w:t>
      </w:r>
      <w:r w:rsidRPr="005A3D80">
        <w:rPr>
          <w:noProof/>
          <w:sz w:val="24"/>
          <w:szCs w:val="24"/>
        </w:rPr>
        <w:t xml:space="preserve"> antiemetika (f.eks. bromoprid, meclizin, metoclopramid), antihistaminer (f.eks. carbinoxamin, doxylamin) og andre opioider (f.eks. alfentanil, butorphanol, fentanyl, hydrocodon, hydromorphon, levorphanol, meperidin, metadon, oxycodon, oxymorphon, remifentanil, sufentanil, tapentadol, tramadol). Dosis og varighed af samtidig brug bør begrænses (se pkt. 4.4). Dropizol bør ikke anvendes sammen med andre morphinagonister/antagonister (buprenorphin, nalbuphin, nalmefen, naltroxen, pentazocin) pga. deres konkurrende receptor binding, der kan forværre abstinenssymptomer og reducere den terapeutiske virkning.</w:t>
      </w:r>
    </w:p>
    <w:p w:rsidR="00A440CC" w:rsidRPr="005A3D80" w:rsidRDefault="00A440CC" w:rsidP="00A440CC">
      <w:pPr>
        <w:ind w:left="851"/>
        <w:rPr>
          <w:noProof/>
          <w:sz w:val="24"/>
          <w:szCs w:val="24"/>
        </w:rPr>
      </w:pPr>
    </w:p>
    <w:p w:rsidR="00A440CC" w:rsidRPr="005A3D80" w:rsidRDefault="00A440CC" w:rsidP="00A440CC">
      <w:pPr>
        <w:ind w:left="851"/>
        <w:rPr>
          <w:noProof/>
          <w:sz w:val="24"/>
          <w:szCs w:val="24"/>
        </w:rPr>
      </w:pPr>
      <w:r w:rsidRPr="005A3D80">
        <w:rPr>
          <w:noProof/>
          <w:sz w:val="24"/>
          <w:szCs w:val="24"/>
        </w:rPr>
        <w:t xml:space="preserve">Dropizol bør pga. indholdet af ethanol ikke anvendes ved samtidig behandling med disulfiram eller metronidazol. Begge disse lægemidler kan forårsage disulfiramlignende reaktioner (flushing, hurtig vejrtrækning, takykardi). </w:t>
      </w:r>
    </w:p>
    <w:p w:rsidR="00A440CC" w:rsidRPr="005A3D80" w:rsidRDefault="00A440CC" w:rsidP="00A440CC">
      <w:pPr>
        <w:ind w:left="851"/>
        <w:rPr>
          <w:noProof/>
          <w:sz w:val="24"/>
          <w:szCs w:val="24"/>
        </w:rPr>
      </w:pPr>
    </w:p>
    <w:p w:rsidR="00A440CC" w:rsidRPr="005A3D80" w:rsidRDefault="00A440CC" w:rsidP="00A440CC">
      <w:pPr>
        <w:ind w:left="851"/>
        <w:rPr>
          <w:noProof/>
          <w:sz w:val="24"/>
          <w:szCs w:val="24"/>
        </w:rPr>
      </w:pPr>
      <w:r w:rsidRPr="005A3D80">
        <w:rPr>
          <w:noProof/>
          <w:sz w:val="24"/>
          <w:szCs w:val="24"/>
        </w:rPr>
        <w:t>Rifampicin inducerer CYP 3A4 i leveren og øger dermed omsætningen af morphin, codein og methadon. Dette resulterer i nedsat eller ingen effekt af disse opioider.</w:t>
      </w:r>
    </w:p>
    <w:p w:rsidR="00A440CC" w:rsidRPr="005A3D80" w:rsidRDefault="00A440CC" w:rsidP="00A440CC">
      <w:pPr>
        <w:ind w:left="851"/>
        <w:rPr>
          <w:noProof/>
          <w:sz w:val="24"/>
          <w:szCs w:val="24"/>
        </w:rPr>
      </w:pPr>
    </w:p>
    <w:p w:rsidR="002E7BB9" w:rsidRPr="005A3D80" w:rsidRDefault="002E7BB9" w:rsidP="002E7BB9">
      <w:pPr>
        <w:ind w:left="851"/>
        <w:rPr>
          <w:noProof/>
          <w:sz w:val="24"/>
          <w:szCs w:val="24"/>
        </w:rPr>
      </w:pPr>
      <w:r w:rsidRPr="005A3D80">
        <w:rPr>
          <w:noProof/>
          <w:sz w:val="24"/>
          <w:szCs w:val="24"/>
        </w:rPr>
        <w:t>Der er blevet observeret en forsinket og nedsat eksponering for den trombocythæmmende behandling med orale P2Y12-hæmmere hos patienter med akut koronarsyndrom, der blev behandlet med morfin. Denne interaktion kan være relateret til reduceret gastrointestinal motilitet og også være gældende for andre opioider. Den kliniske relevans er ukendt, men data tyder på potentiale for nedsat effekt af P2Y12-hæmmere hos patienter, der samtidig behandles med morfin og en P2Y12-hæmmer (se pkt. 4.4). Det kan overvejes</w:t>
      </w:r>
      <w:r w:rsidR="00A75376" w:rsidRPr="005A3D80">
        <w:rPr>
          <w:noProof/>
          <w:sz w:val="24"/>
          <w:szCs w:val="24"/>
        </w:rPr>
        <w:t>,</w:t>
      </w:r>
      <w:r w:rsidRPr="005A3D80">
        <w:rPr>
          <w:noProof/>
          <w:sz w:val="24"/>
          <w:szCs w:val="24"/>
        </w:rPr>
        <w:t xml:space="preserve"> at anvende en parenteral P2Y12-hæmmer hos patienter med akut koronarsyndrom, for hvem morfin ikke kan tilbageholdes og hurtig P2Y12-hæmning anses for at være nødvendig.</w:t>
      </w:r>
    </w:p>
    <w:p w:rsidR="002E7BB9" w:rsidRPr="005A3D80" w:rsidRDefault="002E7BB9" w:rsidP="00A440CC">
      <w:pPr>
        <w:ind w:left="851"/>
        <w:rPr>
          <w:noProof/>
          <w:sz w:val="24"/>
          <w:szCs w:val="24"/>
        </w:rPr>
      </w:pPr>
    </w:p>
    <w:p w:rsidR="00A440CC" w:rsidRPr="005A3D80" w:rsidRDefault="00A440CC" w:rsidP="00A440CC">
      <w:pPr>
        <w:ind w:left="851"/>
        <w:rPr>
          <w:noProof/>
          <w:sz w:val="24"/>
          <w:szCs w:val="24"/>
        </w:rPr>
      </w:pPr>
      <w:r w:rsidRPr="005A3D80">
        <w:rPr>
          <w:noProof/>
          <w:sz w:val="24"/>
          <w:szCs w:val="24"/>
        </w:rPr>
        <w:t>Samtidig administration af morphin og antihypertensiva kan øge den hypotensive virkning af antihypertensiva eller andre lægemidler med hypotensive virkninger.</w:t>
      </w:r>
    </w:p>
    <w:p w:rsidR="00A440CC" w:rsidRPr="005A3D80" w:rsidRDefault="00A440CC" w:rsidP="00A440CC">
      <w:pPr>
        <w:ind w:left="851"/>
        <w:rPr>
          <w:noProof/>
          <w:sz w:val="24"/>
          <w:szCs w:val="24"/>
        </w:rPr>
      </w:pPr>
    </w:p>
    <w:p w:rsidR="00A440CC" w:rsidRPr="005A3D80" w:rsidRDefault="00A440CC" w:rsidP="00A440CC">
      <w:pPr>
        <w:ind w:left="851"/>
        <w:rPr>
          <w:noProof/>
          <w:sz w:val="24"/>
          <w:szCs w:val="24"/>
        </w:rPr>
      </w:pPr>
      <w:r w:rsidRPr="005A3D80">
        <w:rPr>
          <w:noProof/>
          <w:sz w:val="24"/>
          <w:szCs w:val="24"/>
        </w:rPr>
        <w:t>Morphin hæmmer glucuronideringen af zidovudin in vitro.</w:t>
      </w:r>
    </w:p>
    <w:p w:rsidR="00A440CC" w:rsidRPr="005A3D80" w:rsidRDefault="00A440CC" w:rsidP="00A440CC">
      <w:pPr>
        <w:ind w:left="851"/>
        <w:rPr>
          <w:noProof/>
          <w:sz w:val="24"/>
          <w:szCs w:val="24"/>
        </w:rPr>
      </w:pPr>
    </w:p>
    <w:p w:rsidR="00A440CC" w:rsidRPr="005A3D80" w:rsidRDefault="00A440CC" w:rsidP="00A440CC">
      <w:pPr>
        <w:ind w:left="851"/>
        <w:rPr>
          <w:noProof/>
          <w:sz w:val="24"/>
          <w:szCs w:val="24"/>
        </w:rPr>
      </w:pPr>
      <w:r w:rsidRPr="005A3D80">
        <w:rPr>
          <w:noProof/>
          <w:sz w:val="24"/>
          <w:szCs w:val="24"/>
        </w:rPr>
        <w:t>Virkningsvarigheden af morphin kan reduceres efter indtagelse af fluoxetin.</w:t>
      </w:r>
    </w:p>
    <w:p w:rsidR="00A440CC" w:rsidRPr="005A3D80" w:rsidRDefault="00A440CC" w:rsidP="00A440CC">
      <w:pPr>
        <w:ind w:left="851"/>
        <w:rPr>
          <w:noProof/>
          <w:sz w:val="24"/>
          <w:szCs w:val="24"/>
        </w:rPr>
      </w:pPr>
    </w:p>
    <w:p w:rsidR="00A440CC" w:rsidRPr="005A3D80" w:rsidRDefault="00A440CC" w:rsidP="00A440CC">
      <w:pPr>
        <w:ind w:left="851"/>
        <w:rPr>
          <w:noProof/>
          <w:sz w:val="24"/>
          <w:szCs w:val="24"/>
        </w:rPr>
      </w:pPr>
      <w:r w:rsidRPr="005A3D80">
        <w:rPr>
          <w:noProof/>
          <w:sz w:val="24"/>
          <w:szCs w:val="24"/>
        </w:rPr>
        <w:t>Cimetidin og ranitidin påvirker ikke biotilgængeligheden af opium, orale dråber.</w:t>
      </w:r>
    </w:p>
    <w:p w:rsidR="00A440CC" w:rsidRPr="005A3D80" w:rsidRDefault="00A440CC" w:rsidP="00A440CC">
      <w:pPr>
        <w:ind w:left="851"/>
        <w:rPr>
          <w:noProof/>
          <w:sz w:val="24"/>
          <w:szCs w:val="24"/>
        </w:rPr>
      </w:pPr>
    </w:p>
    <w:p w:rsidR="00A440CC" w:rsidRPr="005A3D80" w:rsidRDefault="00A440CC" w:rsidP="00A440CC">
      <w:pPr>
        <w:ind w:left="851"/>
        <w:rPr>
          <w:noProof/>
          <w:sz w:val="24"/>
          <w:szCs w:val="24"/>
        </w:rPr>
      </w:pPr>
      <w:r w:rsidRPr="005A3D80">
        <w:rPr>
          <w:noProof/>
          <w:sz w:val="24"/>
          <w:szCs w:val="24"/>
        </w:rPr>
        <w:t>Andre lægemiddelinteraktioner</w:t>
      </w:r>
    </w:p>
    <w:p w:rsidR="00A440CC" w:rsidRPr="005A3D80" w:rsidRDefault="00A440CC" w:rsidP="00A440CC">
      <w:pPr>
        <w:ind w:left="851"/>
        <w:rPr>
          <w:noProof/>
          <w:sz w:val="24"/>
          <w:szCs w:val="24"/>
        </w:rPr>
      </w:pPr>
      <w:r w:rsidRPr="005A3D80">
        <w:rPr>
          <w:noProof/>
          <w:sz w:val="24"/>
          <w:szCs w:val="24"/>
        </w:rPr>
        <w:t>Amfetamin og analoger kan reducere opioiders sedative virkning. Loxapin og periciazin kan øge opioiders sedative virkning. Samtidig brug af flibanserin og opioider kan øge risikoen for CNS-depression. Opioider kan øge plasmakoncentrationen af desmopressin og sertralin.</w:t>
      </w:r>
    </w:p>
    <w:p w:rsidR="00A440CC" w:rsidRPr="005A3D80" w:rsidRDefault="00A440CC" w:rsidP="00A440CC">
      <w:pPr>
        <w:ind w:left="851"/>
        <w:rPr>
          <w:noProof/>
          <w:sz w:val="24"/>
          <w:szCs w:val="24"/>
        </w:rPr>
      </w:pPr>
    </w:p>
    <w:p w:rsidR="00A440CC" w:rsidRPr="005A3D80" w:rsidRDefault="00A440CC" w:rsidP="00A440CC">
      <w:pPr>
        <w:ind w:left="851"/>
        <w:rPr>
          <w:noProof/>
          <w:sz w:val="24"/>
          <w:szCs w:val="24"/>
        </w:rPr>
      </w:pPr>
      <w:r w:rsidRPr="005A3D80">
        <w:rPr>
          <w:noProof/>
          <w:sz w:val="24"/>
          <w:szCs w:val="24"/>
        </w:rPr>
        <w:t>Ethanol, se pkt. 4.4.</w:t>
      </w:r>
    </w:p>
    <w:p w:rsidR="00A440CC" w:rsidRPr="005A3D80" w:rsidRDefault="00A440CC" w:rsidP="00A440CC">
      <w:pPr>
        <w:ind w:left="851" w:hanging="851"/>
        <w:rPr>
          <w:sz w:val="24"/>
          <w:szCs w:val="24"/>
        </w:rPr>
      </w:pPr>
    </w:p>
    <w:p w:rsidR="005A3D80" w:rsidRPr="00C84483" w:rsidRDefault="005A3D80" w:rsidP="005A3D80">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A440CC" w:rsidRPr="005A3D80" w:rsidRDefault="00A440CC" w:rsidP="00A440CC">
      <w:pPr>
        <w:ind w:left="851"/>
        <w:rPr>
          <w:noProof/>
          <w:sz w:val="24"/>
          <w:szCs w:val="24"/>
        </w:rPr>
      </w:pPr>
    </w:p>
    <w:p w:rsidR="00A440CC" w:rsidRPr="005A3D80" w:rsidRDefault="00A440CC" w:rsidP="00A440CC">
      <w:pPr>
        <w:ind w:left="851"/>
        <w:rPr>
          <w:noProof/>
          <w:sz w:val="24"/>
          <w:szCs w:val="24"/>
          <w:u w:val="single"/>
        </w:rPr>
      </w:pPr>
      <w:r w:rsidRPr="005A3D80">
        <w:rPr>
          <w:noProof/>
          <w:sz w:val="24"/>
          <w:szCs w:val="24"/>
          <w:u w:val="single"/>
        </w:rPr>
        <w:t>Graviditet</w:t>
      </w:r>
    </w:p>
    <w:p w:rsidR="00A440CC" w:rsidRPr="005A3D80" w:rsidRDefault="00A440CC" w:rsidP="00A440CC">
      <w:pPr>
        <w:ind w:left="851"/>
        <w:rPr>
          <w:noProof/>
          <w:sz w:val="24"/>
          <w:szCs w:val="24"/>
        </w:rPr>
      </w:pPr>
      <w:r w:rsidRPr="005A3D80">
        <w:rPr>
          <w:noProof/>
          <w:sz w:val="24"/>
          <w:szCs w:val="24"/>
        </w:rPr>
        <w:t xml:space="preserve">Der er begrænset mængde data fra anvendelse af opium til gravide. I dyrestudier er der påvist reproduktionstoksicitet (se pkt. 5.3). Dropizol frarådes under graviditet med mindre fordelene klart opvejer risici for både mor og barn. Når morphin anvendes under graviditet op til fødslen, kan der forekomme neonatalt abstinenssyndrom (NAS). </w:t>
      </w:r>
    </w:p>
    <w:p w:rsidR="00A440CC" w:rsidRPr="005A3D80" w:rsidRDefault="00A440CC" w:rsidP="00F01B44">
      <w:pPr>
        <w:ind w:left="851"/>
        <w:rPr>
          <w:noProof/>
          <w:sz w:val="24"/>
          <w:szCs w:val="24"/>
        </w:rPr>
      </w:pPr>
    </w:p>
    <w:p w:rsidR="00A440CC" w:rsidRPr="005A3D80" w:rsidRDefault="00A440CC" w:rsidP="00F01B44">
      <w:pPr>
        <w:ind w:left="851"/>
        <w:rPr>
          <w:noProof/>
          <w:sz w:val="24"/>
          <w:szCs w:val="24"/>
          <w:u w:val="single"/>
        </w:rPr>
      </w:pPr>
      <w:r w:rsidRPr="005A3D80">
        <w:rPr>
          <w:noProof/>
          <w:sz w:val="24"/>
          <w:szCs w:val="24"/>
          <w:u w:val="single"/>
        </w:rPr>
        <w:t>Amning</w:t>
      </w:r>
    </w:p>
    <w:p w:rsidR="00A75376" w:rsidRPr="005A3D80" w:rsidRDefault="00A440CC" w:rsidP="00F01B44">
      <w:pPr>
        <w:ind w:left="851"/>
        <w:rPr>
          <w:sz w:val="24"/>
          <w:szCs w:val="24"/>
        </w:rPr>
      </w:pPr>
      <w:r w:rsidRPr="005A3D80">
        <w:rPr>
          <w:sz w:val="24"/>
          <w:szCs w:val="24"/>
        </w:rPr>
        <w:t>Opium udskilles i modermælk</w:t>
      </w:r>
      <w:r w:rsidR="00A75376" w:rsidRPr="005A3D80">
        <w:rPr>
          <w:sz w:val="24"/>
          <w:szCs w:val="24"/>
        </w:rPr>
        <w:t xml:space="preserve">. Hvis patienten omsætter CYP2D6 ultrahurtigt, kan der være højere niveauer af morfin til stede i modermælken (på grund af </w:t>
      </w:r>
      <w:proofErr w:type="spellStart"/>
      <w:r w:rsidR="00A75376" w:rsidRPr="005A3D80">
        <w:rPr>
          <w:sz w:val="24"/>
          <w:szCs w:val="24"/>
        </w:rPr>
        <w:t>kodeins</w:t>
      </w:r>
      <w:proofErr w:type="spellEnd"/>
      <w:r w:rsidR="00A75376" w:rsidRPr="005A3D80">
        <w:rPr>
          <w:sz w:val="24"/>
          <w:szCs w:val="24"/>
        </w:rPr>
        <w:t xml:space="preserve"> forøgede metabolisme) og det kan i meget sjældne tilfælde resultere i symptomer på opioidtoksicitet hos spædbarnet, hvilket kan være dødeligt. </w:t>
      </w:r>
      <w:proofErr w:type="spellStart"/>
      <w:r w:rsidR="00A75376" w:rsidRPr="005A3D80">
        <w:rPr>
          <w:sz w:val="24"/>
          <w:szCs w:val="24"/>
        </w:rPr>
        <w:t>Dropizol</w:t>
      </w:r>
      <w:proofErr w:type="spellEnd"/>
      <w:r w:rsidR="00A75376" w:rsidRPr="005A3D80">
        <w:rPr>
          <w:sz w:val="24"/>
          <w:szCs w:val="24"/>
        </w:rPr>
        <w:t xml:space="preserve"> er kontraindiceret under amning (se pkt. 4.3).</w:t>
      </w:r>
    </w:p>
    <w:p w:rsidR="00A440CC" w:rsidRPr="005A3D80" w:rsidRDefault="00A440CC" w:rsidP="00F01B44">
      <w:pPr>
        <w:ind w:left="851"/>
        <w:rPr>
          <w:sz w:val="24"/>
          <w:szCs w:val="24"/>
        </w:rPr>
      </w:pPr>
    </w:p>
    <w:p w:rsidR="00A440CC" w:rsidRPr="005A3D80" w:rsidRDefault="00A440CC" w:rsidP="00A440CC">
      <w:pPr>
        <w:ind w:left="851"/>
        <w:rPr>
          <w:noProof/>
          <w:sz w:val="24"/>
          <w:szCs w:val="24"/>
          <w:u w:val="single"/>
        </w:rPr>
      </w:pPr>
      <w:r w:rsidRPr="005A3D80">
        <w:rPr>
          <w:noProof/>
          <w:sz w:val="24"/>
          <w:szCs w:val="24"/>
          <w:u w:val="single"/>
        </w:rPr>
        <w:t>Fertilitet</w:t>
      </w:r>
    </w:p>
    <w:p w:rsidR="00A440CC" w:rsidRPr="005A3D80" w:rsidRDefault="00A440CC" w:rsidP="00A440CC">
      <w:pPr>
        <w:autoSpaceDE w:val="0"/>
        <w:autoSpaceDN w:val="0"/>
        <w:adjustRightInd w:val="0"/>
        <w:ind w:left="851"/>
        <w:rPr>
          <w:sz w:val="24"/>
          <w:szCs w:val="24"/>
        </w:rPr>
      </w:pPr>
      <w:r w:rsidRPr="005A3D80">
        <w:rPr>
          <w:sz w:val="24"/>
          <w:szCs w:val="24"/>
        </w:rPr>
        <w:t>Der er utilstrækkelige data til at vurdere d</w:t>
      </w:r>
      <w:r w:rsidRPr="005A3D80">
        <w:rPr>
          <w:sz w:val="24"/>
          <w:szCs w:val="24"/>
          <w:lang w:eastAsia="da-DK"/>
        </w:rPr>
        <w:t>en potentielle risiko for fertilitet hos mennesker</w:t>
      </w:r>
      <w:r w:rsidRPr="005A3D80">
        <w:rPr>
          <w:sz w:val="24"/>
          <w:szCs w:val="24"/>
        </w:rPr>
        <w:t>. Dyrestudier har påvist kromosomskader i reproduktive celler (se pkt. 5.3). Mænd og kvinder i den reproduktive alder bør tage de nødvendige forholdsregler.</w:t>
      </w:r>
    </w:p>
    <w:p w:rsidR="00A440CC" w:rsidRPr="005A3D80" w:rsidRDefault="00A440CC" w:rsidP="00A440CC">
      <w:pPr>
        <w:ind w:left="851" w:hanging="851"/>
        <w:rPr>
          <w:sz w:val="24"/>
          <w:szCs w:val="24"/>
        </w:rPr>
      </w:pPr>
    </w:p>
    <w:p w:rsidR="005A3D80" w:rsidRPr="00C84483" w:rsidRDefault="005A3D80" w:rsidP="005A3D80">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A440CC" w:rsidRPr="005A3D80" w:rsidRDefault="00A440CC" w:rsidP="00A440CC">
      <w:pPr>
        <w:ind w:left="851"/>
        <w:rPr>
          <w:sz w:val="24"/>
          <w:szCs w:val="24"/>
        </w:rPr>
      </w:pPr>
      <w:r w:rsidRPr="005A3D80">
        <w:rPr>
          <w:sz w:val="24"/>
          <w:szCs w:val="24"/>
        </w:rPr>
        <w:t>Mærkning.</w:t>
      </w:r>
    </w:p>
    <w:p w:rsidR="00A440CC" w:rsidRPr="005A3D80" w:rsidRDefault="00A440CC" w:rsidP="00A440CC">
      <w:pPr>
        <w:ind w:left="851"/>
        <w:rPr>
          <w:sz w:val="24"/>
          <w:szCs w:val="24"/>
        </w:rPr>
      </w:pPr>
      <w:proofErr w:type="spellStart"/>
      <w:r w:rsidRPr="005A3D80">
        <w:rPr>
          <w:sz w:val="24"/>
          <w:szCs w:val="24"/>
        </w:rPr>
        <w:t>Dropizol</w:t>
      </w:r>
      <w:proofErr w:type="spellEnd"/>
      <w:r w:rsidRPr="005A3D80">
        <w:rPr>
          <w:sz w:val="24"/>
          <w:szCs w:val="24"/>
        </w:rPr>
        <w:t xml:space="preserve"> kan give bivirkninger, der i væsentlig grad påvirker evnen til at føre motorkøretøj og betjene maskiner.</w:t>
      </w:r>
    </w:p>
    <w:p w:rsidR="00A440CC" w:rsidRPr="005A3D80" w:rsidRDefault="00A440CC" w:rsidP="00A440CC">
      <w:pPr>
        <w:ind w:left="851" w:hanging="851"/>
        <w:rPr>
          <w:sz w:val="24"/>
          <w:szCs w:val="24"/>
        </w:rPr>
      </w:pPr>
    </w:p>
    <w:p w:rsidR="005A3D80" w:rsidRPr="00C84483" w:rsidRDefault="005A3D80" w:rsidP="005A3D80">
      <w:pPr>
        <w:tabs>
          <w:tab w:val="left" w:pos="851"/>
        </w:tabs>
        <w:ind w:left="851" w:hanging="851"/>
        <w:rPr>
          <w:b/>
          <w:sz w:val="24"/>
          <w:szCs w:val="24"/>
        </w:rPr>
      </w:pPr>
      <w:r w:rsidRPr="00C84483">
        <w:rPr>
          <w:b/>
          <w:sz w:val="24"/>
          <w:szCs w:val="24"/>
        </w:rPr>
        <w:t>4.8</w:t>
      </w:r>
      <w:r w:rsidRPr="00C84483">
        <w:rPr>
          <w:b/>
          <w:sz w:val="24"/>
          <w:szCs w:val="24"/>
        </w:rPr>
        <w:tab/>
        <w:t>Bivirkninger</w:t>
      </w:r>
    </w:p>
    <w:p w:rsidR="00A440CC" w:rsidRDefault="00A440CC" w:rsidP="00A440CC">
      <w:pPr>
        <w:ind w:left="851"/>
        <w:rPr>
          <w:sz w:val="24"/>
          <w:szCs w:val="24"/>
        </w:rPr>
      </w:pPr>
      <w:r w:rsidRPr="005A3D80">
        <w:rPr>
          <w:sz w:val="24"/>
          <w:szCs w:val="24"/>
        </w:rPr>
        <w:t xml:space="preserve">De bivirkninger, der er indberettet for </w:t>
      </w:r>
      <w:proofErr w:type="spellStart"/>
      <w:r w:rsidRPr="005A3D80">
        <w:rPr>
          <w:sz w:val="24"/>
          <w:szCs w:val="24"/>
        </w:rPr>
        <w:t>Dropizol</w:t>
      </w:r>
      <w:proofErr w:type="spellEnd"/>
      <w:r w:rsidR="00AB5421" w:rsidRPr="005A3D80">
        <w:rPr>
          <w:sz w:val="24"/>
          <w:szCs w:val="24"/>
        </w:rPr>
        <w:t xml:space="preserve"> </w:t>
      </w:r>
      <w:r w:rsidRPr="005A3D80">
        <w:rPr>
          <w:sz w:val="24"/>
          <w:szCs w:val="24"/>
        </w:rPr>
        <w:t xml:space="preserve">dråber, stammer fra litteraturen og erfaring efter markedsføring med andre </w:t>
      </w:r>
      <w:proofErr w:type="spellStart"/>
      <w:r w:rsidRPr="005A3D80">
        <w:rPr>
          <w:sz w:val="24"/>
          <w:szCs w:val="24"/>
        </w:rPr>
        <w:t>morphinprodukter</w:t>
      </w:r>
      <w:proofErr w:type="spellEnd"/>
      <w:r w:rsidRPr="005A3D80">
        <w:rPr>
          <w:sz w:val="24"/>
          <w:szCs w:val="24"/>
        </w:rPr>
        <w:t>.</w:t>
      </w:r>
    </w:p>
    <w:p w:rsidR="005E4A22" w:rsidRPr="005A3D80" w:rsidRDefault="005E4A22" w:rsidP="00A440CC">
      <w:pPr>
        <w:ind w:left="851"/>
        <w:rPr>
          <w:sz w:val="24"/>
          <w:szCs w:val="24"/>
        </w:rPr>
      </w:pPr>
    </w:p>
    <w:tbl>
      <w:tblPr>
        <w:tblStyle w:val="Tabel-Gitter"/>
        <w:tblW w:w="0" w:type="auto"/>
        <w:tblLook w:val="04A0" w:firstRow="1" w:lastRow="0" w:firstColumn="1" w:lastColumn="0" w:noHBand="0" w:noVBand="1"/>
      </w:tblPr>
      <w:tblGrid>
        <w:gridCol w:w="4814"/>
        <w:gridCol w:w="4814"/>
      </w:tblGrid>
      <w:tr w:rsidR="005E4A22" w:rsidTr="00BA71F5">
        <w:tc>
          <w:tcPr>
            <w:tcW w:w="9628" w:type="dxa"/>
            <w:gridSpan w:val="2"/>
          </w:tcPr>
          <w:p w:rsidR="005E4A22" w:rsidRDefault="005E4A22" w:rsidP="00215378">
            <w:pPr>
              <w:rPr>
                <w:sz w:val="24"/>
                <w:szCs w:val="24"/>
              </w:rPr>
            </w:pPr>
            <w:r w:rsidRPr="005A3D80">
              <w:rPr>
                <w:i/>
                <w:noProof/>
                <w:sz w:val="24"/>
                <w:szCs w:val="24"/>
              </w:rPr>
              <w:t>Det endokrine system</w:t>
            </w:r>
          </w:p>
        </w:tc>
      </w:tr>
      <w:tr w:rsidR="00362674" w:rsidRPr="00362674" w:rsidTr="00362674">
        <w:tc>
          <w:tcPr>
            <w:tcW w:w="4814" w:type="dxa"/>
          </w:tcPr>
          <w:p w:rsidR="00362674" w:rsidRDefault="00362674" w:rsidP="005E4A22">
            <w:pPr>
              <w:rPr>
                <w:sz w:val="24"/>
                <w:szCs w:val="24"/>
              </w:rPr>
            </w:pPr>
            <w:r w:rsidRPr="005A3D80">
              <w:rPr>
                <w:sz w:val="24"/>
                <w:szCs w:val="24"/>
              </w:rPr>
              <w:t>Meget sjælden (&lt;1/10.000)</w:t>
            </w:r>
          </w:p>
        </w:tc>
        <w:tc>
          <w:tcPr>
            <w:tcW w:w="4814" w:type="dxa"/>
          </w:tcPr>
          <w:p w:rsidR="00362674" w:rsidRPr="00362674" w:rsidRDefault="00362674" w:rsidP="005E4A22">
            <w:pPr>
              <w:rPr>
                <w:sz w:val="24"/>
                <w:szCs w:val="24"/>
                <w:lang w:val="en-US"/>
              </w:rPr>
            </w:pPr>
            <w:r w:rsidRPr="005A3D80">
              <w:rPr>
                <w:sz w:val="24"/>
                <w:szCs w:val="24"/>
                <w:lang w:val="en-US"/>
              </w:rPr>
              <w:t>SIADH (</w:t>
            </w:r>
            <w:r w:rsidRPr="005A3D80">
              <w:rPr>
                <w:rStyle w:val="Fremhv"/>
                <w:bCs/>
                <w:sz w:val="24"/>
                <w:szCs w:val="24"/>
                <w:shd w:val="clear" w:color="auto" w:fill="FFFFFF"/>
                <w:lang w:val="en-US"/>
              </w:rPr>
              <w:t>syndrome</w:t>
            </w:r>
            <w:r w:rsidRPr="005A3D80">
              <w:rPr>
                <w:sz w:val="24"/>
                <w:szCs w:val="24"/>
                <w:shd w:val="clear" w:color="auto" w:fill="FFFFFF"/>
                <w:lang w:val="en-US"/>
              </w:rPr>
              <w:t> of inappropriate </w:t>
            </w:r>
            <w:r w:rsidRPr="005A3D80">
              <w:rPr>
                <w:rStyle w:val="Fremhv"/>
                <w:bCs/>
                <w:sz w:val="24"/>
                <w:szCs w:val="24"/>
                <w:shd w:val="clear" w:color="auto" w:fill="FFFFFF"/>
                <w:lang w:val="en-US"/>
              </w:rPr>
              <w:t xml:space="preserve">antidiuretic hormone secretion), </w:t>
            </w:r>
            <w:proofErr w:type="spellStart"/>
            <w:r w:rsidRPr="005A3D80">
              <w:rPr>
                <w:rStyle w:val="Fremhv"/>
                <w:bCs/>
                <w:sz w:val="24"/>
                <w:szCs w:val="24"/>
                <w:shd w:val="clear" w:color="auto" w:fill="FFFFFF"/>
                <w:lang w:val="en-US"/>
              </w:rPr>
              <w:t>amenorré</w:t>
            </w:r>
            <w:proofErr w:type="spellEnd"/>
          </w:p>
        </w:tc>
      </w:tr>
      <w:tr w:rsidR="00362674" w:rsidTr="00362674">
        <w:tc>
          <w:tcPr>
            <w:tcW w:w="4814" w:type="dxa"/>
          </w:tcPr>
          <w:p w:rsidR="00362674" w:rsidRDefault="00362674" w:rsidP="00215378">
            <w:pPr>
              <w:rPr>
                <w:sz w:val="24"/>
                <w:szCs w:val="24"/>
              </w:rPr>
            </w:pPr>
            <w:r w:rsidRPr="005A3D80">
              <w:rPr>
                <w:sz w:val="24"/>
                <w:szCs w:val="24"/>
              </w:rPr>
              <w:t>Ikke kendt (kan ikke estimeres ud fra forhåndenværende data)</w:t>
            </w:r>
          </w:p>
        </w:tc>
        <w:tc>
          <w:tcPr>
            <w:tcW w:w="4814" w:type="dxa"/>
          </w:tcPr>
          <w:p w:rsidR="00362674" w:rsidRDefault="00362674" w:rsidP="00215378">
            <w:pPr>
              <w:rPr>
                <w:sz w:val="24"/>
                <w:szCs w:val="24"/>
              </w:rPr>
            </w:pPr>
            <w:r w:rsidRPr="005A3D80">
              <w:rPr>
                <w:sz w:val="24"/>
                <w:szCs w:val="24"/>
              </w:rPr>
              <w:t>Binyreinsufficiens</w:t>
            </w:r>
          </w:p>
        </w:tc>
      </w:tr>
      <w:tr w:rsidR="005E4A22" w:rsidTr="003E3D00">
        <w:tc>
          <w:tcPr>
            <w:tcW w:w="9628" w:type="dxa"/>
            <w:gridSpan w:val="2"/>
          </w:tcPr>
          <w:p w:rsidR="005E4A22" w:rsidRDefault="005E4A22" w:rsidP="00215378">
            <w:pPr>
              <w:rPr>
                <w:sz w:val="24"/>
                <w:szCs w:val="24"/>
              </w:rPr>
            </w:pPr>
            <w:r w:rsidRPr="005A3D80">
              <w:rPr>
                <w:i/>
                <w:noProof/>
                <w:sz w:val="24"/>
                <w:szCs w:val="24"/>
              </w:rPr>
              <w:t>Psykiske forstyrrelser</w:t>
            </w:r>
          </w:p>
        </w:tc>
      </w:tr>
      <w:tr w:rsidR="00362674" w:rsidTr="00362674">
        <w:tc>
          <w:tcPr>
            <w:tcW w:w="4814" w:type="dxa"/>
          </w:tcPr>
          <w:p w:rsidR="00362674" w:rsidRDefault="00362674" w:rsidP="00215378">
            <w:pPr>
              <w:rPr>
                <w:sz w:val="24"/>
                <w:szCs w:val="24"/>
              </w:rPr>
            </w:pPr>
            <w:r w:rsidRPr="005A3D80">
              <w:rPr>
                <w:sz w:val="24"/>
                <w:szCs w:val="24"/>
              </w:rPr>
              <w:t>Ikke kendt (kan ikke estimeres ud fra forhåndenværende data)</w:t>
            </w:r>
          </w:p>
        </w:tc>
        <w:tc>
          <w:tcPr>
            <w:tcW w:w="4814" w:type="dxa"/>
          </w:tcPr>
          <w:p w:rsidR="00362674" w:rsidRDefault="00362674" w:rsidP="00215378">
            <w:pPr>
              <w:rPr>
                <w:sz w:val="24"/>
                <w:szCs w:val="24"/>
              </w:rPr>
            </w:pPr>
            <w:r w:rsidRPr="005A3D80">
              <w:rPr>
                <w:sz w:val="24"/>
                <w:szCs w:val="24"/>
              </w:rPr>
              <w:t xml:space="preserve">Afhængighed, </w:t>
            </w:r>
            <w:proofErr w:type="spellStart"/>
            <w:r w:rsidRPr="005A3D80">
              <w:rPr>
                <w:sz w:val="24"/>
                <w:szCs w:val="24"/>
              </w:rPr>
              <w:t>dysforisk</w:t>
            </w:r>
            <w:proofErr w:type="spellEnd"/>
            <w:r w:rsidRPr="005A3D80">
              <w:rPr>
                <w:sz w:val="24"/>
                <w:szCs w:val="24"/>
              </w:rPr>
              <w:t xml:space="preserve"> stemning, rastløshed, nedsat libido eller potens, hallucinationer</w:t>
            </w:r>
          </w:p>
        </w:tc>
      </w:tr>
      <w:tr w:rsidR="005E4A22" w:rsidTr="00B556D1">
        <w:tc>
          <w:tcPr>
            <w:tcW w:w="9628" w:type="dxa"/>
            <w:gridSpan w:val="2"/>
          </w:tcPr>
          <w:p w:rsidR="005E4A22" w:rsidRPr="005A3D80" w:rsidRDefault="005E4A22" w:rsidP="00215378">
            <w:pPr>
              <w:rPr>
                <w:sz w:val="24"/>
                <w:szCs w:val="24"/>
              </w:rPr>
            </w:pPr>
            <w:r w:rsidRPr="005A3D80">
              <w:rPr>
                <w:i/>
                <w:sz w:val="24"/>
                <w:szCs w:val="24"/>
              </w:rPr>
              <w:t>Nervesystemet</w:t>
            </w:r>
          </w:p>
        </w:tc>
      </w:tr>
      <w:tr w:rsidR="004550A3" w:rsidTr="00362674">
        <w:tc>
          <w:tcPr>
            <w:tcW w:w="4814" w:type="dxa"/>
          </w:tcPr>
          <w:p w:rsidR="004550A3" w:rsidRPr="005A3D80" w:rsidRDefault="004550A3" w:rsidP="00215378">
            <w:pPr>
              <w:rPr>
                <w:sz w:val="24"/>
                <w:szCs w:val="24"/>
              </w:rPr>
            </w:pPr>
            <w:r w:rsidRPr="005A3D80">
              <w:rPr>
                <w:sz w:val="24"/>
                <w:szCs w:val="24"/>
              </w:rPr>
              <w:t>Meget almindelig (≥1/10)</w:t>
            </w:r>
          </w:p>
        </w:tc>
        <w:tc>
          <w:tcPr>
            <w:tcW w:w="4814" w:type="dxa"/>
          </w:tcPr>
          <w:p w:rsidR="004550A3" w:rsidRPr="005A3D80" w:rsidRDefault="004550A3" w:rsidP="00215378">
            <w:pPr>
              <w:rPr>
                <w:sz w:val="24"/>
                <w:szCs w:val="24"/>
              </w:rPr>
            </w:pPr>
            <w:r w:rsidRPr="005A3D80">
              <w:rPr>
                <w:sz w:val="24"/>
                <w:szCs w:val="24"/>
              </w:rPr>
              <w:t>Døsighed</w:t>
            </w:r>
          </w:p>
        </w:tc>
      </w:tr>
      <w:tr w:rsidR="004550A3" w:rsidTr="00362674">
        <w:tc>
          <w:tcPr>
            <w:tcW w:w="4814" w:type="dxa"/>
          </w:tcPr>
          <w:p w:rsidR="004550A3" w:rsidRPr="005A3D80" w:rsidRDefault="004550A3" w:rsidP="00215378">
            <w:pPr>
              <w:rPr>
                <w:sz w:val="24"/>
                <w:szCs w:val="24"/>
              </w:rPr>
            </w:pPr>
            <w:r w:rsidRPr="005A3D80">
              <w:rPr>
                <w:sz w:val="24"/>
                <w:szCs w:val="24"/>
              </w:rPr>
              <w:t>Almindelig (≥1/100 og &lt;1/10)</w:t>
            </w:r>
          </w:p>
        </w:tc>
        <w:tc>
          <w:tcPr>
            <w:tcW w:w="4814" w:type="dxa"/>
          </w:tcPr>
          <w:p w:rsidR="004550A3" w:rsidRPr="005A3D80" w:rsidRDefault="004550A3" w:rsidP="00215378">
            <w:pPr>
              <w:rPr>
                <w:sz w:val="24"/>
                <w:szCs w:val="24"/>
              </w:rPr>
            </w:pPr>
            <w:r w:rsidRPr="005A3D80">
              <w:rPr>
                <w:sz w:val="24"/>
                <w:szCs w:val="24"/>
              </w:rPr>
              <w:t>Svimmelhed, hovedpine</w:t>
            </w:r>
          </w:p>
        </w:tc>
      </w:tr>
      <w:tr w:rsidR="004550A3" w:rsidTr="00362674">
        <w:tc>
          <w:tcPr>
            <w:tcW w:w="4814" w:type="dxa"/>
          </w:tcPr>
          <w:p w:rsidR="004550A3" w:rsidRPr="005A3D80" w:rsidRDefault="004550A3" w:rsidP="005E4A22">
            <w:pPr>
              <w:rPr>
                <w:sz w:val="24"/>
                <w:szCs w:val="24"/>
              </w:rPr>
            </w:pPr>
            <w:r w:rsidRPr="005A3D80">
              <w:rPr>
                <w:sz w:val="24"/>
                <w:szCs w:val="24"/>
              </w:rPr>
              <w:t>Meget sjælden (&lt;1/10.000)</w:t>
            </w:r>
          </w:p>
        </w:tc>
        <w:tc>
          <w:tcPr>
            <w:tcW w:w="4814" w:type="dxa"/>
          </w:tcPr>
          <w:p w:rsidR="004550A3" w:rsidRPr="005A3D80" w:rsidRDefault="004550A3" w:rsidP="005E4A22">
            <w:pPr>
              <w:rPr>
                <w:sz w:val="24"/>
                <w:szCs w:val="24"/>
              </w:rPr>
            </w:pPr>
            <w:r w:rsidRPr="005A3D80">
              <w:rPr>
                <w:sz w:val="24"/>
                <w:szCs w:val="24"/>
              </w:rPr>
              <w:t xml:space="preserve">Muskelkramper, krampeanfald, </w:t>
            </w:r>
            <w:proofErr w:type="spellStart"/>
            <w:r w:rsidRPr="005A3D80">
              <w:rPr>
                <w:sz w:val="24"/>
                <w:szCs w:val="24"/>
              </w:rPr>
              <w:t>allodyni</w:t>
            </w:r>
            <w:proofErr w:type="spellEnd"/>
            <w:r w:rsidRPr="005A3D80">
              <w:rPr>
                <w:sz w:val="24"/>
                <w:szCs w:val="24"/>
              </w:rPr>
              <w:t xml:space="preserve"> og </w:t>
            </w:r>
            <w:proofErr w:type="spellStart"/>
            <w:r w:rsidRPr="005A3D80">
              <w:rPr>
                <w:sz w:val="24"/>
                <w:szCs w:val="24"/>
              </w:rPr>
              <w:t>hyperalgesi</w:t>
            </w:r>
            <w:proofErr w:type="spellEnd"/>
          </w:p>
        </w:tc>
      </w:tr>
      <w:tr w:rsidR="004550A3" w:rsidTr="00362674">
        <w:tc>
          <w:tcPr>
            <w:tcW w:w="4814" w:type="dxa"/>
          </w:tcPr>
          <w:p w:rsidR="004550A3" w:rsidRPr="005A3D80" w:rsidRDefault="004550A3" w:rsidP="00215378">
            <w:pPr>
              <w:rPr>
                <w:sz w:val="24"/>
                <w:szCs w:val="24"/>
              </w:rPr>
            </w:pPr>
            <w:r w:rsidRPr="005A3D80">
              <w:rPr>
                <w:sz w:val="24"/>
                <w:szCs w:val="24"/>
              </w:rPr>
              <w:t>Ikke kendt (kan ikke estimeres ud fra forhåndenværende data)</w:t>
            </w:r>
          </w:p>
        </w:tc>
        <w:tc>
          <w:tcPr>
            <w:tcW w:w="4814" w:type="dxa"/>
          </w:tcPr>
          <w:p w:rsidR="004550A3" w:rsidRPr="005A3D80" w:rsidRDefault="004550A3" w:rsidP="00215378">
            <w:pPr>
              <w:rPr>
                <w:sz w:val="24"/>
                <w:szCs w:val="24"/>
              </w:rPr>
            </w:pPr>
            <w:r>
              <w:rPr>
                <w:sz w:val="24"/>
                <w:szCs w:val="24"/>
              </w:rPr>
              <w:t>Eufori</w:t>
            </w:r>
          </w:p>
        </w:tc>
      </w:tr>
      <w:tr w:rsidR="005E4A22" w:rsidTr="006326E3">
        <w:tc>
          <w:tcPr>
            <w:tcW w:w="9628" w:type="dxa"/>
            <w:gridSpan w:val="2"/>
          </w:tcPr>
          <w:p w:rsidR="005E4A22" w:rsidRPr="005A3D80" w:rsidRDefault="005E4A22" w:rsidP="00215378">
            <w:pPr>
              <w:rPr>
                <w:sz w:val="24"/>
                <w:szCs w:val="24"/>
              </w:rPr>
            </w:pPr>
            <w:r w:rsidRPr="005A3D80">
              <w:rPr>
                <w:i/>
                <w:sz w:val="24"/>
                <w:szCs w:val="24"/>
              </w:rPr>
              <w:t>Øjne</w:t>
            </w:r>
          </w:p>
        </w:tc>
      </w:tr>
      <w:tr w:rsidR="004550A3" w:rsidTr="00362674">
        <w:tc>
          <w:tcPr>
            <w:tcW w:w="4814" w:type="dxa"/>
          </w:tcPr>
          <w:p w:rsidR="004550A3" w:rsidRPr="005A3D80" w:rsidRDefault="004550A3" w:rsidP="005E4A22">
            <w:pPr>
              <w:rPr>
                <w:sz w:val="24"/>
                <w:szCs w:val="24"/>
              </w:rPr>
            </w:pPr>
            <w:r w:rsidRPr="005A3D80">
              <w:rPr>
                <w:sz w:val="24"/>
                <w:szCs w:val="24"/>
              </w:rPr>
              <w:t>Almindelig (≥1/100 og &lt;1/10)</w:t>
            </w:r>
          </w:p>
        </w:tc>
        <w:tc>
          <w:tcPr>
            <w:tcW w:w="4814" w:type="dxa"/>
          </w:tcPr>
          <w:p w:rsidR="004550A3" w:rsidRPr="005A3D80" w:rsidRDefault="004550A3" w:rsidP="005E4A22">
            <w:pPr>
              <w:rPr>
                <w:sz w:val="24"/>
                <w:szCs w:val="24"/>
              </w:rPr>
            </w:pPr>
            <w:proofErr w:type="spellStart"/>
            <w:r w:rsidRPr="005A3D80">
              <w:rPr>
                <w:sz w:val="24"/>
                <w:szCs w:val="24"/>
              </w:rPr>
              <w:t>Miosis</w:t>
            </w:r>
            <w:proofErr w:type="spellEnd"/>
          </w:p>
        </w:tc>
      </w:tr>
      <w:tr w:rsidR="004550A3" w:rsidTr="00362674">
        <w:tc>
          <w:tcPr>
            <w:tcW w:w="4814" w:type="dxa"/>
          </w:tcPr>
          <w:p w:rsidR="004550A3" w:rsidRPr="005A3D80" w:rsidRDefault="004550A3" w:rsidP="004550A3">
            <w:pPr>
              <w:rPr>
                <w:sz w:val="24"/>
                <w:szCs w:val="24"/>
              </w:rPr>
            </w:pPr>
            <w:r w:rsidRPr="005A3D80">
              <w:rPr>
                <w:sz w:val="24"/>
                <w:szCs w:val="24"/>
              </w:rPr>
              <w:t>Meget sjælden (&lt;1/10.000)</w:t>
            </w:r>
          </w:p>
        </w:tc>
        <w:tc>
          <w:tcPr>
            <w:tcW w:w="4814" w:type="dxa"/>
          </w:tcPr>
          <w:p w:rsidR="004550A3" w:rsidRPr="005A3D80" w:rsidRDefault="004550A3" w:rsidP="00215378">
            <w:pPr>
              <w:rPr>
                <w:sz w:val="24"/>
                <w:szCs w:val="24"/>
              </w:rPr>
            </w:pPr>
            <w:r w:rsidRPr="005A3D80">
              <w:rPr>
                <w:sz w:val="24"/>
                <w:szCs w:val="24"/>
              </w:rPr>
              <w:t xml:space="preserve">Sløret syn, </w:t>
            </w:r>
            <w:proofErr w:type="spellStart"/>
            <w:r w:rsidRPr="005A3D80">
              <w:rPr>
                <w:sz w:val="24"/>
                <w:szCs w:val="24"/>
              </w:rPr>
              <w:t>diplopi</w:t>
            </w:r>
            <w:proofErr w:type="spellEnd"/>
            <w:r w:rsidRPr="005A3D80">
              <w:rPr>
                <w:sz w:val="24"/>
                <w:szCs w:val="24"/>
              </w:rPr>
              <w:t>, nystagmus</w:t>
            </w:r>
          </w:p>
        </w:tc>
      </w:tr>
      <w:tr w:rsidR="005E4A22" w:rsidTr="009A1E95">
        <w:tc>
          <w:tcPr>
            <w:tcW w:w="9628" w:type="dxa"/>
            <w:gridSpan w:val="2"/>
          </w:tcPr>
          <w:p w:rsidR="005E4A22" w:rsidRPr="005A3D80" w:rsidRDefault="005E4A22" w:rsidP="00215378">
            <w:pPr>
              <w:rPr>
                <w:sz w:val="24"/>
                <w:szCs w:val="24"/>
              </w:rPr>
            </w:pPr>
            <w:r w:rsidRPr="005A3D80">
              <w:rPr>
                <w:i/>
                <w:sz w:val="24"/>
                <w:szCs w:val="24"/>
              </w:rPr>
              <w:t>Hjerte</w:t>
            </w:r>
          </w:p>
        </w:tc>
      </w:tr>
      <w:tr w:rsidR="004550A3" w:rsidTr="00362674">
        <w:tc>
          <w:tcPr>
            <w:tcW w:w="4814" w:type="dxa"/>
          </w:tcPr>
          <w:p w:rsidR="004550A3" w:rsidRPr="005A3D80" w:rsidRDefault="004550A3" w:rsidP="004550A3">
            <w:pPr>
              <w:rPr>
                <w:sz w:val="24"/>
                <w:szCs w:val="24"/>
              </w:rPr>
            </w:pPr>
            <w:r w:rsidRPr="005A3D80">
              <w:rPr>
                <w:sz w:val="24"/>
                <w:szCs w:val="24"/>
              </w:rPr>
              <w:t>Ikke almindelig (≥1/1.000 til &lt;1/100)</w:t>
            </w:r>
          </w:p>
        </w:tc>
        <w:tc>
          <w:tcPr>
            <w:tcW w:w="4814" w:type="dxa"/>
          </w:tcPr>
          <w:p w:rsidR="004550A3" w:rsidRPr="005A3D80" w:rsidRDefault="004550A3" w:rsidP="00215378">
            <w:pPr>
              <w:rPr>
                <w:sz w:val="24"/>
                <w:szCs w:val="24"/>
              </w:rPr>
            </w:pPr>
            <w:proofErr w:type="spellStart"/>
            <w:r w:rsidRPr="005A3D80">
              <w:rPr>
                <w:sz w:val="24"/>
                <w:szCs w:val="24"/>
              </w:rPr>
              <w:t>Takykardi</w:t>
            </w:r>
            <w:proofErr w:type="spellEnd"/>
            <w:r w:rsidRPr="005A3D80">
              <w:rPr>
                <w:sz w:val="24"/>
                <w:szCs w:val="24"/>
              </w:rPr>
              <w:t>, bradykardi, hjertebanken, ansigtsrødmen</w:t>
            </w:r>
          </w:p>
        </w:tc>
      </w:tr>
      <w:tr w:rsidR="005E4A22" w:rsidTr="008B0C69">
        <w:tc>
          <w:tcPr>
            <w:tcW w:w="9628" w:type="dxa"/>
            <w:gridSpan w:val="2"/>
          </w:tcPr>
          <w:p w:rsidR="005E4A22" w:rsidRPr="005A3D80" w:rsidRDefault="005E4A22" w:rsidP="00215378">
            <w:pPr>
              <w:rPr>
                <w:sz w:val="24"/>
                <w:szCs w:val="24"/>
              </w:rPr>
            </w:pPr>
            <w:r w:rsidRPr="005A3D80">
              <w:rPr>
                <w:i/>
                <w:noProof/>
                <w:sz w:val="24"/>
                <w:szCs w:val="24"/>
              </w:rPr>
              <w:t>Vaskulære sygdomme</w:t>
            </w:r>
          </w:p>
        </w:tc>
      </w:tr>
      <w:tr w:rsidR="004550A3" w:rsidTr="00362674">
        <w:tc>
          <w:tcPr>
            <w:tcW w:w="4814" w:type="dxa"/>
          </w:tcPr>
          <w:p w:rsidR="004550A3" w:rsidRPr="005A3D80" w:rsidRDefault="004550A3" w:rsidP="004550A3">
            <w:pPr>
              <w:rPr>
                <w:sz w:val="24"/>
                <w:szCs w:val="24"/>
              </w:rPr>
            </w:pPr>
            <w:r w:rsidRPr="005A3D80">
              <w:rPr>
                <w:sz w:val="24"/>
                <w:szCs w:val="24"/>
              </w:rPr>
              <w:t>Sjælden (≥1/10.000 til &lt;1/1.000)</w:t>
            </w:r>
          </w:p>
        </w:tc>
        <w:tc>
          <w:tcPr>
            <w:tcW w:w="4814" w:type="dxa"/>
          </w:tcPr>
          <w:p w:rsidR="004550A3" w:rsidRPr="005A3D80" w:rsidRDefault="004550A3" w:rsidP="00215378">
            <w:pPr>
              <w:rPr>
                <w:sz w:val="24"/>
                <w:szCs w:val="24"/>
              </w:rPr>
            </w:pPr>
            <w:proofErr w:type="spellStart"/>
            <w:r w:rsidRPr="005A3D80">
              <w:rPr>
                <w:sz w:val="24"/>
                <w:szCs w:val="24"/>
              </w:rPr>
              <w:t>Ortostatisk</w:t>
            </w:r>
            <w:proofErr w:type="spellEnd"/>
            <w:r w:rsidRPr="005A3D80">
              <w:rPr>
                <w:sz w:val="24"/>
                <w:szCs w:val="24"/>
              </w:rPr>
              <w:t xml:space="preserve"> hypotension</w:t>
            </w:r>
          </w:p>
        </w:tc>
      </w:tr>
      <w:tr w:rsidR="005E4A22" w:rsidTr="00D64D94">
        <w:tc>
          <w:tcPr>
            <w:tcW w:w="9628" w:type="dxa"/>
            <w:gridSpan w:val="2"/>
          </w:tcPr>
          <w:p w:rsidR="005E4A22" w:rsidRPr="005A3D80" w:rsidRDefault="005E4A22" w:rsidP="00215378">
            <w:pPr>
              <w:rPr>
                <w:sz w:val="24"/>
                <w:szCs w:val="24"/>
              </w:rPr>
            </w:pPr>
            <w:r w:rsidRPr="005A3D80">
              <w:rPr>
                <w:i/>
                <w:sz w:val="24"/>
                <w:szCs w:val="24"/>
              </w:rPr>
              <w:t xml:space="preserve">Luftveje, thorax og </w:t>
            </w:r>
            <w:proofErr w:type="spellStart"/>
            <w:r w:rsidRPr="005A3D80">
              <w:rPr>
                <w:i/>
                <w:sz w:val="24"/>
                <w:szCs w:val="24"/>
              </w:rPr>
              <w:t>mediastinum</w:t>
            </w:r>
            <w:proofErr w:type="spellEnd"/>
          </w:p>
        </w:tc>
      </w:tr>
      <w:tr w:rsidR="004550A3" w:rsidTr="00362674">
        <w:tc>
          <w:tcPr>
            <w:tcW w:w="4814" w:type="dxa"/>
          </w:tcPr>
          <w:p w:rsidR="004550A3" w:rsidRPr="005A3D80" w:rsidRDefault="004550A3" w:rsidP="004550A3">
            <w:pPr>
              <w:rPr>
                <w:i/>
                <w:sz w:val="24"/>
                <w:szCs w:val="24"/>
              </w:rPr>
            </w:pPr>
            <w:r w:rsidRPr="005A3D80">
              <w:rPr>
                <w:sz w:val="24"/>
                <w:szCs w:val="24"/>
              </w:rPr>
              <w:t>Almindelig (≥1/100 og &lt;1/10)</w:t>
            </w:r>
          </w:p>
        </w:tc>
        <w:tc>
          <w:tcPr>
            <w:tcW w:w="4814" w:type="dxa"/>
          </w:tcPr>
          <w:p w:rsidR="004550A3" w:rsidRPr="005A3D80" w:rsidRDefault="004550A3" w:rsidP="00215378">
            <w:pPr>
              <w:rPr>
                <w:sz w:val="24"/>
                <w:szCs w:val="24"/>
              </w:rPr>
            </w:pPr>
            <w:proofErr w:type="spellStart"/>
            <w:r w:rsidRPr="005A3D80">
              <w:rPr>
                <w:sz w:val="24"/>
                <w:szCs w:val="24"/>
              </w:rPr>
              <w:t>Bronkospasme</w:t>
            </w:r>
            <w:proofErr w:type="spellEnd"/>
            <w:r w:rsidRPr="005A3D80">
              <w:rPr>
                <w:sz w:val="24"/>
                <w:szCs w:val="24"/>
              </w:rPr>
              <w:t>, nedsat hosterefleks</w:t>
            </w:r>
          </w:p>
        </w:tc>
      </w:tr>
      <w:tr w:rsidR="004550A3" w:rsidTr="00362674">
        <w:tc>
          <w:tcPr>
            <w:tcW w:w="4814" w:type="dxa"/>
          </w:tcPr>
          <w:p w:rsidR="004550A3" w:rsidRPr="005A3D80" w:rsidRDefault="004550A3" w:rsidP="005E4A22">
            <w:pPr>
              <w:rPr>
                <w:i/>
                <w:sz w:val="24"/>
                <w:szCs w:val="24"/>
              </w:rPr>
            </w:pPr>
            <w:r w:rsidRPr="005A3D80">
              <w:rPr>
                <w:sz w:val="24"/>
                <w:szCs w:val="24"/>
              </w:rPr>
              <w:t>Ikke almindelig (≥1/1.000 til &lt;1/100)</w:t>
            </w:r>
          </w:p>
        </w:tc>
        <w:tc>
          <w:tcPr>
            <w:tcW w:w="4814" w:type="dxa"/>
          </w:tcPr>
          <w:p w:rsidR="004550A3" w:rsidRPr="005A3D80" w:rsidRDefault="004550A3" w:rsidP="005E4A22">
            <w:pPr>
              <w:rPr>
                <w:sz w:val="24"/>
                <w:szCs w:val="24"/>
              </w:rPr>
            </w:pPr>
            <w:r w:rsidRPr="005A3D80">
              <w:rPr>
                <w:sz w:val="24"/>
                <w:szCs w:val="24"/>
              </w:rPr>
              <w:t>Respirationssvækkelse</w:t>
            </w:r>
          </w:p>
        </w:tc>
      </w:tr>
      <w:tr w:rsidR="004550A3" w:rsidTr="00362674">
        <w:tc>
          <w:tcPr>
            <w:tcW w:w="4814" w:type="dxa"/>
          </w:tcPr>
          <w:p w:rsidR="004550A3" w:rsidRPr="005A3D80" w:rsidRDefault="004550A3" w:rsidP="005E4A22">
            <w:pPr>
              <w:rPr>
                <w:i/>
                <w:sz w:val="24"/>
                <w:szCs w:val="24"/>
              </w:rPr>
            </w:pPr>
            <w:r w:rsidRPr="005A3D80">
              <w:rPr>
                <w:sz w:val="24"/>
                <w:szCs w:val="24"/>
              </w:rPr>
              <w:t>Sjælden (≥1/10.000 til &lt;1/1.000)</w:t>
            </w:r>
          </w:p>
        </w:tc>
        <w:tc>
          <w:tcPr>
            <w:tcW w:w="4814" w:type="dxa"/>
          </w:tcPr>
          <w:p w:rsidR="004550A3" w:rsidRPr="005A3D80" w:rsidRDefault="004550A3" w:rsidP="005E4A22">
            <w:pPr>
              <w:rPr>
                <w:sz w:val="24"/>
                <w:szCs w:val="24"/>
              </w:rPr>
            </w:pPr>
            <w:r w:rsidRPr="005A3D80">
              <w:rPr>
                <w:sz w:val="24"/>
                <w:szCs w:val="24"/>
              </w:rPr>
              <w:t>Dyspnø</w:t>
            </w:r>
          </w:p>
        </w:tc>
      </w:tr>
      <w:tr w:rsidR="004550A3" w:rsidTr="00362674">
        <w:tc>
          <w:tcPr>
            <w:tcW w:w="4814" w:type="dxa"/>
          </w:tcPr>
          <w:p w:rsidR="004550A3" w:rsidRPr="005A3D80" w:rsidRDefault="004550A3" w:rsidP="004550A3">
            <w:pPr>
              <w:rPr>
                <w:i/>
                <w:sz w:val="24"/>
                <w:szCs w:val="24"/>
              </w:rPr>
            </w:pPr>
            <w:r w:rsidRPr="005A3D80">
              <w:rPr>
                <w:sz w:val="24"/>
                <w:szCs w:val="24"/>
              </w:rPr>
              <w:t>Ikke kendt (kan ikke estimeres ud fra de tilgængelige data)</w:t>
            </w:r>
          </w:p>
        </w:tc>
        <w:tc>
          <w:tcPr>
            <w:tcW w:w="4814" w:type="dxa"/>
          </w:tcPr>
          <w:p w:rsidR="004550A3" w:rsidRPr="005A3D80" w:rsidRDefault="004550A3" w:rsidP="00215378">
            <w:pPr>
              <w:rPr>
                <w:sz w:val="24"/>
                <w:szCs w:val="24"/>
              </w:rPr>
            </w:pPr>
            <w:r w:rsidRPr="005A3D80">
              <w:rPr>
                <w:sz w:val="24"/>
                <w:szCs w:val="24"/>
              </w:rPr>
              <w:t>Central søvnapnø-syndrom</w:t>
            </w:r>
          </w:p>
        </w:tc>
      </w:tr>
      <w:tr w:rsidR="005E4A22" w:rsidTr="004F122A">
        <w:tc>
          <w:tcPr>
            <w:tcW w:w="9628" w:type="dxa"/>
            <w:gridSpan w:val="2"/>
          </w:tcPr>
          <w:p w:rsidR="005E4A22" w:rsidRPr="005A3D80" w:rsidRDefault="005E4A22" w:rsidP="00215378">
            <w:pPr>
              <w:rPr>
                <w:sz w:val="24"/>
                <w:szCs w:val="24"/>
              </w:rPr>
            </w:pPr>
            <w:r w:rsidRPr="005A3D80">
              <w:rPr>
                <w:i/>
                <w:sz w:val="24"/>
                <w:szCs w:val="24"/>
              </w:rPr>
              <w:t>Mave-tarm</w:t>
            </w:r>
            <w:r>
              <w:rPr>
                <w:i/>
                <w:sz w:val="24"/>
                <w:szCs w:val="24"/>
              </w:rPr>
              <w:t>-</w:t>
            </w:r>
            <w:r w:rsidRPr="005A3D80">
              <w:rPr>
                <w:i/>
                <w:sz w:val="24"/>
                <w:szCs w:val="24"/>
              </w:rPr>
              <w:t>kanalen</w:t>
            </w:r>
          </w:p>
        </w:tc>
      </w:tr>
      <w:tr w:rsidR="004550A3" w:rsidTr="00362674">
        <w:tc>
          <w:tcPr>
            <w:tcW w:w="4814" w:type="dxa"/>
          </w:tcPr>
          <w:p w:rsidR="004550A3" w:rsidRPr="005A3D80" w:rsidRDefault="004550A3" w:rsidP="004550A3">
            <w:pPr>
              <w:rPr>
                <w:i/>
                <w:sz w:val="24"/>
                <w:szCs w:val="24"/>
              </w:rPr>
            </w:pPr>
            <w:r w:rsidRPr="005A3D80">
              <w:rPr>
                <w:sz w:val="24"/>
                <w:szCs w:val="24"/>
              </w:rPr>
              <w:t>Meget almindelige (≥1/10)</w:t>
            </w:r>
          </w:p>
        </w:tc>
        <w:tc>
          <w:tcPr>
            <w:tcW w:w="4814" w:type="dxa"/>
          </w:tcPr>
          <w:p w:rsidR="004550A3" w:rsidRPr="005A3D80" w:rsidRDefault="004550A3" w:rsidP="00215378">
            <w:pPr>
              <w:rPr>
                <w:sz w:val="24"/>
                <w:szCs w:val="24"/>
              </w:rPr>
            </w:pPr>
            <w:r w:rsidRPr="005A3D80">
              <w:rPr>
                <w:sz w:val="24"/>
                <w:szCs w:val="24"/>
              </w:rPr>
              <w:t>Obstipation, mundtørhed</w:t>
            </w:r>
          </w:p>
        </w:tc>
      </w:tr>
      <w:tr w:rsidR="004550A3" w:rsidTr="00362674">
        <w:tc>
          <w:tcPr>
            <w:tcW w:w="4814" w:type="dxa"/>
          </w:tcPr>
          <w:p w:rsidR="004550A3" w:rsidRPr="005A3D80" w:rsidRDefault="004550A3" w:rsidP="005E4A22">
            <w:pPr>
              <w:rPr>
                <w:i/>
                <w:sz w:val="24"/>
                <w:szCs w:val="24"/>
              </w:rPr>
            </w:pPr>
            <w:r w:rsidRPr="005A3D80">
              <w:rPr>
                <w:sz w:val="24"/>
                <w:szCs w:val="24"/>
              </w:rPr>
              <w:t>Almindelig (≥1/100 og &lt;1/10)</w:t>
            </w:r>
          </w:p>
        </w:tc>
        <w:tc>
          <w:tcPr>
            <w:tcW w:w="4814" w:type="dxa"/>
          </w:tcPr>
          <w:p w:rsidR="004550A3" w:rsidRPr="005A3D80" w:rsidRDefault="004550A3" w:rsidP="005E4A22">
            <w:pPr>
              <w:rPr>
                <w:sz w:val="24"/>
                <w:szCs w:val="24"/>
              </w:rPr>
            </w:pPr>
            <w:r w:rsidRPr="005A3D80">
              <w:rPr>
                <w:sz w:val="24"/>
                <w:szCs w:val="24"/>
              </w:rPr>
              <w:t xml:space="preserve">Kvalme og opkastning, tab af appetit, dyspepsi, </w:t>
            </w:r>
            <w:proofErr w:type="spellStart"/>
            <w:r w:rsidRPr="005A3D80">
              <w:rPr>
                <w:sz w:val="24"/>
                <w:szCs w:val="24"/>
              </w:rPr>
              <w:t>dysgeusi</w:t>
            </w:r>
            <w:proofErr w:type="spellEnd"/>
          </w:p>
        </w:tc>
      </w:tr>
      <w:tr w:rsidR="004550A3" w:rsidTr="00362674">
        <w:tc>
          <w:tcPr>
            <w:tcW w:w="4814" w:type="dxa"/>
          </w:tcPr>
          <w:p w:rsidR="004550A3" w:rsidRPr="005A3D80" w:rsidRDefault="004550A3" w:rsidP="005E4A22">
            <w:pPr>
              <w:rPr>
                <w:i/>
                <w:sz w:val="24"/>
                <w:szCs w:val="24"/>
              </w:rPr>
            </w:pPr>
            <w:r w:rsidRPr="005A3D80">
              <w:rPr>
                <w:sz w:val="24"/>
                <w:szCs w:val="24"/>
              </w:rPr>
              <w:t>Sjælden (≥1/10.000 til &lt;1/1.000)</w:t>
            </w:r>
          </w:p>
        </w:tc>
        <w:tc>
          <w:tcPr>
            <w:tcW w:w="4814" w:type="dxa"/>
          </w:tcPr>
          <w:p w:rsidR="004550A3" w:rsidRPr="005A3D80" w:rsidRDefault="004550A3" w:rsidP="005E4A22">
            <w:pPr>
              <w:rPr>
                <w:sz w:val="24"/>
                <w:szCs w:val="24"/>
              </w:rPr>
            </w:pPr>
            <w:r w:rsidRPr="005A3D80">
              <w:rPr>
                <w:sz w:val="24"/>
                <w:szCs w:val="24"/>
              </w:rPr>
              <w:t xml:space="preserve">Stigning i </w:t>
            </w:r>
            <w:proofErr w:type="spellStart"/>
            <w:r w:rsidRPr="005A3D80">
              <w:rPr>
                <w:sz w:val="24"/>
                <w:szCs w:val="24"/>
              </w:rPr>
              <w:t>pancreaseenzymer</w:t>
            </w:r>
            <w:proofErr w:type="spellEnd"/>
            <w:r w:rsidRPr="005A3D80">
              <w:rPr>
                <w:sz w:val="24"/>
                <w:szCs w:val="24"/>
              </w:rPr>
              <w:t xml:space="preserve"> og </w:t>
            </w:r>
            <w:proofErr w:type="spellStart"/>
            <w:r w:rsidRPr="005A3D80">
              <w:rPr>
                <w:sz w:val="24"/>
                <w:szCs w:val="24"/>
              </w:rPr>
              <w:t>pancreatitis</w:t>
            </w:r>
            <w:proofErr w:type="spellEnd"/>
          </w:p>
        </w:tc>
      </w:tr>
      <w:tr w:rsidR="004550A3" w:rsidTr="00362674">
        <w:tc>
          <w:tcPr>
            <w:tcW w:w="4814" w:type="dxa"/>
          </w:tcPr>
          <w:p w:rsidR="004550A3" w:rsidRPr="005A3D80" w:rsidRDefault="004550A3" w:rsidP="005E4A22">
            <w:pPr>
              <w:rPr>
                <w:i/>
                <w:sz w:val="24"/>
                <w:szCs w:val="24"/>
              </w:rPr>
            </w:pPr>
            <w:r w:rsidRPr="005A3D80">
              <w:rPr>
                <w:sz w:val="24"/>
                <w:szCs w:val="24"/>
              </w:rPr>
              <w:t>Meget sjælden (&lt;1/10.000)</w:t>
            </w:r>
          </w:p>
        </w:tc>
        <w:tc>
          <w:tcPr>
            <w:tcW w:w="4814" w:type="dxa"/>
          </w:tcPr>
          <w:p w:rsidR="004550A3" w:rsidRPr="005A3D80" w:rsidRDefault="004550A3" w:rsidP="005E4A22">
            <w:pPr>
              <w:rPr>
                <w:sz w:val="24"/>
                <w:szCs w:val="24"/>
              </w:rPr>
            </w:pPr>
            <w:proofErr w:type="spellStart"/>
            <w:r w:rsidRPr="005A3D80">
              <w:rPr>
                <w:sz w:val="24"/>
                <w:szCs w:val="24"/>
              </w:rPr>
              <w:t>Ileus</w:t>
            </w:r>
            <w:proofErr w:type="spellEnd"/>
            <w:r w:rsidRPr="005A3D80">
              <w:rPr>
                <w:sz w:val="24"/>
                <w:szCs w:val="24"/>
              </w:rPr>
              <w:t>, mavesmerter</w:t>
            </w:r>
          </w:p>
        </w:tc>
      </w:tr>
      <w:tr w:rsidR="004550A3" w:rsidTr="00362674">
        <w:tc>
          <w:tcPr>
            <w:tcW w:w="4814" w:type="dxa"/>
          </w:tcPr>
          <w:p w:rsidR="004550A3" w:rsidRPr="005A3D80" w:rsidRDefault="004550A3" w:rsidP="004550A3">
            <w:pPr>
              <w:rPr>
                <w:i/>
                <w:sz w:val="24"/>
                <w:szCs w:val="24"/>
              </w:rPr>
            </w:pPr>
            <w:r w:rsidRPr="005A3D80">
              <w:rPr>
                <w:sz w:val="24"/>
                <w:szCs w:val="24"/>
              </w:rPr>
              <w:t>Ikke kendt (kan ikke estimeres ud fra de tilgængelige data)</w:t>
            </w:r>
          </w:p>
        </w:tc>
        <w:tc>
          <w:tcPr>
            <w:tcW w:w="4814" w:type="dxa"/>
          </w:tcPr>
          <w:p w:rsidR="004550A3" w:rsidRPr="005A3D80" w:rsidRDefault="004550A3" w:rsidP="00215378">
            <w:pPr>
              <w:rPr>
                <w:sz w:val="24"/>
                <w:szCs w:val="24"/>
              </w:rPr>
            </w:pPr>
            <w:proofErr w:type="spellStart"/>
            <w:r w:rsidRPr="005A3D80">
              <w:rPr>
                <w:sz w:val="24"/>
                <w:szCs w:val="24"/>
              </w:rPr>
              <w:t>Pancreatitis</w:t>
            </w:r>
            <w:proofErr w:type="spellEnd"/>
          </w:p>
        </w:tc>
      </w:tr>
      <w:tr w:rsidR="005E4A22" w:rsidTr="00B51AB1">
        <w:tc>
          <w:tcPr>
            <w:tcW w:w="9628" w:type="dxa"/>
            <w:gridSpan w:val="2"/>
          </w:tcPr>
          <w:p w:rsidR="005E4A22" w:rsidRPr="005A3D80" w:rsidRDefault="005E4A22" w:rsidP="00215378">
            <w:pPr>
              <w:rPr>
                <w:sz w:val="24"/>
                <w:szCs w:val="24"/>
              </w:rPr>
            </w:pPr>
            <w:r w:rsidRPr="005A3D80">
              <w:rPr>
                <w:i/>
                <w:noProof/>
                <w:sz w:val="24"/>
                <w:szCs w:val="24"/>
              </w:rPr>
              <w:t>Lever og galdeveje</w:t>
            </w:r>
          </w:p>
        </w:tc>
      </w:tr>
      <w:tr w:rsidR="004550A3" w:rsidTr="00362674">
        <w:tc>
          <w:tcPr>
            <w:tcW w:w="4814" w:type="dxa"/>
          </w:tcPr>
          <w:p w:rsidR="004550A3" w:rsidRPr="005A3D80" w:rsidRDefault="004550A3" w:rsidP="005E4A22">
            <w:pPr>
              <w:rPr>
                <w:i/>
                <w:sz w:val="24"/>
                <w:szCs w:val="24"/>
              </w:rPr>
            </w:pPr>
            <w:r w:rsidRPr="005A3D80">
              <w:rPr>
                <w:sz w:val="24"/>
                <w:szCs w:val="24"/>
              </w:rPr>
              <w:t>Ikke almindelig (≥1/1.000 til &lt;1/100)</w:t>
            </w:r>
          </w:p>
        </w:tc>
        <w:tc>
          <w:tcPr>
            <w:tcW w:w="4814" w:type="dxa"/>
          </w:tcPr>
          <w:p w:rsidR="004550A3" w:rsidRPr="005A3D80" w:rsidRDefault="004550A3" w:rsidP="005E4A22">
            <w:pPr>
              <w:rPr>
                <w:sz w:val="24"/>
                <w:szCs w:val="24"/>
              </w:rPr>
            </w:pPr>
            <w:r w:rsidRPr="005A3D80">
              <w:rPr>
                <w:sz w:val="24"/>
                <w:szCs w:val="24"/>
              </w:rPr>
              <w:t xml:space="preserve">Forhøjede levertal </w:t>
            </w:r>
          </w:p>
        </w:tc>
      </w:tr>
      <w:tr w:rsidR="004550A3" w:rsidTr="00362674">
        <w:tc>
          <w:tcPr>
            <w:tcW w:w="4814" w:type="dxa"/>
          </w:tcPr>
          <w:p w:rsidR="004550A3" w:rsidRPr="005A3D80" w:rsidRDefault="004550A3" w:rsidP="005E4A22">
            <w:pPr>
              <w:rPr>
                <w:i/>
                <w:sz w:val="24"/>
                <w:szCs w:val="24"/>
              </w:rPr>
            </w:pPr>
            <w:r w:rsidRPr="005A3D80">
              <w:rPr>
                <w:sz w:val="24"/>
                <w:szCs w:val="24"/>
              </w:rPr>
              <w:t>Sjælden (≥1/10.000 til &lt;1/1.000)</w:t>
            </w:r>
          </w:p>
        </w:tc>
        <w:tc>
          <w:tcPr>
            <w:tcW w:w="4814" w:type="dxa"/>
          </w:tcPr>
          <w:p w:rsidR="004550A3" w:rsidRPr="005A3D80" w:rsidRDefault="004550A3" w:rsidP="005E4A22">
            <w:pPr>
              <w:rPr>
                <w:sz w:val="24"/>
                <w:szCs w:val="24"/>
              </w:rPr>
            </w:pPr>
            <w:r w:rsidRPr="005A3D80">
              <w:rPr>
                <w:sz w:val="24"/>
                <w:szCs w:val="24"/>
              </w:rPr>
              <w:t>Galdestenskolik</w:t>
            </w:r>
          </w:p>
        </w:tc>
      </w:tr>
      <w:tr w:rsidR="004550A3" w:rsidTr="00362674">
        <w:tc>
          <w:tcPr>
            <w:tcW w:w="4814" w:type="dxa"/>
          </w:tcPr>
          <w:p w:rsidR="004550A3" w:rsidRPr="005A3D80" w:rsidRDefault="004550A3" w:rsidP="004550A3">
            <w:pPr>
              <w:rPr>
                <w:i/>
                <w:sz w:val="24"/>
                <w:szCs w:val="24"/>
              </w:rPr>
            </w:pPr>
            <w:r w:rsidRPr="005A3D80">
              <w:rPr>
                <w:sz w:val="24"/>
                <w:szCs w:val="24"/>
              </w:rPr>
              <w:t>Ikke kendt (kan ikke estimeres ud fra de tilgængelige data)</w:t>
            </w:r>
          </w:p>
        </w:tc>
        <w:tc>
          <w:tcPr>
            <w:tcW w:w="4814" w:type="dxa"/>
          </w:tcPr>
          <w:p w:rsidR="004550A3" w:rsidRPr="005A3D80" w:rsidRDefault="004550A3" w:rsidP="00215378">
            <w:pPr>
              <w:rPr>
                <w:sz w:val="24"/>
                <w:szCs w:val="24"/>
              </w:rPr>
            </w:pPr>
            <w:r w:rsidRPr="005A3D80">
              <w:rPr>
                <w:sz w:val="24"/>
                <w:szCs w:val="24"/>
              </w:rPr>
              <w:t xml:space="preserve">Spasmer i </w:t>
            </w:r>
            <w:proofErr w:type="spellStart"/>
            <w:r w:rsidRPr="005A3D80">
              <w:rPr>
                <w:sz w:val="24"/>
                <w:szCs w:val="24"/>
              </w:rPr>
              <w:t>sphincter</w:t>
            </w:r>
            <w:proofErr w:type="spellEnd"/>
            <w:r w:rsidRPr="005A3D80">
              <w:rPr>
                <w:sz w:val="24"/>
                <w:szCs w:val="24"/>
              </w:rPr>
              <w:t xml:space="preserve"> </w:t>
            </w:r>
            <w:proofErr w:type="spellStart"/>
            <w:r w:rsidRPr="005A3D80">
              <w:rPr>
                <w:sz w:val="24"/>
                <w:szCs w:val="24"/>
              </w:rPr>
              <w:t>Oddi</w:t>
            </w:r>
            <w:proofErr w:type="spellEnd"/>
          </w:p>
        </w:tc>
      </w:tr>
      <w:tr w:rsidR="005E4A22" w:rsidTr="00834DE8">
        <w:tc>
          <w:tcPr>
            <w:tcW w:w="9628" w:type="dxa"/>
            <w:gridSpan w:val="2"/>
          </w:tcPr>
          <w:p w:rsidR="005E4A22" w:rsidRPr="005A3D80" w:rsidRDefault="005E4A22" w:rsidP="00215378">
            <w:pPr>
              <w:rPr>
                <w:sz w:val="24"/>
                <w:szCs w:val="24"/>
              </w:rPr>
            </w:pPr>
            <w:r w:rsidRPr="005A3D80">
              <w:rPr>
                <w:i/>
                <w:sz w:val="24"/>
                <w:szCs w:val="24"/>
              </w:rPr>
              <w:t>Hud og subkutane væv</w:t>
            </w:r>
          </w:p>
        </w:tc>
      </w:tr>
      <w:tr w:rsidR="004550A3" w:rsidTr="00362674">
        <w:tc>
          <w:tcPr>
            <w:tcW w:w="4814" w:type="dxa"/>
          </w:tcPr>
          <w:p w:rsidR="004550A3" w:rsidRPr="005A3D80" w:rsidRDefault="004550A3" w:rsidP="005E4A22">
            <w:pPr>
              <w:rPr>
                <w:i/>
                <w:sz w:val="24"/>
                <w:szCs w:val="24"/>
              </w:rPr>
            </w:pPr>
            <w:r w:rsidRPr="005A3D80">
              <w:rPr>
                <w:sz w:val="24"/>
                <w:szCs w:val="24"/>
              </w:rPr>
              <w:t>Almindelig (≥1/100 og &lt;1/10)</w:t>
            </w:r>
          </w:p>
        </w:tc>
        <w:tc>
          <w:tcPr>
            <w:tcW w:w="4814" w:type="dxa"/>
          </w:tcPr>
          <w:p w:rsidR="004550A3" w:rsidRPr="005A3D80" w:rsidRDefault="005E4A22" w:rsidP="005E4A22">
            <w:pPr>
              <w:rPr>
                <w:sz w:val="24"/>
                <w:szCs w:val="24"/>
              </w:rPr>
            </w:pPr>
            <w:proofErr w:type="spellStart"/>
            <w:r w:rsidRPr="005A3D80">
              <w:rPr>
                <w:sz w:val="24"/>
                <w:szCs w:val="24"/>
              </w:rPr>
              <w:t>Urticaria</w:t>
            </w:r>
            <w:proofErr w:type="spellEnd"/>
            <w:r w:rsidRPr="005A3D80">
              <w:rPr>
                <w:sz w:val="24"/>
                <w:szCs w:val="24"/>
              </w:rPr>
              <w:t>, svedtendens</w:t>
            </w:r>
          </w:p>
        </w:tc>
      </w:tr>
      <w:tr w:rsidR="004550A3" w:rsidTr="00362674">
        <w:tc>
          <w:tcPr>
            <w:tcW w:w="4814" w:type="dxa"/>
          </w:tcPr>
          <w:p w:rsidR="004550A3" w:rsidRPr="005A3D80" w:rsidRDefault="004550A3" w:rsidP="005E4A22">
            <w:pPr>
              <w:rPr>
                <w:i/>
                <w:sz w:val="24"/>
                <w:szCs w:val="24"/>
              </w:rPr>
            </w:pPr>
            <w:r w:rsidRPr="005A3D80">
              <w:rPr>
                <w:sz w:val="24"/>
                <w:szCs w:val="24"/>
              </w:rPr>
              <w:t>Ikke almindelig (≥1/1.000 til &lt;1/100)</w:t>
            </w:r>
          </w:p>
        </w:tc>
        <w:tc>
          <w:tcPr>
            <w:tcW w:w="4814" w:type="dxa"/>
          </w:tcPr>
          <w:p w:rsidR="004550A3" w:rsidRPr="005A3D80" w:rsidRDefault="005E4A22" w:rsidP="005E4A22">
            <w:pPr>
              <w:rPr>
                <w:sz w:val="24"/>
                <w:szCs w:val="24"/>
              </w:rPr>
            </w:pPr>
            <w:r w:rsidRPr="005A3D80">
              <w:rPr>
                <w:sz w:val="24"/>
                <w:szCs w:val="24"/>
              </w:rPr>
              <w:t>Kløe</w:t>
            </w:r>
          </w:p>
        </w:tc>
      </w:tr>
      <w:tr w:rsidR="004550A3" w:rsidTr="00362674">
        <w:tc>
          <w:tcPr>
            <w:tcW w:w="4814" w:type="dxa"/>
          </w:tcPr>
          <w:p w:rsidR="004550A3" w:rsidRPr="005A3D80" w:rsidRDefault="005E4A22" w:rsidP="005E4A22">
            <w:pPr>
              <w:rPr>
                <w:sz w:val="24"/>
                <w:szCs w:val="24"/>
              </w:rPr>
            </w:pPr>
            <w:r w:rsidRPr="005A3D80">
              <w:rPr>
                <w:sz w:val="24"/>
                <w:szCs w:val="24"/>
              </w:rPr>
              <w:t>Meget sjælden (&lt;1/10.000)</w:t>
            </w:r>
          </w:p>
        </w:tc>
        <w:tc>
          <w:tcPr>
            <w:tcW w:w="4814" w:type="dxa"/>
          </w:tcPr>
          <w:p w:rsidR="004550A3" w:rsidRPr="005A3D80" w:rsidRDefault="005E4A22" w:rsidP="005E4A22">
            <w:pPr>
              <w:rPr>
                <w:sz w:val="24"/>
                <w:szCs w:val="24"/>
              </w:rPr>
            </w:pPr>
            <w:proofErr w:type="spellStart"/>
            <w:r w:rsidRPr="005A3D80">
              <w:rPr>
                <w:sz w:val="24"/>
                <w:szCs w:val="24"/>
              </w:rPr>
              <w:t>Exanthema</w:t>
            </w:r>
            <w:proofErr w:type="spellEnd"/>
            <w:r w:rsidRPr="005A3D80">
              <w:rPr>
                <w:sz w:val="24"/>
                <w:szCs w:val="24"/>
              </w:rPr>
              <w:t>, perifert ødem</w:t>
            </w:r>
          </w:p>
        </w:tc>
      </w:tr>
      <w:tr w:rsidR="005E4A22" w:rsidTr="00362674">
        <w:tc>
          <w:tcPr>
            <w:tcW w:w="4814" w:type="dxa"/>
          </w:tcPr>
          <w:p w:rsidR="005E4A22" w:rsidRPr="005A3D80" w:rsidRDefault="005E4A22" w:rsidP="004550A3">
            <w:pPr>
              <w:rPr>
                <w:i/>
                <w:sz w:val="24"/>
                <w:szCs w:val="24"/>
              </w:rPr>
            </w:pPr>
            <w:r w:rsidRPr="005A3D80">
              <w:rPr>
                <w:sz w:val="24"/>
                <w:szCs w:val="24"/>
              </w:rPr>
              <w:t>Ikke kendt (kan ikke estimeres ud fra de tilgængelige data)</w:t>
            </w:r>
          </w:p>
        </w:tc>
        <w:tc>
          <w:tcPr>
            <w:tcW w:w="4814" w:type="dxa"/>
          </w:tcPr>
          <w:p w:rsidR="005E4A22" w:rsidRPr="005A3D80" w:rsidRDefault="005E4A22" w:rsidP="00215378">
            <w:pPr>
              <w:rPr>
                <w:sz w:val="24"/>
                <w:szCs w:val="24"/>
              </w:rPr>
            </w:pPr>
            <w:r w:rsidRPr="005A3D80">
              <w:rPr>
                <w:sz w:val="24"/>
                <w:szCs w:val="24"/>
              </w:rPr>
              <w:t xml:space="preserve">Akut generaliseret </w:t>
            </w:r>
            <w:proofErr w:type="spellStart"/>
            <w:r w:rsidRPr="005A3D80">
              <w:rPr>
                <w:sz w:val="24"/>
                <w:szCs w:val="24"/>
              </w:rPr>
              <w:t>eksantematøs</w:t>
            </w:r>
            <w:proofErr w:type="spellEnd"/>
            <w:r w:rsidRPr="005A3D80">
              <w:rPr>
                <w:sz w:val="24"/>
                <w:szCs w:val="24"/>
              </w:rPr>
              <w:t xml:space="preserve"> </w:t>
            </w:r>
            <w:proofErr w:type="spellStart"/>
            <w:r w:rsidRPr="005A3D80">
              <w:rPr>
                <w:sz w:val="24"/>
                <w:szCs w:val="24"/>
              </w:rPr>
              <w:t>pustulose</w:t>
            </w:r>
            <w:proofErr w:type="spellEnd"/>
            <w:r w:rsidRPr="005A3D80">
              <w:rPr>
                <w:sz w:val="24"/>
                <w:szCs w:val="24"/>
              </w:rPr>
              <w:t xml:space="preserve"> (AGEP)</w:t>
            </w:r>
          </w:p>
        </w:tc>
      </w:tr>
      <w:tr w:rsidR="005E4A22" w:rsidTr="00ED08FC">
        <w:tc>
          <w:tcPr>
            <w:tcW w:w="9628" w:type="dxa"/>
            <w:gridSpan w:val="2"/>
          </w:tcPr>
          <w:p w:rsidR="005E4A22" w:rsidRPr="005A3D80" w:rsidRDefault="005E4A22" w:rsidP="00215378">
            <w:pPr>
              <w:rPr>
                <w:sz w:val="24"/>
                <w:szCs w:val="24"/>
              </w:rPr>
            </w:pPr>
            <w:r w:rsidRPr="005A3D80">
              <w:rPr>
                <w:i/>
                <w:sz w:val="24"/>
                <w:szCs w:val="24"/>
              </w:rPr>
              <w:t>Knogler, led, muskler og bindevæv</w:t>
            </w:r>
          </w:p>
        </w:tc>
      </w:tr>
      <w:tr w:rsidR="004550A3" w:rsidTr="00362674">
        <w:tc>
          <w:tcPr>
            <w:tcW w:w="4814" w:type="dxa"/>
          </w:tcPr>
          <w:p w:rsidR="004550A3" w:rsidRPr="005A3D80" w:rsidRDefault="005E4A22" w:rsidP="004550A3">
            <w:pPr>
              <w:rPr>
                <w:sz w:val="24"/>
                <w:szCs w:val="24"/>
              </w:rPr>
            </w:pPr>
            <w:r w:rsidRPr="005A3D80">
              <w:rPr>
                <w:sz w:val="24"/>
                <w:szCs w:val="24"/>
              </w:rPr>
              <w:t>Ikke kendt (kan ikke estimeres ud fra forhåndenværende data)</w:t>
            </w:r>
          </w:p>
        </w:tc>
        <w:tc>
          <w:tcPr>
            <w:tcW w:w="4814" w:type="dxa"/>
          </w:tcPr>
          <w:p w:rsidR="004550A3" w:rsidRPr="005A3D80" w:rsidRDefault="005E4A22" w:rsidP="00215378">
            <w:pPr>
              <w:rPr>
                <w:sz w:val="24"/>
                <w:szCs w:val="24"/>
              </w:rPr>
            </w:pPr>
            <w:r w:rsidRPr="005A3D80">
              <w:rPr>
                <w:sz w:val="24"/>
                <w:szCs w:val="24"/>
              </w:rPr>
              <w:t>Ukontrollerede muskelbevægelser</w:t>
            </w:r>
          </w:p>
        </w:tc>
      </w:tr>
      <w:tr w:rsidR="005E4A22" w:rsidTr="004A6DE2">
        <w:tc>
          <w:tcPr>
            <w:tcW w:w="9628" w:type="dxa"/>
            <w:gridSpan w:val="2"/>
          </w:tcPr>
          <w:p w:rsidR="005E4A22" w:rsidRPr="005A3D80" w:rsidRDefault="005E4A22" w:rsidP="00215378">
            <w:pPr>
              <w:rPr>
                <w:sz w:val="24"/>
                <w:szCs w:val="24"/>
              </w:rPr>
            </w:pPr>
            <w:r w:rsidRPr="005A3D80">
              <w:rPr>
                <w:i/>
                <w:sz w:val="24"/>
                <w:szCs w:val="24"/>
              </w:rPr>
              <w:t>Nyrer og urinveje</w:t>
            </w:r>
          </w:p>
        </w:tc>
      </w:tr>
      <w:tr w:rsidR="004550A3" w:rsidTr="00362674">
        <w:tc>
          <w:tcPr>
            <w:tcW w:w="4814" w:type="dxa"/>
          </w:tcPr>
          <w:p w:rsidR="004550A3" w:rsidRPr="005A3D80" w:rsidRDefault="005E4A22" w:rsidP="005E4A22">
            <w:pPr>
              <w:rPr>
                <w:sz w:val="24"/>
                <w:szCs w:val="24"/>
              </w:rPr>
            </w:pPr>
            <w:r w:rsidRPr="005A3D80">
              <w:rPr>
                <w:sz w:val="24"/>
                <w:szCs w:val="24"/>
              </w:rPr>
              <w:t>Almindelig (≥1/100 og &lt;1/10)</w:t>
            </w:r>
          </w:p>
        </w:tc>
        <w:tc>
          <w:tcPr>
            <w:tcW w:w="4814" w:type="dxa"/>
          </w:tcPr>
          <w:p w:rsidR="004550A3" w:rsidRPr="005A3D80" w:rsidRDefault="005E4A22" w:rsidP="00215378">
            <w:pPr>
              <w:rPr>
                <w:sz w:val="24"/>
                <w:szCs w:val="24"/>
              </w:rPr>
            </w:pPr>
            <w:r w:rsidRPr="005A3D80">
              <w:rPr>
                <w:sz w:val="24"/>
                <w:szCs w:val="24"/>
              </w:rPr>
              <w:t>Urinretention</w:t>
            </w:r>
          </w:p>
        </w:tc>
      </w:tr>
      <w:tr w:rsidR="004550A3" w:rsidTr="00362674">
        <w:tc>
          <w:tcPr>
            <w:tcW w:w="4814" w:type="dxa"/>
          </w:tcPr>
          <w:p w:rsidR="004550A3" w:rsidRPr="005A3D80" w:rsidRDefault="005E4A22" w:rsidP="005E4A22">
            <w:pPr>
              <w:rPr>
                <w:sz w:val="24"/>
                <w:szCs w:val="24"/>
              </w:rPr>
            </w:pPr>
            <w:r w:rsidRPr="005A3D80">
              <w:rPr>
                <w:sz w:val="24"/>
                <w:szCs w:val="24"/>
              </w:rPr>
              <w:t>Ikke almindelig (≥1/1.000 til &lt;1/100)</w:t>
            </w:r>
          </w:p>
        </w:tc>
        <w:tc>
          <w:tcPr>
            <w:tcW w:w="4814" w:type="dxa"/>
          </w:tcPr>
          <w:p w:rsidR="004550A3" w:rsidRPr="005A3D80" w:rsidRDefault="005E4A22" w:rsidP="005E4A22">
            <w:pPr>
              <w:rPr>
                <w:sz w:val="24"/>
                <w:szCs w:val="24"/>
              </w:rPr>
            </w:pPr>
            <w:r w:rsidRPr="005A3D80">
              <w:rPr>
                <w:sz w:val="24"/>
                <w:szCs w:val="24"/>
              </w:rPr>
              <w:t>Urinvejskramper</w:t>
            </w:r>
          </w:p>
        </w:tc>
      </w:tr>
      <w:tr w:rsidR="005E4A22" w:rsidTr="00362674">
        <w:tc>
          <w:tcPr>
            <w:tcW w:w="4814" w:type="dxa"/>
          </w:tcPr>
          <w:p w:rsidR="005E4A22" w:rsidRPr="005A3D80" w:rsidRDefault="005E4A22" w:rsidP="005E4A22">
            <w:pPr>
              <w:rPr>
                <w:sz w:val="24"/>
                <w:szCs w:val="24"/>
              </w:rPr>
            </w:pPr>
            <w:r w:rsidRPr="005A3D80">
              <w:rPr>
                <w:sz w:val="24"/>
                <w:szCs w:val="24"/>
              </w:rPr>
              <w:t>Sjælden (≥1/10.000 til &lt;1/1.000)</w:t>
            </w:r>
          </w:p>
        </w:tc>
        <w:tc>
          <w:tcPr>
            <w:tcW w:w="4814" w:type="dxa"/>
          </w:tcPr>
          <w:p w:rsidR="005E4A22" w:rsidRPr="005A3D80" w:rsidRDefault="005E4A22" w:rsidP="00215378">
            <w:pPr>
              <w:rPr>
                <w:sz w:val="24"/>
                <w:szCs w:val="24"/>
              </w:rPr>
            </w:pPr>
            <w:r w:rsidRPr="005A3D80">
              <w:rPr>
                <w:sz w:val="24"/>
                <w:szCs w:val="24"/>
              </w:rPr>
              <w:t>Nyrekolik</w:t>
            </w:r>
          </w:p>
        </w:tc>
      </w:tr>
      <w:tr w:rsidR="005E4A22" w:rsidTr="00B813F2">
        <w:tc>
          <w:tcPr>
            <w:tcW w:w="9628" w:type="dxa"/>
            <w:gridSpan w:val="2"/>
          </w:tcPr>
          <w:p w:rsidR="005E4A22" w:rsidRPr="005A3D80" w:rsidRDefault="005E4A22" w:rsidP="00215378">
            <w:pPr>
              <w:rPr>
                <w:sz w:val="24"/>
                <w:szCs w:val="24"/>
              </w:rPr>
            </w:pPr>
            <w:r w:rsidRPr="005A3D80">
              <w:rPr>
                <w:i/>
                <w:sz w:val="24"/>
                <w:szCs w:val="24"/>
              </w:rPr>
              <w:t>Almene symptomer og reaktioner på administrationsstedet</w:t>
            </w:r>
          </w:p>
        </w:tc>
      </w:tr>
      <w:tr w:rsidR="005E4A22" w:rsidTr="00362674">
        <w:tc>
          <w:tcPr>
            <w:tcW w:w="4814" w:type="dxa"/>
          </w:tcPr>
          <w:p w:rsidR="005E4A22" w:rsidRPr="005A3D80" w:rsidRDefault="005E4A22" w:rsidP="005E4A22">
            <w:pPr>
              <w:rPr>
                <w:sz w:val="24"/>
                <w:szCs w:val="24"/>
              </w:rPr>
            </w:pPr>
            <w:r w:rsidRPr="005A3D80">
              <w:rPr>
                <w:sz w:val="24"/>
                <w:szCs w:val="24"/>
              </w:rPr>
              <w:t>Almindelig (≥1/100 og &lt;1/10)</w:t>
            </w:r>
          </w:p>
        </w:tc>
        <w:tc>
          <w:tcPr>
            <w:tcW w:w="4814" w:type="dxa"/>
          </w:tcPr>
          <w:p w:rsidR="005E4A22" w:rsidRPr="005A3D80" w:rsidRDefault="005E4A22" w:rsidP="005E4A22">
            <w:pPr>
              <w:rPr>
                <w:sz w:val="24"/>
                <w:szCs w:val="24"/>
              </w:rPr>
            </w:pPr>
            <w:r w:rsidRPr="005A3D80">
              <w:rPr>
                <w:sz w:val="24"/>
                <w:szCs w:val="24"/>
              </w:rPr>
              <w:t>Asteni</w:t>
            </w:r>
          </w:p>
        </w:tc>
      </w:tr>
      <w:tr w:rsidR="005E4A22" w:rsidTr="00362674">
        <w:tc>
          <w:tcPr>
            <w:tcW w:w="4814" w:type="dxa"/>
          </w:tcPr>
          <w:p w:rsidR="005E4A22" w:rsidRPr="005A3D80" w:rsidRDefault="005E4A22" w:rsidP="005E4A22">
            <w:pPr>
              <w:rPr>
                <w:sz w:val="24"/>
                <w:szCs w:val="24"/>
              </w:rPr>
            </w:pPr>
            <w:r w:rsidRPr="005A3D80">
              <w:rPr>
                <w:sz w:val="24"/>
                <w:szCs w:val="24"/>
              </w:rPr>
              <w:t>Sjælden (≥1/10.000 til &lt;1/1.000)</w:t>
            </w:r>
          </w:p>
        </w:tc>
        <w:tc>
          <w:tcPr>
            <w:tcW w:w="4814" w:type="dxa"/>
          </w:tcPr>
          <w:p w:rsidR="005E4A22" w:rsidRPr="005A3D80" w:rsidRDefault="005E4A22" w:rsidP="005E4A22">
            <w:pPr>
              <w:rPr>
                <w:sz w:val="24"/>
                <w:szCs w:val="24"/>
              </w:rPr>
            </w:pPr>
            <w:r w:rsidRPr="005A3D80">
              <w:rPr>
                <w:sz w:val="24"/>
                <w:szCs w:val="24"/>
              </w:rPr>
              <w:t>Abstinenssymptomer</w:t>
            </w:r>
          </w:p>
        </w:tc>
      </w:tr>
      <w:tr w:rsidR="005E4A22" w:rsidTr="00362674">
        <w:tc>
          <w:tcPr>
            <w:tcW w:w="4814" w:type="dxa"/>
          </w:tcPr>
          <w:p w:rsidR="005E4A22" w:rsidRPr="005A3D80" w:rsidRDefault="005E4A22" w:rsidP="005E4A22">
            <w:pPr>
              <w:rPr>
                <w:sz w:val="24"/>
                <w:szCs w:val="24"/>
              </w:rPr>
            </w:pPr>
            <w:r w:rsidRPr="005A3D80">
              <w:rPr>
                <w:sz w:val="24"/>
                <w:szCs w:val="24"/>
              </w:rPr>
              <w:t>Meget sjælden (&lt;1/10.000)</w:t>
            </w:r>
          </w:p>
        </w:tc>
        <w:tc>
          <w:tcPr>
            <w:tcW w:w="4814" w:type="dxa"/>
          </w:tcPr>
          <w:p w:rsidR="005E4A22" w:rsidRPr="005A3D80" w:rsidRDefault="005E4A22" w:rsidP="005E4A22">
            <w:pPr>
              <w:rPr>
                <w:sz w:val="24"/>
                <w:szCs w:val="24"/>
              </w:rPr>
            </w:pPr>
            <w:r w:rsidRPr="005A3D80">
              <w:rPr>
                <w:sz w:val="24"/>
                <w:szCs w:val="24"/>
              </w:rPr>
              <w:t>Utilpashed, kulderystelser</w:t>
            </w:r>
          </w:p>
        </w:tc>
      </w:tr>
      <w:tr w:rsidR="005E4A22" w:rsidTr="00362674">
        <w:tc>
          <w:tcPr>
            <w:tcW w:w="4814" w:type="dxa"/>
          </w:tcPr>
          <w:p w:rsidR="005E4A22" w:rsidRPr="005A3D80" w:rsidRDefault="005E4A22" w:rsidP="005E4A22">
            <w:pPr>
              <w:rPr>
                <w:sz w:val="24"/>
                <w:szCs w:val="24"/>
              </w:rPr>
            </w:pPr>
            <w:r w:rsidRPr="005A3D80">
              <w:rPr>
                <w:sz w:val="24"/>
                <w:szCs w:val="24"/>
              </w:rPr>
              <w:t>Ikke kendt (kan ikke estimeres ud fra forhåndenværende data)</w:t>
            </w:r>
          </w:p>
        </w:tc>
        <w:tc>
          <w:tcPr>
            <w:tcW w:w="4814" w:type="dxa"/>
          </w:tcPr>
          <w:p w:rsidR="005E4A22" w:rsidRPr="005A3D80" w:rsidRDefault="005E4A22" w:rsidP="00215378">
            <w:pPr>
              <w:rPr>
                <w:sz w:val="24"/>
                <w:szCs w:val="24"/>
              </w:rPr>
            </w:pPr>
            <w:proofErr w:type="spellStart"/>
            <w:r w:rsidRPr="005A3D80">
              <w:rPr>
                <w:sz w:val="24"/>
                <w:szCs w:val="24"/>
              </w:rPr>
              <w:t>Hypertermi</w:t>
            </w:r>
            <w:proofErr w:type="spellEnd"/>
            <w:r w:rsidRPr="005A3D80">
              <w:rPr>
                <w:sz w:val="24"/>
                <w:szCs w:val="24"/>
              </w:rPr>
              <w:t xml:space="preserve">, </w:t>
            </w:r>
            <w:proofErr w:type="spellStart"/>
            <w:r w:rsidRPr="005A3D80">
              <w:rPr>
                <w:sz w:val="24"/>
                <w:szCs w:val="24"/>
              </w:rPr>
              <w:t>vertigo</w:t>
            </w:r>
            <w:proofErr w:type="spellEnd"/>
          </w:p>
        </w:tc>
      </w:tr>
    </w:tbl>
    <w:p w:rsidR="00215378" w:rsidRPr="005A3D80" w:rsidRDefault="00215378" w:rsidP="00215378">
      <w:pPr>
        <w:ind w:left="851" w:hanging="851"/>
        <w:rPr>
          <w:sz w:val="24"/>
          <w:szCs w:val="24"/>
        </w:rPr>
      </w:pPr>
    </w:p>
    <w:p w:rsidR="00215378" w:rsidRPr="005E4A22" w:rsidRDefault="00215378" w:rsidP="005A3D80">
      <w:pPr>
        <w:ind w:left="851"/>
        <w:rPr>
          <w:sz w:val="24"/>
          <w:szCs w:val="24"/>
          <w:u w:val="single"/>
        </w:rPr>
      </w:pPr>
      <w:r w:rsidRPr="005E4A22">
        <w:rPr>
          <w:sz w:val="24"/>
          <w:szCs w:val="24"/>
          <w:u w:val="single"/>
        </w:rPr>
        <w:t>Beskrivelse af udvalgte bivirkninger</w:t>
      </w:r>
    </w:p>
    <w:p w:rsidR="00215378" w:rsidRPr="005A3D80" w:rsidRDefault="00215378" w:rsidP="005A3D80">
      <w:pPr>
        <w:ind w:left="851"/>
        <w:rPr>
          <w:sz w:val="24"/>
          <w:szCs w:val="24"/>
        </w:rPr>
      </w:pPr>
      <w:r w:rsidRPr="005A3D80">
        <w:rPr>
          <w:sz w:val="24"/>
          <w:szCs w:val="24"/>
        </w:rPr>
        <w:t>Lægemiddelafhængighed</w:t>
      </w:r>
    </w:p>
    <w:p w:rsidR="00215378" w:rsidRPr="005A3D80" w:rsidRDefault="00215378" w:rsidP="005A3D80">
      <w:pPr>
        <w:ind w:left="851"/>
        <w:rPr>
          <w:sz w:val="24"/>
          <w:szCs w:val="24"/>
        </w:rPr>
      </w:pPr>
      <w:r w:rsidRPr="005A3D80">
        <w:rPr>
          <w:sz w:val="24"/>
          <w:szCs w:val="24"/>
        </w:rPr>
        <w:t xml:space="preserve">Gentagen brug af </w:t>
      </w:r>
      <w:proofErr w:type="spellStart"/>
      <w:r w:rsidRPr="005A3D80">
        <w:rPr>
          <w:sz w:val="24"/>
          <w:szCs w:val="24"/>
        </w:rPr>
        <w:t>Dropizol</w:t>
      </w:r>
      <w:proofErr w:type="spellEnd"/>
      <w:r w:rsidRPr="005A3D80">
        <w:rPr>
          <w:sz w:val="24"/>
          <w:szCs w:val="24"/>
        </w:rPr>
        <w:t xml:space="preserve"> kan føre til lægemiddelafhængighed, selv ved terapeutiske doser. Risikoen for lægemiddelafhængighed afhænger af patientens individuelle risikofaktorer, doseringen, og varigheden af opioidbehandlingen (se pkt. 4.4).</w:t>
      </w:r>
    </w:p>
    <w:p w:rsidR="00215378" w:rsidRPr="005A3D80" w:rsidRDefault="00215378" w:rsidP="00215378">
      <w:pPr>
        <w:ind w:left="851" w:hanging="851"/>
        <w:rPr>
          <w:sz w:val="24"/>
          <w:szCs w:val="24"/>
        </w:rPr>
      </w:pPr>
    </w:p>
    <w:p w:rsidR="00A440CC" w:rsidRPr="005A3D80" w:rsidRDefault="00A440CC" w:rsidP="00A440CC">
      <w:pPr>
        <w:ind w:left="851"/>
        <w:rPr>
          <w:noProof/>
          <w:sz w:val="24"/>
          <w:szCs w:val="24"/>
          <w:u w:val="single"/>
        </w:rPr>
      </w:pPr>
      <w:r w:rsidRPr="005A3D80">
        <w:rPr>
          <w:noProof/>
          <w:sz w:val="24"/>
          <w:szCs w:val="24"/>
          <w:u w:val="single"/>
        </w:rPr>
        <w:t>Indberetning af formodede bivirkninger</w:t>
      </w:r>
    </w:p>
    <w:p w:rsidR="00A440CC" w:rsidRPr="005A3D80" w:rsidRDefault="00A440CC" w:rsidP="00AB5421">
      <w:pPr>
        <w:ind w:left="851"/>
        <w:rPr>
          <w:noProof/>
          <w:sz w:val="24"/>
          <w:szCs w:val="24"/>
        </w:rPr>
      </w:pPr>
      <w:r w:rsidRPr="005A3D80">
        <w:rPr>
          <w:noProof/>
          <w:sz w:val="24"/>
          <w:szCs w:val="24"/>
        </w:rPr>
        <w:t>Når lægemidlet er godkendt, er indberetning af formodede bivirkninger vigtig.</w:t>
      </w:r>
      <w:r w:rsidRPr="005A3D80">
        <w:rPr>
          <w:sz w:val="24"/>
          <w:szCs w:val="24"/>
        </w:rPr>
        <w:t xml:space="preserve"> </w:t>
      </w:r>
      <w:r w:rsidRPr="005A3D80">
        <w:rPr>
          <w:noProof/>
          <w:sz w:val="24"/>
          <w:szCs w:val="24"/>
        </w:rPr>
        <w:t>Det muliggør løbende overvågning af benefit/risk-forholdet for lægemidlet.</w:t>
      </w:r>
      <w:r w:rsidRPr="005A3D80">
        <w:rPr>
          <w:sz w:val="24"/>
          <w:szCs w:val="24"/>
        </w:rPr>
        <w:t xml:space="preserve"> </w:t>
      </w:r>
      <w:r w:rsidR="00AB5421" w:rsidRPr="005A3D80">
        <w:rPr>
          <w:noProof/>
          <w:sz w:val="24"/>
          <w:szCs w:val="24"/>
        </w:rPr>
        <w:t xml:space="preserve">Sundhedspersoner </w:t>
      </w:r>
      <w:r w:rsidRPr="005A3D80">
        <w:rPr>
          <w:noProof/>
          <w:sz w:val="24"/>
          <w:szCs w:val="24"/>
        </w:rPr>
        <w:t>anmodes om at indberette alle formodede bivirkninger via</w:t>
      </w:r>
      <w:r w:rsidR="00AB5421" w:rsidRPr="005A3D80">
        <w:rPr>
          <w:noProof/>
          <w:sz w:val="24"/>
          <w:szCs w:val="24"/>
        </w:rPr>
        <w:t>:</w:t>
      </w:r>
    </w:p>
    <w:p w:rsidR="00A440CC" w:rsidRPr="005A3D80" w:rsidRDefault="00A440CC" w:rsidP="00A440CC">
      <w:pPr>
        <w:ind w:left="851"/>
        <w:rPr>
          <w:noProof/>
          <w:sz w:val="24"/>
          <w:szCs w:val="24"/>
        </w:rPr>
      </w:pPr>
    </w:p>
    <w:p w:rsidR="00A440CC" w:rsidRPr="005A3D80" w:rsidRDefault="00A440CC" w:rsidP="00A440CC">
      <w:pPr>
        <w:ind w:left="851"/>
        <w:rPr>
          <w:noProof/>
          <w:sz w:val="24"/>
          <w:szCs w:val="24"/>
        </w:rPr>
      </w:pPr>
      <w:r w:rsidRPr="005A3D80">
        <w:rPr>
          <w:noProof/>
          <w:sz w:val="24"/>
          <w:szCs w:val="24"/>
        </w:rPr>
        <w:t>Lægemiddelstyrelsen</w:t>
      </w:r>
    </w:p>
    <w:p w:rsidR="00A440CC" w:rsidRPr="005A3D80" w:rsidRDefault="00A440CC" w:rsidP="00A440CC">
      <w:pPr>
        <w:ind w:left="851"/>
        <w:rPr>
          <w:noProof/>
          <w:sz w:val="24"/>
          <w:szCs w:val="24"/>
        </w:rPr>
      </w:pPr>
      <w:r w:rsidRPr="005A3D80">
        <w:rPr>
          <w:noProof/>
          <w:sz w:val="24"/>
          <w:szCs w:val="24"/>
        </w:rPr>
        <w:t>Axel Heides Gade 1</w:t>
      </w:r>
    </w:p>
    <w:p w:rsidR="00A440CC" w:rsidRPr="005A3D80" w:rsidRDefault="00A440CC" w:rsidP="00A440CC">
      <w:pPr>
        <w:ind w:left="851"/>
        <w:rPr>
          <w:noProof/>
          <w:sz w:val="24"/>
          <w:szCs w:val="24"/>
        </w:rPr>
      </w:pPr>
      <w:r w:rsidRPr="005A3D80">
        <w:rPr>
          <w:noProof/>
          <w:sz w:val="24"/>
          <w:szCs w:val="24"/>
        </w:rPr>
        <w:t>DK-2300 København S</w:t>
      </w:r>
    </w:p>
    <w:p w:rsidR="00A440CC" w:rsidRPr="005A3D80" w:rsidRDefault="00A440CC" w:rsidP="00A440CC">
      <w:pPr>
        <w:ind w:left="851"/>
        <w:rPr>
          <w:noProof/>
          <w:sz w:val="24"/>
          <w:szCs w:val="24"/>
        </w:rPr>
      </w:pPr>
      <w:r w:rsidRPr="005A3D80">
        <w:rPr>
          <w:noProof/>
          <w:sz w:val="24"/>
          <w:szCs w:val="24"/>
        </w:rPr>
        <w:t xml:space="preserve">Websted: www.meldenbivirkning.dk </w:t>
      </w:r>
    </w:p>
    <w:p w:rsidR="00A440CC" w:rsidRPr="005A3D80" w:rsidRDefault="00A440CC" w:rsidP="00A440CC">
      <w:pPr>
        <w:pStyle w:val="Sidehoved"/>
        <w:tabs>
          <w:tab w:val="clear" w:pos="4819"/>
          <w:tab w:val="clear" w:pos="9638"/>
        </w:tabs>
        <w:ind w:left="851" w:hanging="851"/>
        <w:rPr>
          <w:szCs w:val="24"/>
        </w:rPr>
      </w:pPr>
    </w:p>
    <w:p w:rsidR="005A3D80" w:rsidRPr="00C84483" w:rsidRDefault="005A3D80" w:rsidP="005A3D80">
      <w:pPr>
        <w:tabs>
          <w:tab w:val="left" w:pos="851"/>
        </w:tabs>
        <w:ind w:left="851" w:hanging="851"/>
        <w:rPr>
          <w:b/>
          <w:sz w:val="24"/>
          <w:szCs w:val="24"/>
        </w:rPr>
      </w:pPr>
      <w:r w:rsidRPr="00C84483">
        <w:rPr>
          <w:b/>
          <w:sz w:val="24"/>
          <w:szCs w:val="24"/>
        </w:rPr>
        <w:t>4.9</w:t>
      </w:r>
      <w:r w:rsidRPr="00C84483">
        <w:rPr>
          <w:b/>
          <w:sz w:val="24"/>
          <w:szCs w:val="24"/>
        </w:rPr>
        <w:tab/>
        <w:t>Overdosering</w:t>
      </w:r>
    </w:p>
    <w:p w:rsidR="00A440CC" w:rsidRPr="005A3D80" w:rsidRDefault="00A440CC" w:rsidP="00A440CC">
      <w:pPr>
        <w:ind w:left="851"/>
        <w:rPr>
          <w:sz w:val="24"/>
          <w:szCs w:val="24"/>
        </w:rPr>
      </w:pPr>
      <w:proofErr w:type="spellStart"/>
      <w:r w:rsidRPr="005A3D80">
        <w:rPr>
          <w:sz w:val="24"/>
          <w:szCs w:val="24"/>
        </w:rPr>
        <w:t>Morphinforgiftning</w:t>
      </w:r>
      <w:proofErr w:type="spellEnd"/>
      <w:r w:rsidRPr="005A3D80">
        <w:rPr>
          <w:sz w:val="24"/>
          <w:szCs w:val="24"/>
        </w:rPr>
        <w:t xml:space="preserve">. Dødelig dosis afhænger primært af </w:t>
      </w:r>
      <w:proofErr w:type="spellStart"/>
      <w:r w:rsidRPr="005A3D80">
        <w:rPr>
          <w:sz w:val="24"/>
          <w:szCs w:val="24"/>
        </w:rPr>
        <w:t>morphinindholdet</w:t>
      </w:r>
      <w:proofErr w:type="spellEnd"/>
      <w:r w:rsidRPr="005A3D80">
        <w:rPr>
          <w:sz w:val="24"/>
          <w:szCs w:val="24"/>
        </w:rPr>
        <w:t>.</w:t>
      </w:r>
    </w:p>
    <w:p w:rsidR="00A440CC" w:rsidRPr="005A3D80" w:rsidRDefault="00A440CC" w:rsidP="00A440CC">
      <w:pPr>
        <w:ind w:left="851"/>
        <w:rPr>
          <w:sz w:val="24"/>
          <w:szCs w:val="24"/>
        </w:rPr>
      </w:pPr>
    </w:p>
    <w:p w:rsidR="00A440CC" w:rsidRPr="005A3D80" w:rsidRDefault="00A440CC" w:rsidP="00A440CC">
      <w:pPr>
        <w:ind w:left="851"/>
        <w:rPr>
          <w:sz w:val="24"/>
          <w:szCs w:val="24"/>
          <w:u w:val="single"/>
        </w:rPr>
      </w:pPr>
      <w:r w:rsidRPr="005A3D80">
        <w:rPr>
          <w:sz w:val="24"/>
          <w:szCs w:val="24"/>
          <w:u w:val="single"/>
        </w:rPr>
        <w:t>Symptomer på overdosis</w:t>
      </w:r>
    </w:p>
    <w:p w:rsidR="00A440CC" w:rsidRPr="005A3D80" w:rsidRDefault="00A440CC" w:rsidP="00A440CC">
      <w:pPr>
        <w:ind w:left="851"/>
        <w:rPr>
          <w:sz w:val="24"/>
          <w:szCs w:val="24"/>
        </w:rPr>
      </w:pPr>
    </w:p>
    <w:p w:rsidR="00A440CC" w:rsidRPr="005A3D80" w:rsidRDefault="00A440CC" w:rsidP="00A440CC">
      <w:pPr>
        <w:ind w:left="851"/>
        <w:rPr>
          <w:sz w:val="24"/>
          <w:szCs w:val="24"/>
        </w:rPr>
      </w:pPr>
      <w:r w:rsidRPr="005A3D80">
        <w:rPr>
          <w:sz w:val="24"/>
          <w:szCs w:val="24"/>
        </w:rPr>
        <w:t xml:space="preserve">Pupilforsnævring, åndedrætsdepression, </w:t>
      </w:r>
      <w:proofErr w:type="spellStart"/>
      <w:r w:rsidRPr="005A3D80">
        <w:rPr>
          <w:sz w:val="24"/>
          <w:szCs w:val="24"/>
        </w:rPr>
        <w:t>somnolens</w:t>
      </w:r>
      <w:proofErr w:type="spellEnd"/>
      <w:r w:rsidRPr="005A3D80">
        <w:rPr>
          <w:sz w:val="24"/>
          <w:szCs w:val="24"/>
        </w:rPr>
        <w:t xml:space="preserve">, nedsat basal </w:t>
      </w:r>
      <w:proofErr w:type="spellStart"/>
      <w:r w:rsidRPr="005A3D80">
        <w:rPr>
          <w:sz w:val="24"/>
          <w:szCs w:val="24"/>
        </w:rPr>
        <w:t>muskeltonus</w:t>
      </w:r>
      <w:proofErr w:type="spellEnd"/>
      <w:r w:rsidRPr="005A3D80">
        <w:rPr>
          <w:sz w:val="24"/>
          <w:szCs w:val="24"/>
        </w:rPr>
        <w:t xml:space="preserve"> og blodtryksfald. I alvorlige tilfælde kan der forekomme kredsløbskollaps, </w:t>
      </w:r>
      <w:proofErr w:type="spellStart"/>
      <w:r w:rsidRPr="005A3D80">
        <w:rPr>
          <w:sz w:val="24"/>
          <w:szCs w:val="24"/>
        </w:rPr>
        <w:t>stupor</w:t>
      </w:r>
      <w:proofErr w:type="spellEnd"/>
      <w:r w:rsidRPr="005A3D80">
        <w:rPr>
          <w:sz w:val="24"/>
          <w:szCs w:val="24"/>
        </w:rPr>
        <w:t>, koma, bradykardi og ikke-</w:t>
      </w:r>
      <w:proofErr w:type="spellStart"/>
      <w:r w:rsidRPr="005A3D80">
        <w:rPr>
          <w:sz w:val="24"/>
          <w:szCs w:val="24"/>
        </w:rPr>
        <w:t>kardiogent</w:t>
      </w:r>
      <w:proofErr w:type="spellEnd"/>
      <w:r w:rsidRPr="005A3D80">
        <w:rPr>
          <w:sz w:val="24"/>
          <w:szCs w:val="24"/>
        </w:rPr>
        <w:t xml:space="preserve"> lungeødem, hypotension og død. Misbrug af høje doser af stærke opioider, såsom </w:t>
      </w:r>
      <w:proofErr w:type="spellStart"/>
      <w:r w:rsidRPr="005A3D80">
        <w:rPr>
          <w:sz w:val="24"/>
          <w:szCs w:val="24"/>
        </w:rPr>
        <w:t>oxycodon</w:t>
      </w:r>
      <w:proofErr w:type="spellEnd"/>
      <w:r w:rsidRPr="005A3D80">
        <w:rPr>
          <w:sz w:val="24"/>
          <w:szCs w:val="24"/>
        </w:rPr>
        <w:t>, kan være dødelig.</w:t>
      </w:r>
    </w:p>
    <w:p w:rsidR="00A440CC" w:rsidRPr="005A3D80" w:rsidRDefault="00A440CC" w:rsidP="00A440CC">
      <w:pPr>
        <w:ind w:left="851"/>
        <w:rPr>
          <w:sz w:val="24"/>
          <w:szCs w:val="24"/>
        </w:rPr>
      </w:pPr>
    </w:p>
    <w:p w:rsidR="00A440CC" w:rsidRPr="005A3D80" w:rsidRDefault="00A440CC" w:rsidP="00A440CC">
      <w:pPr>
        <w:ind w:left="851"/>
        <w:rPr>
          <w:sz w:val="24"/>
          <w:szCs w:val="24"/>
          <w:u w:val="single"/>
        </w:rPr>
      </w:pPr>
      <w:r w:rsidRPr="005A3D80">
        <w:rPr>
          <w:sz w:val="24"/>
          <w:szCs w:val="24"/>
          <w:u w:val="single"/>
        </w:rPr>
        <w:t>Behandling af overdosis</w:t>
      </w:r>
    </w:p>
    <w:p w:rsidR="00A440CC" w:rsidRPr="005A3D80" w:rsidRDefault="00A440CC" w:rsidP="00A440CC">
      <w:pPr>
        <w:ind w:left="851"/>
        <w:rPr>
          <w:sz w:val="24"/>
          <w:szCs w:val="24"/>
        </w:rPr>
      </w:pPr>
      <w:r w:rsidRPr="005A3D80">
        <w:rPr>
          <w:sz w:val="24"/>
          <w:szCs w:val="24"/>
        </w:rPr>
        <w:t>Den primære opmærksomhed skal rettes mod etablering af frie luftveje og iværksættelse af assisteret eller kontrolleret ventilation.</w:t>
      </w:r>
    </w:p>
    <w:p w:rsidR="00A440CC" w:rsidRPr="005A3D80" w:rsidRDefault="00A440CC" w:rsidP="00A440CC">
      <w:pPr>
        <w:ind w:left="851"/>
        <w:rPr>
          <w:sz w:val="24"/>
          <w:szCs w:val="24"/>
        </w:rPr>
      </w:pPr>
    </w:p>
    <w:p w:rsidR="00A440CC" w:rsidRPr="005A3D80" w:rsidRDefault="00A440CC" w:rsidP="00A440CC">
      <w:pPr>
        <w:ind w:left="851"/>
        <w:rPr>
          <w:sz w:val="24"/>
          <w:szCs w:val="24"/>
        </w:rPr>
      </w:pPr>
      <w:r w:rsidRPr="005A3D80">
        <w:rPr>
          <w:sz w:val="24"/>
          <w:szCs w:val="24"/>
        </w:rPr>
        <w:t>I tilfælde af overdosis kan der være indikation for intravenøs indgivelse af en opiatantagonist.</w:t>
      </w:r>
    </w:p>
    <w:p w:rsidR="00A440CC" w:rsidRPr="005A3D80" w:rsidRDefault="00A440CC" w:rsidP="00A440CC">
      <w:pPr>
        <w:ind w:left="851"/>
        <w:rPr>
          <w:sz w:val="24"/>
          <w:szCs w:val="24"/>
        </w:rPr>
      </w:pPr>
    </w:p>
    <w:p w:rsidR="00A440CC" w:rsidRPr="005A3D80" w:rsidRDefault="00A440CC" w:rsidP="00A440CC">
      <w:pPr>
        <w:ind w:left="851"/>
        <w:rPr>
          <w:sz w:val="24"/>
          <w:szCs w:val="24"/>
        </w:rPr>
      </w:pPr>
      <w:r w:rsidRPr="005A3D80">
        <w:rPr>
          <w:sz w:val="24"/>
          <w:szCs w:val="24"/>
        </w:rPr>
        <w:t>Derudover kan der overvejes maveskylning.</w:t>
      </w:r>
    </w:p>
    <w:p w:rsidR="00A440CC" w:rsidRPr="005A3D80" w:rsidRDefault="00A440CC" w:rsidP="00A440CC">
      <w:pPr>
        <w:ind w:left="851"/>
        <w:rPr>
          <w:sz w:val="24"/>
          <w:szCs w:val="24"/>
        </w:rPr>
      </w:pPr>
    </w:p>
    <w:p w:rsidR="00A440CC" w:rsidRPr="005A3D80" w:rsidRDefault="00A440CC" w:rsidP="00A440CC">
      <w:pPr>
        <w:ind w:left="851"/>
        <w:rPr>
          <w:sz w:val="24"/>
          <w:szCs w:val="24"/>
        </w:rPr>
      </w:pPr>
      <w:r w:rsidRPr="005A3D80">
        <w:rPr>
          <w:sz w:val="24"/>
          <w:szCs w:val="24"/>
        </w:rPr>
        <w:t xml:space="preserve">Understøttende behandling (kunstigt åndedræt, ilttilførsel, administration af </w:t>
      </w:r>
      <w:proofErr w:type="spellStart"/>
      <w:r w:rsidRPr="005A3D80">
        <w:rPr>
          <w:sz w:val="24"/>
          <w:szCs w:val="24"/>
        </w:rPr>
        <w:t>vasopressorer</w:t>
      </w:r>
      <w:proofErr w:type="spellEnd"/>
      <w:r w:rsidRPr="005A3D80">
        <w:rPr>
          <w:sz w:val="24"/>
          <w:szCs w:val="24"/>
        </w:rPr>
        <w:t xml:space="preserve"> og infusionsterapi) skal om nødvendigt anvendes til behandling af ledsagende kredsløbschok.</w:t>
      </w:r>
    </w:p>
    <w:p w:rsidR="00A440CC" w:rsidRPr="005A3D80" w:rsidRDefault="00A440CC" w:rsidP="00A440CC">
      <w:pPr>
        <w:ind w:left="851" w:hanging="851"/>
        <w:rPr>
          <w:sz w:val="24"/>
          <w:szCs w:val="24"/>
        </w:rPr>
      </w:pPr>
    </w:p>
    <w:p w:rsidR="005A3D80" w:rsidRPr="00C84483" w:rsidRDefault="005A3D80" w:rsidP="005A3D80">
      <w:pPr>
        <w:tabs>
          <w:tab w:val="left" w:pos="851"/>
        </w:tabs>
        <w:ind w:left="851" w:hanging="851"/>
        <w:rPr>
          <w:b/>
          <w:sz w:val="24"/>
          <w:szCs w:val="24"/>
        </w:rPr>
      </w:pPr>
      <w:r w:rsidRPr="00C84483">
        <w:rPr>
          <w:b/>
          <w:sz w:val="24"/>
          <w:szCs w:val="24"/>
        </w:rPr>
        <w:t>4.10</w:t>
      </w:r>
      <w:r w:rsidRPr="00C84483">
        <w:rPr>
          <w:b/>
          <w:sz w:val="24"/>
          <w:szCs w:val="24"/>
        </w:rPr>
        <w:tab/>
        <w:t>Udlevering</w:t>
      </w:r>
    </w:p>
    <w:p w:rsidR="00A440CC" w:rsidRPr="005A3D80" w:rsidRDefault="00A440CC" w:rsidP="00A440CC">
      <w:pPr>
        <w:ind w:left="851"/>
        <w:rPr>
          <w:sz w:val="24"/>
          <w:szCs w:val="24"/>
        </w:rPr>
      </w:pPr>
      <w:r w:rsidRPr="005A3D80">
        <w:rPr>
          <w:sz w:val="24"/>
          <w:szCs w:val="24"/>
        </w:rPr>
        <w:t>A§4 (kopieringspligtigt)</w:t>
      </w:r>
    </w:p>
    <w:p w:rsidR="00A440CC" w:rsidRPr="005A3D80" w:rsidRDefault="00A440CC" w:rsidP="00A440CC">
      <w:pPr>
        <w:ind w:left="851" w:hanging="851"/>
        <w:rPr>
          <w:sz w:val="24"/>
          <w:szCs w:val="24"/>
        </w:rPr>
      </w:pPr>
    </w:p>
    <w:p w:rsidR="00A440CC" w:rsidRPr="005A3D80" w:rsidRDefault="00A440CC" w:rsidP="00A440CC">
      <w:pPr>
        <w:ind w:left="851" w:hanging="851"/>
        <w:rPr>
          <w:sz w:val="24"/>
          <w:szCs w:val="24"/>
        </w:rPr>
      </w:pPr>
    </w:p>
    <w:p w:rsidR="005A3D80" w:rsidRPr="00C84483" w:rsidRDefault="005A3D80" w:rsidP="005A3D80">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5A3D80" w:rsidRPr="00C84483" w:rsidRDefault="005A3D80" w:rsidP="005A3D80">
      <w:pPr>
        <w:tabs>
          <w:tab w:val="left" w:pos="851"/>
        </w:tabs>
        <w:ind w:left="851"/>
        <w:rPr>
          <w:sz w:val="24"/>
          <w:szCs w:val="24"/>
        </w:rPr>
      </w:pPr>
    </w:p>
    <w:p w:rsidR="005A3D80" w:rsidRPr="00C84483" w:rsidRDefault="005A3D80" w:rsidP="005A3D80">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5A3D80" w:rsidRPr="005A3D80" w:rsidRDefault="005A3D80" w:rsidP="005A3D80">
      <w:pPr>
        <w:suppressAutoHyphens/>
        <w:ind w:left="851"/>
        <w:rPr>
          <w:sz w:val="24"/>
          <w:szCs w:val="24"/>
        </w:rPr>
      </w:pPr>
      <w:r>
        <w:rPr>
          <w:noProof/>
          <w:sz w:val="24"/>
          <w:szCs w:val="24"/>
        </w:rPr>
        <w:t xml:space="preserve">Farmakoterapeutisk klassifikation: </w:t>
      </w:r>
      <w:proofErr w:type="spellStart"/>
      <w:r w:rsidRPr="005A3D80">
        <w:rPr>
          <w:sz w:val="24"/>
          <w:szCs w:val="24"/>
        </w:rPr>
        <w:t>Antipropulsiva</w:t>
      </w:r>
      <w:proofErr w:type="spellEnd"/>
      <w:r>
        <w:rPr>
          <w:sz w:val="24"/>
          <w:szCs w:val="24"/>
        </w:rPr>
        <w:t xml:space="preserve">, </w:t>
      </w:r>
      <w:r w:rsidRPr="005A3D80">
        <w:rPr>
          <w:sz w:val="24"/>
          <w:szCs w:val="24"/>
        </w:rPr>
        <w:t xml:space="preserve">ATC-kode: A07DA02. </w:t>
      </w:r>
    </w:p>
    <w:p w:rsidR="005A3D80" w:rsidRDefault="005A3D80" w:rsidP="00A440CC">
      <w:pPr>
        <w:suppressAutoHyphens/>
        <w:ind w:left="851"/>
        <w:rPr>
          <w:noProof/>
          <w:sz w:val="24"/>
          <w:szCs w:val="24"/>
        </w:rPr>
      </w:pPr>
    </w:p>
    <w:p w:rsidR="00A440CC" w:rsidRPr="005A3D80" w:rsidRDefault="00A440CC" w:rsidP="00A440CC">
      <w:pPr>
        <w:suppressAutoHyphens/>
        <w:ind w:left="851"/>
        <w:rPr>
          <w:noProof/>
          <w:sz w:val="24"/>
          <w:szCs w:val="24"/>
        </w:rPr>
      </w:pPr>
      <w:r w:rsidRPr="005A3D80">
        <w:rPr>
          <w:noProof/>
          <w:sz w:val="24"/>
          <w:szCs w:val="24"/>
        </w:rPr>
        <w:t xml:space="preserve">Opiumsalkaloider (opioider og isochinolinderivater) fremkalder obstipation, eufori, analgesi og sedation afhængig af dosis og derivatet. </w:t>
      </w:r>
    </w:p>
    <w:p w:rsidR="00A440CC" w:rsidRPr="005A3D80" w:rsidRDefault="00A440CC" w:rsidP="00A440CC">
      <w:pPr>
        <w:suppressAutoHyphens/>
        <w:ind w:left="851"/>
        <w:rPr>
          <w:noProof/>
          <w:sz w:val="24"/>
          <w:szCs w:val="24"/>
        </w:rPr>
      </w:pPr>
    </w:p>
    <w:p w:rsidR="00A440CC" w:rsidRPr="005A3D80" w:rsidRDefault="00A440CC" w:rsidP="00A440CC">
      <w:pPr>
        <w:suppressAutoHyphens/>
        <w:ind w:left="851"/>
        <w:rPr>
          <w:noProof/>
          <w:sz w:val="24"/>
          <w:szCs w:val="24"/>
        </w:rPr>
      </w:pPr>
      <w:r w:rsidRPr="005A3D80">
        <w:rPr>
          <w:noProof/>
          <w:sz w:val="24"/>
          <w:szCs w:val="24"/>
        </w:rPr>
        <w:t>Disse virkninger er medieret af opioidreceptorer. Receptorerne er udbredt i centralnerve</w:t>
      </w:r>
      <w:r w:rsidR="00FE79FE" w:rsidRPr="005A3D80">
        <w:rPr>
          <w:noProof/>
          <w:sz w:val="24"/>
          <w:szCs w:val="24"/>
        </w:rPr>
        <w:softHyphen/>
      </w:r>
      <w:r w:rsidRPr="005A3D80">
        <w:rPr>
          <w:noProof/>
          <w:sz w:val="24"/>
          <w:szCs w:val="24"/>
        </w:rPr>
        <w:t>systemet.</w:t>
      </w:r>
    </w:p>
    <w:p w:rsidR="00A440CC" w:rsidRPr="005A3D80" w:rsidRDefault="00A440CC" w:rsidP="00A440CC">
      <w:pPr>
        <w:suppressAutoHyphens/>
        <w:ind w:left="851"/>
        <w:rPr>
          <w:noProof/>
          <w:sz w:val="24"/>
          <w:szCs w:val="24"/>
        </w:rPr>
      </w:pPr>
      <w:r w:rsidRPr="005A3D80">
        <w:rPr>
          <w:noProof/>
          <w:sz w:val="24"/>
          <w:szCs w:val="24"/>
        </w:rPr>
        <w:t>Receptorer er også til stede i mindre grad, i vas deferens, knæled, mave-tarmkanalen og i hjertet samt immunforsvaret.</w:t>
      </w:r>
    </w:p>
    <w:p w:rsidR="00A440CC" w:rsidRPr="005A3D80" w:rsidRDefault="00A440CC" w:rsidP="00A440CC">
      <w:pPr>
        <w:suppressAutoHyphens/>
        <w:ind w:left="851"/>
        <w:rPr>
          <w:noProof/>
          <w:sz w:val="24"/>
          <w:szCs w:val="24"/>
        </w:rPr>
      </w:pPr>
    </w:p>
    <w:p w:rsidR="00A440CC" w:rsidRPr="005A3D80" w:rsidRDefault="00A440CC" w:rsidP="00A440CC">
      <w:pPr>
        <w:suppressAutoHyphens/>
        <w:ind w:left="851"/>
        <w:rPr>
          <w:noProof/>
          <w:sz w:val="24"/>
          <w:szCs w:val="24"/>
        </w:rPr>
      </w:pPr>
      <w:r w:rsidRPr="005A3D80">
        <w:rPr>
          <w:noProof/>
          <w:sz w:val="24"/>
          <w:szCs w:val="24"/>
        </w:rPr>
        <w:t>Opioidpeptider ændrer mave-tarm-funktion ved interaktion med opioidreceptorer på de enteriske kredsløb, der styrer motilitet og sekretion. Opioidreceptorer er lokaliseret i mave-tarm-kanalen hos mennesker, men deres relative fordeling varierer med mave-tarm-lag og mave-tarm-region.</w:t>
      </w:r>
    </w:p>
    <w:p w:rsidR="00A440CC" w:rsidRPr="005A3D80" w:rsidRDefault="00A440CC" w:rsidP="00A440CC">
      <w:pPr>
        <w:suppressAutoHyphens/>
        <w:ind w:left="851"/>
        <w:rPr>
          <w:noProof/>
          <w:sz w:val="24"/>
          <w:szCs w:val="24"/>
        </w:rPr>
      </w:pPr>
    </w:p>
    <w:p w:rsidR="00A440CC" w:rsidRPr="005A3D80" w:rsidRDefault="00A440CC" w:rsidP="00A440CC">
      <w:pPr>
        <w:suppressAutoHyphens/>
        <w:ind w:left="851"/>
        <w:rPr>
          <w:noProof/>
          <w:sz w:val="24"/>
          <w:szCs w:val="24"/>
        </w:rPr>
      </w:pPr>
      <w:r w:rsidRPr="005A3D80">
        <w:rPr>
          <w:noProof/>
          <w:sz w:val="24"/>
          <w:szCs w:val="24"/>
        </w:rPr>
        <w:t>µ-opioid-receptor-agonisterne hæmmer mave-tarm-tømning, øger pylorisk muskeltonus, inducerer aktivitet i det pyloriske og duodenojejunale fasiske tryk, forstyrrer det migrerende myoelektriske kompleks, forsinker transittid igennem tyndtarm og tyktarm og hæver det hvilende tryk i den anale lukkemuskel. Derudover svækker opioider tarmudskillelsen af elektrolytter og vand og letter derved nettoabsorptionen af væske. Derudover bidrager μ-, κ- og δ-opioidreceptorerne til opioidhæmning af muskelaktivitet i tarmen. Resultatet af alle disse effekter er forstoppelse.</w:t>
      </w:r>
    </w:p>
    <w:p w:rsidR="00A440CC" w:rsidRPr="005A3D80" w:rsidRDefault="00A440CC" w:rsidP="00A440CC">
      <w:pPr>
        <w:suppressAutoHyphens/>
        <w:ind w:left="851"/>
        <w:rPr>
          <w:noProof/>
          <w:sz w:val="24"/>
          <w:szCs w:val="24"/>
        </w:rPr>
      </w:pPr>
    </w:p>
    <w:p w:rsidR="00A440CC" w:rsidRPr="005A3D80" w:rsidRDefault="00A440CC" w:rsidP="00A440CC">
      <w:pPr>
        <w:suppressAutoHyphens/>
        <w:ind w:left="851"/>
        <w:rPr>
          <w:noProof/>
          <w:sz w:val="24"/>
          <w:szCs w:val="24"/>
        </w:rPr>
      </w:pPr>
      <w:r w:rsidRPr="005A3D80">
        <w:rPr>
          <w:noProof/>
          <w:sz w:val="24"/>
          <w:szCs w:val="24"/>
        </w:rPr>
        <w:t>Brugen af opium er veletableret til behandling af diarré i klinikken. Der er ikke kontrollerede kliniske forsøg.</w:t>
      </w:r>
    </w:p>
    <w:p w:rsidR="00A440CC" w:rsidRPr="005A3D80" w:rsidRDefault="00A440CC" w:rsidP="00A440CC">
      <w:pPr>
        <w:suppressAutoHyphens/>
        <w:ind w:left="851"/>
        <w:rPr>
          <w:noProof/>
          <w:sz w:val="24"/>
          <w:szCs w:val="24"/>
        </w:rPr>
      </w:pPr>
    </w:p>
    <w:p w:rsidR="00A440CC" w:rsidRPr="005A3D80" w:rsidRDefault="00A440CC" w:rsidP="00A440CC">
      <w:pPr>
        <w:suppressAutoHyphens/>
        <w:ind w:left="851"/>
        <w:rPr>
          <w:noProof/>
          <w:sz w:val="24"/>
          <w:szCs w:val="24"/>
        </w:rPr>
      </w:pPr>
      <w:r w:rsidRPr="005A3D80">
        <w:rPr>
          <w:noProof/>
          <w:sz w:val="24"/>
          <w:szCs w:val="24"/>
        </w:rPr>
        <w:t>Der er ikke udført kliniske forsøg i den pædiatriske population, og lægemidlet betragtes ikke som velegnet i denne population af sikkerhedsmæssige hensyn, se pkt. 4.2.</w:t>
      </w:r>
    </w:p>
    <w:p w:rsidR="00A440CC" w:rsidRPr="005A3D80" w:rsidRDefault="00A440CC" w:rsidP="00A440CC">
      <w:pPr>
        <w:ind w:left="851" w:hanging="851"/>
        <w:rPr>
          <w:sz w:val="24"/>
          <w:szCs w:val="24"/>
        </w:rPr>
      </w:pPr>
    </w:p>
    <w:p w:rsidR="005A3D80" w:rsidRPr="00C84483" w:rsidRDefault="005A3D80" w:rsidP="005A3D80">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A440CC" w:rsidRPr="005A3D80" w:rsidRDefault="00A440CC" w:rsidP="00A440CC">
      <w:pPr>
        <w:rPr>
          <w:sz w:val="24"/>
          <w:szCs w:val="24"/>
        </w:rPr>
      </w:pPr>
    </w:p>
    <w:p w:rsidR="00A440CC" w:rsidRPr="005A3D80" w:rsidRDefault="00A440CC" w:rsidP="00A440CC">
      <w:pPr>
        <w:ind w:left="851"/>
        <w:rPr>
          <w:sz w:val="24"/>
          <w:szCs w:val="24"/>
          <w:u w:val="single"/>
        </w:rPr>
      </w:pPr>
      <w:r w:rsidRPr="005A3D80">
        <w:rPr>
          <w:sz w:val="24"/>
          <w:szCs w:val="24"/>
          <w:u w:val="single"/>
        </w:rPr>
        <w:t>Absorption</w:t>
      </w:r>
    </w:p>
    <w:p w:rsidR="00A440CC" w:rsidRPr="005A3D80" w:rsidRDefault="00A440CC" w:rsidP="00A440CC">
      <w:pPr>
        <w:ind w:left="851"/>
        <w:rPr>
          <w:sz w:val="24"/>
          <w:szCs w:val="24"/>
        </w:rPr>
      </w:pPr>
      <w:r w:rsidRPr="005A3D80">
        <w:rPr>
          <w:sz w:val="24"/>
          <w:szCs w:val="24"/>
        </w:rPr>
        <w:t xml:space="preserve">Maksimalt niveau for </w:t>
      </w:r>
      <w:proofErr w:type="spellStart"/>
      <w:r w:rsidRPr="005A3D80">
        <w:rPr>
          <w:sz w:val="24"/>
          <w:szCs w:val="24"/>
        </w:rPr>
        <w:t>morphins</w:t>
      </w:r>
      <w:proofErr w:type="spellEnd"/>
      <w:r w:rsidRPr="005A3D80">
        <w:rPr>
          <w:sz w:val="24"/>
          <w:szCs w:val="24"/>
        </w:rPr>
        <w:t xml:space="preserve"> serumkoncentration, hovedalkaloid i opiumekstrakt, opnås inden for 2 til 4 timer efter oral administration.</w:t>
      </w:r>
    </w:p>
    <w:p w:rsidR="00A440CC" w:rsidRPr="005A3D80" w:rsidRDefault="00A440CC" w:rsidP="00A440CC">
      <w:pPr>
        <w:ind w:left="851"/>
        <w:rPr>
          <w:sz w:val="24"/>
          <w:szCs w:val="24"/>
        </w:rPr>
      </w:pPr>
    </w:p>
    <w:p w:rsidR="00A440CC" w:rsidRPr="005A3D80" w:rsidRDefault="00A440CC" w:rsidP="00A440CC">
      <w:pPr>
        <w:ind w:left="851"/>
        <w:rPr>
          <w:sz w:val="24"/>
          <w:szCs w:val="24"/>
          <w:u w:val="single"/>
        </w:rPr>
      </w:pPr>
      <w:r w:rsidRPr="005A3D80">
        <w:rPr>
          <w:sz w:val="24"/>
          <w:szCs w:val="24"/>
          <w:u w:val="single"/>
        </w:rPr>
        <w:t>Fordeling</w:t>
      </w:r>
    </w:p>
    <w:p w:rsidR="00A440CC" w:rsidRPr="005A3D80" w:rsidRDefault="00A440CC" w:rsidP="00A440CC">
      <w:pPr>
        <w:ind w:left="851"/>
        <w:rPr>
          <w:sz w:val="24"/>
          <w:szCs w:val="24"/>
        </w:rPr>
      </w:pPr>
      <w:r w:rsidRPr="005A3D80">
        <w:rPr>
          <w:sz w:val="24"/>
          <w:szCs w:val="24"/>
        </w:rPr>
        <w:t xml:space="preserve">Efter absorption bindes </w:t>
      </w:r>
      <w:proofErr w:type="spellStart"/>
      <w:r w:rsidRPr="005A3D80">
        <w:rPr>
          <w:sz w:val="24"/>
          <w:szCs w:val="24"/>
        </w:rPr>
        <w:t>morphin</w:t>
      </w:r>
      <w:proofErr w:type="spellEnd"/>
      <w:r w:rsidRPr="005A3D80">
        <w:rPr>
          <w:sz w:val="24"/>
          <w:szCs w:val="24"/>
        </w:rPr>
        <w:t xml:space="preserve"> til plasmaproteiner i forholdet 30 %.</w:t>
      </w:r>
    </w:p>
    <w:p w:rsidR="00A440CC" w:rsidRPr="005A3D80" w:rsidRDefault="00A440CC" w:rsidP="00A440CC">
      <w:pPr>
        <w:ind w:left="851"/>
        <w:rPr>
          <w:sz w:val="24"/>
          <w:szCs w:val="24"/>
        </w:rPr>
      </w:pPr>
    </w:p>
    <w:p w:rsidR="00A440CC" w:rsidRPr="005A3D80" w:rsidRDefault="00A440CC" w:rsidP="00A440CC">
      <w:pPr>
        <w:ind w:left="851"/>
        <w:rPr>
          <w:sz w:val="24"/>
          <w:szCs w:val="24"/>
          <w:u w:val="single"/>
        </w:rPr>
      </w:pPr>
      <w:r w:rsidRPr="005A3D80">
        <w:rPr>
          <w:sz w:val="24"/>
          <w:szCs w:val="24"/>
          <w:u w:val="single"/>
        </w:rPr>
        <w:t>Biotransformation</w:t>
      </w:r>
    </w:p>
    <w:p w:rsidR="00A440CC" w:rsidRPr="005A3D80" w:rsidRDefault="00A440CC" w:rsidP="00A440CC">
      <w:pPr>
        <w:ind w:left="851"/>
        <w:rPr>
          <w:sz w:val="24"/>
          <w:szCs w:val="24"/>
        </w:rPr>
      </w:pPr>
      <w:r w:rsidRPr="005A3D80">
        <w:rPr>
          <w:sz w:val="24"/>
          <w:szCs w:val="24"/>
        </w:rPr>
        <w:t xml:space="preserve">Opiumalkaloider </w:t>
      </w:r>
      <w:proofErr w:type="spellStart"/>
      <w:r w:rsidRPr="005A3D80">
        <w:rPr>
          <w:sz w:val="24"/>
          <w:szCs w:val="24"/>
        </w:rPr>
        <w:t>metaboliseres</w:t>
      </w:r>
      <w:proofErr w:type="spellEnd"/>
      <w:r w:rsidRPr="005A3D80">
        <w:rPr>
          <w:sz w:val="24"/>
          <w:szCs w:val="24"/>
        </w:rPr>
        <w:t xml:space="preserve"> i vid udstrækning til </w:t>
      </w:r>
      <w:proofErr w:type="spellStart"/>
      <w:r w:rsidRPr="005A3D80">
        <w:rPr>
          <w:sz w:val="24"/>
          <w:szCs w:val="24"/>
        </w:rPr>
        <w:t>glucuronidkonjugater</w:t>
      </w:r>
      <w:proofErr w:type="spellEnd"/>
      <w:r w:rsidRPr="005A3D80">
        <w:rPr>
          <w:sz w:val="24"/>
          <w:szCs w:val="24"/>
        </w:rPr>
        <w:t xml:space="preserve"> (3-glucuronid (M3G) og 6-glucuronid (M6G)), der gennemgår en </w:t>
      </w:r>
      <w:proofErr w:type="spellStart"/>
      <w:r w:rsidRPr="005A3D80">
        <w:rPr>
          <w:sz w:val="24"/>
          <w:szCs w:val="24"/>
        </w:rPr>
        <w:t>enterohepatisk</w:t>
      </w:r>
      <w:proofErr w:type="spellEnd"/>
      <w:r w:rsidRPr="005A3D80">
        <w:rPr>
          <w:sz w:val="24"/>
          <w:szCs w:val="24"/>
        </w:rPr>
        <w:t xml:space="preserve"> cyklus. 6-glucuronid er en </w:t>
      </w:r>
      <w:proofErr w:type="spellStart"/>
      <w:r w:rsidRPr="005A3D80">
        <w:rPr>
          <w:sz w:val="24"/>
          <w:szCs w:val="24"/>
        </w:rPr>
        <w:t>morphinmetabolit</w:t>
      </w:r>
      <w:proofErr w:type="spellEnd"/>
      <w:r w:rsidRPr="005A3D80">
        <w:rPr>
          <w:sz w:val="24"/>
          <w:szCs w:val="24"/>
        </w:rPr>
        <w:t xml:space="preserve">, der er ca. 50 gange mere aktiv end modersubstansen. </w:t>
      </w:r>
      <w:proofErr w:type="spellStart"/>
      <w:r w:rsidRPr="005A3D80">
        <w:rPr>
          <w:sz w:val="24"/>
          <w:szCs w:val="24"/>
        </w:rPr>
        <w:t>Morphin</w:t>
      </w:r>
      <w:proofErr w:type="spellEnd"/>
      <w:r w:rsidRPr="005A3D80">
        <w:rPr>
          <w:sz w:val="24"/>
          <w:szCs w:val="24"/>
        </w:rPr>
        <w:t xml:space="preserve"> er også </w:t>
      </w:r>
      <w:proofErr w:type="spellStart"/>
      <w:r w:rsidRPr="005A3D80">
        <w:rPr>
          <w:sz w:val="24"/>
          <w:szCs w:val="24"/>
        </w:rPr>
        <w:t>demethyleret</w:t>
      </w:r>
      <w:proofErr w:type="spellEnd"/>
      <w:r w:rsidRPr="005A3D80">
        <w:rPr>
          <w:sz w:val="24"/>
          <w:szCs w:val="24"/>
        </w:rPr>
        <w:t xml:space="preserve">, hvilket fører til en anden aktiv metabolit, </w:t>
      </w:r>
      <w:proofErr w:type="spellStart"/>
      <w:r w:rsidRPr="005A3D80">
        <w:rPr>
          <w:sz w:val="24"/>
          <w:szCs w:val="24"/>
        </w:rPr>
        <w:t>normorphin</w:t>
      </w:r>
      <w:proofErr w:type="spellEnd"/>
      <w:r w:rsidRPr="005A3D80">
        <w:rPr>
          <w:sz w:val="24"/>
          <w:szCs w:val="24"/>
        </w:rPr>
        <w:t>.</w:t>
      </w:r>
    </w:p>
    <w:p w:rsidR="00A440CC" w:rsidRPr="005A3D80" w:rsidRDefault="00A440CC" w:rsidP="00A440CC">
      <w:pPr>
        <w:ind w:left="851"/>
        <w:rPr>
          <w:sz w:val="24"/>
          <w:szCs w:val="24"/>
        </w:rPr>
      </w:pPr>
      <w:proofErr w:type="spellStart"/>
      <w:r w:rsidRPr="005A3D80">
        <w:rPr>
          <w:sz w:val="24"/>
          <w:szCs w:val="24"/>
        </w:rPr>
        <w:t>Kodein</w:t>
      </w:r>
      <w:proofErr w:type="spellEnd"/>
      <w:r w:rsidRPr="005A3D80">
        <w:rPr>
          <w:sz w:val="24"/>
          <w:szCs w:val="24"/>
        </w:rPr>
        <w:t xml:space="preserve"> </w:t>
      </w:r>
      <w:proofErr w:type="spellStart"/>
      <w:r w:rsidRPr="005A3D80">
        <w:rPr>
          <w:sz w:val="24"/>
          <w:szCs w:val="24"/>
        </w:rPr>
        <w:t>metaboliseres</w:t>
      </w:r>
      <w:proofErr w:type="spellEnd"/>
      <w:r w:rsidRPr="005A3D80">
        <w:rPr>
          <w:sz w:val="24"/>
          <w:szCs w:val="24"/>
        </w:rPr>
        <w:t xml:space="preserve"> til kodein-6-glucuronid, </w:t>
      </w:r>
      <w:proofErr w:type="spellStart"/>
      <w:r w:rsidRPr="005A3D80">
        <w:rPr>
          <w:sz w:val="24"/>
          <w:szCs w:val="24"/>
        </w:rPr>
        <w:t>morphin</w:t>
      </w:r>
      <w:proofErr w:type="spellEnd"/>
      <w:r w:rsidRPr="005A3D80">
        <w:rPr>
          <w:sz w:val="24"/>
          <w:szCs w:val="24"/>
        </w:rPr>
        <w:t xml:space="preserve"> (den eneste aktive metabolit) og </w:t>
      </w:r>
      <w:proofErr w:type="spellStart"/>
      <w:r w:rsidRPr="005A3D80">
        <w:rPr>
          <w:sz w:val="24"/>
          <w:szCs w:val="24"/>
        </w:rPr>
        <w:t>norcodein</w:t>
      </w:r>
      <w:proofErr w:type="spellEnd"/>
      <w:r w:rsidRPr="005A3D80">
        <w:rPr>
          <w:sz w:val="24"/>
          <w:szCs w:val="24"/>
        </w:rPr>
        <w:t xml:space="preserve">. Da </w:t>
      </w:r>
      <w:proofErr w:type="spellStart"/>
      <w:r w:rsidRPr="005A3D80">
        <w:rPr>
          <w:sz w:val="24"/>
          <w:szCs w:val="24"/>
        </w:rPr>
        <w:t>kodein</w:t>
      </w:r>
      <w:proofErr w:type="spellEnd"/>
      <w:r w:rsidRPr="005A3D80">
        <w:rPr>
          <w:sz w:val="24"/>
          <w:szCs w:val="24"/>
        </w:rPr>
        <w:t xml:space="preserve"> er til stede i opiumekstrakt i niveauer, der er ti gange lavere end </w:t>
      </w:r>
      <w:proofErr w:type="spellStart"/>
      <w:r w:rsidRPr="005A3D80">
        <w:rPr>
          <w:sz w:val="24"/>
          <w:szCs w:val="24"/>
        </w:rPr>
        <w:t>morphin</w:t>
      </w:r>
      <w:proofErr w:type="spellEnd"/>
      <w:r w:rsidRPr="005A3D80">
        <w:rPr>
          <w:sz w:val="24"/>
          <w:szCs w:val="24"/>
        </w:rPr>
        <w:t xml:space="preserve">, har dens levertransformation lille virkning på </w:t>
      </w:r>
      <w:proofErr w:type="spellStart"/>
      <w:r w:rsidRPr="005A3D80">
        <w:rPr>
          <w:sz w:val="24"/>
          <w:szCs w:val="24"/>
        </w:rPr>
        <w:t>morphins</w:t>
      </w:r>
      <w:proofErr w:type="spellEnd"/>
      <w:r w:rsidRPr="005A3D80">
        <w:rPr>
          <w:sz w:val="24"/>
          <w:szCs w:val="24"/>
        </w:rPr>
        <w:t xml:space="preserve"> samlede biotilgængelighed.</w:t>
      </w:r>
    </w:p>
    <w:p w:rsidR="00A440CC" w:rsidRPr="005A3D80" w:rsidRDefault="00A440CC" w:rsidP="00A440CC">
      <w:pPr>
        <w:ind w:left="851"/>
        <w:rPr>
          <w:sz w:val="24"/>
          <w:szCs w:val="24"/>
        </w:rPr>
      </w:pPr>
    </w:p>
    <w:p w:rsidR="00A440CC" w:rsidRPr="005A3D80" w:rsidRDefault="00A440CC" w:rsidP="00A440CC">
      <w:pPr>
        <w:ind w:left="851"/>
        <w:rPr>
          <w:sz w:val="24"/>
          <w:szCs w:val="24"/>
          <w:u w:val="single"/>
        </w:rPr>
      </w:pPr>
      <w:r w:rsidRPr="005A3D80">
        <w:rPr>
          <w:sz w:val="24"/>
          <w:szCs w:val="24"/>
          <w:u w:val="single"/>
        </w:rPr>
        <w:t>Elimination</w:t>
      </w:r>
    </w:p>
    <w:p w:rsidR="00A440CC" w:rsidRPr="005A3D80" w:rsidRDefault="00A440CC" w:rsidP="00A440CC">
      <w:pPr>
        <w:ind w:left="851"/>
        <w:rPr>
          <w:sz w:val="24"/>
          <w:szCs w:val="24"/>
        </w:rPr>
      </w:pPr>
      <w:proofErr w:type="spellStart"/>
      <w:r w:rsidRPr="005A3D80">
        <w:rPr>
          <w:sz w:val="24"/>
          <w:szCs w:val="24"/>
        </w:rPr>
        <w:t>Morphins</w:t>
      </w:r>
      <w:proofErr w:type="spellEnd"/>
      <w:r w:rsidRPr="005A3D80">
        <w:rPr>
          <w:sz w:val="24"/>
          <w:szCs w:val="24"/>
        </w:rPr>
        <w:t xml:space="preserve"> elimineringshalveringstid er ca. 2 timer. Der er rapporteret om en eliminerings</w:t>
      </w:r>
      <w:r w:rsidR="000E50F3" w:rsidRPr="005A3D80">
        <w:rPr>
          <w:sz w:val="24"/>
          <w:szCs w:val="24"/>
        </w:rPr>
        <w:softHyphen/>
      </w:r>
      <w:r w:rsidRPr="005A3D80">
        <w:rPr>
          <w:sz w:val="24"/>
          <w:szCs w:val="24"/>
        </w:rPr>
        <w:t xml:space="preserve">halveringstid på 2,4 til 6,7 timer for M3G. Cirka 90 % af det samlede </w:t>
      </w:r>
      <w:proofErr w:type="spellStart"/>
      <w:r w:rsidRPr="005A3D80">
        <w:rPr>
          <w:sz w:val="24"/>
          <w:szCs w:val="24"/>
        </w:rPr>
        <w:t>morphin</w:t>
      </w:r>
      <w:proofErr w:type="spellEnd"/>
      <w:r w:rsidRPr="005A3D80">
        <w:rPr>
          <w:sz w:val="24"/>
          <w:szCs w:val="24"/>
        </w:rPr>
        <w:t xml:space="preserve"> udskilles inden for 24 timer med spor i urinen i 48 timer eller mere. </w:t>
      </w:r>
    </w:p>
    <w:p w:rsidR="00A440CC" w:rsidRPr="005A3D80" w:rsidRDefault="00A440CC" w:rsidP="00A440CC">
      <w:pPr>
        <w:ind w:left="851"/>
        <w:rPr>
          <w:sz w:val="24"/>
          <w:szCs w:val="24"/>
        </w:rPr>
      </w:pPr>
    </w:p>
    <w:p w:rsidR="00A440CC" w:rsidRPr="005A3D80" w:rsidRDefault="00A440CC" w:rsidP="00A440CC">
      <w:pPr>
        <w:ind w:left="851"/>
        <w:rPr>
          <w:sz w:val="24"/>
          <w:szCs w:val="24"/>
        </w:rPr>
      </w:pPr>
      <w:r w:rsidRPr="005A3D80">
        <w:rPr>
          <w:sz w:val="24"/>
          <w:szCs w:val="24"/>
        </w:rPr>
        <w:t xml:space="preserve">Elimineringen af </w:t>
      </w:r>
      <w:proofErr w:type="spellStart"/>
      <w:r w:rsidRPr="005A3D80">
        <w:rPr>
          <w:sz w:val="24"/>
          <w:szCs w:val="24"/>
        </w:rPr>
        <w:t>glucuronoconjugatderivater</w:t>
      </w:r>
      <w:proofErr w:type="spellEnd"/>
      <w:r w:rsidRPr="005A3D80">
        <w:rPr>
          <w:sz w:val="24"/>
          <w:szCs w:val="24"/>
        </w:rPr>
        <w:t xml:space="preserve"> sker i det væsentlige ad </w:t>
      </w:r>
      <w:proofErr w:type="spellStart"/>
      <w:r w:rsidRPr="005A3D80">
        <w:rPr>
          <w:sz w:val="24"/>
          <w:szCs w:val="24"/>
        </w:rPr>
        <w:t>urinvejen</w:t>
      </w:r>
      <w:proofErr w:type="spellEnd"/>
      <w:r w:rsidRPr="005A3D80">
        <w:rPr>
          <w:sz w:val="24"/>
          <w:szCs w:val="24"/>
        </w:rPr>
        <w:t xml:space="preserve">, både ved </w:t>
      </w:r>
      <w:proofErr w:type="spellStart"/>
      <w:r w:rsidRPr="005A3D80">
        <w:rPr>
          <w:sz w:val="24"/>
          <w:szCs w:val="24"/>
        </w:rPr>
        <w:t>glomerulær</w:t>
      </w:r>
      <w:proofErr w:type="spellEnd"/>
      <w:r w:rsidRPr="005A3D80">
        <w:rPr>
          <w:sz w:val="24"/>
          <w:szCs w:val="24"/>
        </w:rPr>
        <w:t xml:space="preserve"> filtrering og </w:t>
      </w:r>
      <w:proofErr w:type="spellStart"/>
      <w:r w:rsidRPr="005A3D80">
        <w:rPr>
          <w:sz w:val="24"/>
          <w:szCs w:val="24"/>
        </w:rPr>
        <w:t>tubulær</w:t>
      </w:r>
      <w:proofErr w:type="spellEnd"/>
      <w:r w:rsidRPr="005A3D80">
        <w:rPr>
          <w:sz w:val="24"/>
          <w:szCs w:val="24"/>
        </w:rPr>
        <w:t xml:space="preserve"> sekretion.</w:t>
      </w:r>
    </w:p>
    <w:p w:rsidR="00A440CC" w:rsidRPr="005A3D80" w:rsidRDefault="00A440CC" w:rsidP="00A440CC">
      <w:pPr>
        <w:ind w:left="851"/>
        <w:rPr>
          <w:sz w:val="24"/>
          <w:szCs w:val="24"/>
        </w:rPr>
      </w:pPr>
      <w:r w:rsidRPr="005A3D80">
        <w:rPr>
          <w:sz w:val="24"/>
          <w:szCs w:val="24"/>
        </w:rPr>
        <w:t>Fækal eliminering er lav (&lt;10 %).</w:t>
      </w:r>
      <w:r w:rsidRPr="005A3D80" w:rsidDel="006C02DE">
        <w:rPr>
          <w:sz w:val="24"/>
          <w:szCs w:val="24"/>
        </w:rPr>
        <w:t xml:space="preserve"> </w:t>
      </w:r>
    </w:p>
    <w:p w:rsidR="00A440CC" w:rsidRPr="005A3D80" w:rsidRDefault="00A440CC" w:rsidP="00A440CC">
      <w:pPr>
        <w:ind w:left="851" w:hanging="851"/>
        <w:rPr>
          <w:sz w:val="24"/>
          <w:szCs w:val="24"/>
        </w:rPr>
      </w:pPr>
    </w:p>
    <w:p w:rsidR="005A3D80" w:rsidRPr="00C84483" w:rsidRDefault="005A3D80" w:rsidP="005A3D80">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A440CC" w:rsidRPr="005A3D80" w:rsidRDefault="00A440CC" w:rsidP="00A440CC">
      <w:pPr>
        <w:numPr>
          <w:ilvl w:val="12"/>
          <w:numId w:val="0"/>
        </w:numPr>
        <w:ind w:left="851" w:right="11"/>
        <w:rPr>
          <w:sz w:val="24"/>
          <w:szCs w:val="24"/>
        </w:rPr>
      </w:pPr>
      <w:r w:rsidRPr="005A3D80">
        <w:rPr>
          <w:sz w:val="24"/>
          <w:szCs w:val="24"/>
        </w:rPr>
        <w:t xml:space="preserve">Flere forsøg har vist, at </w:t>
      </w:r>
      <w:proofErr w:type="spellStart"/>
      <w:r w:rsidRPr="005A3D80">
        <w:rPr>
          <w:sz w:val="24"/>
          <w:szCs w:val="24"/>
        </w:rPr>
        <w:t>morphin</w:t>
      </w:r>
      <w:proofErr w:type="spellEnd"/>
      <w:r w:rsidRPr="005A3D80">
        <w:rPr>
          <w:sz w:val="24"/>
          <w:szCs w:val="24"/>
        </w:rPr>
        <w:t xml:space="preserve"> inducerer kromosomskader hos dyr i somatiske celler og kimceller og i humane somatiske celler. Der forventes derfor et genotoksisk potentiale for mennesker. Der er ikke foretaget langvarige dyreforsøg med </w:t>
      </w:r>
      <w:proofErr w:type="spellStart"/>
      <w:r w:rsidRPr="005A3D80">
        <w:rPr>
          <w:sz w:val="24"/>
          <w:szCs w:val="24"/>
        </w:rPr>
        <w:t>morphins</w:t>
      </w:r>
      <w:proofErr w:type="spellEnd"/>
      <w:r w:rsidRPr="005A3D80">
        <w:rPr>
          <w:sz w:val="24"/>
          <w:szCs w:val="24"/>
        </w:rPr>
        <w:t xml:space="preserve"> kræftfremkaldende potentiale.</w:t>
      </w:r>
      <w:r w:rsidRPr="005A3D80" w:rsidDel="00335FD5">
        <w:rPr>
          <w:sz w:val="24"/>
          <w:szCs w:val="24"/>
        </w:rPr>
        <w:t xml:space="preserve"> </w:t>
      </w:r>
    </w:p>
    <w:p w:rsidR="00A440CC" w:rsidRPr="005A3D80" w:rsidRDefault="00A440CC" w:rsidP="00A440CC">
      <w:pPr>
        <w:numPr>
          <w:ilvl w:val="12"/>
          <w:numId w:val="0"/>
        </w:numPr>
        <w:ind w:left="851" w:right="11"/>
        <w:rPr>
          <w:sz w:val="24"/>
          <w:szCs w:val="24"/>
        </w:rPr>
      </w:pPr>
    </w:p>
    <w:p w:rsidR="00A440CC" w:rsidRPr="005A3D80" w:rsidRDefault="00A440CC" w:rsidP="00A440CC">
      <w:pPr>
        <w:numPr>
          <w:ilvl w:val="12"/>
          <w:numId w:val="0"/>
        </w:numPr>
        <w:ind w:left="851" w:right="11"/>
        <w:rPr>
          <w:sz w:val="24"/>
          <w:szCs w:val="24"/>
        </w:rPr>
      </w:pPr>
      <w:r w:rsidRPr="005A3D80">
        <w:rPr>
          <w:sz w:val="24"/>
          <w:szCs w:val="24"/>
        </w:rPr>
        <w:t xml:space="preserve">Følgende bivirkninger er ikke observeret i kliniske studier, men er set i dyrestudier efter eksponering, der anses at overstige den normale humane eksponering: </w:t>
      </w:r>
      <w:proofErr w:type="spellStart"/>
      <w:r w:rsidRPr="005A3D80">
        <w:rPr>
          <w:sz w:val="24"/>
          <w:szCs w:val="24"/>
        </w:rPr>
        <w:t>Føtal</w:t>
      </w:r>
      <w:proofErr w:type="spellEnd"/>
      <w:r w:rsidRPr="005A3D80">
        <w:rPr>
          <w:sz w:val="24"/>
          <w:szCs w:val="24"/>
        </w:rPr>
        <w:t xml:space="preserve"> væksthæmning og en øget forekomst af anomalier i bl.a. centralnervesystemet samt skelettet.</w:t>
      </w:r>
    </w:p>
    <w:p w:rsidR="00A440CC" w:rsidRPr="005A3D80" w:rsidRDefault="00A440CC" w:rsidP="00A440CC">
      <w:pPr>
        <w:numPr>
          <w:ilvl w:val="12"/>
          <w:numId w:val="0"/>
        </w:numPr>
        <w:ind w:left="851" w:right="11"/>
        <w:rPr>
          <w:sz w:val="24"/>
          <w:szCs w:val="24"/>
        </w:rPr>
      </w:pPr>
    </w:p>
    <w:p w:rsidR="00A440CC" w:rsidRPr="005A3D80" w:rsidRDefault="00A440CC" w:rsidP="00A440CC">
      <w:pPr>
        <w:numPr>
          <w:ilvl w:val="12"/>
          <w:numId w:val="0"/>
        </w:numPr>
        <w:ind w:left="851" w:right="11"/>
        <w:rPr>
          <w:sz w:val="24"/>
          <w:szCs w:val="24"/>
        </w:rPr>
      </w:pPr>
      <w:r w:rsidRPr="005A3D80">
        <w:rPr>
          <w:sz w:val="24"/>
          <w:szCs w:val="24"/>
        </w:rPr>
        <w:t xml:space="preserve">Dyreforsøg har vist reproduktionstoksicitet under hele graviditeten (misdannelser i centralnervesystemet, </w:t>
      </w:r>
      <w:proofErr w:type="spellStart"/>
      <w:r w:rsidRPr="005A3D80">
        <w:rPr>
          <w:sz w:val="24"/>
          <w:szCs w:val="24"/>
        </w:rPr>
        <w:t>føtal</w:t>
      </w:r>
      <w:proofErr w:type="spellEnd"/>
      <w:r w:rsidRPr="005A3D80">
        <w:rPr>
          <w:sz w:val="24"/>
          <w:szCs w:val="24"/>
        </w:rPr>
        <w:t xml:space="preserve"> væksthæmning, skeletdefekter, testikelatrofi, ændringer i neurotransmittersystemer og -adfærd, afhængighed. Derudover havde </w:t>
      </w:r>
      <w:proofErr w:type="spellStart"/>
      <w:r w:rsidRPr="005A3D80">
        <w:rPr>
          <w:sz w:val="24"/>
          <w:szCs w:val="24"/>
        </w:rPr>
        <w:t>morphin</w:t>
      </w:r>
      <w:proofErr w:type="spellEnd"/>
      <w:r w:rsidRPr="005A3D80">
        <w:rPr>
          <w:sz w:val="24"/>
          <w:szCs w:val="24"/>
        </w:rPr>
        <w:t xml:space="preserve"> en indvirkning på fertiliteten hos mandlige afkom. Dyreforsøg har endvidere vist, at </w:t>
      </w:r>
      <w:proofErr w:type="spellStart"/>
      <w:r w:rsidRPr="005A3D80">
        <w:rPr>
          <w:sz w:val="24"/>
          <w:szCs w:val="24"/>
        </w:rPr>
        <w:t>morphin</w:t>
      </w:r>
      <w:proofErr w:type="spellEnd"/>
      <w:r w:rsidRPr="005A3D80">
        <w:rPr>
          <w:sz w:val="24"/>
          <w:szCs w:val="24"/>
        </w:rPr>
        <w:t xml:space="preserve"> kan skade kønsorganer eller gameter (kønsceller) og kan have en negativ indflydelse på fertilitet hos mænd og kvinder pga. hormonforstyrrelse.</w:t>
      </w:r>
    </w:p>
    <w:p w:rsidR="00A440CC" w:rsidRPr="005A3D80" w:rsidRDefault="00A440CC" w:rsidP="00A440CC">
      <w:pPr>
        <w:numPr>
          <w:ilvl w:val="12"/>
          <w:numId w:val="0"/>
        </w:numPr>
        <w:ind w:left="851" w:right="11"/>
        <w:rPr>
          <w:sz w:val="24"/>
          <w:szCs w:val="24"/>
        </w:rPr>
      </w:pPr>
    </w:p>
    <w:p w:rsidR="00A440CC" w:rsidRPr="005A3D80" w:rsidRDefault="00A440CC" w:rsidP="00A440CC">
      <w:pPr>
        <w:numPr>
          <w:ilvl w:val="12"/>
          <w:numId w:val="0"/>
        </w:numPr>
        <w:ind w:left="851" w:right="11"/>
        <w:rPr>
          <w:sz w:val="24"/>
          <w:szCs w:val="24"/>
        </w:rPr>
      </w:pPr>
      <w:r w:rsidRPr="005A3D80">
        <w:rPr>
          <w:sz w:val="24"/>
          <w:szCs w:val="24"/>
        </w:rPr>
        <w:t>Den kliniske relevans er ikke kendt.</w:t>
      </w:r>
    </w:p>
    <w:p w:rsidR="00A440CC" w:rsidRPr="005A3D80" w:rsidRDefault="00A440CC" w:rsidP="00A440CC">
      <w:pPr>
        <w:ind w:left="851" w:hanging="851"/>
        <w:rPr>
          <w:sz w:val="24"/>
          <w:szCs w:val="24"/>
        </w:rPr>
      </w:pPr>
    </w:p>
    <w:p w:rsidR="00A440CC" w:rsidRPr="005A3D80" w:rsidRDefault="00A440CC" w:rsidP="00A440CC">
      <w:pPr>
        <w:ind w:left="851" w:hanging="851"/>
        <w:rPr>
          <w:sz w:val="24"/>
          <w:szCs w:val="24"/>
        </w:rPr>
      </w:pPr>
    </w:p>
    <w:p w:rsidR="005A3D80" w:rsidRPr="00C84483" w:rsidRDefault="005A3D80" w:rsidP="005A3D80">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5A3D80" w:rsidRPr="00BA09F1" w:rsidRDefault="005A3D80" w:rsidP="005A3D80">
      <w:pPr>
        <w:tabs>
          <w:tab w:val="left" w:pos="851"/>
        </w:tabs>
        <w:ind w:left="851"/>
        <w:rPr>
          <w:sz w:val="24"/>
          <w:szCs w:val="24"/>
        </w:rPr>
      </w:pPr>
    </w:p>
    <w:p w:rsidR="005A3D80" w:rsidRPr="00C84483" w:rsidRDefault="005A3D80" w:rsidP="005A3D80">
      <w:pPr>
        <w:tabs>
          <w:tab w:val="left" w:pos="851"/>
        </w:tabs>
        <w:ind w:left="851" w:hanging="851"/>
        <w:rPr>
          <w:b/>
          <w:sz w:val="24"/>
          <w:szCs w:val="24"/>
        </w:rPr>
      </w:pPr>
      <w:r w:rsidRPr="00C84483">
        <w:rPr>
          <w:b/>
          <w:sz w:val="24"/>
          <w:szCs w:val="24"/>
        </w:rPr>
        <w:t>6.1</w:t>
      </w:r>
      <w:r w:rsidRPr="00C84483">
        <w:rPr>
          <w:b/>
          <w:sz w:val="24"/>
          <w:szCs w:val="24"/>
        </w:rPr>
        <w:tab/>
        <w:t>Hjælpestoffer</w:t>
      </w:r>
    </w:p>
    <w:p w:rsidR="00A440CC" w:rsidRPr="005A3D80" w:rsidRDefault="00A440CC" w:rsidP="00A440CC">
      <w:pPr>
        <w:ind w:left="851"/>
        <w:rPr>
          <w:sz w:val="24"/>
          <w:szCs w:val="24"/>
        </w:rPr>
      </w:pPr>
      <w:proofErr w:type="spellStart"/>
      <w:r w:rsidRPr="005A3D80">
        <w:rPr>
          <w:sz w:val="24"/>
          <w:szCs w:val="24"/>
        </w:rPr>
        <w:t>Ethanol</w:t>
      </w:r>
      <w:proofErr w:type="spellEnd"/>
      <w:r w:rsidRPr="005A3D80">
        <w:rPr>
          <w:sz w:val="24"/>
          <w:szCs w:val="24"/>
        </w:rPr>
        <w:t xml:space="preserve"> 96 %</w:t>
      </w:r>
    </w:p>
    <w:p w:rsidR="00A440CC" w:rsidRPr="005A3D80" w:rsidRDefault="00A440CC" w:rsidP="00A440CC">
      <w:pPr>
        <w:ind w:left="851"/>
        <w:rPr>
          <w:sz w:val="24"/>
          <w:szCs w:val="24"/>
        </w:rPr>
      </w:pPr>
      <w:r w:rsidRPr="005A3D80">
        <w:rPr>
          <w:sz w:val="24"/>
          <w:szCs w:val="24"/>
        </w:rPr>
        <w:t>Vand, renset</w:t>
      </w:r>
    </w:p>
    <w:p w:rsidR="00A440CC" w:rsidRPr="005A3D80" w:rsidRDefault="00A440CC" w:rsidP="00A440CC">
      <w:pPr>
        <w:ind w:left="851" w:hanging="851"/>
        <w:rPr>
          <w:sz w:val="24"/>
          <w:szCs w:val="24"/>
        </w:rPr>
      </w:pPr>
    </w:p>
    <w:p w:rsidR="005A3D80" w:rsidRPr="00C84483" w:rsidRDefault="005A3D80" w:rsidP="005A3D80">
      <w:pPr>
        <w:tabs>
          <w:tab w:val="left" w:pos="851"/>
        </w:tabs>
        <w:ind w:left="851" w:hanging="851"/>
        <w:rPr>
          <w:b/>
          <w:sz w:val="24"/>
          <w:szCs w:val="24"/>
        </w:rPr>
      </w:pPr>
      <w:r w:rsidRPr="00C84483">
        <w:rPr>
          <w:b/>
          <w:sz w:val="24"/>
          <w:szCs w:val="24"/>
        </w:rPr>
        <w:t>6.2</w:t>
      </w:r>
      <w:r w:rsidRPr="00C84483">
        <w:rPr>
          <w:b/>
          <w:sz w:val="24"/>
          <w:szCs w:val="24"/>
        </w:rPr>
        <w:tab/>
        <w:t>Uforligeligheder</w:t>
      </w:r>
    </w:p>
    <w:p w:rsidR="00A440CC" w:rsidRPr="005A3D80" w:rsidRDefault="00A440CC" w:rsidP="00A440CC">
      <w:pPr>
        <w:ind w:left="851"/>
        <w:rPr>
          <w:sz w:val="24"/>
          <w:szCs w:val="24"/>
        </w:rPr>
      </w:pPr>
      <w:r w:rsidRPr="005A3D80">
        <w:rPr>
          <w:sz w:val="24"/>
          <w:szCs w:val="24"/>
        </w:rPr>
        <w:t>Ikke relevant.</w:t>
      </w:r>
    </w:p>
    <w:p w:rsidR="00A440CC" w:rsidRPr="005A3D80" w:rsidRDefault="00A440CC" w:rsidP="00A440CC">
      <w:pPr>
        <w:ind w:left="851" w:hanging="851"/>
        <w:rPr>
          <w:sz w:val="24"/>
          <w:szCs w:val="24"/>
        </w:rPr>
      </w:pPr>
    </w:p>
    <w:p w:rsidR="005A3D80" w:rsidRPr="00C84483" w:rsidRDefault="005A3D80" w:rsidP="005A3D80">
      <w:pPr>
        <w:tabs>
          <w:tab w:val="left" w:pos="851"/>
        </w:tabs>
        <w:ind w:left="851" w:hanging="851"/>
        <w:rPr>
          <w:b/>
          <w:sz w:val="24"/>
          <w:szCs w:val="24"/>
        </w:rPr>
      </w:pPr>
      <w:r w:rsidRPr="00C84483">
        <w:rPr>
          <w:b/>
          <w:sz w:val="24"/>
          <w:szCs w:val="24"/>
        </w:rPr>
        <w:t>6.3</w:t>
      </w:r>
      <w:r w:rsidRPr="00C84483">
        <w:rPr>
          <w:b/>
          <w:sz w:val="24"/>
          <w:szCs w:val="24"/>
        </w:rPr>
        <w:tab/>
        <w:t>Opbevaringstid</w:t>
      </w:r>
    </w:p>
    <w:p w:rsidR="00A440CC" w:rsidRPr="005A3D80" w:rsidRDefault="00A440CC" w:rsidP="00A440CC">
      <w:pPr>
        <w:ind w:left="851" w:hanging="851"/>
        <w:rPr>
          <w:sz w:val="24"/>
          <w:szCs w:val="24"/>
        </w:rPr>
      </w:pPr>
      <w:r w:rsidRPr="005A3D80">
        <w:rPr>
          <w:sz w:val="24"/>
          <w:szCs w:val="24"/>
        </w:rPr>
        <w:tab/>
        <w:t>3 år.</w:t>
      </w:r>
    </w:p>
    <w:p w:rsidR="00A440CC" w:rsidRPr="005A3D80" w:rsidRDefault="00A440CC" w:rsidP="00A440CC">
      <w:pPr>
        <w:ind w:left="851" w:hanging="851"/>
        <w:rPr>
          <w:sz w:val="24"/>
          <w:szCs w:val="24"/>
        </w:rPr>
      </w:pPr>
    </w:p>
    <w:p w:rsidR="00A440CC" w:rsidRPr="005A3D80" w:rsidRDefault="00A440CC" w:rsidP="00A440CC">
      <w:pPr>
        <w:ind w:left="851"/>
        <w:rPr>
          <w:sz w:val="24"/>
          <w:szCs w:val="24"/>
        </w:rPr>
      </w:pPr>
      <w:r w:rsidRPr="005A3D80">
        <w:rPr>
          <w:sz w:val="24"/>
          <w:szCs w:val="24"/>
        </w:rPr>
        <w:t>4 uger efter åbning af flasken (stabilitet i brug).</w:t>
      </w:r>
    </w:p>
    <w:p w:rsidR="00A440CC" w:rsidRPr="005A3D80" w:rsidRDefault="00A440CC" w:rsidP="00A440CC">
      <w:pPr>
        <w:ind w:left="851" w:hanging="851"/>
        <w:rPr>
          <w:sz w:val="24"/>
          <w:szCs w:val="24"/>
        </w:rPr>
      </w:pPr>
    </w:p>
    <w:p w:rsidR="005A3D80" w:rsidRPr="00C84483" w:rsidRDefault="005A3D80" w:rsidP="005A3D80">
      <w:pPr>
        <w:tabs>
          <w:tab w:val="left" w:pos="851"/>
        </w:tabs>
        <w:ind w:left="851" w:hanging="851"/>
        <w:rPr>
          <w:b/>
          <w:sz w:val="24"/>
          <w:szCs w:val="24"/>
        </w:rPr>
      </w:pPr>
      <w:bookmarkStart w:id="10" w:name="_Hlk490753521"/>
      <w:r w:rsidRPr="00C84483">
        <w:rPr>
          <w:b/>
          <w:sz w:val="24"/>
          <w:szCs w:val="24"/>
        </w:rPr>
        <w:t>6.4</w:t>
      </w:r>
      <w:r w:rsidRPr="00C84483">
        <w:rPr>
          <w:b/>
          <w:sz w:val="24"/>
          <w:szCs w:val="24"/>
        </w:rPr>
        <w:tab/>
        <w:t>Særlige opbevaringsforhold</w:t>
      </w:r>
    </w:p>
    <w:p w:rsidR="00F64BDE" w:rsidRPr="005A3D80" w:rsidRDefault="00F64BDE" w:rsidP="00F64BDE">
      <w:pPr>
        <w:ind w:left="851"/>
        <w:rPr>
          <w:noProof/>
          <w:sz w:val="24"/>
          <w:szCs w:val="24"/>
        </w:rPr>
      </w:pPr>
      <w:r w:rsidRPr="005A3D80">
        <w:rPr>
          <w:color w:val="000000"/>
          <w:sz w:val="24"/>
          <w:szCs w:val="24"/>
          <w:lang w:eastAsia="da-DK"/>
        </w:rPr>
        <w:t>Må ikke opbevares i køleskab eller nedfryses.</w:t>
      </w:r>
      <w:bookmarkEnd w:id="10"/>
    </w:p>
    <w:p w:rsidR="00A440CC" w:rsidRPr="005A3D80" w:rsidRDefault="00A440CC" w:rsidP="00A440CC">
      <w:pPr>
        <w:ind w:left="851" w:hanging="851"/>
        <w:rPr>
          <w:sz w:val="24"/>
          <w:szCs w:val="24"/>
        </w:rPr>
      </w:pPr>
    </w:p>
    <w:p w:rsidR="005A3D80" w:rsidRPr="00C84483" w:rsidRDefault="005A3D80" w:rsidP="005A3D80">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A440CC" w:rsidRPr="005A3D80" w:rsidRDefault="00A440CC" w:rsidP="00A440CC">
      <w:pPr>
        <w:suppressAutoHyphens/>
        <w:ind w:left="851"/>
        <w:rPr>
          <w:sz w:val="24"/>
          <w:szCs w:val="24"/>
        </w:rPr>
      </w:pPr>
      <w:r w:rsidRPr="005A3D80">
        <w:rPr>
          <w:sz w:val="24"/>
          <w:szCs w:val="24"/>
        </w:rPr>
        <w:t>Brun glasflaske med hvid LDPE-</w:t>
      </w:r>
      <w:bookmarkStart w:id="11" w:name="_Hlk490754021"/>
      <w:r w:rsidRPr="005A3D80">
        <w:rPr>
          <w:sz w:val="24"/>
          <w:szCs w:val="24"/>
        </w:rPr>
        <w:t xml:space="preserve">dråbepipette </w:t>
      </w:r>
      <w:bookmarkEnd w:id="11"/>
      <w:r w:rsidRPr="005A3D80">
        <w:rPr>
          <w:sz w:val="24"/>
          <w:szCs w:val="24"/>
        </w:rPr>
        <w:t>og hvid polypropylen (PP) børnesikret skruelåg.</w:t>
      </w:r>
    </w:p>
    <w:p w:rsidR="00A440CC" w:rsidRPr="005A3D80" w:rsidRDefault="00A440CC" w:rsidP="00A440CC">
      <w:pPr>
        <w:suppressAutoHyphens/>
        <w:ind w:left="851" w:hanging="851"/>
        <w:rPr>
          <w:sz w:val="24"/>
          <w:szCs w:val="24"/>
        </w:rPr>
      </w:pPr>
    </w:p>
    <w:p w:rsidR="00A440CC" w:rsidRPr="005A3D80" w:rsidRDefault="00A440CC" w:rsidP="00A440CC">
      <w:pPr>
        <w:suppressAutoHyphens/>
        <w:ind w:left="851"/>
        <w:rPr>
          <w:sz w:val="24"/>
          <w:szCs w:val="24"/>
        </w:rPr>
      </w:pPr>
      <w:bookmarkStart w:id="12" w:name="_Hlk490754041"/>
      <w:r w:rsidRPr="005A3D80">
        <w:rPr>
          <w:sz w:val="24"/>
          <w:szCs w:val="24"/>
        </w:rPr>
        <w:t>Pakningsstørrelser</w:t>
      </w:r>
      <w:bookmarkEnd w:id="12"/>
      <w:r w:rsidRPr="005A3D80">
        <w:rPr>
          <w:sz w:val="24"/>
          <w:szCs w:val="24"/>
        </w:rPr>
        <w:t>: 1×10</w:t>
      </w:r>
      <w:bookmarkStart w:id="13" w:name="_Hlk490754059"/>
      <w:r w:rsidRPr="005A3D80">
        <w:rPr>
          <w:sz w:val="24"/>
          <w:szCs w:val="24"/>
        </w:rPr>
        <w:t xml:space="preserve"> ml, 2×10 ml, 3×10 ml, 4×10 ml, 5×10 ml og </w:t>
      </w:r>
      <w:bookmarkEnd w:id="13"/>
      <w:r w:rsidRPr="005A3D80">
        <w:rPr>
          <w:sz w:val="24"/>
          <w:szCs w:val="24"/>
        </w:rPr>
        <w:t xml:space="preserve">10×10 ml. </w:t>
      </w:r>
    </w:p>
    <w:p w:rsidR="00A440CC" w:rsidRPr="005A3D80" w:rsidRDefault="00A440CC" w:rsidP="00A440CC">
      <w:pPr>
        <w:suppressAutoHyphens/>
        <w:ind w:left="851" w:hanging="851"/>
        <w:rPr>
          <w:sz w:val="24"/>
          <w:szCs w:val="24"/>
        </w:rPr>
      </w:pPr>
    </w:p>
    <w:p w:rsidR="00A440CC" w:rsidRPr="005A3D80" w:rsidRDefault="00A440CC" w:rsidP="00A440CC">
      <w:pPr>
        <w:suppressAutoHyphens/>
        <w:ind w:left="851"/>
        <w:rPr>
          <w:sz w:val="24"/>
          <w:szCs w:val="24"/>
          <w:highlight w:val="yellow"/>
        </w:rPr>
      </w:pPr>
      <w:r w:rsidRPr="005A3D80">
        <w:rPr>
          <w:sz w:val="24"/>
          <w:szCs w:val="24"/>
        </w:rPr>
        <w:t>Ikke alle pakningsstørrelser er nødvendigvis markedsført.</w:t>
      </w:r>
      <w:r w:rsidRPr="005A3D80">
        <w:rPr>
          <w:sz w:val="24"/>
          <w:szCs w:val="24"/>
          <w:highlight w:val="yellow"/>
        </w:rPr>
        <w:t xml:space="preserve"> </w:t>
      </w:r>
    </w:p>
    <w:p w:rsidR="00D9112B" w:rsidRDefault="00D9112B">
      <w:pPr>
        <w:rPr>
          <w:sz w:val="24"/>
          <w:szCs w:val="24"/>
        </w:rPr>
      </w:pPr>
      <w:r>
        <w:rPr>
          <w:sz w:val="24"/>
          <w:szCs w:val="24"/>
        </w:rPr>
        <w:br w:type="page"/>
      </w:r>
    </w:p>
    <w:p w:rsidR="00A440CC" w:rsidRPr="005A3D80" w:rsidRDefault="00A440CC" w:rsidP="00A440CC">
      <w:pPr>
        <w:ind w:left="851" w:hanging="851"/>
        <w:rPr>
          <w:sz w:val="24"/>
          <w:szCs w:val="24"/>
        </w:rPr>
      </w:pPr>
    </w:p>
    <w:p w:rsidR="005A3D80" w:rsidRPr="00C84483" w:rsidRDefault="005A3D80" w:rsidP="005A3D80">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A440CC" w:rsidRPr="005A3D80" w:rsidRDefault="00A440CC" w:rsidP="00A440CC">
      <w:pPr>
        <w:ind w:left="851"/>
        <w:rPr>
          <w:sz w:val="24"/>
          <w:szCs w:val="24"/>
        </w:rPr>
      </w:pPr>
      <w:r w:rsidRPr="005A3D80">
        <w:rPr>
          <w:sz w:val="24"/>
          <w:szCs w:val="24"/>
        </w:rPr>
        <w:t>Ikke anvendt lægemiddel samt affald heraf skal bortskaffes i henhold til lokale retningslinjer.</w:t>
      </w:r>
    </w:p>
    <w:p w:rsidR="00A440CC" w:rsidRPr="005A3D80" w:rsidRDefault="00A440CC" w:rsidP="00A440CC">
      <w:pPr>
        <w:ind w:left="851" w:hanging="851"/>
        <w:jc w:val="both"/>
        <w:rPr>
          <w:sz w:val="24"/>
          <w:szCs w:val="24"/>
        </w:rPr>
      </w:pPr>
    </w:p>
    <w:p w:rsidR="00A440CC" w:rsidRPr="005A3D80" w:rsidRDefault="00A440CC" w:rsidP="00A440CC">
      <w:pPr>
        <w:ind w:left="851" w:hanging="851"/>
        <w:rPr>
          <w:b/>
          <w:sz w:val="24"/>
          <w:szCs w:val="24"/>
        </w:rPr>
      </w:pPr>
      <w:r w:rsidRPr="005A3D80">
        <w:rPr>
          <w:b/>
          <w:sz w:val="24"/>
          <w:szCs w:val="24"/>
        </w:rPr>
        <w:t>7.</w:t>
      </w:r>
      <w:r w:rsidRPr="005A3D80">
        <w:rPr>
          <w:b/>
          <w:sz w:val="24"/>
          <w:szCs w:val="24"/>
        </w:rPr>
        <w:tab/>
        <w:t>INDEHAVER AF MARKEDSFØRINGSTILLADELSEN</w:t>
      </w:r>
    </w:p>
    <w:p w:rsidR="004F118D" w:rsidRPr="005A3D80" w:rsidRDefault="000B1F0F" w:rsidP="00A440CC">
      <w:pPr>
        <w:ind w:left="851"/>
        <w:rPr>
          <w:sz w:val="24"/>
          <w:szCs w:val="24"/>
        </w:rPr>
      </w:pPr>
      <w:proofErr w:type="spellStart"/>
      <w:r w:rsidRPr="005A3D80">
        <w:rPr>
          <w:sz w:val="24"/>
          <w:szCs w:val="24"/>
        </w:rPr>
        <w:t>Pharmanovia</w:t>
      </w:r>
      <w:proofErr w:type="spellEnd"/>
      <w:r w:rsidR="004F118D" w:rsidRPr="005A3D80">
        <w:rPr>
          <w:sz w:val="24"/>
          <w:szCs w:val="24"/>
        </w:rPr>
        <w:t xml:space="preserve"> A/S </w:t>
      </w:r>
    </w:p>
    <w:p w:rsidR="004F118D" w:rsidRPr="005A3D80" w:rsidRDefault="004F118D" w:rsidP="00A440CC">
      <w:pPr>
        <w:ind w:left="851"/>
        <w:rPr>
          <w:sz w:val="24"/>
          <w:szCs w:val="24"/>
        </w:rPr>
      </w:pPr>
      <w:r w:rsidRPr="005A3D80">
        <w:rPr>
          <w:sz w:val="24"/>
          <w:szCs w:val="24"/>
        </w:rPr>
        <w:t>Copenhagen Towers,</w:t>
      </w:r>
    </w:p>
    <w:p w:rsidR="00A440CC" w:rsidRPr="005A3D80" w:rsidRDefault="00A440CC" w:rsidP="00A440CC">
      <w:pPr>
        <w:ind w:left="851"/>
        <w:rPr>
          <w:sz w:val="24"/>
          <w:szCs w:val="24"/>
        </w:rPr>
      </w:pPr>
      <w:r w:rsidRPr="005A3D80">
        <w:rPr>
          <w:sz w:val="24"/>
          <w:szCs w:val="24"/>
        </w:rPr>
        <w:t>Ørestads Boulevard 108</w:t>
      </w:r>
      <w:r w:rsidR="004F118D" w:rsidRPr="005A3D80">
        <w:rPr>
          <w:sz w:val="24"/>
          <w:szCs w:val="24"/>
        </w:rPr>
        <w:t>, 5.tv.</w:t>
      </w:r>
    </w:p>
    <w:p w:rsidR="00A440CC" w:rsidRPr="005A3D80" w:rsidRDefault="00A440CC" w:rsidP="00A440CC">
      <w:pPr>
        <w:ind w:left="851"/>
        <w:rPr>
          <w:sz w:val="24"/>
          <w:szCs w:val="24"/>
        </w:rPr>
      </w:pPr>
      <w:r w:rsidRPr="005A3D80">
        <w:rPr>
          <w:sz w:val="24"/>
          <w:szCs w:val="24"/>
        </w:rPr>
        <w:t>2300 København S</w:t>
      </w:r>
    </w:p>
    <w:p w:rsidR="00A440CC" w:rsidRPr="005A3D80" w:rsidRDefault="00A440CC" w:rsidP="00A440CC">
      <w:pPr>
        <w:ind w:left="851" w:hanging="851"/>
        <w:rPr>
          <w:sz w:val="24"/>
          <w:szCs w:val="24"/>
        </w:rPr>
      </w:pPr>
    </w:p>
    <w:p w:rsidR="00FA7A2A" w:rsidRPr="00C84483" w:rsidRDefault="00FA7A2A" w:rsidP="00FA7A2A">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A440CC" w:rsidRPr="005A3D80" w:rsidRDefault="00A440CC" w:rsidP="00A440CC">
      <w:pPr>
        <w:ind w:left="851"/>
        <w:rPr>
          <w:sz w:val="24"/>
          <w:szCs w:val="24"/>
        </w:rPr>
      </w:pPr>
      <w:r w:rsidRPr="005A3D80">
        <w:rPr>
          <w:sz w:val="24"/>
          <w:szCs w:val="24"/>
        </w:rPr>
        <w:t>58376</w:t>
      </w:r>
    </w:p>
    <w:p w:rsidR="00A440CC" w:rsidRPr="005A3D80" w:rsidRDefault="00A440CC" w:rsidP="00A440CC">
      <w:pPr>
        <w:ind w:left="851" w:hanging="851"/>
        <w:jc w:val="both"/>
        <w:rPr>
          <w:sz w:val="24"/>
          <w:szCs w:val="24"/>
        </w:rPr>
      </w:pPr>
    </w:p>
    <w:p w:rsidR="00A440CC" w:rsidRPr="005A3D80" w:rsidRDefault="00A440CC" w:rsidP="00A440CC">
      <w:pPr>
        <w:ind w:left="851" w:hanging="851"/>
        <w:rPr>
          <w:b/>
          <w:sz w:val="24"/>
          <w:szCs w:val="24"/>
        </w:rPr>
      </w:pPr>
      <w:r w:rsidRPr="005A3D80">
        <w:rPr>
          <w:b/>
          <w:sz w:val="24"/>
          <w:szCs w:val="24"/>
        </w:rPr>
        <w:t>9.</w:t>
      </w:r>
      <w:r w:rsidRPr="005A3D80">
        <w:rPr>
          <w:b/>
          <w:sz w:val="24"/>
          <w:szCs w:val="24"/>
        </w:rPr>
        <w:tab/>
        <w:t>DATO FOR FØRSTE MARKEDSFØRINGSTILLADELSE</w:t>
      </w:r>
    </w:p>
    <w:p w:rsidR="00A440CC" w:rsidRPr="005A3D80" w:rsidRDefault="00A440CC" w:rsidP="00A440CC">
      <w:pPr>
        <w:ind w:left="851"/>
        <w:rPr>
          <w:sz w:val="24"/>
          <w:szCs w:val="24"/>
        </w:rPr>
      </w:pPr>
      <w:r w:rsidRPr="005A3D80">
        <w:rPr>
          <w:sz w:val="24"/>
          <w:szCs w:val="24"/>
        </w:rPr>
        <w:t>19. september 2017</w:t>
      </w:r>
    </w:p>
    <w:p w:rsidR="00A440CC" w:rsidRPr="005A3D80" w:rsidRDefault="00A440CC" w:rsidP="00A440CC">
      <w:pPr>
        <w:ind w:left="851" w:hanging="851"/>
        <w:rPr>
          <w:sz w:val="24"/>
          <w:szCs w:val="24"/>
        </w:rPr>
      </w:pPr>
    </w:p>
    <w:p w:rsidR="00A440CC" w:rsidRPr="005A3D80" w:rsidRDefault="00A440CC" w:rsidP="00A440CC">
      <w:pPr>
        <w:ind w:left="851" w:hanging="851"/>
        <w:rPr>
          <w:b/>
          <w:sz w:val="24"/>
          <w:szCs w:val="24"/>
        </w:rPr>
      </w:pPr>
      <w:r w:rsidRPr="005A3D80">
        <w:rPr>
          <w:b/>
          <w:sz w:val="24"/>
          <w:szCs w:val="24"/>
        </w:rPr>
        <w:t>10.</w:t>
      </w:r>
      <w:r w:rsidRPr="005A3D80">
        <w:rPr>
          <w:b/>
          <w:sz w:val="24"/>
          <w:szCs w:val="24"/>
        </w:rPr>
        <w:tab/>
        <w:t>DATO FOR ÆNDRING AF TEKSTEN</w:t>
      </w:r>
    </w:p>
    <w:p w:rsidR="009260DE" w:rsidRPr="005A3D80" w:rsidRDefault="00FA7A2A" w:rsidP="00AE3E66">
      <w:pPr>
        <w:ind w:left="851"/>
        <w:rPr>
          <w:sz w:val="24"/>
          <w:szCs w:val="24"/>
        </w:rPr>
      </w:pPr>
      <w:r>
        <w:rPr>
          <w:sz w:val="24"/>
          <w:szCs w:val="24"/>
        </w:rPr>
        <w:t>24. oktober 2024</w:t>
      </w:r>
    </w:p>
    <w:sectPr w:rsidR="009260DE" w:rsidRPr="005A3D80"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0CC" w:rsidRDefault="00A440CC">
      <w:r>
        <w:separator/>
      </w:r>
    </w:p>
  </w:endnote>
  <w:endnote w:type="continuationSeparator" w:id="0">
    <w:p w:rsidR="00A440CC" w:rsidRDefault="00A440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B530B9">
      <w:rPr>
        <w:i/>
        <w:noProof/>
        <w:sz w:val="18"/>
        <w:szCs w:val="18"/>
      </w:rPr>
      <w:t>Dropizol, orale dråber, opløsning 10 mg-ml</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0CC" w:rsidRDefault="00A440CC">
      <w:r>
        <w:separator/>
      </w:r>
    </w:p>
  </w:footnote>
  <w:footnote w:type="continuationSeparator" w:id="0">
    <w:p w:rsidR="00A440CC" w:rsidRDefault="00A440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41B56D7"/>
    <w:multiLevelType w:val="hybridMultilevel"/>
    <w:tmpl w:val="8F24D02A"/>
    <w:lvl w:ilvl="0" w:tplc="04060001">
      <w:start w:val="1"/>
      <w:numFmt w:val="bullet"/>
      <w:lvlText w:val=""/>
      <w:lvlJc w:val="left"/>
      <w:pPr>
        <w:ind w:left="927" w:hanging="360"/>
      </w:pPr>
      <w:rPr>
        <w:rFonts w:ascii="Symbol" w:hAnsi="Symbol" w:hint="default"/>
      </w:rPr>
    </w:lvl>
    <w:lvl w:ilvl="1" w:tplc="04060003">
      <w:start w:val="1"/>
      <w:numFmt w:val="bullet"/>
      <w:lvlText w:val="o"/>
      <w:lvlJc w:val="left"/>
      <w:pPr>
        <w:ind w:left="1647" w:hanging="360"/>
      </w:pPr>
      <w:rPr>
        <w:rFonts w:ascii="Courier New" w:hAnsi="Courier New" w:cs="Courier New" w:hint="default"/>
      </w:rPr>
    </w:lvl>
    <w:lvl w:ilvl="2" w:tplc="04060005">
      <w:start w:val="1"/>
      <w:numFmt w:val="bullet"/>
      <w:lvlText w:val=""/>
      <w:lvlJc w:val="left"/>
      <w:pPr>
        <w:ind w:left="2367" w:hanging="360"/>
      </w:pPr>
      <w:rPr>
        <w:rFonts w:ascii="Wingdings" w:hAnsi="Wingdings" w:hint="default"/>
      </w:rPr>
    </w:lvl>
    <w:lvl w:ilvl="3" w:tplc="026E8654">
      <w:start w:val="1"/>
      <w:numFmt w:val="bullet"/>
      <w:lvlText w:val=""/>
      <w:lvlJc w:val="left"/>
      <w:pPr>
        <w:ind w:left="3087" w:hanging="360"/>
      </w:pPr>
      <w:rPr>
        <w:rFonts w:ascii="Symbol" w:hAnsi="Symbol" w:hint="default"/>
      </w:rPr>
    </w:lvl>
    <w:lvl w:ilvl="4" w:tplc="04060003">
      <w:start w:val="1"/>
      <w:numFmt w:val="bullet"/>
      <w:lvlText w:val="o"/>
      <w:lvlJc w:val="left"/>
      <w:pPr>
        <w:ind w:left="3807" w:hanging="360"/>
      </w:pPr>
      <w:rPr>
        <w:rFonts w:ascii="Courier New" w:hAnsi="Courier New" w:cs="Courier New" w:hint="default"/>
      </w:rPr>
    </w:lvl>
    <w:lvl w:ilvl="5" w:tplc="04060005">
      <w:start w:val="1"/>
      <w:numFmt w:val="bullet"/>
      <w:lvlText w:val=""/>
      <w:lvlJc w:val="left"/>
      <w:pPr>
        <w:ind w:left="4527" w:hanging="360"/>
      </w:pPr>
      <w:rPr>
        <w:rFonts w:ascii="Wingdings" w:hAnsi="Wingdings" w:hint="default"/>
      </w:rPr>
    </w:lvl>
    <w:lvl w:ilvl="6" w:tplc="04060001">
      <w:start w:val="1"/>
      <w:numFmt w:val="bullet"/>
      <w:lvlText w:val=""/>
      <w:lvlJc w:val="left"/>
      <w:pPr>
        <w:ind w:left="5247" w:hanging="360"/>
      </w:pPr>
      <w:rPr>
        <w:rFonts w:ascii="Symbol" w:hAnsi="Symbol" w:hint="default"/>
      </w:rPr>
    </w:lvl>
    <w:lvl w:ilvl="7" w:tplc="04060003">
      <w:start w:val="1"/>
      <w:numFmt w:val="bullet"/>
      <w:lvlText w:val="o"/>
      <w:lvlJc w:val="left"/>
      <w:pPr>
        <w:ind w:left="5967" w:hanging="360"/>
      </w:pPr>
      <w:rPr>
        <w:rFonts w:ascii="Courier New" w:hAnsi="Courier New" w:cs="Courier New" w:hint="default"/>
      </w:rPr>
    </w:lvl>
    <w:lvl w:ilvl="8" w:tplc="04060005">
      <w:start w:val="1"/>
      <w:numFmt w:val="bullet"/>
      <w:lvlText w:val=""/>
      <w:lvlJc w:val="left"/>
      <w:pPr>
        <w:ind w:left="6687" w:hanging="360"/>
      </w:pPr>
      <w:rPr>
        <w:rFonts w:ascii="Wingdings" w:hAnsi="Wingdings" w:hint="default"/>
      </w:rPr>
    </w:lvl>
  </w:abstractNum>
  <w:abstractNum w:abstractNumId="2" w15:restartNumberingAfterBreak="0">
    <w:nsid w:val="25A72528"/>
    <w:multiLevelType w:val="hybridMultilevel"/>
    <w:tmpl w:val="5A4EC732"/>
    <w:lvl w:ilvl="0" w:tplc="5A5CF712">
      <w:start w:val="1"/>
      <w:numFmt w:val="bullet"/>
      <w:lvlText w:val="-"/>
      <w:lvlJc w:val="left"/>
      <w:pPr>
        <w:ind w:left="927" w:hanging="360"/>
      </w:pPr>
      <w:rPr>
        <w:rFonts w:ascii="Courier New" w:hAnsi="Courier New" w:hint="default"/>
      </w:rPr>
    </w:lvl>
    <w:lvl w:ilvl="1" w:tplc="04060003">
      <w:start w:val="1"/>
      <w:numFmt w:val="bullet"/>
      <w:lvlText w:val="o"/>
      <w:lvlJc w:val="left"/>
      <w:pPr>
        <w:ind w:left="1647" w:hanging="360"/>
      </w:pPr>
      <w:rPr>
        <w:rFonts w:ascii="Courier New" w:hAnsi="Courier New" w:cs="Courier New" w:hint="default"/>
      </w:rPr>
    </w:lvl>
    <w:lvl w:ilvl="2" w:tplc="04060005">
      <w:start w:val="1"/>
      <w:numFmt w:val="bullet"/>
      <w:lvlText w:val=""/>
      <w:lvlJc w:val="left"/>
      <w:pPr>
        <w:ind w:left="2367" w:hanging="360"/>
      </w:pPr>
      <w:rPr>
        <w:rFonts w:ascii="Wingdings" w:hAnsi="Wingdings" w:hint="default"/>
      </w:rPr>
    </w:lvl>
    <w:lvl w:ilvl="3" w:tplc="04060001">
      <w:start w:val="1"/>
      <w:numFmt w:val="bullet"/>
      <w:lvlText w:val=""/>
      <w:lvlJc w:val="left"/>
      <w:pPr>
        <w:ind w:left="3087" w:hanging="360"/>
      </w:pPr>
      <w:rPr>
        <w:rFonts w:ascii="Symbol" w:hAnsi="Symbol" w:hint="default"/>
      </w:rPr>
    </w:lvl>
    <w:lvl w:ilvl="4" w:tplc="04060003">
      <w:start w:val="1"/>
      <w:numFmt w:val="bullet"/>
      <w:lvlText w:val="o"/>
      <w:lvlJc w:val="left"/>
      <w:pPr>
        <w:ind w:left="3807" w:hanging="360"/>
      </w:pPr>
      <w:rPr>
        <w:rFonts w:ascii="Courier New" w:hAnsi="Courier New" w:cs="Courier New" w:hint="default"/>
      </w:rPr>
    </w:lvl>
    <w:lvl w:ilvl="5" w:tplc="04060005">
      <w:start w:val="1"/>
      <w:numFmt w:val="bullet"/>
      <w:lvlText w:val=""/>
      <w:lvlJc w:val="left"/>
      <w:pPr>
        <w:ind w:left="4527" w:hanging="360"/>
      </w:pPr>
      <w:rPr>
        <w:rFonts w:ascii="Wingdings" w:hAnsi="Wingdings" w:hint="default"/>
      </w:rPr>
    </w:lvl>
    <w:lvl w:ilvl="6" w:tplc="04060001">
      <w:start w:val="1"/>
      <w:numFmt w:val="bullet"/>
      <w:lvlText w:val=""/>
      <w:lvlJc w:val="left"/>
      <w:pPr>
        <w:ind w:left="5247" w:hanging="360"/>
      </w:pPr>
      <w:rPr>
        <w:rFonts w:ascii="Symbol" w:hAnsi="Symbol" w:hint="default"/>
      </w:rPr>
    </w:lvl>
    <w:lvl w:ilvl="7" w:tplc="04060003">
      <w:start w:val="1"/>
      <w:numFmt w:val="bullet"/>
      <w:lvlText w:val="o"/>
      <w:lvlJc w:val="left"/>
      <w:pPr>
        <w:ind w:left="5967" w:hanging="360"/>
      </w:pPr>
      <w:rPr>
        <w:rFonts w:ascii="Courier New" w:hAnsi="Courier New" w:cs="Courier New" w:hint="default"/>
      </w:rPr>
    </w:lvl>
    <w:lvl w:ilvl="8" w:tplc="04060005">
      <w:start w:val="1"/>
      <w:numFmt w:val="bullet"/>
      <w:lvlText w:val=""/>
      <w:lvlJc w:val="left"/>
      <w:pPr>
        <w:ind w:left="6687" w:hanging="360"/>
      </w:pPr>
      <w:rPr>
        <w:rFonts w:ascii="Wingdings" w:hAnsi="Wingdings" w:hint="default"/>
      </w:rPr>
    </w:lvl>
  </w:abstractNum>
  <w:abstractNum w:abstractNumId="3" w15:restartNumberingAfterBreak="0">
    <w:nsid w:val="28D8233C"/>
    <w:multiLevelType w:val="hybridMultilevel"/>
    <w:tmpl w:val="DEECC01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5E400992"/>
    <w:multiLevelType w:val="hybridMultilevel"/>
    <w:tmpl w:val="C9E8740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9" w15:restartNumberingAfterBreak="0">
    <w:nsid w:val="78436F4A"/>
    <w:multiLevelType w:val="hybridMultilevel"/>
    <w:tmpl w:val="5664AC12"/>
    <w:lvl w:ilvl="0" w:tplc="5A5CF712">
      <w:start w:val="1"/>
      <w:numFmt w:val="bullet"/>
      <w:lvlText w:val="-"/>
      <w:lvlJc w:val="left"/>
      <w:pPr>
        <w:ind w:left="927" w:hanging="360"/>
      </w:pPr>
      <w:rPr>
        <w:rFonts w:ascii="Courier New" w:hAnsi="Courier New" w:hint="default"/>
      </w:rPr>
    </w:lvl>
    <w:lvl w:ilvl="1" w:tplc="04060003">
      <w:start w:val="1"/>
      <w:numFmt w:val="bullet"/>
      <w:lvlText w:val="o"/>
      <w:lvlJc w:val="left"/>
      <w:pPr>
        <w:ind w:left="1647" w:hanging="360"/>
      </w:pPr>
      <w:rPr>
        <w:rFonts w:ascii="Courier New" w:hAnsi="Courier New" w:cs="Courier New" w:hint="default"/>
      </w:rPr>
    </w:lvl>
    <w:lvl w:ilvl="2" w:tplc="04060005">
      <w:start w:val="1"/>
      <w:numFmt w:val="bullet"/>
      <w:lvlText w:val=""/>
      <w:lvlJc w:val="left"/>
      <w:pPr>
        <w:ind w:left="2367" w:hanging="360"/>
      </w:pPr>
      <w:rPr>
        <w:rFonts w:ascii="Wingdings" w:hAnsi="Wingdings" w:hint="default"/>
      </w:rPr>
    </w:lvl>
    <w:lvl w:ilvl="3" w:tplc="04060001">
      <w:start w:val="1"/>
      <w:numFmt w:val="bullet"/>
      <w:lvlText w:val=""/>
      <w:lvlJc w:val="left"/>
      <w:pPr>
        <w:ind w:left="3087" w:hanging="360"/>
      </w:pPr>
      <w:rPr>
        <w:rFonts w:ascii="Symbol" w:hAnsi="Symbol" w:hint="default"/>
      </w:rPr>
    </w:lvl>
    <w:lvl w:ilvl="4" w:tplc="04060003">
      <w:start w:val="1"/>
      <w:numFmt w:val="bullet"/>
      <w:lvlText w:val="o"/>
      <w:lvlJc w:val="left"/>
      <w:pPr>
        <w:ind w:left="3807" w:hanging="360"/>
      </w:pPr>
      <w:rPr>
        <w:rFonts w:ascii="Courier New" w:hAnsi="Courier New" w:cs="Courier New" w:hint="default"/>
      </w:rPr>
    </w:lvl>
    <w:lvl w:ilvl="5" w:tplc="04060005">
      <w:start w:val="1"/>
      <w:numFmt w:val="bullet"/>
      <w:lvlText w:val=""/>
      <w:lvlJc w:val="left"/>
      <w:pPr>
        <w:ind w:left="4527" w:hanging="360"/>
      </w:pPr>
      <w:rPr>
        <w:rFonts w:ascii="Wingdings" w:hAnsi="Wingdings" w:hint="default"/>
      </w:rPr>
    </w:lvl>
    <w:lvl w:ilvl="6" w:tplc="04060001">
      <w:start w:val="1"/>
      <w:numFmt w:val="bullet"/>
      <w:lvlText w:val=""/>
      <w:lvlJc w:val="left"/>
      <w:pPr>
        <w:ind w:left="5247" w:hanging="360"/>
      </w:pPr>
      <w:rPr>
        <w:rFonts w:ascii="Symbol" w:hAnsi="Symbol" w:hint="default"/>
      </w:rPr>
    </w:lvl>
    <w:lvl w:ilvl="7" w:tplc="04060003">
      <w:start w:val="1"/>
      <w:numFmt w:val="bullet"/>
      <w:lvlText w:val="o"/>
      <w:lvlJc w:val="left"/>
      <w:pPr>
        <w:ind w:left="5967" w:hanging="360"/>
      </w:pPr>
      <w:rPr>
        <w:rFonts w:ascii="Courier New" w:hAnsi="Courier New" w:cs="Courier New" w:hint="default"/>
      </w:rPr>
    </w:lvl>
    <w:lvl w:ilvl="8" w:tplc="04060005">
      <w:start w:val="1"/>
      <w:numFmt w:val="bullet"/>
      <w:lvlText w:val=""/>
      <w:lvlJc w:val="left"/>
      <w:pPr>
        <w:ind w:left="6687"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8"/>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CC"/>
    <w:rsid w:val="00001768"/>
    <w:rsid w:val="000259B9"/>
    <w:rsid w:val="00041491"/>
    <w:rsid w:val="00050D16"/>
    <w:rsid w:val="00074F2A"/>
    <w:rsid w:val="00094E93"/>
    <w:rsid w:val="000A1CA8"/>
    <w:rsid w:val="000A466B"/>
    <w:rsid w:val="000B058C"/>
    <w:rsid w:val="000B1F0F"/>
    <w:rsid w:val="000E4EE6"/>
    <w:rsid w:val="000E50F3"/>
    <w:rsid w:val="000F3B6F"/>
    <w:rsid w:val="00116F93"/>
    <w:rsid w:val="001252A9"/>
    <w:rsid w:val="001454E2"/>
    <w:rsid w:val="001C6BF6"/>
    <w:rsid w:val="001F562D"/>
    <w:rsid w:val="00206CE8"/>
    <w:rsid w:val="002143D3"/>
    <w:rsid w:val="0021526C"/>
    <w:rsid w:val="00215378"/>
    <w:rsid w:val="00283A2B"/>
    <w:rsid w:val="002A12FD"/>
    <w:rsid w:val="002B30AD"/>
    <w:rsid w:val="002C2C01"/>
    <w:rsid w:val="002E7BB9"/>
    <w:rsid w:val="003459B8"/>
    <w:rsid w:val="00362674"/>
    <w:rsid w:val="003A29AE"/>
    <w:rsid w:val="003A32D7"/>
    <w:rsid w:val="003B4074"/>
    <w:rsid w:val="003C769A"/>
    <w:rsid w:val="003E31F9"/>
    <w:rsid w:val="003F0B21"/>
    <w:rsid w:val="003F1838"/>
    <w:rsid w:val="004550A3"/>
    <w:rsid w:val="0045746C"/>
    <w:rsid w:val="0049104B"/>
    <w:rsid w:val="004C1286"/>
    <w:rsid w:val="004E3B12"/>
    <w:rsid w:val="004F118D"/>
    <w:rsid w:val="00513584"/>
    <w:rsid w:val="00532310"/>
    <w:rsid w:val="00545FA6"/>
    <w:rsid w:val="00560ECC"/>
    <w:rsid w:val="00565F0F"/>
    <w:rsid w:val="00594A86"/>
    <w:rsid w:val="00596D86"/>
    <w:rsid w:val="005A3D80"/>
    <w:rsid w:val="005E4A22"/>
    <w:rsid w:val="005F3BEC"/>
    <w:rsid w:val="00637F5A"/>
    <w:rsid w:val="006560B1"/>
    <w:rsid w:val="0066630D"/>
    <w:rsid w:val="006756DD"/>
    <w:rsid w:val="00684445"/>
    <w:rsid w:val="006F17C9"/>
    <w:rsid w:val="006F55D4"/>
    <w:rsid w:val="00704885"/>
    <w:rsid w:val="0073261A"/>
    <w:rsid w:val="00737275"/>
    <w:rsid w:val="00740EEC"/>
    <w:rsid w:val="00741D9E"/>
    <w:rsid w:val="007536CC"/>
    <w:rsid w:val="00761C70"/>
    <w:rsid w:val="00764400"/>
    <w:rsid w:val="0078011A"/>
    <w:rsid w:val="00782AF4"/>
    <w:rsid w:val="00790EE7"/>
    <w:rsid w:val="007B6649"/>
    <w:rsid w:val="007F4778"/>
    <w:rsid w:val="00801726"/>
    <w:rsid w:val="0081546F"/>
    <w:rsid w:val="0082576E"/>
    <w:rsid w:val="008707DC"/>
    <w:rsid w:val="00875C00"/>
    <w:rsid w:val="00877AC3"/>
    <w:rsid w:val="008841F0"/>
    <w:rsid w:val="008A7196"/>
    <w:rsid w:val="008D0C75"/>
    <w:rsid w:val="00907F75"/>
    <w:rsid w:val="009260DE"/>
    <w:rsid w:val="0093258A"/>
    <w:rsid w:val="00946143"/>
    <w:rsid w:val="00961D99"/>
    <w:rsid w:val="009C7BA3"/>
    <w:rsid w:val="009D1F5A"/>
    <w:rsid w:val="00A3102D"/>
    <w:rsid w:val="00A440CC"/>
    <w:rsid w:val="00A75376"/>
    <w:rsid w:val="00AB5421"/>
    <w:rsid w:val="00AE3E66"/>
    <w:rsid w:val="00B003BF"/>
    <w:rsid w:val="00B373D7"/>
    <w:rsid w:val="00B530B9"/>
    <w:rsid w:val="00BB0818"/>
    <w:rsid w:val="00BE6E08"/>
    <w:rsid w:val="00BF4A2C"/>
    <w:rsid w:val="00C11ACF"/>
    <w:rsid w:val="00C22B59"/>
    <w:rsid w:val="00C36276"/>
    <w:rsid w:val="00C42586"/>
    <w:rsid w:val="00C60CCD"/>
    <w:rsid w:val="00C61F67"/>
    <w:rsid w:val="00C84483"/>
    <w:rsid w:val="00C95551"/>
    <w:rsid w:val="00CB20D7"/>
    <w:rsid w:val="00CC0DE5"/>
    <w:rsid w:val="00D020B0"/>
    <w:rsid w:val="00D11748"/>
    <w:rsid w:val="00D34999"/>
    <w:rsid w:val="00D366CF"/>
    <w:rsid w:val="00D46BB7"/>
    <w:rsid w:val="00D9112B"/>
    <w:rsid w:val="00DC5362"/>
    <w:rsid w:val="00E108AA"/>
    <w:rsid w:val="00E26CCA"/>
    <w:rsid w:val="00E31812"/>
    <w:rsid w:val="00E3749A"/>
    <w:rsid w:val="00E63EEC"/>
    <w:rsid w:val="00E66389"/>
    <w:rsid w:val="00E733AE"/>
    <w:rsid w:val="00E7437F"/>
    <w:rsid w:val="00E865B8"/>
    <w:rsid w:val="00EC0B9B"/>
    <w:rsid w:val="00ED5E9F"/>
    <w:rsid w:val="00EE3AA2"/>
    <w:rsid w:val="00EE6B59"/>
    <w:rsid w:val="00F01B44"/>
    <w:rsid w:val="00F2091A"/>
    <w:rsid w:val="00F3775F"/>
    <w:rsid w:val="00F5122B"/>
    <w:rsid w:val="00F64BDE"/>
    <w:rsid w:val="00F66D4F"/>
    <w:rsid w:val="00F74232"/>
    <w:rsid w:val="00FA7A2A"/>
    <w:rsid w:val="00FB6D01"/>
    <w:rsid w:val="00FC7A91"/>
    <w:rsid w:val="00FD51DF"/>
    <w:rsid w:val="00FE79FE"/>
    <w:rsid w:val="00FF2A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C2F78D"/>
  <w15:chartTrackingRefBased/>
  <w15:docId w15:val="{C17DFE3F-F404-467B-955A-DA77013B8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EMEAEnBodyText">
    <w:name w:val="EMEA En Body Text"/>
    <w:basedOn w:val="Normal"/>
    <w:rsid w:val="00A440CC"/>
    <w:pPr>
      <w:spacing w:before="120" w:after="120"/>
      <w:jc w:val="both"/>
    </w:pPr>
    <w:rPr>
      <w:sz w:val="22"/>
      <w:lang w:val="en-US"/>
    </w:rPr>
  </w:style>
  <w:style w:type="paragraph" w:styleId="Listeafsnit">
    <w:name w:val="List Paragraph"/>
    <w:basedOn w:val="Normal"/>
    <w:uiPriority w:val="34"/>
    <w:qFormat/>
    <w:rsid w:val="00A440CC"/>
    <w:pPr>
      <w:ind w:left="720"/>
      <w:contextualSpacing/>
    </w:pPr>
    <w:rPr>
      <w:sz w:val="22"/>
    </w:rPr>
  </w:style>
  <w:style w:type="character" w:styleId="Hyperlink">
    <w:name w:val="Hyperlink"/>
    <w:uiPriority w:val="99"/>
    <w:unhideWhenUsed/>
    <w:rsid w:val="00A440CC"/>
    <w:rPr>
      <w:color w:val="0000FF"/>
      <w:u w:val="single"/>
    </w:rPr>
  </w:style>
  <w:style w:type="character" w:styleId="Fremhv">
    <w:name w:val="Emphasis"/>
    <w:basedOn w:val="Standardskrifttypeiafsnit"/>
    <w:uiPriority w:val="20"/>
    <w:qFormat/>
    <w:rsid w:val="00A440CC"/>
    <w:rPr>
      <w:i/>
      <w:iCs/>
    </w:rPr>
  </w:style>
  <w:style w:type="table" w:styleId="Tabel-Gitter">
    <w:name w:val="Table Grid"/>
    <w:basedOn w:val="Tabel-Normal"/>
    <w:uiPriority w:val="59"/>
    <w:rsid w:val="00666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15378"/>
    <w:pPr>
      <w:autoSpaceDE w:val="0"/>
      <w:autoSpaceDN w:val="0"/>
      <w:adjustRightInd w:val="0"/>
    </w:pPr>
    <w:rPr>
      <w:rFonts w:ascii="Verdana" w:eastAsiaTheme="minorHAnsi" w:hAnsi="Verdana" w:cs="Verdana"/>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177953">
      <w:bodyDiv w:val="1"/>
      <w:marLeft w:val="0"/>
      <w:marRight w:val="0"/>
      <w:marTop w:val="0"/>
      <w:marBottom w:val="0"/>
      <w:divBdr>
        <w:top w:val="none" w:sz="0" w:space="0" w:color="auto"/>
        <w:left w:val="none" w:sz="0" w:space="0" w:color="auto"/>
        <w:bottom w:val="none" w:sz="0" w:space="0" w:color="auto"/>
        <w:right w:val="none" w:sz="0" w:space="0" w:color="auto"/>
      </w:divBdr>
    </w:div>
    <w:div w:id="15141575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611589766">
      <w:bodyDiv w:val="1"/>
      <w:marLeft w:val="0"/>
      <w:marRight w:val="0"/>
      <w:marTop w:val="0"/>
      <w:marBottom w:val="0"/>
      <w:divBdr>
        <w:top w:val="none" w:sz="0" w:space="0" w:color="auto"/>
        <w:left w:val="none" w:sz="0" w:space="0" w:color="auto"/>
        <w:bottom w:val="none" w:sz="0" w:space="0" w:color="auto"/>
        <w:right w:val="none" w:sz="0" w:space="0" w:color="auto"/>
      </w:divBdr>
    </w:div>
    <w:div w:id="754210758">
      <w:bodyDiv w:val="1"/>
      <w:marLeft w:val="0"/>
      <w:marRight w:val="0"/>
      <w:marTop w:val="0"/>
      <w:marBottom w:val="0"/>
      <w:divBdr>
        <w:top w:val="none" w:sz="0" w:space="0" w:color="auto"/>
        <w:left w:val="none" w:sz="0" w:space="0" w:color="auto"/>
        <w:bottom w:val="none" w:sz="0" w:space="0" w:color="auto"/>
        <w:right w:val="none" w:sz="0" w:space="0" w:color="auto"/>
      </w:divBdr>
    </w:div>
    <w:div w:id="1613052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D50C6E-AC60-4262-8C66-0B935E442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11</Pages>
  <Words>3160</Words>
  <Characters>19277</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2024060249, var. 17, 4.4, 4.5 og 4.8</dc:description>
  <cp:lastModifiedBy>Gitte Jørgensen</cp:lastModifiedBy>
  <cp:revision>9</cp:revision>
  <cp:lastPrinted>2021-01-18T15:07:00Z</cp:lastPrinted>
  <dcterms:created xsi:type="dcterms:W3CDTF">2024-10-24T11:01:00Z</dcterms:created>
  <dcterms:modified xsi:type="dcterms:W3CDTF">2024-10-24T11:54:00Z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