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C2A7C" w14:textId="77777777" w:rsidR="009260DE" w:rsidRPr="00372B66" w:rsidRDefault="0021526C" w:rsidP="009260DE">
      <w:pPr>
        <w:rPr>
          <w:sz w:val="24"/>
          <w:szCs w:val="24"/>
        </w:rPr>
      </w:pPr>
      <w:bookmarkStart w:id="0" w:name="_GoBack"/>
      <w:bookmarkEnd w:id="0"/>
      <w:r w:rsidRPr="00372B66">
        <w:rPr>
          <w:noProof/>
          <w:sz w:val="24"/>
          <w:szCs w:val="24"/>
          <w:lang w:eastAsia="da-DK"/>
        </w:rPr>
        <w:drawing>
          <wp:anchor distT="0" distB="0" distL="114300" distR="114300" simplePos="0" relativeHeight="251658240" behindDoc="0" locked="0" layoutInCell="1" allowOverlap="1" wp14:anchorId="11A53EF4" wp14:editId="0B6CCF1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72B66">
        <w:rPr>
          <w:sz w:val="24"/>
          <w:szCs w:val="24"/>
        </w:rPr>
        <w:br w:type="textWrapping" w:clear="all"/>
      </w:r>
    </w:p>
    <w:p w14:paraId="3516AEF0" w14:textId="77777777" w:rsidR="009260DE" w:rsidRPr="00372B66" w:rsidRDefault="009260DE" w:rsidP="009260DE">
      <w:pPr>
        <w:pStyle w:val="Titel"/>
        <w:tabs>
          <w:tab w:val="right" w:pos="9356"/>
        </w:tabs>
        <w:jc w:val="left"/>
        <w:rPr>
          <w:b w:val="0"/>
          <w:szCs w:val="24"/>
          <w:lang w:eastAsia="en-US"/>
        </w:rPr>
      </w:pPr>
    </w:p>
    <w:p w14:paraId="42420980" w14:textId="18E56E24" w:rsidR="009260DE" w:rsidRPr="00372B66" w:rsidRDefault="009260DE" w:rsidP="009260DE">
      <w:pPr>
        <w:pStyle w:val="Titel"/>
        <w:tabs>
          <w:tab w:val="right" w:pos="9356"/>
        </w:tabs>
        <w:jc w:val="left"/>
        <w:rPr>
          <w:b w:val="0"/>
          <w:szCs w:val="24"/>
          <w:lang w:eastAsia="en-US"/>
        </w:rPr>
      </w:pPr>
      <w:r w:rsidRPr="00372B66">
        <w:rPr>
          <w:b w:val="0"/>
          <w:szCs w:val="24"/>
          <w:lang w:eastAsia="en-US"/>
        </w:rPr>
        <w:tab/>
      </w:r>
      <w:r w:rsidR="006661CE">
        <w:rPr>
          <w:szCs w:val="24"/>
        </w:rPr>
        <w:t>24. september 2025</w:t>
      </w:r>
    </w:p>
    <w:p w14:paraId="7A7344F2" w14:textId="77777777" w:rsidR="009260DE" w:rsidRPr="00372B66" w:rsidRDefault="009260DE" w:rsidP="009260DE">
      <w:pPr>
        <w:pStyle w:val="Titel"/>
        <w:tabs>
          <w:tab w:val="left" w:pos="8222"/>
        </w:tabs>
        <w:jc w:val="left"/>
        <w:rPr>
          <w:b w:val="0"/>
          <w:szCs w:val="24"/>
        </w:rPr>
      </w:pPr>
    </w:p>
    <w:p w14:paraId="3328E2C3" w14:textId="77777777" w:rsidR="009260DE" w:rsidRPr="00372B66" w:rsidRDefault="009260DE" w:rsidP="009260DE">
      <w:pPr>
        <w:pStyle w:val="Titel"/>
        <w:jc w:val="left"/>
        <w:rPr>
          <w:b w:val="0"/>
          <w:szCs w:val="24"/>
        </w:rPr>
      </w:pPr>
    </w:p>
    <w:p w14:paraId="42902D94" w14:textId="77777777" w:rsidR="009260DE" w:rsidRPr="00372B66" w:rsidRDefault="009260DE" w:rsidP="009260DE">
      <w:pPr>
        <w:pStyle w:val="Titel"/>
        <w:jc w:val="left"/>
        <w:rPr>
          <w:b w:val="0"/>
          <w:szCs w:val="24"/>
        </w:rPr>
      </w:pPr>
    </w:p>
    <w:p w14:paraId="30315F55" w14:textId="77777777" w:rsidR="009260DE" w:rsidRPr="00372B66" w:rsidRDefault="009260DE" w:rsidP="009260DE">
      <w:pPr>
        <w:jc w:val="center"/>
        <w:rPr>
          <w:b/>
          <w:sz w:val="24"/>
          <w:szCs w:val="24"/>
        </w:rPr>
      </w:pPr>
      <w:r w:rsidRPr="00372B66">
        <w:rPr>
          <w:b/>
          <w:sz w:val="24"/>
          <w:szCs w:val="24"/>
        </w:rPr>
        <w:t>PRODUKTRESUMÉ</w:t>
      </w:r>
    </w:p>
    <w:p w14:paraId="71230E2D" w14:textId="77777777" w:rsidR="009260DE" w:rsidRPr="00372B66" w:rsidRDefault="009260DE" w:rsidP="009260DE">
      <w:pPr>
        <w:jc w:val="center"/>
        <w:rPr>
          <w:b/>
          <w:sz w:val="24"/>
          <w:szCs w:val="24"/>
        </w:rPr>
      </w:pPr>
    </w:p>
    <w:p w14:paraId="68E3CD6E" w14:textId="77777777" w:rsidR="009260DE" w:rsidRPr="00372B66" w:rsidRDefault="009260DE" w:rsidP="009260DE">
      <w:pPr>
        <w:jc w:val="center"/>
        <w:rPr>
          <w:b/>
          <w:sz w:val="24"/>
          <w:szCs w:val="24"/>
        </w:rPr>
      </w:pPr>
      <w:r w:rsidRPr="00372B66">
        <w:rPr>
          <w:b/>
          <w:sz w:val="24"/>
          <w:szCs w:val="24"/>
        </w:rPr>
        <w:t>for</w:t>
      </w:r>
    </w:p>
    <w:p w14:paraId="064CE32F" w14:textId="77777777" w:rsidR="000B058C" w:rsidRPr="00372B66" w:rsidRDefault="000B058C" w:rsidP="009260DE">
      <w:pPr>
        <w:jc w:val="center"/>
        <w:rPr>
          <w:b/>
          <w:sz w:val="24"/>
          <w:szCs w:val="24"/>
        </w:rPr>
      </w:pPr>
    </w:p>
    <w:p w14:paraId="4EB43CF8" w14:textId="6BA12341" w:rsidR="009260DE" w:rsidRPr="00372B66" w:rsidRDefault="00C6730B" w:rsidP="009260DE">
      <w:pPr>
        <w:jc w:val="center"/>
        <w:rPr>
          <w:b/>
          <w:sz w:val="24"/>
          <w:szCs w:val="24"/>
        </w:rPr>
      </w:pPr>
      <w:proofErr w:type="spellStart"/>
      <w:r w:rsidRPr="00372B66">
        <w:rPr>
          <w:b/>
          <w:sz w:val="24"/>
          <w:szCs w:val="24"/>
        </w:rPr>
        <w:t>Dualux</w:t>
      </w:r>
      <w:proofErr w:type="spellEnd"/>
      <w:r w:rsidRPr="00372B66">
        <w:rPr>
          <w:b/>
          <w:sz w:val="24"/>
          <w:szCs w:val="24"/>
        </w:rPr>
        <w:t>, øjendråber, opløsning i enkeltdosisbeholder</w:t>
      </w:r>
    </w:p>
    <w:p w14:paraId="7393C717" w14:textId="77777777" w:rsidR="009260DE" w:rsidRPr="00372B66" w:rsidRDefault="009260DE" w:rsidP="009260DE">
      <w:pPr>
        <w:jc w:val="both"/>
        <w:rPr>
          <w:sz w:val="24"/>
          <w:szCs w:val="24"/>
        </w:rPr>
      </w:pPr>
    </w:p>
    <w:p w14:paraId="0749A4C3" w14:textId="77777777" w:rsidR="009260DE" w:rsidRPr="00372B66" w:rsidRDefault="009260DE" w:rsidP="009260DE">
      <w:pPr>
        <w:jc w:val="both"/>
        <w:rPr>
          <w:sz w:val="24"/>
          <w:szCs w:val="24"/>
        </w:rPr>
      </w:pPr>
    </w:p>
    <w:p w14:paraId="2F42736E" w14:textId="77777777" w:rsidR="009260DE" w:rsidRPr="00372B66" w:rsidRDefault="009260DE" w:rsidP="009260DE">
      <w:pPr>
        <w:tabs>
          <w:tab w:val="left" w:pos="851"/>
        </w:tabs>
        <w:ind w:left="851" w:hanging="851"/>
        <w:rPr>
          <w:b/>
          <w:sz w:val="24"/>
          <w:szCs w:val="24"/>
        </w:rPr>
      </w:pPr>
      <w:r w:rsidRPr="00372B66">
        <w:rPr>
          <w:b/>
          <w:sz w:val="24"/>
          <w:szCs w:val="24"/>
        </w:rPr>
        <w:t>0.</w:t>
      </w:r>
      <w:r w:rsidRPr="00372B66">
        <w:rPr>
          <w:b/>
          <w:sz w:val="24"/>
          <w:szCs w:val="24"/>
        </w:rPr>
        <w:tab/>
        <w:t>D.SP.NR.</w:t>
      </w:r>
    </w:p>
    <w:p w14:paraId="23530B58" w14:textId="2F237A23" w:rsidR="009260DE" w:rsidRPr="00372B66" w:rsidRDefault="00C6730B" w:rsidP="009260DE">
      <w:pPr>
        <w:tabs>
          <w:tab w:val="left" w:pos="851"/>
        </w:tabs>
        <w:ind w:left="851"/>
        <w:rPr>
          <w:sz w:val="24"/>
          <w:szCs w:val="24"/>
        </w:rPr>
      </w:pPr>
      <w:r w:rsidRPr="00372B66">
        <w:rPr>
          <w:sz w:val="24"/>
          <w:szCs w:val="24"/>
        </w:rPr>
        <w:t>34112</w:t>
      </w:r>
    </w:p>
    <w:p w14:paraId="43E6F447" w14:textId="77777777" w:rsidR="009260DE" w:rsidRPr="00372B66" w:rsidRDefault="009260DE" w:rsidP="009260DE">
      <w:pPr>
        <w:tabs>
          <w:tab w:val="left" w:pos="851"/>
        </w:tabs>
        <w:ind w:left="851"/>
        <w:rPr>
          <w:sz w:val="24"/>
          <w:szCs w:val="24"/>
        </w:rPr>
      </w:pPr>
    </w:p>
    <w:p w14:paraId="0E36224F" w14:textId="77777777" w:rsidR="009260DE" w:rsidRPr="00372B66" w:rsidRDefault="009260DE" w:rsidP="009260DE">
      <w:pPr>
        <w:tabs>
          <w:tab w:val="left" w:pos="851"/>
        </w:tabs>
        <w:ind w:left="851" w:hanging="851"/>
        <w:rPr>
          <w:b/>
          <w:sz w:val="24"/>
          <w:szCs w:val="24"/>
        </w:rPr>
      </w:pPr>
      <w:r w:rsidRPr="00372B66">
        <w:rPr>
          <w:b/>
          <w:sz w:val="24"/>
          <w:szCs w:val="24"/>
        </w:rPr>
        <w:t>1.</w:t>
      </w:r>
      <w:r w:rsidRPr="00372B66">
        <w:rPr>
          <w:b/>
          <w:sz w:val="24"/>
          <w:szCs w:val="24"/>
        </w:rPr>
        <w:tab/>
        <w:t>LÆGEMIDLETS NAVN</w:t>
      </w:r>
    </w:p>
    <w:p w14:paraId="4DCEF45C" w14:textId="108DD809" w:rsidR="009260DE" w:rsidRPr="00372B66" w:rsidRDefault="00C6730B" w:rsidP="009260DE">
      <w:pPr>
        <w:tabs>
          <w:tab w:val="left" w:pos="851"/>
        </w:tabs>
        <w:ind w:left="851"/>
        <w:rPr>
          <w:sz w:val="24"/>
          <w:szCs w:val="24"/>
        </w:rPr>
      </w:pPr>
      <w:proofErr w:type="spellStart"/>
      <w:r w:rsidRPr="00372B66">
        <w:rPr>
          <w:sz w:val="24"/>
          <w:szCs w:val="24"/>
        </w:rPr>
        <w:t>Dualux</w:t>
      </w:r>
      <w:proofErr w:type="spellEnd"/>
    </w:p>
    <w:p w14:paraId="17814817" w14:textId="77777777" w:rsidR="009260DE" w:rsidRPr="00372B66" w:rsidRDefault="009260DE" w:rsidP="009260DE">
      <w:pPr>
        <w:tabs>
          <w:tab w:val="left" w:pos="851"/>
        </w:tabs>
        <w:ind w:left="851"/>
        <w:rPr>
          <w:sz w:val="24"/>
          <w:szCs w:val="24"/>
        </w:rPr>
      </w:pPr>
    </w:p>
    <w:p w14:paraId="55B74597" w14:textId="77777777" w:rsidR="009260DE" w:rsidRPr="00372B66" w:rsidRDefault="009260DE" w:rsidP="009260DE">
      <w:pPr>
        <w:tabs>
          <w:tab w:val="left" w:pos="851"/>
        </w:tabs>
        <w:ind w:left="851" w:hanging="851"/>
        <w:rPr>
          <w:b/>
          <w:sz w:val="24"/>
          <w:szCs w:val="24"/>
        </w:rPr>
      </w:pPr>
      <w:r w:rsidRPr="00372B66">
        <w:rPr>
          <w:b/>
          <w:sz w:val="24"/>
          <w:szCs w:val="24"/>
        </w:rPr>
        <w:t>2.</w:t>
      </w:r>
      <w:r w:rsidRPr="00372B66">
        <w:rPr>
          <w:b/>
          <w:sz w:val="24"/>
          <w:szCs w:val="24"/>
        </w:rPr>
        <w:tab/>
        <w:t>KVALITATIV OG KVANTITATIV SAMMENSÆTNING</w:t>
      </w:r>
    </w:p>
    <w:p w14:paraId="2B1C0662" w14:textId="77777777" w:rsidR="00F4025A" w:rsidRPr="00372B66" w:rsidRDefault="00F4025A" w:rsidP="008D55AB">
      <w:pPr>
        <w:ind w:left="851"/>
        <w:rPr>
          <w:sz w:val="24"/>
          <w:szCs w:val="24"/>
        </w:rPr>
      </w:pPr>
      <w:r w:rsidRPr="00372B66">
        <w:rPr>
          <w:sz w:val="24"/>
          <w:szCs w:val="24"/>
        </w:rPr>
        <w:t xml:space="preserve">Hver ml opløsning indeholder 50 mikrogram </w:t>
      </w:r>
      <w:proofErr w:type="spellStart"/>
      <w:r w:rsidRPr="00372B66">
        <w:rPr>
          <w:sz w:val="24"/>
          <w:szCs w:val="24"/>
        </w:rPr>
        <w:t>latanoprost</w:t>
      </w:r>
      <w:proofErr w:type="spellEnd"/>
      <w:r w:rsidRPr="00372B66">
        <w:rPr>
          <w:sz w:val="24"/>
          <w:szCs w:val="24"/>
        </w:rPr>
        <w:t xml:space="preserve"> og 5 mg </w:t>
      </w:r>
      <w:proofErr w:type="spellStart"/>
      <w:r w:rsidRPr="00372B66">
        <w:rPr>
          <w:sz w:val="24"/>
          <w:szCs w:val="24"/>
        </w:rPr>
        <w:t>timolol</w:t>
      </w:r>
      <w:proofErr w:type="spellEnd"/>
      <w:r w:rsidRPr="00372B66">
        <w:rPr>
          <w:sz w:val="24"/>
          <w:szCs w:val="24"/>
        </w:rPr>
        <w:t xml:space="preserve"> (som </w:t>
      </w:r>
      <w:proofErr w:type="spellStart"/>
      <w:r w:rsidRPr="00372B66">
        <w:rPr>
          <w:sz w:val="24"/>
          <w:szCs w:val="24"/>
        </w:rPr>
        <w:t>timololmaleat</w:t>
      </w:r>
      <w:proofErr w:type="spellEnd"/>
      <w:r w:rsidRPr="00372B66">
        <w:rPr>
          <w:sz w:val="24"/>
          <w:szCs w:val="24"/>
        </w:rPr>
        <w:t>).</w:t>
      </w:r>
    </w:p>
    <w:p w14:paraId="6D2DB1F8" w14:textId="77777777" w:rsidR="00F4025A" w:rsidRPr="00372B66" w:rsidRDefault="00F4025A" w:rsidP="008D55AB">
      <w:pPr>
        <w:ind w:left="851"/>
        <w:rPr>
          <w:sz w:val="24"/>
          <w:szCs w:val="24"/>
          <w:u w:val="single"/>
        </w:rPr>
      </w:pPr>
    </w:p>
    <w:p w14:paraId="0EDCF1AF" w14:textId="77777777" w:rsidR="007B10B2" w:rsidRDefault="00F4025A" w:rsidP="008D55AB">
      <w:pPr>
        <w:ind w:left="851"/>
        <w:rPr>
          <w:sz w:val="24"/>
          <w:szCs w:val="24"/>
        </w:rPr>
      </w:pPr>
      <w:r w:rsidRPr="00372B66">
        <w:rPr>
          <w:sz w:val="24"/>
          <w:szCs w:val="24"/>
          <w:u w:val="single"/>
        </w:rPr>
        <w:t>Hjælpestoffer, som behandleren skal være opmærksom på:</w:t>
      </w:r>
      <w:r w:rsidRPr="00B54AC2">
        <w:rPr>
          <w:sz w:val="24"/>
          <w:szCs w:val="24"/>
        </w:rPr>
        <w:t xml:space="preserve"> </w:t>
      </w:r>
    </w:p>
    <w:p w14:paraId="0D11652B" w14:textId="2FACAFB1" w:rsidR="00F4025A" w:rsidRPr="00372B66" w:rsidRDefault="00F4025A" w:rsidP="008D55AB">
      <w:pPr>
        <w:ind w:left="851"/>
        <w:rPr>
          <w:rFonts w:eastAsiaTheme="minorHAnsi"/>
          <w:sz w:val="24"/>
          <w:szCs w:val="24"/>
        </w:rPr>
      </w:pPr>
      <w:r w:rsidRPr="00372B66">
        <w:rPr>
          <w:sz w:val="24"/>
          <w:szCs w:val="24"/>
        </w:rPr>
        <w:t xml:space="preserve">Vandfrit </w:t>
      </w:r>
      <w:proofErr w:type="spellStart"/>
      <w:r w:rsidRPr="00372B66">
        <w:rPr>
          <w:sz w:val="24"/>
          <w:szCs w:val="24"/>
        </w:rPr>
        <w:t>dinatriumhydrogenphosphat</w:t>
      </w:r>
      <w:proofErr w:type="spellEnd"/>
      <w:r w:rsidRPr="00372B66">
        <w:rPr>
          <w:sz w:val="24"/>
          <w:szCs w:val="24"/>
        </w:rPr>
        <w:t xml:space="preserve"> (E339ii), </w:t>
      </w:r>
      <w:proofErr w:type="spellStart"/>
      <w:r w:rsidRPr="00372B66">
        <w:rPr>
          <w:sz w:val="24"/>
          <w:szCs w:val="24"/>
        </w:rPr>
        <w:t>natriumdihydrogenphosphat</w:t>
      </w:r>
      <w:proofErr w:type="spellEnd"/>
      <w:r w:rsidRPr="00372B66">
        <w:rPr>
          <w:sz w:val="24"/>
          <w:szCs w:val="24"/>
        </w:rPr>
        <w:t xml:space="preserve"> monohydrat (E339i) og </w:t>
      </w:r>
      <w:proofErr w:type="spellStart"/>
      <w:r w:rsidRPr="00372B66">
        <w:rPr>
          <w:sz w:val="24"/>
          <w:szCs w:val="24"/>
        </w:rPr>
        <w:t>benzalkoniumchlorid</w:t>
      </w:r>
      <w:proofErr w:type="spellEnd"/>
      <w:r w:rsidRPr="00372B66">
        <w:rPr>
          <w:sz w:val="24"/>
          <w:szCs w:val="24"/>
        </w:rPr>
        <w:t>.</w:t>
      </w:r>
    </w:p>
    <w:p w14:paraId="6F62CFA7" w14:textId="77777777" w:rsidR="00F4025A" w:rsidRPr="00372B66" w:rsidRDefault="00F4025A" w:rsidP="008D55AB">
      <w:pPr>
        <w:ind w:left="851"/>
        <w:rPr>
          <w:rFonts w:eastAsiaTheme="minorHAnsi"/>
          <w:sz w:val="24"/>
          <w:szCs w:val="24"/>
        </w:rPr>
      </w:pPr>
    </w:p>
    <w:p w14:paraId="3CC519E0" w14:textId="72BD4D4C" w:rsidR="00F4025A" w:rsidRPr="00372B66" w:rsidRDefault="00F4025A" w:rsidP="008D55AB">
      <w:pPr>
        <w:ind w:left="851"/>
        <w:rPr>
          <w:rFonts w:eastAsiaTheme="minorHAnsi"/>
          <w:sz w:val="24"/>
          <w:szCs w:val="24"/>
        </w:rPr>
      </w:pPr>
      <w:r w:rsidRPr="00372B66">
        <w:rPr>
          <w:sz w:val="24"/>
          <w:szCs w:val="24"/>
        </w:rPr>
        <w:t>Dette lægemiddel indeholder 204,75 mikrogram fosfater i hver dråbe, hvilket svarer til 6,3</w:t>
      </w:r>
      <w:r w:rsidR="002459A6">
        <w:rPr>
          <w:sz w:val="24"/>
          <w:szCs w:val="24"/>
        </w:rPr>
        <w:t> </w:t>
      </w:r>
      <w:r w:rsidRPr="00372B66">
        <w:rPr>
          <w:sz w:val="24"/>
          <w:szCs w:val="24"/>
        </w:rPr>
        <w:t>mg/ml.</w:t>
      </w:r>
    </w:p>
    <w:p w14:paraId="707E88E7" w14:textId="77777777" w:rsidR="00F4025A" w:rsidRPr="00372B66" w:rsidRDefault="00F4025A" w:rsidP="008D55AB">
      <w:pPr>
        <w:ind w:left="851"/>
        <w:rPr>
          <w:sz w:val="24"/>
          <w:szCs w:val="24"/>
        </w:rPr>
      </w:pPr>
      <w:r w:rsidRPr="00372B66">
        <w:rPr>
          <w:sz w:val="24"/>
          <w:szCs w:val="24"/>
        </w:rPr>
        <w:t xml:space="preserve">Dette lægemiddel indeholder 6,5 mikrogram </w:t>
      </w:r>
      <w:proofErr w:type="spellStart"/>
      <w:r w:rsidRPr="00372B66">
        <w:rPr>
          <w:sz w:val="24"/>
          <w:szCs w:val="24"/>
        </w:rPr>
        <w:t>benzalkoniumchlorid</w:t>
      </w:r>
      <w:proofErr w:type="spellEnd"/>
      <w:r w:rsidRPr="00372B66">
        <w:rPr>
          <w:sz w:val="24"/>
          <w:szCs w:val="24"/>
        </w:rPr>
        <w:t xml:space="preserve"> i hver dråbe, hvilket svarer til 0,2 mg/ml.</w:t>
      </w:r>
    </w:p>
    <w:p w14:paraId="1E1BE891" w14:textId="77777777" w:rsidR="007B2111" w:rsidRDefault="007B2111" w:rsidP="008D55AB">
      <w:pPr>
        <w:ind w:left="851"/>
        <w:rPr>
          <w:sz w:val="24"/>
          <w:szCs w:val="24"/>
        </w:rPr>
      </w:pPr>
    </w:p>
    <w:p w14:paraId="415700A7" w14:textId="3108150A" w:rsidR="00F4025A" w:rsidRPr="00372B66" w:rsidRDefault="00F4025A" w:rsidP="008D55AB">
      <w:pPr>
        <w:ind w:left="851"/>
        <w:rPr>
          <w:sz w:val="24"/>
          <w:szCs w:val="24"/>
        </w:rPr>
      </w:pPr>
      <w:r w:rsidRPr="00372B66">
        <w:rPr>
          <w:sz w:val="24"/>
          <w:szCs w:val="24"/>
        </w:rPr>
        <w:t>Alle hjælpestoffer er anført under pkt. 6.1.</w:t>
      </w:r>
    </w:p>
    <w:p w14:paraId="4FE06A23" w14:textId="77777777" w:rsidR="009260DE" w:rsidRPr="00372B66" w:rsidRDefault="009260DE" w:rsidP="009260DE">
      <w:pPr>
        <w:tabs>
          <w:tab w:val="left" w:pos="851"/>
        </w:tabs>
        <w:ind w:left="851"/>
        <w:rPr>
          <w:sz w:val="24"/>
          <w:szCs w:val="24"/>
        </w:rPr>
      </w:pPr>
    </w:p>
    <w:p w14:paraId="6F54B287" w14:textId="77777777" w:rsidR="009260DE" w:rsidRPr="00372B66" w:rsidRDefault="009260DE" w:rsidP="009260DE">
      <w:pPr>
        <w:tabs>
          <w:tab w:val="left" w:pos="851"/>
        </w:tabs>
        <w:ind w:left="851" w:hanging="851"/>
        <w:rPr>
          <w:b/>
          <w:sz w:val="24"/>
          <w:szCs w:val="24"/>
        </w:rPr>
      </w:pPr>
      <w:r w:rsidRPr="00372B66">
        <w:rPr>
          <w:b/>
          <w:sz w:val="24"/>
          <w:szCs w:val="24"/>
        </w:rPr>
        <w:t>3.</w:t>
      </w:r>
      <w:r w:rsidRPr="00372B66">
        <w:rPr>
          <w:b/>
          <w:sz w:val="24"/>
          <w:szCs w:val="24"/>
        </w:rPr>
        <w:tab/>
        <w:t>LÆGEMIDDELFORM</w:t>
      </w:r>
    </w:p>
    <w:p w14:paraId="643BB613" w14:textId="634B44E8" w:rsidR="00F4025A" w:rsidRPr="00372B66" w:rsidRDefault="00F4025A" w:rsidP="008D55AB">
      <w:pPr>
        <w:ind w:left="851"/>
        <w:rPr>
          <w:sz w:val="24"/>
          <w:szCs w:val="24"/>
        </w:rPr>
      </w:pPr>
      <w:r w:rsidRPr="00372B66">
        <w:rPr>
          <w:sz w:val="24"/>
          <w:szCs w:val="24"/>
        </w:rPr>
        <w:t>Øjendråber, opløsning i enkeltdosisbeholder</w:t>
      </w:r>
    </w:p>
    <w:p w14:paraId="61C4E57F" w14:textId="77777777" w:rsidR="00F4025A" w:rsidRPr="00372B66" w:rsidRDefault="00F4025A" w:rsidP="008D55AB">
      <w:pPr>
        <w:ind w:left="851"/>
        <w:rPr>
          <w:sz w:val="24"/>
          <w:szCs w:val="24"/>
        </w:rPr>
      </w:pPr>
    </w:p>
    <w:p w14:paraId="59A516DF" w14:textId="77777777" w:rsidR="00F4025A" w:rsidRPr="00372B66" w:rsidRDefault="00F4025A" w:rsidP="008D55AB">
      <w:pPr>
        <w:ind w:left="851"/>
        <w:rPr>
          <w:sz w:val="24"/>
          <w:szCs w:val="24"/>
        </w:rPr>
      </w:pPr>
      <w:r w:rsidRPr="00372B66">
        <w:rPr>
          <w:sz w:val="24"/>
          <w:szCs w:val="24"/>
        </w:rPr>
        <w:t>Opløsningen er en klar, farveløs væske.</w:t>
      </w:r>
    </w:p>
    <w:p w14:paraId="2D6B4BC5" w14:textId="77777777" w:rsidR="00F4025A" w:rsidRPr="00372B66" w:rsidRDefault="00F4025A" w:rsidP="008D55AB">
      <w:pPr>
        <w:ind w:left="851"/>
        <w:rPr>
          <w:sz w:val="24"/>
          <w:szCs w:val="24"/>
        </w:rPr>
      </w:pPr>
    </w:p>
    <w:p w14:paraId="0846877B" w14:textId="77777777" w:rsidR="00F4025A" w:rsidRPr="00372B66" w:rsidRDefault="00F4025A" w:rsidP="008D55AB">
      <w:pPr>
        <w:ind w:left="851"/>
        <w:rPr>
          <w:sz w:val="24"/>
          <w:szCs w:val="24"/>
        </w:rPr>
      </w:pPr>
      <w:proofErr w:type="spellStart"/>
      <w:r w:rsidRPr="00372B66">
        <w:rPr>
          <w:sz w:val="24"/>
          <w:szCs w:val="24"/>
        </w:rPr>
        <w:t>Osmolaritet</w:t>
      </w:r>
      <w:proofErr w:type="spellEnd"/>
      <w:r w:rsidRPr="00372B66">
        <w:rPr>
          <w:sz w:val="24"/>
          <w:szCs w:val="24"/>
        </w:rPr>
        <w:t xml:space="preserve">: 270-330 </w:t>
      </w:r>
      <w:proofErr w:type="spellStart"/>
      <w:r w:rsidRPr="00372B66">
        <w:rPr>
          <w:sz w:val="24"/>
          <w:szCs w:val="24"/>
        </w:rPr>
        <w:t>mOsm</w:t>
      </w:r>
      <w:proofErr w:type="spellEnd"/>
      <w:r w:rsidRPr="00372B66">
        <w:rPr>
          <w:sz w:val="24"/>
          <w:szCs w:val="24"/>
        </w:rPr>
        <w:t>/kg</w:t>
      </w:r>
    </w:p>
    <w:p w14:paraId="14C83508" w14:textId="77777777" w:rsidR="00F4025A" w:rsidRPr="00372B66" w:rsidRDefault="00F4025A" w:rsidP="008D55AB">
      <w:pPr>
        <w:ind w:left="851"/>
        <w:rPr>
          <w:sz w:val="24"/>
          <w:szCs w:val="24"/>
        </w:rPr>
      </w:pPr>
    </w:p>
    <w:p w14:paraId="5FA721FC" w14:textId="77777777" w:rsidR="00F4025A" w:rsidRPr="00372B66" w:rsidRDefault="00F4025A" w:rsidP="008D55AB">
      <w:pPr>
        <w:ind w:left="851"/>
        <w:rPr>
          <w:sz w:val="24"/>
          <w:szCs w:val="24"/>
        </w:rPr>
      </w:pPr>
      <w:r w:rsidRPr="00372B66">
        <w:rPr>
          <w:sz w:val="24"/>
          <w:szCs w:val="24"/>
        </w:rPr>
        <w:t xml:space="preserve">pH 5,7-6,2 </w:t>
      </w:r>
    </w:p>
    <w:p w14:paraId="23531988" w14:textId="77777777" w:rsidR="009260DE" w:rsidRPr="00372B66" w:rsidRDefault="009260DE" w:rsidP="009260DE">
      <w:pPr>
        <w:tabs>
          <w:tab w:val="left" w:pos="851"/>
        </w:tabs>
        <w:ind w:left="851"/>
        <w:rPr>
          <w:sz w:val="24"/>
          <w:szCs w:val="24"/>
        </w:rPr>
      </w:pPr>
    </w:p>
    <w:p w14:paraId="46073100" w14:textId="2FB5C48A" w:rsidR="007B2111" w:rsidRDefault="007B2111">
      <w:pPr>
        <w:rPr>
          <w:sz w:val="24"/>
          <w:szCs w:val="24"/>
        </w:rPr>
      </w:pPr>
      <w:r>
        <w:rPr>
          <w:sz w:val="24"/>
          <w:szCs w:val="24"/>
        </w:rPr>
        <w:br w:type="page"/>
      </w:r>
    </w:p>
    <w:p w14:paraId="6B41AF02" w14:textId="77777777" w:rsidR="009260DE" w:rsidRPr="00372B66" w:rsidRDefault="009260DE" w:rsidP="009260DE">
      <w:pPr>
        <w:tabs>
          <w:tab w:val="left" w:pos="851"/>
        </w:tabs>
        <w:ind w:left="851"/>
        <w:rPr>
          <w:sz w:val="24"/>
          <w:szCs w:val="24"/>
        </w:rPr>
      </w:pPr>
    </w:p>
    <w:p w14:paraId="1CEFA87D" w14:textId="77777777" w:rsidR="009260DE" w:rsidRPr="00372B66" w:rsidRDefault="009260DE" w:rsidP="009260DE">
      <w:pPr>
        <w:tabs>
          <w:tab w:val="left" w:pos="851"/>
        </w:tabs>
        <w:ind w:left="851" w:hanging="851"/>
        <w:rPr>
          <w:b/>
          <w:sz w:val="24"/>
          <w:szCs w:val="24"/>
        </w:rPr>
      </w:pPr>
      <w:r w:rsidRPr="00372B66">
        <w:rPr>
          <w:b/>
          <w:sz w:val="24"/>
          <w:szCs w:val="24"/>
        </w:rPr>
        <w:t>4.</w:t>
      </w:r>
      <w:r w:rsidRPr="00372B66">
        <w:rPr>
          <w:b/>
          <w:sz w:val="24"/>
          <w:szCs w:val="24"/>
        </w:rPr>
        <w:tab/>
        <w:t>KLINISKE OPLYSNINGER</w:t>
      </w:r>
    </w:p>
    <w:p w14:paraId="311F94EF" w14:textId="77777777" w:rsidR="009260DE" w:rsidRPr="00372B66" w:rsidRDefault="009260DE" w:rsidP="009260DE">
      <w:pPr>
        <w:tabs>
          <w:tab w:val="left" w:pos="851"/>
        </w:tabs>
        <w:ind w:left="851"/>
        <w:rPr>
          <w:b/>
          <w:sz w:val="24"/>
          <w:szCs w:val="24"/>
        </w:rPr>
      </w:pPr>
    </w:p>
    <w:p w14:paraId="23A16047" w14:textId="77777777" w:rsidR="009260DE" w:rsidRPr="00372B66" w:rsidRDefault="009260DE" w:rsidP="009260DE">
      <w:pPr>
        <w:tabs>
          <w:tab w:val="left" w:pos="851"/>
        </w:tabs>
        <w:ind w:left="851" w:hanging="851"/>
        <w:rPr>
          <w:b/>
          <w:sz w:val="24"/>
          <w:szCs w:val="24"/>
          <w:u w:val="single"/>
        </w:rPr>
      </w:pPr>
      <w:r w:rsidRPr="00372B66">
        <w:rPr>
          <w:b/>
          <w:sz w:val="24"/>
          <w:szCs w:val="24"/>
        </w:rPr>
        <w:t>4.1</w:t>
      </w:r>
      <w:r w:rsidRPr="00372B66">
        <w:rPr>
          <w:b/>
          <w:sz w:val="24"/>
          <w:szCs w:val="24"/>
        </w:rPr>
        <w:tab/>
        <w:t>Terapeutiske indikationer</w:t>
      </w:r>
    </w:p>
    <w:p w14:paraId="7B5812A4" w14:textId="77777777" w:rsidR="00F4025A" w:rsidRPr="00372B66" w:rsidRDefault="00F4025A" w:rsidP="008D55AB">
      <w:pPr>
        <w:ind w:left="851"/>
        <w:rPr>
          <w:sz w:val="24"/>
          <w:szCs w:val="24"/>
        </w:rPr>
      </w:pPr>
      <w:proofErr w:type="spellStart"/>
      <w:r w:rsidRPr="00372B66">
        <w:rPr>
          <w:sz w:val="24"/>
          <w:szCs w:val="24"/>
        </w:rPr>
        <w:t>Dualux</w:t>
      </w:r>
      <w:proofErr w:type="spellEnd"/>
      <w:r w:rsidRPr="00372B66">
        <w:rPr>
          <w:sz w:val="24"/>
          <w:szCs w:val="24"/>
        </w:rPr>
        <w:t xml:space="preserve"> er indiceret til voksne (herunder ældre) til reduktion af </w:t>
      </w:r>
      <w:proofErr w:type="spellStart"/>
      <w:r w:rsidRPr="00372B66">
        <w:rPr>
          <w:sz w:val="24"/>
          <w:szCs w:val="24"/>
        </w:rPr>
        <w:t>intraokulært</w:t>
      </w:r>
      <w:proofErr w:type="spellEnd"/>
      <w:r w:rsidRPr="00372B66">
        <w:rPr>
          <w:sz w:val="24"/>
          <w:szCs w:val="24"/>
        </w:rPr>
        <w:t xml:space="preserve"> tryk (IOP) hos patienter med åbenvinklet </w:t>
      </w:r>
      <w:proofErr w:type="spellStart"/>
      <w:r w:rsidRPr="00372B66">
        <w:rPr>
          <w:sz w:val="24"/>
          <w:szCs w:val="24"/>
        </w:rPr>
        <w:t>glaukom</w:t>
      </w:r>
      <w:proofErr w:type="spellEnd"/>
      <w:r w:rsidRPr="00372B66">
        <w:rPr>
          <w:sz w:val="24"/>
          <w:szCs w:val="24"/>
        </w:rPr>
        <w:t xml:space="preserve"> og </w:t>
      </w:r>
      <w:proofErr w:type="spellStart"/>
      <w:r w:rsidRPr="00372B66">
        <w:rPr>
          <w:sz w:val="24"/>
          <w:szCs w:val="24"/>
        </w:rPr>
        <w:t>okulær</w:t>
      </w:r>
      <w:proofErr w:type="spellEnd"/>
      <w:r w:rsidRPr="00372B66">
        <w:rPr>
          <w:sz w:val="24"/>
          <w:szCs w:val="24"/>
        </w:rPr>
        <w:t xml:space="preserve"> hypertension, som ikke reagerer tilstrækkeligt på topiske betablokkere eller </w:t>
      </w:r>
      <w:proofErr w:type="spellStart"/>
      <w:r w:rsidRPr="00372B66">
        <w:rPr>
          <w:sz w:val="24"/>
          <w:szCs w:val="24"/>
        </w:rPr>
        <w:t>prostaglandinanaloger</w:t>
      </w:r>
      <w:proofErr w:type="spellEnd"/>
      <w:r w:rsidRPr="00372B66">
        <w:rPr>
          <w:sz w:val="24"/>
          <w:szCs w:val="24"/>
        </w:rPr>
        <w:t>.</w:t>
      </w:r>
    </w:p>
    <w:p w14:paraId="2C4E8758" w14:textId="77777777" w:rsidR="009260DE" w:rsidRPr="00372B66" w:rsidRDefault="009260DE" w:rsidP="009260DE">
      <w:pPr>
        <w:tabs>
          <w:tab w:val="left" w:pos="851"/>
        </w:tabs>
        <w:ind w:left="851"/>
        <w:rPr>
          <w:sz w:val="24"/>
          <w:szCs w:val="24"/>
        </w:rPr>
      </w:pPr>
    </w:p>
    <w:p w14:paraId="5BAB0DFD" w14:textId="77777777" w:rsidR="009260DE" w:rsidRPr="00372B66" w:rsidRDefault="009260DE" w:rsidP="009260DE">
      <w:pPr>
        <w:tabs>
          <w:tab w:val="left" w:pos="851"/>
        </w:tabs>
        <w:ind w:left="851" w:hanging="851"/>
        <w:rPr>
          <w:b/>
          <w:sz w:val="24"/>
          <w:szCs w:val="24"/>
        </w:rPr>
      </w:pPr>
      <w:r w:rsidRPr="00372B66">
        <w:rPr>
          <w:b/>
          <w:sz w:val="24"/>
          <w:szCs w:val="24"/>
        </w:rPr>
        <w:t>4.2</w:t>
      </w:r>
      <w:r w:rsidRPr="00372B66">
        <w:rPr>
          <w:b/>
          <w:sz w:val="24"/>
          <w:szCs w:val="24"/>
        </w:rPr>
        <w:tab/>
        <w:t xml:space="preserve">Dosering og </w:t>
      </w:r>
      <w:r w:rsidR="002C1EC0" w:rsidRPr="00372B66">
        <w:rPr>
          <w:b/>
          <w:sz w:val="24"/>
          <w:szCs w:val="24"/>
        </w:rPr>
        <w:t>administration</w:t>
      </w:r>
    </w:p>
    <w:p w14:paraId="54F80910" w14:textId="77777777" w:rsidR="002459A6" w:rsidRDefault="002459A6" w:rsidP="008D55AB">
      <w:pPr>
        <w:ind w:left="851"/>
        <w:rPr>
          <w:sz w:val="24"/>
          <w:szCs w:val="24"/>
        </w:rPr>
      </w:pPr>
    </w:p>
    <w:p w14:paraId="35D202A2" w14:textId="599F727D" w:rsidR="00F4025A" w:rsidRPr="002459A6" w:rsidRDefault="00F4025A" w:rsidP="008D55AB">
      <w:pPr>
        <w:ind w:left="851"/>
        <w:rPr>
          <w:sz w:val="24"/>
          <w:szCs w:val="24"/>
          <w:u w:val="single"/>
        </w:rPr>
      </w:pPr>
      <w:r w:rsidRPr="002459A6">
        <w:rPr>
          <w:sz w:val="24"/>
          <w:szCs w:val="24"/>
          <w:u w:val="single"/>
        </w:rPr>
        <w:t>Dosering</w:t>
      </w:r>
    </w:p>
    <w:p w14:paraId="54BBD572" w14:textId="77777777" w:rsidR="00F4025A" w:rsidRPr="00372B66" w:rsidRDefault="00F4025A" w:rsidP="008D55AB">
      <w:pPr>
        <w:ind w:left="851"/>
        <w:rPr>
          <w:sz w:val="24"/>
          <w:szCs w:val="24"/>
        </w:rPr>
      </w:pPr>
    </w:p>
    <w:p w14:paraId="44F85307" w14:textId="77777777" w:rsidR="00F4025A" w:rsidRPr="00372B66" w:rsidRDefault="00F4025A" w:rsidP="008D55AB">
      <w:pPr>
        <w:ind w:left="851"/>
        <w:rPr>
          <w:i/>
          <w:sz w:val="24"/>
          <w:szCs w:val="24"/>
        </w:rPr>
      </w:pPr>
      <w:r w:rsidRPr="00372B66">
        <w:rPr>
          <w:i/>
          <w:sz w:val="24"/>
          <w:szCs w:val="24"/>
        </w:rPr>
        <w:t>Voksne (herunder ældre)</w:t>
      </w:r>
    </w:p>
    <w:p w14:paraId="0595FA81" w14:textId="77777777" w:rsidR="00F4025A" w:rsidRPr="00372B66" w:rsidRDefault="00F4025A" w:rsidP="008D55AB">
      <w:pPr>
        <w:ind w:left="851"/>
        <w:rPr>
          <w:i/>
          <w:sz w:val="24"/>
          <w:szCs w:val="24"/>
        </w:rPr>
      </w:pPr>
    </w:p>
    <w:p w14:paraId="65B7DADD" w14:textId="77777777" w:rsidR="00F4025A" w:rsidRPr="00372B66" w:rsidRDefault="00F4025A" w:rsidP="008D55AB">
      <w:pPr>
        <w:ind w:left="851"/>
        <w:rPr>
          <w:sz w:val="24"/>
          <w:szCs w:val="24"/>
        </w:rPr>
      </w:pPr>
      <w:r w:rsidRPr="00372B66">
        <w:rPr>
          <w:sz w:val="24"/>
          <w:szCs w:val="24"/>
        </w:rPr>
        <w:t xml:space="preserve">Den anbefalede behandling er én øjendråbe i det/de berørte </w:t>
      </w:r>
      <w:proofErr w:type="gramStart"/>
      <w:r w:rsidRPr="00372B66">
        <w:rPr>
          <w:sz w:val="24"/>
          <w:szCs w:val="24"/>
        </w:rPr>
        <w:t>øje/øjne</w:t>
      </w:r>
      <w:proofErr w:type="gramEnd"/>
      <w:r w:rsidRPr="00372B66">
        <w:rPr>
          <w:sz w:val="24"/>
          <w:szCs w:val="24"/>
        </w:rPr>
        <w:t xml:space="preserve"> én gang dagligt.</w:t>
      </w:r>
    </w:p>
    <w:p w14:paraId="59542C5F" w14:textId="77777777" w:rsidR="00F4025A" w:rsidRPr="00372B66" w:rsidRDefault="00F4025A" w:rsidP="008D55AB">
      <w:pPr>
        <w:ind w:left="851"/>
        <w:rPr>
          <w:sz w:val="24"/>
          <w:szCs w:val="24"/>
        </w:rPr>
      </w:pPr>
    </w:p>
    <w:p w14:paraId="0D371B6C" w14:textId="77777777" w:rsidR="00F4025A" w:rsidRPr="00372B66" w:rsidRDefault="00F4025A" w:rsidP="008D55AB">
      <w:pPr>
        <w:ind w:left="851"/>
        <w:rPr>
          <w:sz w:val="24"/>
          <w:szCs w:val="24"/>
        </w:rPr>
      </w:pPr>
      <w:r w:rsidRPr="00372B66">
        <w:rPr>
          <w:sz w:val="24"/>
          <w:szCs w:val="24"/>
        </w:rPr>
        <w:t xml:space="preserve">Hvis en dosis glemmes, skal behandlingen fortsættes med den næste dosis som planlagt. Dosis må ikke overstige én dråbe i det/de berørte </w:t>
      </w:r>
      <w:proofErr w:type="gramStart"/>
      <w:r w:rsidRPr="00372B66">
        <w:rPr>
          <w:sz w:val="24"/>
          <w:szCs w:val="24"/>
        </w:rPr>
        <w:t>øje/øjne</w:t>
      </w:r>
      <w:proofErr w:type="gramEnd"/>
      <w:r w:rsidRPr="00372B66">
        <w:rPr>
          <w:sz w:val="24"/>
          <w:szCs w:val="24"/>
        </w:rPr>
        <w:t xml:space="preserve"> dagligt.</w:t>
      </w:r>
    </w:p>
    <w:p w14:paraId="1623A8B9" w14:textId="77777777" w:rsidR="00F4025A" w:rsidRPr="00372B66" w:rsidRDefault="00F4025A" w:rsidP="008D55AB">
      <w:pPr>
        <w:ind w:left="851"/>
        <w:rPr>
          <w:sz w:val="24"/>
          <w:szCs w:val="24"/>
        </w:rPr>
      </w:pPr>
    </w:p>
    <w:p w14:paraId="710C744E" w14:textId="77777777" w:rsidR="00F4025A" w:rsidRPr="00372B66" w:rsidRDefault="00F4025A" w:rsidP="008D55AB">
      <w:pPr>
        <w:ind w:left="851"/>
        <w:rPr>
          <w:i/>
          <w:sz w:val="24"/>
          <w:szCs w:val="24"/>
        </w:rPr>
      </w:pPr>
      <w:r w:rsidRPr="00372B66">
        <w:rPr>
          <w:i/>
          <w:sz w:val="24"/>
          <w:szCs w:val="24"/>
        </w:rPr>
        <w:t>Pædiatrisk population</w:t>
      </w:r>
    </w:p>
    <w:p w14:paraId="05D6CFE6" w14:textId="77777777" w:rsidR="00F4025A" w:rsidRPr="00372B66" w:rsidRDefault="00F4025A" w:rsidP="008D55AB">
      <w:pPr>
        <w:ind w:left="851"/>
        <w:rPr>
          <w:i/>
          <w:sz w:val="24"/>
          <w:szCs w:val="24"/>
        </w:rPr>
      </w:pPr>
    </w:p>
    <w:p w14:paraId="1CF24BE6" w14:textId="77777777" w:rsidR="00F4025A" w:rsidRPr="00372B66" w:rsidRDefault="00F4025A" w:rsidP="008D55AB">
      <w:pPr>
        <w:ind w:left="851"/>
        <w:rPr>
          <w:sz w:val="24"/>
          <w:szCs w:val="24"/>
        </w:rPr>
      </w:pPr>
      <w:r w:rsidRPr="00372B66">
        <w:rPr>
          <w:sz w:val="24"/>
          <w:szCs w:val="24"/>
        </w:rPr>
        <w:t xml:space="preserve">Dualux' sikkerhed og virkning hos børn og unge er ikke klarlagt. </w:t>
      </w:r>
    </w:p>
    <w:p w14:paraId="42C665CD" w14:textId="77777777" w:rsidR="002459A6" w:rsidRDefault="002459A6" w:rsidP="008D55AB">
      <w:pPr>
        <w:ind w:left="851"/>
        <w:rPr>
          <w:sz w:val="24"/>
          <w:szCs w:val="24"/>
        </w:rPr>
      </w:pPr>
    </w:p>
    <w:p w14:paraId="165689E1" w14:textId="4A809AFB" w:rsidR="00F4025A" w:rsidRPr="002459A6" w:rsidRDefault="00F4025A" w:rsidP="008D55AB">
      <w:pPr>
        <w:ind w:left="851"/>
        <w:rPr>
          <w:sz w:val="24"/>
          <w:szCs w:val="24"/>
          <w:u w:val="single"/>
        </w:rPr>
      </w:pPr>
      <w:r w:rsidRPr="002459A6">
        <w:rPr>
          <w:sz w:val="24"/>
          <w:szCs w:val="24"/>
          <w:u w:val="single"/>
        </w:rPr>
        <w:t>Administrationsmetode</w:t>
      </w:r>
    </w:p>
    <w:p w14:paraId="10F42F9E" w14:textId="77777777" w:rsidR="00F4025A" w:rsidRPr="00372B66" w:rsidRDefault="00F4025A" w:rsidP="008D55AB">
      <w:pPr>
        <w:ind w:left="851"/>
        <w:rPr>
          <w:sz w:val="24"/>
          <w:szCs w:val="24"/>
        </w:rPr>
      </w:pPr>
      <w:proofErr w:type="spellStart"/>
      <w:r w:rsidRPr="00372B66">
        <w:rPr>
          <w:sz w:val="24"/>
          <w:szCs w:val="24"/>
        </w:rPr>
        <w:t>Okulær</w:t>
      </w:r>
      <w:proofErr w:type="spellEnd"/>
      <w:r w:rsidRPr="00372B66">
        <w:rPr>
          <w:sz w:val="24"/>
          <w:szCs w:val="24"/>
        </w:rPr>
        <w:t xml:space="preserve"> brug</w:t>
      </w:r>
    </w:p>
    <w:p w14:paraId="32CCA74A" w14:textId="77777777" w:rsidR="002459A6" w:rsidRDefault="002459A6" w:rsidP="008D55AB">
      <w:pPr>
        <w:ind w:left="851"/>
        <w:rPr>
          <w:sz w:val="24"/>
          <w:szCs w:val="24"/>
        </w:rPr>
      </w:pPr>
    </w:p>
    <w:p w14:paraId="02D380B1" w14:textId="503C4269" w:rsidR="00F4025A" w:rsidRPr="00372B66" w:rsidRDefault="00F4025A" w:rsidP="008D55AB">
      <w:pPr>
        <w:ind w:left="851"/>
        <w:rPr>
          <w:sz w:val="24"/>
          <w:szCs w:val="24"/>
        </w:rPr>
      </w:pPr>
      <w:r w:rsidRPr="00372B66">
        <w:rPr>
          <w:sz w:val="24"/>
          <w:szCs w:val="24"/>
        </w:rPr>
        <w:t>Kun til engangsbrug.</w:t>
      </w:r>
    </w:p>
    <w:p w14:paraId="0F4D49BC" w14:textId="77777777" w:rsidR="002459A6" w:rsidRDefault="002459A6" w:rsidP="008D55AB">
      <w:pPr>
        <w:ind w:left="851"/>
        <w:rPr>
          <w:sz w:val="24"/>
          <w:szCs w:val="24"/>
        </w:rPr>
      </w:pPr>
    </w:p>
    <w:p w14:paraId="06FCB3F0" w14:textId="703A7FFF" w:rsidR="00F4025A" w:rsidRPr="00372B66" w:rsidRDefault="00F4025A" w:rsidP="008D55AB">
      <w:pPr>
        <w:ind w:left="851"/>
        <w:rPr>
          <w:sz w:val="24"/>
          <w:szCs w:val="24"/>
        </w:rPr>
      </w:pPr>
      <w:r w:rsidRPr="00372B66">
        <w:rPr>
          <w:sz w:val="24"/>
          <w:szCs w:val="24"/>
        </w:rPr>
        <w:t>Kontaktlinser skal fjernes før administration af øjendråberne. Vent 15 minutter, før de sættes i igen (se pkt. 4.4).</w:t>
      </w:r>
    </w:p>
    <w:p w14:paraId="278FA30E" w14:textId="77777777" w:rsidR="00F4025A" w:rsidRPr="00372B66" w:rsidRDefault="00F4025A" w:rsidP="008D55AB">
      <w:pPr>
        <w:ind w:left="851"/>
        <w:rPr>
          <w:sz w:val="24"/>
          <w:szCs w:val="24"/>
        </w:rPr>
      </w:pPr>
    </w:p>
    <w:p w14:paraId="4C6F28A4" w14:textId="77777777" w:rsidR="00F4025A" w:rsidRPr="00372B66" w:rsidRDefault="00F4025A" w:rsidP="008D55AB">
      <w:pPr>
        <w:ind w:left="851"/>
        <w:rPr>
          <w:sz w:val="24"/>
          <w:szCs w:val="24"/>
        </w:rPr>
      </w:pPr>
      <w:r w:rsidRPr="00372B66">
        <w:rPr>
          <w:sz w:val="24"/>
          <w:szCs w:val="24"/>
        </w:rPr>
        <w:t xml:space="preserve">Hvis der anvendes mere end ét topisk </w:t>
      </w:r>
      <w:proofErr w:type="spellStart"/>
      <w:r w:rsidRPr="00372B66">
        <w:rPr>
          <w:sz w:val="24"/>
          <w:szCs w:val="24"/>
        </w:rPr>
        <w:t>oftalmisk</w:t>
      </w:r>
      <w:proofErr w:type="spellEnd"/>
      <w:r w:rsidRPr="00372B66">
        <w:rPr>
          <w:sz w:val="24"/>
          <w:szCs w:val="24"/>
        </w:rPr>
        <w:t xml:space="preserve"> lægemiddel, skal lægemidlerne administreres med mindst fem minutters mellemrum. Anvendelse af </w:t>
      </w:r>
      <w:proofErr w:type="spellStart"/>
      <w:r w:rsidRPr="00372B66">
        <w:rPr>
          <w:sz w:val="24"/>
          <w:szCs w:val="24"/>
        </w:rPr>
        <w:t>nasolakrimal</w:t>
      </w:r>
      <w:proofErr w:type="spellEnd"/>
      <w:r w:rsidRPr="00372B66">
        <w:rPr>
          <w:sz w:val="24"/>
          <w:szCs w:val="24"/>
        </w:rPr>
        <w:t xml:space="preserve"> </w:t>
      </w:r>
      <w:proofErr w:type="spellStart"/>
      <w:r w:rsidRPr="00372B66">
        <w:rPr>
          <w:sz w:val="24"/>
          <w:szCs w:val="24"/>
        </w:rPr>
        <w:t>okklusion</w:t>
      </w:r>
      <w:proofErr w:type="spellEnd"/>
      <w:r w:rsidRPr="00372B66">
        <w:rPr>
          <w:sz w:val="24"/>
          <w:szCs w:val="24"/>
        </w:rPr>
        <w:t xml:space="preserve"> eller lukning af øjenlågene i 2 minutter reducerer den systemiske absorption. Dette kan medføre et fald i systemiske bivirkninger og en stigning i lokal aktivitet.</w:t>
      </w:r>
    </w:p>
    <w:p w14:paraId="7DA74E89" w14:textId="77777777" w:rsidR="009260DE" w:rsidRPr="00372B66" w:rsidRDefault="009260DE" w:rsidP="009260DE">
      <w:pPr>
        <w:tabs>
          <w:tab w:val="left" w:pos="851"/>
        </w:tabs>
        <w:ind w:left="851"/>
        <w:rPr>
          <w:sz w:val="24"/>
          <w:szCs w:val="24"/>
        </w:rPr>
      </w:pPr>
    </w:p>
    <w:p w14:paraId="167CC759" w14:textId="77777777" w:rsidR="009260DE" w:rsidRPr="00372B66" w:rsidRDefault="009260DE" w:rsidP="009260DE">
      <w:pPr>
        <w:tabs>
          <w:tab w:val="left" w:pos="851"/>
        </w:tabs>
        <w:ind w:left="851" w:hanging="851"/>
        <w:rPr>
          <w:b/>
          <w:sz w:val="24"/>
          <w:szCs w:val="24"/>
        </w:rPr>
      </w:pPr>
      <w:r w:rsidRPr="00372B66">
        <w:rPr>
          <w:b/>
          <w:sz w:val="24"/>
          <w:szCs w:val="24"/>
        </w:rPr>
        <w:t>4.3</w:t>
      </w:r>
      <w:r w:rsidRPr="00372B66">
        <w:rPr>
          <w:b/>
          <w:sz w:val="24"/>
          <w:szCs w:val="24"/>
        </w:rPr>
        <w:tab/>
        <w:t>Kontraindikationer</w:t>
      </w:r>
    </w:p>
    <w:p w14:paraId="610E68CF" w14:textId="77777777" w:rsidR="00F4025A" w:rsidRPr="00372B66" w:rsidRDefault="00F4025A" w:rsidP="008D55AB">
      <w:pPr>
        <w:ind w:left="851"/>
        <w:rPr>
          <w:spacing w:val="-2"/>
          <w:sz w:val="24"/>
          <w:szCs w:val="24"/>
        </w:rPr>
      </w:pPr>
      <w:proofErr w:type="spellStart"/>
      <w:r w:rsidRPr="00372B66">
        <w:rPr>
          <w:sz w:val="24"/>
          <w:szCs w:val="24"/>
        </w:rPr>
        <w:t>Dualux</w:t>
      </w:r>
      <w:proofErr w:type="spellEnd"/>
      <w:r w:rsidRPr="00372B66">
        <w:rPr>
          <w:sz w:val="24"/>
          <w:szCs w:val="24"/>
        </w:rPr>
        <w:t xml:space="preserve"> er kontraindiceret til patienter med:</w:t>
      </w:r>
    </w:p>
    <w:p w14:paraId="00D7A671" w14:textId="77777777" w:rsidR="00F4025A" w:rsidRPr="00372B66" w:rsidRDefault="00F4025A" w:rsidP="008D55AB">
      <w:pPr>
        <w:ind w:left="851"/>
        <w:rPr>
          <w:sz w:val="24"/>
          <w:szCs w:val="24"/>
        </w:rPr>
      </w:pPr>
    </w:p>
    <w:p w14:paraId="6C18FD56" w14:textId="715FBED7" w:rsidR="00F4025A" w:rsidRPr="002459A6" w:rsidRDefault="00F4025A" w:rsidP="002459A6">
      <w:pPr>
        <w:pStyle w:val="Listeafsnit"/>
        <w:numPr>
          <w:ilvl w:val="0"/>
          <w:numId w:val="10"/>
        </w:numPr>
        <w:ind w:left="1276" w:hanging="425"/>
        <w:rPr>
          <w:sz w:val="24"/>
          <w:szCs w:val="24"/>
        </w:rPr>
      </w:pPr>
      <w:r w:rsidRPr="002459A6">
        <w:rPr>
          <w:sz w:val="24"/>
          <w:szCs w:val="24"/>
        </w:rPr>
        <w:t>Reaktiv luftvejssygdom, herunder bronkial astma eller bronkial astma i anamnesen, svær kronisk obstruktiv lungesygdom.</w:t>
      </w:r>
    </w:p>
    <w:p w14:paraId="15BBC69B" w14:textId="6426ECFF" w:rsidR="00F4025A" w:rsidRPr="002459A6" w:rsidRDefault="00F4025A" w:rsidP="002459A6">
      <w:pPr>
        <w:pStyle w:val="Listeafsnit"/>
        <w:numPr>
          <w:ilvl w:val="0"/>
          <w:numId w:val="10"/>
        </w:numPr>
        <w:ind w:left="1276" w:hanging="425"/>
        <w:rPr>
          <w:sz w:val="24"/>
          <w:szCs w:val="24"/>
        </w:rPr>
      </w:pPr>
      <w:r w:rsidRPr="002459A6">
        <w:rPr>
          <w:sz w:val="24"/>
          <w:szCs w:val="24"/>
        </w:rPr>
        <w:t xml:space="preserve">Sinusbradykardi, syg sinus-syndrom, </w:t>
      </w:r>
      <w:proofErr w:type="spellStart"/>
      <w:r w:rsidRPr="002459A6">
        <w:rPr>
          <w:sz w:val="24"/>
          <w:szCs w:val="24"/>
        </w:rPr>
        <w:t>sinoatrialt</w:t>
      </w:r>
      <w:proofErr w:type="spellEnd"/>
      <w:r w:rsidRPr="002459A6">
        <w:rPr>
          <w:sz w:val="24"/>
          <w:szCs w:val="24"/>
        </w:rPr>
        <w:t xml:space="preserve"> blok, anden eller tredje grads </w:t>
      </w:r>
      <w:proofErr w:type="spellStart"/>
      <w:r w:rsidRPr="002459A6">
        <w:rPr>
          <w:sz w:val="24"/>
          <w:szCs w:val="24"/>
        </w:rPr>
        <w:t>atrioventrikulær</w:t>
      </w:r>
      <w:proofErr w:type="spellEnd"/>
      <w:r w:rsidRPr="002459A6">
        <w:rPr>
          <w:sz w:val="24"/>
          <w:szCs w:val="24"/>
        </w:rPr>
        <w:t xml:space="preserve"> blok, der ikke kontrolleres med pacemaker, åbenlyst hjertesvigt, </w:t>
      </w:r>
      <w:proofErr w:type="spellStart"/>
      <w:r w:rsidRPr="002459A6">
        <w:rPr>
          <w:sz w:val="24"/>
          <w:szCs w:val="24"/>
        </w:rPr>
        <w:t>kardiogent</w:t>
      </w:r>
      <w:proofErr w:type="spellEnd"/>
      <w:r w:rsidRPr="002459A6">
        <w:rPr>
          <w:sz w:val="24"/>
          <w:szCs w:val="24"/>
        </w:rPr>
        <w:t xml:space="preserve"> </w:t>
      </w:r>
      <w:proofErr w:type="spellStart"/>
      <w:r w:rsidRPr="002459A6">
        <w:rPr>
          <w:sz w:val="24"/>
          <w:szCs w:val="24"/>
        </w:rPr>
        <w:t>shock</w:t>
      </w:r>
      <w:proofErr w:type="spellEnd"/>
      <w:r w:rsidRPr="002459A6">
        <w:rPr>
          <w:sz w:val="24"/>
          <w:szCs w:val="24"/>
        </w:rPr>
        <w:t>.</w:t>
      </w:r>
    </w:p>
    <w:p w14:paraId="5FBED8C9" w14:textId="72723641" w:rsidR="00F4025A" w:rsidRPr="002459A6" w:rsidRDefault="00F4025A" w:rsidP="002459A6">
      <w:pPr>
        <w:pStyle w:val="Listeafsnit"/>
        <w:numPr>
          <w:ilvl w:val="0"/>
          <w:numId w:val="10"/>
        </w:numPr>
        <w:ind w:left="1276" w:hanging="425"/>
        <w:rPr>
          <w:sz w:val="24"/>
          <w:szCs w:val="24"/>
        </w:rPr>
      </w:pPr>
      <w:r w:rsidRPr="002459A6">
        <w:rPr>
          <w:sz w:val="24"/>
          <w:szCs w:val="24"/>
        </w:rPr>
        <w:t>Overfølsomhed over for de aktive stoffer eller over for et eller flere af hjælpestofferne anført i pkt. 6.1.</w:t>
      </w:r>
    </w:p>
    <w:p w14:paraId="10789F45" w14:textId="51E3C780" w:rsidR="007B2111" w:rsidRDefault="007B2111">
      <w:pPr>
        <w:rPr>
          <w:sz w:val="24"/>
          <w:szCs w:val="24"/>
        </w:rPr>
      </w:pPr>
      <w:r>
        <w:rPr>
          <w:sz w:val="24"/>
          <w:szCs w:val="24"/>
        </w:rPr>
        <w:br w:type="page"/>
      </w:r>
    </w:p>
    <w:p w14:paraId="2A69695F" w14:textId="77777777" w:rsidR="009260DE" w:rsidRPr="00372B66" w:rsidRDefault="009260DE" w:rsidP="009260DE">
      <w:pPr>
        <w:tabs>
          <w:tab w:val="left" w:pos="851"/>
        </w:tabs>
        <w:ind w:left="851"/>
        <w:rPr>
          <w:sz w:val="24"/>
          <w:szCs w:val="24"/>
        </w:rPr>
      </w:pPr>
    </w:p>
    <w:p w14:paraId="7E82E61D" w14:textId="77777777" w:rsidR="009260DE" w:rsidRPr="00372B66" w:rsidRDefault="009260DE" w:rsidP="009260DE">
      <w:pPr>
        <w:tabs>
          <w:tab w:val="left" w:pos="851"/>
        </w:tabs>
        <w:ind w:left="851" w:hanging="851"/>
        <w:rPr>
          <w:b/>
          <w:sz w:val="24"/>
          <w:szCs w:val="24"/>
        </w:rPr>
      </w:pPr>
      <w:r w:rsidRPr="00372B66">
        <w:rPr>
          <w:b/>
          <w:sz w:val="24"/>
          <w:szCs w:val="24"/>
        </w:rPr>
        <w:t>4.4</w:t>
      </w:r>
      <w:r w:rsidRPr="00372B66">
        <w:rPr>
          <w:b/>
          <w:sz w:val="24"/>
          <w:szCs w:val="24"/>
        </w:rPr>
        <w:tab/>
        <w:t>Særlige advarsler og forsigtighedsregler vedrørende brugen</w:t>
      </w:r>
    </w:p>
    <w:p w14:paraId="47D2C594" w14:textId="77777777" w:rsidR="00733D19" w:rsidRDefault="00733D19" w:rsidP="008D55AB">
      <w:pPr>
        <w:ind w:left="851"/>
        <w:rPr>
          <w:sz w:val="24"/>
          <w:szCs w:val="24"/>
        </w:rPr>
      </w:pPr>
    </w:p>
    <w:p w14:paraId="68547C2E" w14:textId="15E686EC" w:rsidR="00F4025A" w:rsidRPr="00733D19" w:rsidRDefault="00F4025A" w:rsidP="008D55AB">
      <w:pPr>
        <w:ind w:left="851"/>
        <w:rPr>
          <w:sz w:val="24"/>
          <w:szCs w:val="24"/>
          <w:u w:val="single"/>
        </w:rPr>
      </w:pPr>
      <w:r w:rsidRPr="00733D19">
        <w:rPr>
          <w:sz w:val="24"/>
          <w:szCs w:val="24"/>
          <w:u w:val="single"/>
        </w:rPr>
        <w:t>Systemiske virkninger</w:t>
      </w:r>
    </w:p>
    <w:p w14:paraId="0C2CEF6B" w14:textId="77777777" w:rsidR="00F4025A" w:rsidRPr="00372B66" w:rsidRDefault="00F4025A" w:rsidP="008D55AB">
      <w:pPr>
        <w:ind w:left="851"/>
        <w:rPr>
          <w:sz w:val="24"/>
          <w:szCs w:val="24"/>
        </w:rPr>
      </w:pPr>
    </w:p>
    <w:p w14:paraId="32E99544" w14:textId="77777777" w:rsidR="00F4025A" w:rsidRPr="00372B66" w:rsidRDefault="00F4025A" w:rsidP="008D55AB">
      <w:pPr>
        <w:ind w:left="851"/>
        <w:rPr>
          <w:sz w:val="24"/>
          <w:szCs w:val="24"/>
        </w:rPr>
      </w:pPr>
      <w:proofErr w:type="spellStart"/>
      <w:r w:rsidRPr="00372B66">
        <w:rPr>
          <w:sz w:val="24"/>
          <w:szCs w:val="24"/>
        </w:rPr>
        <w:t>Dualux</w:t>
      </w:r>
      <w:proofErr w:type="spellEnd"/>
      <w:r w:rsidRPr="00372B66">
        <w:rPr>
          <w:sz w:val="24"/>
          <w:szCs w:val="24"/>
        </w:rPr>
        <w:t xml:space="preserve"> absorberes systemisk. På grund af den beta-</w:t>
      </w:r>
      <w:proofErr w:type="spellStart"/>
      <w:r w:rsidRPr="00372B66">
        <w:rPr>
          <w:sz w:val="24"/>
          <w:szCs w:val="24"/>
        </w:rPr>
        <w:t>adrenerge</w:t>
      </w:r>
      <w:proofErr w:type="spellEnd"/>
      <w:r w:rsidRPr="00372B66">
        <w:rPr>
          <w:sz w:val="24"/>
          <w:szCs w:val="24"/>
        </w:rPr>
        <w:t xml:space="preserve"> komponent </w:t>
      </w:r>
      <w:proofErr w:type="spellStart"/>
      <w:r w:rsidRPr="00372B66">
        <w:rPr>
          <w:sz w:val="24"/>
          <w:szCs w:val="24"/>
        </w:rPr>
        <w:t>timolol</w:t>
      </w:r>
      <w:proofErr w:type="spellEnd"/>
      <w:r w:rsidRPr="00372B66">
        <w:rPr>
          <w:sz w:val="24"/>
          <w:szCs w:val="24"/>
        </w:rPr>
        <w:t xml:space="preserve"> kan der forekomme de samme former for </w:t>
      </w:r>
      <w:proofErr w:type="spellStart"/>
      <w:r w:rsidRPr="00372B66">
        <w:rPr>
          <w:sz w:val="24"/>
          <w:szCs w:val="24"/>
        </w:rPr>
        <w:t>kardiovaskulære</w:t>
      </w:r>
      <w:proofErr w:type="spellEnd"/>
      <w:r w:rsidRPr="00372B66">
        <w:rPr>
          <w:sz w:val="24"/>
          <w:szCs w:val="24"/>
        </w:rPr>
        <w:t xml:space="preserve">, </w:t>
      </w:r>
      <w:proofErr w:type="spellStart"/>
      <w:r w:rsidRPr="00372B66">
        <w:rPr>
          <w:sz w:val="24"/>
          <w:szCs w:val="24"/>
        </w:rPr>
        <w:t>pulmonale</w:t>
      </w:r>
      <w:proofErr w:type="spellEnd"/>
      <w:r w:rsidRPr="00372B66">
        <w:rPr>
          <w:sz w:val="24"/>
          <w:szCs w:val="24"/>
        </w:rPr>
        <w:t xml:space="preserve"> og andre bivirkninger som ses ved systemiske beta-</w:t>
      </w:r>
      <w:proofErr w:type="spellStart"/>
      <w:r w:rsidRPr="00372B66">
        <w:rPr>
          <w:sz w:val="24"/>
          <w:szCs w:val="24"/>
        </w:rPr>
        <w:t>adrenerge</w:t>
      </w:r>
      <w:proofErr w:type="spellEnd"/>
      <w:r w:rsidRPr="00372B66">
        <w:rPr>
          <w:sz w:val="24"/>
          <w:szCs w:val="24"/>
        </w:rPr>
        <w:t xml:space="preserve"> blokerende midler. Forekomsten af systemiske bivirkninger efter topisk </w:t>
      </w:r>
      <w:proofErr w:type="spellStart"/>
      <w:r w:rsidRPr="00372B66">
        <w:rPr>
          <w:sz w:val="24"/>
          <w:szCs w:val="24"/>
        </w:rPr>
        <w:t>oftalmisk</w:t>
      </w:r>
      <w:proofErr w:type="spellEnd"/>
      <w:r w:rsidRPr="00372B66">
        <w:rPr>
          <w:sz w:val="24"/>
          <w:szCs w:val="24"/>
        </w:rPr>
        <w:t xml:space="preserve"> administration er lavere end ved systemisk administration. Se pkt. 4.2 for at reducere den systemiske absorption.</w:t>
      </w:r>
    </w:p>
    <w:p w14:paraId="461030C9" w14:textId="77777777" w:rsidR="00F4025A" w:rsidRPr="00372B66" w:rsidRDefault="00F4025A" w:rsidP="008D55AB">
      <w:pPr>
        <w:ind w:left="851"/>
        <w:rPr>
          <w:sz w:val="24"/>
          <w:szCs w:val="24"/>
        </w:rPr>
      </w:pPr>
    </w:p>
    <w:p w14:paraId="762C7C1D" w14:textId="77777777" w:rsidR="00F4025A" w:rsidRPr="00733D19" w:rsidRDefault="00F4025A" w:rsidP="008D55AB">
      <w:pPr>
        <w:ind w:left="851"/>
        <w:rPr>
          <w:sz w:val="24"/>
          <w:szCs w:val="24"/>
          <w:u w:val="single"/>
        </w:rPr>
      </w:pPr>
      <w:r w:rsidRPr="00733D19">
        <w:rPr>
          <w:sz w:val="24"/>
          <w:szCs w:val="24"/>
          <w:u w:val="single"/>
        </w:rPr>
        <w:t>Hjertelidelser</w:t>
      </w:r>
    </w:p>
    <w:p w14:paraId="23A2505C" w14:textId="77777777" w:rsidR="00F4025A" w:rsidRPr="00372B66" w:rsidRDefault="00F4025A" w:rsidP="008D55AB">
      <w:pPr>
        <w:ind w:left="851"/>
        <w:rPr>
          <w:sz w:val="24"/>
          <w:szCs w:val="24"/>
        </w:rPr>
      </w:pPr>
    </w:p>
    <w:p w14:paraId="24F19B96" w14:textId="77777777" w:rsidR="00F4025A" w:rsidRPr="00372B66" w:rsidRDefault="00F4025A" w:rsidP="008D55AB">
      <w:pPr>
        <w:ind w:left="851"/>
        <w:rPr>
          <w:sz w:val="24"/>
          <w:szCs w:val="24"/>
        </w:rPr>
      </w:pPr>
      <w:r w:rsidRPr="00372B66">
        <w:rPr>
          <w:sz w:val="24"/>
          <w:szCs w:val="24"/>
        </w:rPr>
        <w:t xml:space="preserve">Hos patienter med hjerte-kar-sygdomme (f.eks. </w:t>
      </w:r>
      <w:proofErr w:type="spellStart"/>
      <w:r w:rsidRPr="00372B66">
        <w:rPr>
          <w:sz w:val="24"/>
          <w:szCs w:val="24"/>
        </w:rPr>
        <w:t>koronar</w:t>
      </w:r>
      <w:proofErr w:type="spellEnd"/>
      <w:r w:rsidRPr="00372B66">
        <w:rPr>
          <w:sz w:val="24"/>
          <w:szCs w:val="24"/>
        </w:rPr>
        <w:t xml:space="preserve"> hjertesygdom, </w:t>
      </w:r>
      <w:proofErr w:type="spellStart"/>
      <w:r w:rsidRPr="00372B66">
        <w:rPr>
          <w:sz w:val="24"/>
          <w:szCs w:val="24"/>
        </w:rPr>
        <w:t>Prinzmetals</w:t>
      </w:r>
      <w:proofErr w:type="spellEnd"/>
      <w:r w:rsidRPr="00372B66">
        <w:rPr>
          <w:sz w:val="24"/>
          <w:szCs w:val="24"/>
        </w:rPr>
        <w:t xml:space="preserve"> angina og hjertesvigt) og hypotension skal behandling med </w:t>
      </w:r>
      <w:proofErr w:type="gramStart"/>
      <w:r w:rsidRPr="00372B66">
        <w:rPr>
          <w:sz w:val="24"/>
          <w:szCs w:val="24"/>
        </w:rPr>
        <w:t>betablokkere</w:t>
      </w:r>
      <w:proofErr w:type="gramEnd"/>
      <w:r w:rsidRPr="00372B66">
        <w:rPr>
          <w:sz w:val="24"/>
          <w:szCs w:val="24"/>
        </w:rPr>
        <w:t xml:space="preserve"> vurderes nøje, og behandling med andre aktive stoffer bør overvejes. Patienter med hjerte-kar-sygdomme skal overvåges for tegn på forværring af disse sygdomme og for bivirkninger.</w:t>
      </w:r>
    </w:p>
    <w:p w14:paraId="63EA8BE0" w14:textId="77777777" w:rsidR="00F4025A" w:rsidRPr="00372B66" w:rsidRDefault="00F4025A" w:rsidP="008D55AB">
      <w:pPr>
        <w:ind w:left="851"/>
        <w:rPr>
          <w:sz w:val="24"/>
          <w:szCs w:val="24"/>
        </w:rPr>
      </w:pPr>
    </w:p>
    <w:p w14:paraId="38050E08" w14:textId="77777777" w:rsidR="00F4025A" w:rsidRPr="00372B66" w:rsidRDefault="00F4025A" w:rsidP="008D55AB">
      <w:pPr>
        <w:ind w:left="851"/>
        <w:rPr>
          <w:sz w:val="24"/>
          <w:szCs w:val="24"/>
        </w:rPr>
      </w:pPr>
      <w:r w:rsidRPr="00372B66">
        <w:rPr>
          <w:sz w:val="24"/>
          <w:szCs w:val="24"/>
        </w:rPr>
        <w:t>På grund af den negative virkning på ledningstiden bør betablokkere kun gives med forsigtighed til patienter med første grads hjerteblok.</w:t>
      </w:r>
    </w:p>
    <w:p w14:paraId="34F813D6" w14:textId="77777777" w:rsidR="00F4025A" w:rsidRPr="00372B66" w:rsidRDefault="00F4025A" w:rsidP="008D55AB">
      <w:pPr>
        <w:ind w:left="851"/>
        <w:rPr>
          <w:sz w:val="24"/>
          <w:szCs w:val="24"/>
        </w:rPr>
      </w:pPr>
    </w:p>
    <w:p w14:paraId="2C1DC4CC" w14:textId="77777777" w:rsidR="00F4025A" w:rsidRPr="00372B66" w:rsidRDefault="00F4025A" w:rsidP="008D55AB">
      <w:pPr>
        <w:ind w:left="851"/>
        <w:rPr>
          <w:sz w:val="24"/>
          <w:szCs w:val="24"/>
        </w:rPr>
      </w:pPr>
      <w:r w:rsidRPr="00372B66">
        <w:rPr>
          <w:sz w:val="24"/>
          <w:szCs w:val="24"/>
        </w:rPr>
        <w:t xml:space="preserve">Der har været rapporteret påvirkninger af hjertet, og i sjældne tilfælde død i forbindelse med hjertesvigt efter administration af </w:t>
      </w:r>
      <w:proofErr w:type="spellStart"/>
      <w:r w:rsidRPr="00372B66">
        <w:rPr>
          <w:sz w:val="24"/>
          <w:szCs w:val="24"/>
        </w:rPr>
        <w:t>timolol</w:t>
      </w:r>
      <w:proofErr w:type="spellEnd"/>
      <w:r w:rsidRPr="00372B66">
        <w:rPr>
          <w:sz w:val="24"/>
          <w:szCs w:val="24"/>
        </w:rPr>
        <w:t>.</w:t>
      </w:r>
    </w:p>
    <w:p w14:paraId="4145C8FB" w14:textId="77777777" w:rsidR="00F4025A" w:rsidRPr="00372B66" w:rsidRDefault="00F4025A" w:rsidP="008D55AB">
      <w:pPr>
        <w:ind w:left="851"/>
        <w:rPr>
          <w:sz w:val="24"/>
          <w:szCs w:val="24"/>
        </w:rPr>
      </w:pPr>
    </w:p>
    <w:p w14:paraId="2D3C1B34" w14:textId="77777777" w:rsidR="00F4025A" w:rsidRPr="00733D19" w:rsidRDefault="00F4025A" w:rsidP="008D55AB">
      <w:pPr>
        <w:ind w:left="851"/>
        <w:rPr>
          <w:sz w:val="24"/>
          <w:szCs w:val="24"/>
          <w:u w:val="single"/>
        </w:rPr>
      </w:pPr>
      <w:proofErr w:type="spellStart"/>
      <w:r w:rsidRPr="00733D19">
        <w:rPr>
          <w:sz w:val="24"/>
          <w:szCs w:val="24"/>
          <w:u w:val="single"/>
        </w:rPr>
        <w:t>Vaskulære</w:t>
      </w:r>
      <w:proofErr w:type="spellEnd"/>
      <w:r w:rsidRPr="00733D19">
        <w:rPr>
          <w:sz w:val="24"/>
          <w:szCs w:val="24"/>
          <w:u w:val="single"/>
        </w:rPr>
        <w:t xml:space="preserve"> lidelser</w:t>
      </w:r>
    </w:p>
    <w:p w14:paraId="75EC6172" w14:textId="77777777" w:rsidR="00F4025A" w:rsidRPr="00372B66" w:rsidRDefault="00F4025A" w:rsidP="008D55AB">
      <w:pPr>
        <w:ind w:left="851"/>
        <w:rPr>
          <w:sz w:val="24"/>
          <w:szCs w:val="24"/>
        </w:rPr>
      </w:pPr>
    </w:p>
    <w:p w14:paraId="08633E2A" w14:textId="77777777" w:rsidR="00F4025A" w:rsidRPr="00372B66" w:rsidRDefault="00F4025A" w:rsidP="008D55AB">
      <w:pPr>
        <w:ind w:left="851"/>
        <w:rPr>
          <w:sz w:val="24"/>
          <w:szCs w:val="24"/>
        </w:rPr>
      </w:pPr>
      <w:r w:rsidRPr="00372B66">
        <w:rPr>
          <w:sz w:val="24"/>
          <w:szCs w:val="24"/>
        </w:rPr>
        <w:t xml:space="preserve">Patienter med svær perifer cirkulationsforstyrrelse/lidelse (dvs. alvorlige former for </w:t>
      </w:r>
      <w:proofErr w:type="spellStart"/>
      <w:r w:rsidRPr="00372B66">
        <w:rPr>
          <w:sz w:val="24"/>
          <w:szCs w:val="24"/>
        </w:rPr>
        <w:t>Raynauds</w:t>
      </w:r>
      <w:proofErr w:type="spellEnd"/>
      <w:r w:rsidRPr="00372B66">
        <w:rPr>
          <w:sz w:val="24"/>
          <w:szCs w:val="24"/>
        </w:rPr>
        <w:t xml:space="preserve"> sygdom eller </w:t>
      </w:r>
      <w:proofErr w:type="spellStart"/>
      <w:r w:rsidRPr="00372B66">
        <w:rPr>
          <w:sz w:val="24"/>
          <w:szCs w:val="24"/>
        </w:rPr>
        <w:t>Raynauds</w:t>
      </w:r>
      <w:proofErr w:type="spellEnd"/>
      <w:r w:rsidRPr="00372B66">
        <w:rPr>
          <w:sz w:val="24"/>
          <w:szCs w:val="24"/>
        </w:rPr>
        <w:t xml:space="preserve"> syndrom) skal behandles med forsigtighed.</w:t>
      </w:r>
    </w:p>
    <w:p w14:paraId="62548C86" w14:textId="77777777" w:rsidR="00F4025A" w:rsidRPr="00372B66" w:rsidRDefault="00F4025A" w:rsidP="008D55AB">
      <w:pPr>
        <w:ind w:left="851"/>
        <w:rPr>
          <w:sz w:val="24"/>
          <w:szCs w:val="24"/>
        </w:rPr>
      </w:pPr>
    </w:p>
    <w:p w14:paraId="609FE484" w14:textId="77777777" w:rsidR="00F4025A" w:rsidRPr="00733D19" w:rsidRDefault="00F4025A" w:rsidP="008D55AB">
      <w:pPr>
        <w:ind w:left="851"/>
        <w:rPr>
          <w:sz w:val="24"/>
          <w:szCs w:val="24"/>
          <w:u w:val="single"/>
        </w:rPr>
      </w:pPr>
      <w:r w:rsidRPr="00733D19">
        <w:rPr>
          <w:sz w:val="24"/>
          <w:szCs w:val="24"/>
          <w:u w:val="single"/>
        </w:rPr>
        <w:t>Respiratoriske lidelser</w:t>
      </w:r>
    </w:p>
    <w:p w14:paraId="710E951C" w14:textId="77777777" w:rsidR="00F4025A" w:rsidRPr="00372B66" w:rsidRDefault="00F4025A" w:rsidP="008D55AB">
      <w:pPr>
        <w:ind w:left="851"/>
        <w:rPr>
          <w:sz w:val="24"/>
          <w:szCs w:val="24"/>
        </w:rPr>
      </w:pPr>
    </w:p>
    <w:p w14:paraId="577B485C" w14:textId="77777777" w:rsidR="00F4025A" w:rsidRPr="00372B66" w:rsidRDefault="00F4025A" w:rsidP="008D55AB">
      <w:pPr>
        <w:ind w:left="851"/>
        <w:rPr>
          <w:sz w:val="24"/>
          <w:szCs w:val="24"/>
        </w:rPr>
      </w:pPr>
      <w:r w:rsidRPr="00372B66">
        <w:rPr>
          <w:sz w:val="24"/>
          <w:szCs w:val="24"/>
        </w:rPr>
        <w:t xml:space="preserve">Der er rapporteret om respiratoriske reaktioner, herunder død som følge af </w:t>
      </w:r>
      <w:proofErr w:type="spellStart"/>
      <w:r w:rsidRPr="00372B66">
        <w:rPr>
          <w:sz w:val="24"/>
          <w:szCs w:val="24"/>
        </w:rPr>
        <w:t>bronkospasme</w:t>
      </w:r>
      <w:proofErr w:type="spellEnd"/>
      <w:r w:rsidRPr="00372B66">
        <w:rPr>
          <w:sz w:val="24"/>
          <w:szCs w:val="24"/>
        </w:rPr>
        <w:t xml:space="preserve"> hos patienter med astma, efter administration af nogle </w:t>
      </w:r>
      <w:proofErr w:type="spellStart"/>
      <w:r w:rsidRPr="00372B66">
        <w:rPr>
          <w:sz w:val="24"/>
          <w:szCs w:val="24"/>
        </w:rPr>
        <w:t>oftalmiske</w:t>
      </w:r>
      <w:proofErr w:type="spellEnd"/>
      <w:r w:rsidRPr="00372B66">
        <w:rPr>
          <w:sz w:val="24"/>
          <w:szCs w:val="24"/>
        </w:rPr>
        <w:t xml:space="preserve"> betablokkere. </w:t>
      </w:r>
      <w:proofErr w:type="spellStart"/>
      <w:r w:rsidRPr="00372B66">
        <w:rPr>
          <w:sz w:val="24"/>
          <w:szCs w:val="24"/>
        </w:rPr>
        <w:t>Dualux</w:t>
      </w:r>
      <w:proofErr w:type="spellEnd"/>
      <w:r w:rsidRPr="00372B66">
        <w:rPr>
          <w:sz w:val="24"/>
          <w:szCs w:val="24"/>
        </w:rPr>
        <w:t xml:space="preserve"> skal anvendes med forsigtighed til patienter med mild/moderat kronisk obstruktiv lungesygdom (KOL) og kun, hvis den potentielle fordel opvejer den potentielle risiko.</w:t>
      </w:r>
    </w:p>
    <w:p w14:paraId="2F93CE8F" w14:textId="77777777" w:rsidR="00F4025A" w:rsidRPr="00372B66" w:rsidRDefault="00F4025A" w:rsidP="008D55AB">
      <w:pPr>
        <w:ind w:left="851"/>
        <w:rPr>
          <w:sz w:val="24"/>
          <w:szCs w:val="24"/>
        </w:rPr>
      </w:pPr>
    </w:p>
    <w:p w14:paraId="54681552" w14:textId="77777777" w:rsidR="00F4025A" w:rsidRPr="00733D19" w:rsidRDefault="00F4025A" w:rsidP="008D55AB">
      <w:pPr>
        <w:ind w:left="851"/>
        <w:rPr>
          <w:sz w:val="24"/>
          <w:szCs w:val="24"/>
          <w:u w:val="single"/>
        </w:rPr>
      </w:pPr>
      <w:r w:rsidRPr="00733D19">
        <w:rPr>
          <w:sz w:val="24"/>
          <w:szCs w:val="24"/>
          <w:u w:val="single"/>
        </w:rPr>
        <w:t>Hypoglykæmi/diabetes</w:t>
      </w:r>
    </w:p>
    <w:p w14:paraId="3806CEAB" w14:textId="77777777" w:rsidR="00F4025A" w:rsidRPr="00372B66" w:rsidRDefault="00F4025A" w:rsidP="008D55AB">
      <w:pPr>
        <w:ind w:left="851"/>
        <w:rPr>
          <w:sz w:val="24"/>
          <w:szCs w:val="24"/>
        </w:rPr>
      </w:pPr>
    </w:p>
    <w:p w14:paraId="783354D4" w14:textId="77777777" w:rsidR="00F4025A" w:rsidRPr="00372B66" w:rsidRDefault="00F4025A" w:rsidP="008D55AB">
      <w:pPr>
        <w:ind w:left="851"/>
        <w:rPr>
          <w:sz w:val="24"/>
          <w:szCs w:val="24"/>
        </w:rPr>
      </w:pPr>
      <w:r w:rsidRPr="00372B66">
        <w:rPr>
          <w:sz w:val="24"/>
          <w:szCs w:val="24"/>
        </w:rPr>
        <w:t>Betablokkere skal administreres med forsigtighed til patienter, der er udsat for spontan hypoglykæmi, eller til patienter med labil diabetes, da betablokkere kan maskere tegn og symptomer på akut hypoglykæmi.</w:t>
      </w:r>
    </w:p>
    <w:p w14:paraId="644A39A2" w14:textId="77777777" w:rsidR="00F4025A" w:rsidRPr="00372B66" w:rsidRDefault="00F4025A" w:rsidP="008D55AB">
      <w:pPr>
        <w:ind w:left="851"/>
        <w:rPr>
          <w:sz w:val="24"/>
          <w:szCs w:val="24"/>
        </w:rPr>
      </w:pPr>
    </w:p>
    <w:p w14:paraId="0E91D5FE" w14:textId="77777777" w:rsidR="00F4025A" w:rsidRPr="00733D19" w:rsidRDefault="00F4025A" w:rsidP="008D55AB">
      <w:pPr>
        <w:ind w:left="851"/>
        <w:rPr>
          <w:sz w:val="24"/>
          <w:szCs w:val="24"/>
          <w:u w:val="single"/>
        </w:rPr>
      </w:pPr>
      <w:proofErr w:type="spellStart"/>
      <w:r w:rsidRPr="00733D19">
        <w:rPr>
          <w:sz w:val="24"/>
          <w:szCs w:val="24"/>
          <w:u w:val="single"/>
        </w:rPr>
        <w:t>Hyperthyreoidisme</w:t>
      </w:r>
      <w:proofErr w:type="spellEnd"/>
    </w:p>
    <w:p w14:paraId="2622B4FB" w14:textId="77777777" w:rsidR="00733D19" w:rsidRDefault="00733D19" w:rsidP="008D55AB">
      <w:pPr>
        <w:ind w:left="851"/>
        <w:rPr>
          <w:sz w:val="24"/>
          <w:szCs w:val="24"/>
        </w:rPr>
      </w:pPr>
    </w:p>
    <w:p w14:paraId="0BCB3875" w14:textId="7BF2A14B" w:rsidR="00F4025A" w:rsidRPr="00372B66" w:rsidRDefault="00F4025A" w:rsidP="008D55AB">
      <w:pPr>
        <w:ind w:left="851"/>
        <w:rPr>
          <w:sz w:val="24"/>
          <w:szCs w:val="24"/>
        </w:rPr>
      </w:pPr>
      <w:r w:rsidRPr="00372B66">
        <w:rPr>
          <w:sz w:val="24"/>
          <w:szCs w:val="24"/>
        </w:rPr>
        <w:t xml:space="preserve">Betablokkere kan også maskere tegn på </w:t>
      </w:r>
      <w:proofErr w:type="spellStart"/>
      <w:r w:rsidRPr="00372B66">
        <w:rPr>
          <w:sz w:val="24"/>
          <w:szCs w:val="24"/>
        </w:rPr>
        <w:t>hyperthyreoidisme</w:t>
      </w:r>
      <w:proofErr w:type="spellEnd"/>
      <w:r w:rsidRPr="00372B66">
        <w:rPr>
          <w:sz w:val="24"/>
          <w:szCs w:val="24"/>
        </w:rPr>
        <w:t>.</w:t>
      </w:r>
    </w:p>
    <w:p w14:paraId="537E65E4" w14:textId="77777777" w:rsidR="00733D19" w:rsidRDefault="00733D19" w:rsidP="008D55AB">
      <w:pPr>
        <w:ind w:left="851"/>
        <w:rPr>
          <w:sz w:val="24"/>
          <w:szCs w:val="24"/>
        </w:rPr>
      </w:pPr>
    </w:p>
    <w:p w14:paraId="0E41A96A" w14:textId="1C85C90B" w:rsidR="00F4025A" w:rsidRPr="00733D19" w:rsidRDefault="00F4025A" w:rsidP="008D55AB">
      <w:pPr>
        <w:ind w:left="851"/>
        <w:rPr>
          <w:sz w:val="24"/>
          <w:szCs w:val="24"/>
          <w:u w:val="single"/>
        </w:rPr>
      </w:pPr>
      <w:r w:rsidRPr="00733D19">
        <w:rPr>
          <w:sz w:val="24"/>
          <w:szCs w:val="24"/>
          <w:u w:val="single"/>
        </w:rPr>
        <w:t>Hornhindesygdomme</w:t>
      </w:r>
    </w:p>
    <w:p w14:paraId="2E4E020E" w14:textId="77777777" w:rsidR="00733D19" w:rsidRDefault="00733D19" w:rsidP="008D55AB">
      <w:pPr>
        <w:ind w:left="851"/>
        <w:rPr>
          <w:sz w:val="24"/>
          <w:szCs w:val="24"/>
        </w:rPr>
      </w:pPr>
    </w:p>
    <w:p w14:paraId="080CF0DF" w14:textId="3317ACD4" w:rsidR="00F4025A" w:rsidRPr="00372B66" w:rsidRDefault="00F4025A" w:rsidP="008D55AB">
      <w:pPr>
        <w:ind w:left="851"/>
        <w:rPr>
          <w:sz w:val="24"/>
          <w:szCs w:val="24"/>
        </w:rPr>
      </w:pPr>
      <w:proofErr w:type="spellStart"/>
      <w:r w:rsidRPr="00372B66">
        <w:rPr>
          <w:sz w:val="24"/>
          <w:szCs w:val="24"/>
        </w:rPr>
        <w:t>Oftalmiske</w:t>
      </w:r>
      <w:proofErr w:type="spellEnd"/>
      <w:r w:rsidRPr="00372B66">
        <w:rPr>
          <w:sz w:val="24"/>
          <w:szCs w:val="24"/>
        </w:rPr>
        <w:t xml:space="preserve"> betablokkere kan forårsage tørre øjne. Patienter med hornhindesygdomme skal behandles med forsigtighed.</w:t>
      </w:r>
    </w:p>
    <w:p w14:paraId="738158AD" w14:textId="77777777" w:rsidR="00F4025A" w:rsidRPr="00372B66" w:rsidRDefault="00F4025A" w:rsidP="008D55AB">
      <w:pPr>
        <w:ind w:left="851"/>
        <w:rPr>
          <w:sz w:val="24"/>
          <w:szCs w:val="24"/>
        </w:rPr>
      </w:pPr>
    </w:p>
    <w:p w14:paraId="4433D17E" w14:textId="77777777" w:rsidR="00F4025A" w:rsidRPr="00733D19" w:rsidRDefault="00F4025A" w:rsidP="008D55AB">
      <w:pPr>
        <w:ind w:left="851"/>
        <w:rPr>
          <w:sz w:val="24"/>
          <w:szCs w:val="24"/>
          <w:u w:val="single"/>
        </w:rPr>
      </w:pPr>
      <w:r w:rsidRPr="00733D19">
        <w:rPr>
          <w:sz w:val="24"/>
          <w:szCs w:val="24"/>
          <w:u w:val="single"/>
        </w:rPr>
        <w:lastRenderedPageBreak/>
        <w:t>Andre betablokkere</w:t>
      </w:r>
    </w:p>
    <w:p w14:paraId="12F8B74D" w14:textId="77777777" w:rsidR="00F4025A" w:rsidRPr="00372B66" w:rsidRDefault="00F4025A" w:rsidP="008D55AB">
      <w:pPr>
        <w:ind w:left="851"/>
        <w:rPr>
          <w:sz w:val="24"/>
          <w:szCs w:val="24"/>
        </w:rPr>
      </w:pPr>
    </w:p>
    <w:p w14:paraId="6A9CC75B" w14:textId="77777777" w:rsidR="00F4025A" w:rsidRPr="00372B66" w:rsidRDefault="00F4025A" w:rsidP="008D55AB">
      <w:pPr>
        <w:ind w:left="851"/>
        <w:rPr>
          <w:sz w:val="24"/>
          <w:szCs w:val="24"/>
        </w:rPr>
      </w:pPr>
      <w:r w:rsidRPr="00372B66">
        <w:rPr>
          <w:sz w:val="24"/>
          <w:szCs w:val="24"/>
        </w:rPr>
        <w:t xml:space="preserve">Virkningen på det </w:t>
      </w:r>
      <w:proofErr w:type="spellStart"/>
      <w:r w:rsidRPr="00372B66">
        <w:rPr>
          <w:sz w:val="24"/>
          <w:szCs w:val="24"/>
        </w:rPr>
        <w:t>intraokulære</w:t>
      </w:r>
      <w:proofErr w:type="spellEnd"/>
      <w:r w:rsidRPr="00372B66">
        <w:rPr>
          <w:sz w:val="24"/>
          <w:szCs w:val="24"/>
        </w:rPr>
        <w:t xml:space="preserve"> tryk eller de kendte virkninger af systemisk betablokade kan forstærkes, når </w:t>
      </w:r>
      <w:proofErr w:type="spellStart"/>
      <w:r w:rsidRPr="00372B66">
        <w:rPr>
          <w:sz w:val="24"/>
          <w:szCs w:val="24"/>
        </w:rPr>
        <w:t>timolol</w:t>
      </w:r>
      <w:proofErr w:type="spellEnd"/>
      <w:r w:rsidRPr="00372B66">
        <w:rPr>
          <w:sz w:val="24"/>
          <w:szCs w:val="24"/>
        </w:rPr>
        <w:t xml:space="preserve"> gives til patienter, der allerede får et systemisk betablokerende middel. Disse patienters reaktion skal overvåges nøje. Det anbefales ikke at anvende to topiske beta-</w:t>
      </w:r>
      <w:proofErr w:type="spellStart"/>
      <w:r w:rsidRPr="00372B66">
        <w:rPr>
          <w:sz w:val="24"/>
          <w:szCs w:val="24"/>
        </w:rPr>
        <w:t>adrenerge</w:t>
      </w:r>
      <w:proofErr w:type="spellEnd"/>
      <w:r w:rsidRPr="00372B66">
        <w:rPr>
          <w:sz w:val="24"/>
          <w:szCs w:val="24"/>
        </w:rPr>
        <w:t xml:space="preserve"> blokerende midler (se pkt. 4.5).</w:t>
      </w:r>
    </w:p>
    <w:p w14:paraId="1B98EBB7" w14:textId="77777777" w:rsidR="00F4025A" w:rsidRPr="00372B66" w:rsidRDefault="00F4025A" w:rsidP="008D55AB">
      <w:pPr>
        <w:ind w:left="851"/>
        <w:rPr>
          <w:sz w:val="24"/>
          <w:szCs w:val="24"/>
        </w:rPr>
      </w:pPr>
    </w:p>
    <w:p w14:paraId="54979668" w14:textId="77777777" w:rsidR="00F4025A" w:rsidRPr="00733D19" w:rsidRDefault="00F4025A" w:rsidP="008D55AB">
      <w:pPr>
        <w:ind w:left="851"/>
        <w:rPr>
          <w:sz w:val="24"/>
          <w:szCs w:val="24"/>
          <w:u w:val="single"/>
        </w:rPr>
      </w:pPr>
      <w:proofErr w:type="spellStart"/>
      <w:r w:rsidRPr="00733D19">
        <w:rPr>
          <w:sz w:val="24"/>
          <w:szCs w:val="24"/>
          <w:u w:val="single"/>
        </w:rPr>
        <w:t>Anafylaktiske</w:t>
      </w:r>
      <w:proofErr w:type="spellEnd"/>
      <w:r w:rsidRPr="00733D19">
        <w:rPr>
          <w:sz w:val="24"/>
          <w:szCs w:val="24"/>
          <w:u w:val="single"/>
        </w:rPr>
        <w:t xml:space="preserve"> reaktioner</w:t>
      </w:r>
    </w:p>
    <w:p w14:paraId="56720632" w14:textId="77777777" w:rsidR="00F4025A" w:rsidRPr="00372B66" w:rsidRDefault="00F4025A" w:rsidP="008D55AB">
      <w:pPr>
        <w:ind w:left="851"/>
        <w:rPr>
          <w:sz w:val="24"/>
          <w:szCs w:val="24"/>
        </w:rPr>
      </w:pPr>
    </w:p>
    <w:p w14:paraId="6F649403" w14:textId="77777777" w:rsidR="00F4025A" w:rsidRPr="00372B66" w:rsidRDefault="00F4025A" w:rsidP="008D55AB">
      <w:pPr>
        <w:ind w:left="851"/>
        <w:rPr>
          <w:sz w:val="24"/>
          <w:szCs w:val="24"/>
        </w:rPr>
      </w:pPr>
      <w:r w:rsidRPr="00372B66">
        <w:rPr>
          <w:sz w:val="24"/>
          <w:szCs w:val="24"/>
        </w:rPr>
        <w:t xml:space="preserve">Under behandling med </w:t>
      </w:r>
      <w:proofErr w:type="gramStart"/>
      <w:r w:rsidRPr="00372B66">
        <w:rPr>
          <w:sz w:val="24"/>
          <w:szCs w:val="24"/>
        </w:rPr>
        <w:t>betablokkere</w:t>
      </w:r>
      <w:proofErr w:type="gramEnd"/>
      <w:r w:rsidRPr="00372B66">
        <w:rPr>
          <w:sz w:val="24"/>
          <w:szCs w:val="24"/>
        </w:rPr>
        <w:t xml:space="preserve"> kan patienter med </w:t>
      </w:r>
      <w:proofErr w:type="spellStart"/>
      <w:r w:rsidRPr="00372B66">
        <w:rPr>
          <w:sz w:val="24"/>
          <w:szCs w:val="24"/>
        </w:rPr>
        <w:t>atopi</w:t>
      </w:r>
      <w:proofErr w:type="spellEnd"/>
      <w:r w:rsidRPr="00372B66">
        <w:rPr>
          <w:sz w:val="24"/>
          <w:szCs w:val="24"/>
        </w:rPr>
        <w:t xml:space="preserve"> i anamnesen eller med tidligere alvorlige </w:t>
      </w:r>
      <w:proofErr w:type="spellStart"/>
      <w:r w:rsidRPr="00372B66">
        <w:rPr>
          <w:sz w:val="24"/>
          <w:szCs w:val="24"/>
        </w:rPr>
        <w:t>anafylaktiske</w:t>
      </w:r>
      <w:proofErr w:type="spellEnd"/>
      <w:r w:rsidRPr="00372B66">
        <w:rPr>
          <w:sz w:val="24"/>
          <w:szCs w:val="24"/>
        </w:rPr>
        <w:t xml:space="preserve"> reaktioner over for forskellige allergener være mere reaktive over for gentagen eksponering for sådanne allergener og ikke reagere på de sædvanlige doser adrenalin, der anvendes til behandling af </w:t>
      </w:r>
      <w:proofErr w:type="spellStart"/>
      <w:r w:rsidRPr="00372B66">
        <w:rPr>
          <w:sz w:val="24"/>
          <w:szCs w:val="24"/>
        </w:rPr>
        <w:t>anafylaktiske</w:t>
      </w:r>
      <w:proofErr w:type="spellEnd"/>
      <w:r w:rsidRPr="00372B66">
        <w:rPr>
          <w:sz w:val="24"/>
          <w:szCs w:val="24"/>
        </w:rPr>
        <w:t xml:space="preserve"> reaktioner.</w:t>
      </w:r>
    </w:p>
    <w:p w14:paraId="008F2DDB" w14:textId="77777777" w:rsidR="00F4025A" w:rsidRPr="00372B66" w:rsidRDefault="00F4025A" w:rsidP="008D55AB">
      <w:pPr>
        <w:ind w:left="851"/>
        <w:rPr>
          <w:sz w:val="24"/>
          <w:szCs w:val="24"/>
        </w:rPr>
      </w:pPr>
    </w:p>
    <w:p w14:paraId="0FDEDA4B" w14:textId="77777777" w:rsidR="00F4025A" w:rsidRPr="00733D19" w:rsidRDefault="00F4025A" w:rsidP="008D55AB">
      <w:pPr>
        <w:ind w:left="851"/>
        <w:rPr>
          <w:sz w:val="24"/>
          <w:szCs w:val="24"/>
          <w:u w:val="single"/>
        </w:rPr>
      </w:pPr>
      <w:proofErr w:type="spellStart"/>
      <w:r w:rsidRPr="00733D19">
        <w:rPr>
          <w:sz w:val="24"/>
          <w:szCs w:val="24"/>
          <w:u w:val="single"/>
        </w:rPr>
        <w:t>Choroidalløsning</w:t>
      </w:r>
      <w:proofErr w:type="spellEnd"/>
    </w:p>
    <w:p w14:paraId="73691768" w14:textId="77777777" w:rsidR="00F4025A" w:rsidRPr="00372B66" w:rsidRDefault="00F4025A" w:rsidP="008D55AB">
      <w:pPr>
        <w:ind w:left="851"/>
        <w:rPr>
          <w:sz w:val="24"/>
          <w:szCs w:val="24"/>
        </w:rPr>
      </w:pPr>
    </w:p>
    <w:p w14:paraId="21B3E3E9" w14:textId="77777777" w:rsidR="00F4025A" w:rsidRPr="00372B66" w:rsidRDefault="00F4025A" w:rsidP="008D55AB">
      <w:pPr>
        <w:ind w:left="851"/>
        <w:rPr>
          <w:sz w:val="24"/>
          <w:szCs w:val="24"/>
        </w:rPr>
      </w:pPr>
      <w:r w:rsidRPr="00372B66">
        <w:rPr>
          <w:sz w:val="24"/>
          <w:szCs w:val="24"/>
        </w:rPr>
        <w:t xml:space="preserve">Der er rapporteret om </w:t>
      </w:r>
      <w:proofErr w:type="spellStart"/>
      <w:r w:rsidRPr="00372B66">
        <w:rPr>
          <w:sz w:val="24"/>
          <w:szCs w:val="24"/>
        </w:rPr>
        <w:t>choroidalløsning</w:t>
      </w:r>
      <w:proofErr w:type="spellEnd"/>
      <w:r w:rsidRPr="00372B66">
        <w:rPr>
          <w:sz w:val="24"/>
          <w:szCs w:val="24"/>
        </w:rPr>
        <w:t xml:space="preserve"> ved administration af vandig tryksænkende behandling (f.eks. </w:t>
      </w:r>
      <w:proofErr w:type="spellStart"/>
      <w:r w:rsidRPr="00372B66">
        <w:rPr>
          <w:sz w:val="24"/>
          <w:szCs w:val="24"/>
        </w:rPr>
        <w:t>timolol</w:t>
      </w:r>
      <w:proofErr w:type="spellEnd"/>
      <w:r w:rsidRPr="00372B66">
        <w:rPr>
          <w:sz w:val="24"/>
          <w:szCs w:val="24"/>
        </w:rPr>
        <w:t xml:space="preserve">, </w:t>
      </w:r>
      <w:proofErr w:type="spellStart"/>
      <w:r w:rsidRPr="00372B66">
        <w:rPr>
          <w:sz w:val="24"/>
          <w:szCs w:val="24"/>
        </w:rPr>
        <w:t>acetazolamid</w:t>
      </w:r>
      <w:proofErr w:type="spellEnd"/>
      <w:r w:rsidRPr="00372B66">
        <w:rPr>
          <w:sz w:val="24"/>
          <w:szCs w:val="24"/>
        </w:rPr>
        <w:t>) efter filtreringsprocedurer.</w:t>
      </w:r>
    </w:p>
    <w:p w14:paraId="0D3B2BE7" w14:textId="77777777" w:rsidR="00F4025A" w:rsidRPr="00372B66" w:rsidRDefault="00F4025A" w:rsidP="008D55AB">
      <w:pPr>
        <w:ind w:left="851"/>
        <w:rPr>
          <w:sz w:val="24"/>
          <w:szCs w:val="24"/>
        </w:rPr>
      </w:pPr>
    </w:p>
    <w:p w14:paraId="320FF09F" w14:textId="77777777" w:rsidR="00F4025A" w:rsidRPr="00733D19" w:rsidRDefault="00F4025A" w:rsidP="008D55AB">
      <w:pPr>
        <w:ind w:left="851"/>
        <w:rPr>
          <w:sz w:val="24"/>
          <w:szCs w:val="24"/>
          <w:u w:val="single"/>
        </w:rPr>
      </w:pPr>
      <w:r w:rsidRPr="00733D19">
        <w:rPr>
          <w:sz w:val="24"/>
          <w:szCs w:val="24"/>
          <w:u w:val="single"/>
        </w:rPr>
        <w:t>Kirurgisk anæstesi</w:t>
      </w:r>
    </w:p>
    <w:p w14:paraId="288EC3FA" w14:textId="77777777" w:rsidR="00F4025A" w:rsidRPr="00372B66" w:rsidRDefault="00F4025A" w:rsidP="008D55AB">
      <w:pPr>
        <w:ind w:left="851"/>
        <w:rPr>
          <w:sz w:val="24"/>
          <w:szCs w:val="24"/>
        </w:rPr>
      </w:pPr>
    </w:p>
    <w:p w14:paraId="08011ADA" w14:textId="77777777" w:rsidR="00F4025A" w:rsidRPr="00372B66" w:rsidRDefault="00F4025A" w:rsidP="008D55AB">
      <w:pPr>
        <w:ind w:left="851"/>
        <w:rPr>
          <w:sz w:val="24"/>
          <w:szCs w:val="24"/>
        </w:rPr>
      </w:pPr>
      <w:r w:rsidRPr="00372B66">
        <w:rPr>
          <w:sz w:val="24"/>
          <w:szCs w:val="24"/>
        </w:rPr>
        <w:t>Betablokerende oftalmologiske præparater kan blokere systemiske beta-</w:t>
      </w:r>
      <w:proofErr w:type="spellStart"/>
      <w:r w:rsidRPr="00372B66">
        <w:rPr>
          <w:sz w:val="24"/>
          <w:szCs w:val="24"/>
        </w:rPr>
        <w:t>agonistiske</w:t>
      </w:r>
      <w:proofErr w:type="spellEnd"/>
      <w:r w:rsidRPr="00372B66">
        <w:rPr>
          <w:sz w:val="24"/>
          <w:szCs w:val="24"/>
        </w:rPr>
        <w:t xml:space="preserve"> virkninger, f.eks. af adrenalin. Anæstesilægen skal informeres, hvis patienten får </w:t>
      </w:r>
      <w:proofErr w:type="spellStart"/>
      <w:r w:rsidRPr="00372B66">
        <w:rPr>
          <w:sz w:val="24"/>
          <w:szCs w:val="24"/>
        </w:rPr>
        <w:t>timolol</w:t>
      </w:r>
      <w:proofErr w:type="spellEnd"/>
      <w:r w:rsidRPr="00372B66">
        <w:rPr>
          <w:sz w:val="24"/>
          <w:szCs w:val="24"/>
        </w:rPr>
        <w:t>.</w:t>
      </w:r>
    </w:p>
    <w:p w14:paraId="2D6FC62F" w14:textId="77777777" w:rsidR="00F4025A" w:rsidRPr="00372B66" w:rsidRDefault="00F4025A" w:rsidP="008D55AB">
      <w:pPr>
        <w:ind w:left="851"/>
        <w:rPr>
          <w:sz w:val="24"/>
          <w:szCs w:val="24"/>
        </w:rPr>
      </w:pPr>
    </w:p>
    <w:p w14:paraId="3412BA43" w14:textId="77777777" w:rsidR="00F4025A" w:rsidRPr="00733D19" w:rsidRDefault="00F4025A" w:rsidP="008D55AB">
      <w:pPr>
        <w:ind w:left="851"/>
        <w:rPr>
          <w:sz w:val="24"/>
          <w:szCs w:val="24"/>
          <w:u w:val="single"/>
        </w:rPr>
      </w:pPr>
      <w:r w:rsidRPr="00733D19">
        <w:rPr>
          <w:sz w:val="24"/>
          <w:szCs w:val="24"/>
          <w:u w:val="single"/>
        </w:rPr>
        <w:t>Samtidig behandling</w:t>
      </w:r>
    </w:p>
    <w:p w14:paraId="4D80773A" w14:textId="77777777" w:rsidR="00F4025A" w:rsidRPr="00372B66" w:rsidRDefault="00F4025A" w:rsidP="008D55AB">
      <w:pPr>
        <w:ind w:left="851"/>
        <w:rPr>
          <w:sz w:val="24"/>
          <w:szCs w:val="24"/>
        </w:rPr>
      </w:pPr>
    </w:p>
    <w:p w14:paraId="546AD292" w14:textId="77777777" w:rsidR="00F4025A" w:rsidRPr="00372B66" w:rsidRDefault="00F4025A" w:rsidP="008D55AB">
      <w:pPr>
        <w:ind w:left="851"/>
        <w:rPr>
          <w:sz w:val="24"/>
          <w:szCs w:val="24"/>
        </w:rPr>
      </w:pPr>
      <w:proofErr w:type="spellStart"/>
      <w:r w:rsidRPr="00372B66">
        <w:rPr>
          <w:sz w:val="24"/>
          <w:szCs w:val="24"/>
        </w:rPr>
        <w:t>Timolol</w:t>
      </w:r>
      <w:proofErr w:type="spellEnd"/>
      <w:r w:rsidRPr="00372B66">
        <w:rPr>
          <w:sz w:val="24"/>
          <w:szCs w:val="24"/>
        </w:rPr>
        <w:t xml:space="preserve"> kan interagere med andre lægemidler (se pkt. 4.5). </w:t>
      </w:r>
    </w:p>
    <w:p w14:paraId="16556804" w14:textId="77777777" w:rsidR="00733D19" w:rsidRDefault="00733D19" w:rsidP="008D55AB">
      <w:pPr>
        <w:ind w:left="851"/>
        <w:rPr>
          <w:sz w:val="24"/>
          <w:szCs w:val="24"/>
        </w:rPr>
      </w:pPr>
    </w:p>
    <w:p w14:paraId="211D1776" w14:textId="01B1A00B" w:rsidR="00F4025A" w:rsidRPr="00733D19" w:rsidRDefault="00F4025A" w:rsidP="008D55AB">
      <w:pPr>
        <w:ind w:left="851"/>
        <w:rPr>
          <w:sz w:val="24"/>
          <w:szCs w:val="24"/>
          <w:u w:val="single"/>
        </w:rPr>
      </w:pPr>
      <w:r w:rsidRPr="00733D19">
        <w:rPr>
          <w:sz w:val="24"/>
          <w:szCs w:val="24"/>
          <w:u w:val="single"/>
        </w:rPr>
        <w:t xml:space="preserve">Andre </w:t>
      </w:r>
      <w:proofErr w:type="spellStart"/>
      <w:r w:rsidRPr="00733D19">
        <w:rPr>
          <w:sz w:val="24"/>
          <w:szCs w:val="24"/>
          <w:u w:val="single"/>
        </w:rPr>
        <w:t>prostaglandinanaloger</w:t>
      </w:r>
      <w:proofErr w:type="spellEnd"/>
    </w:p>
    <w:p w14:paraId="19CFF85C" w14:textId="77777777" w:rsidR="00733D19" w:rsidRDefault="00733D19" w:rsidP="008D55AB">
      <w:pPr>
        <w:ind w:left="851"/>
        <w:rPr>
          <w:sz w:val="24"/>
          <w:szCs w:val="24"/>
        </w:rPr>
      </w:pPr>
    </w:p>
    <w:p w14:paraId="7419DD56" w14:textId="28FC1C42" w:rsidR="00F4025A" w:rsidRPr="00372B66" w:rsidRDefault="00F4025A" w:rsidP="008D55AB">
      <w:pPr>
        <w:ind w:left="851"/>
        <w:rPr>
          <w:sz w:val="24"/>
          <w:szCs w:val="24"/>
        </w:rPr>
      </w:pPr>
      <w:r w:rsidRPr="00372B66">
        <w:rPr>
          <w:sz w:val="24"/>
          <w:szCs w:val="24"/>
        </w:rPr>
        <w:t xml:space="preserve">Samtidig brug af to eller flere </w:t>
      </w:r>
      <w:proofErr w:type="spellStart"/>
      <w:r w:rsidRPr="00372B66">
        <w:rPr>
          <w:sz w:val="24"/>
          <w:szCs w:val="24"/>
        </w:rPr>
        <w:t>prostaglandiner</w:t>
      </w:r>
      <w:proofErr w:type="spellEnd"/>
      <w:r w:rsidRPr="00372B66">
        <w:rPr>
          <w:sz w:val="24"/>
          <w:szCs w:val="24"/>
        </w:rPr>
        <w:t xml:space="preserve">, </w:t>
      </w:r>
      <w:proofErr w:type="spellStart"/>
      <w:r w:rsidRPr="00372B66">
        <w:rPr>
          <w:sz w:val="24"/>
          <w:szCs w:val="24"/>
        </w:rPr>
        <w:t>prostaglandinanaloger</w:t>
      </w:r>
      <w:proofErr w:type="spellEnd"/>
      <w:r w:rsidRPr="00372B66">
        <w:rPr>
          <w:sz w:val="24"/>
          <w:szCs w:val="24"/>
        </w:rPr>
        <w:t xml:space="preserve"> eller </w:t>
      </w:r>
      <w:proofErr w:type="spellStart"/>
      <w:r w:rsidRPr="00372B66">
        <w:rPr>
          <w:sz w:val="24"/>
          <w:szCs w:val="24"/>
        </w:rPr>
        <w:t>prostaglandin</w:t>
      </w:r>
      <w:r w:rsidR="007B2111">
        <w:rPr>
          <w:sz w:val="24"/>
          <w:szCs w:val="24"/>
        </w:rPr>
        <w:softHyphen/>
      </w:r>
      <w:r w:rsidRPr="00372B66">
        <w:rPr>
          <w:sz w:val="24"/>
          <w:szCs w:val="24"/>
        </w:rPr>
        <w:t>derivater</w:t>
      </w:r>
      <w:proofErr w:type="spellEnd"/>
      <w:r w:rsidRPr="00372B66">
        <w:rPr>
          <w:sz w:val="24"/>
          <w:szCs w:val="24"/>
        </w:rPr>
        <w:t xml:space="preserve"> anbefales ikke (se pkt. 4.5).</w:t>
      </w:r>
    </w:p>
    <w:p w14:paraId="1F4D136C" w14:textId="77777777" w:rsidR="00F4025A" w:rsidRPr="00372B66" w:rsidRDefault="00F4025A" w:rsidP="008D55AB">
      <w:pPr>
        <w:ind w:left="851"/>
        <w:rPr>
          <w:sz w:val="24"/>
          <w:szCs w:val="24"/>
        </w:rPr>
      </w:pPr>
    </w:p>
    <w:p w14:paraId="6AEECE5A" w14:textId="77777777" w:rsidR="00F4025A" w:rsidRPr="00733D19" w:rsidRDefault="00F4025A" w:rsidP="008D55AB">
      <w:pPr>
        <w:ind w:left="851"/>
        <w:rPr>
          <w:sz w:val="24"/>
          <w:szCs w:val="24"/>
          <w:u w:val="single"/>
        </w:rPr>
      </w:pPr>
      <w:r w:rsidRPr="00733D19">
        <w:rPr>
          <w:sz w:val="24"/>
          <w:szCs w:val="24"/>
          <w:u w:val="single"/>
        </w:rPr>
        <w:t>Ændringer i irispigmentering</w:t>
      </w:r>
    </w:p>
    <w:p w14:paraId="666F54C5" w14:textId="77777777" w:rsidR="00F4025A" w:rsidRPr="00372B66" w:rsidRDefault="00F4025A" w:rsidP="008D55AB">
      <w:pPr>
        <w:ind w:left="851"/>
        <w:rPr>
          <w:sz w:val="24"/>
          <w:szCs w:val="24"/>
        </w:rPr>
      </w:pPr>
    </w:p>
    <w:p w14:paraId="5813EFFE" w14:textId="77777777" w:rsidR="00F4025A" w:rsidRPr="00372B66" w:rsidRDefault="00F4025A" w:rsidP="008D55AB">
      <w:pPr>
        <w:ind w:left="851"/>
        <w:rPr>
          <w:sz w:val="24"/>
          <w:szCs w:val="24"/>
        </w:rPr>
      </w:pPr>
      <w:proofErr w:type="spellStart"/>
      <w:r w:rsidRPr="00372B66">
        <w:rPr>
          <w:sz w:val="24"/>
          <w:szCs w:val="24"/>
        </w:rPr>
        <w:t>Latanoprost</w:t>
      </w:r>
      <w:proofErr w:type="spellEnd"/>
      <w:r w:rsidRPr="00372B66">
        <w:rPr>
          <w:sz w:val="24"/>
          <w:szCs w:val="24"/>
        </w:rPr>
        <w:t xml:space="preserve"> kan gradvist ændre øjenfarven ved at øge mængden af brunt pigment i iris. På samme måde som med </w:t>
      </w:r>
      <w:proofErr w:type="spellStart"/>
      <w:r w:rsidRPr="00372B66">
        <w:rPr>
          <w:sz w:val="24"/>
          <w:szCs w:val="24"/>
        </w:rPr>
        <w:t>latanoprost</w:t>
      </w:r>
      <w:proofErr w:type="spellEnd"/>
      <w:r w:rsidRPr="00372B66">
        <w:rPr>
          <w:sz w:val="24"/>
          <w:szCs w:val="24"/>
        </w:rPr>
        <w:t xml:space="preserve">-øjendråber blev der observeret øget irispigmentering hos 16-20 % af alle patienter, der blev behandlet med </w:t>
      </w:r>
      <w:proofErr w:type="spellStart"/>
      <w:r w:rsidRPr="00372B66">
        <w:rPr>
          <w:sz w:val="24"/>
          <w:szCs w:val="24"/>
        </w:rPr>
        <w:t>latanoprost+timolol</w:t>
      </w:r>
      <w:proofErr w:type="spellEnd"/>
      <w:r w:rsidRPr="00372B66">
        <w:rPr>
          <w:sz w:val="24"/>
          <w:szCs w:val="24"/>
        </w:rPr>
        <w:t xml:space="preserve"> i op til et år (baseret på fotografier). Denne virkning ses hovedsageligt hos patienter med blandede irisfarver, dvs. grønbrun, gulbrun eller blå/gråbrun, og skyldes øget melaninindhold i iris' </w:t>
      </w:r>
      <w:proofErr w:type="spellStart"/>
      <w:r w:rsidRPr="00372B66">
        <w:rPr>
          <w:sz w:val="24"/>
          <w:szCs w:val="24"/>
        </w:rPr>
        <w:t>stromale</w:t>
      </w:r>
      <w:proofErr w:type="spellEnd"/>
      <w:r w:rsidRPr="00372B66">
        <w:rPr>
          <w:sz w:val="24"/>
          <w:szCs w:val="24"/>
        </w:rPr>
        <w:t xml:space="preserve"> melanocytter. Typisk spreder den brune pigmentering omkring pupillen sig koncentrisk mod periferien i de berørte øjne, men hele iris eller dele af den kan blive mere brunlig. Hos patienter med ensartet blå, grå, grønne eller brune øjne er ændringen kun sjældent set i løbet af to års behandling i kliniske forsøg med </w:t>
      </w:r>
      <w:proofErr w:type="spellStart"/>
      <w:r w:rsidRPr="00372B66">
        <w:rPr>
          <w:sz w:val="24"/>
          <w:szCs w:val="24"/>
        </w:rPr>
        <w:t>latanoprost</w:t>
      </w:r>
      <w:proofErr w:type="spellEnd"/>
      <w:r w:rsidRPr="00372B66">
        <w:rPr>
          <w:sz w:val="24"/>
          <w:szCs w:val="24"/>
        </w:rPr>
        <w:t>.</w:t>
      </w:r>
    </w:p>
    <w:p w14:paraId="0FEAC8BB" w14:textId="77777777" w:rsidR="00F4025A" w:rsidRPr="00372B66" w:rsidRDefault="00F4025A" w:rsidP="008D55AB">
      <w:pPr>
        <w:ind w:left="851"/>
        <w:rPr>
          <w:sz w:val="24"/>
          <w:szCs w:val="24"/>
        </w:rPr>
      </w:pPr>
    </w:p>
    <w:p w14:paraId="3D235F29" w14:textId="77777777" w:rsidR="00F4025A" w:rsidRPr="00372B66" w:rsidRDefault="00F4025A" w:rsidP="008D55AB">
      <w:pPr>
        <w:ind w:left="851"/>
        <w:rPr>
          <w:sz w:val="24"/>
          <w:szCs w:val="24"/>
        </w:rPr>
      </w:pPr>
      <w:r w:rsidRPr="00372B66">
        <w:rPr>
          <w:sz w:val="24"/>
          <w:szCs w:val="24"/>
        </w:rPr>
        <w:t>Ændringen i irisfarven sker langsomt og bemærkes muligvis ikke i flere måneder eller år, og den har ikke været forbundet med symptomer eller patologiske ændringer.</w:t>
      </w:r>
    </w:p>
    <w:p w14:paraId="11068EB3" w14:textId="77777777" w:rsidR="00F4025A" w:rsidRPr="00372B66" w:rsidRDefault="00F4025A" w:rsidP="008D55AB">
      <w:pPr>
        <w:ind w:left="851"/>
        <w:rPr>
          <w:sz w:val="24"/>
          <w:szCs w:val="24"/>
        </w:rPr>
      </w:pPr>
    </w:p>
    <w:p w14:paraId="439D2498" w14:textId="77777777" w:rsidR="00F4025A" w:rsidRPr="00372B66" w:rsidRDefault="00F4025A" w:rsidP="008D55AB">
      <w:pPr>
        <w:ind w:left="851"/>
        <w:rPr>
          <w:sz w:val="24"/>
          <w:szCs w:val="24"/>
        </w:rPr>
      </w:pPr>
      <w:r w:rsidRPr="00372B66">
        <w:rPr>
          <w:sz w:val="24"/>
          <w:szCs w:val="24"/>
        </w:rPr>
        <w:t xml:space="preserve">Der er ikke observeret yderligere stigning af brunt pigment i iris efter </w:t>
      </w:r>
      <w:proofErr w:type="spellStart"/>
      <w:r w:rsidRPr="00372B66">
        <w:rPr>
          <w:sz w:val="24"/>
          <w:szCs w:val="24"/>
        </w:rPr>
        <w:t>seponering</w:t>
      </w:r>
      <w:proofErr w:type="spellEnd"/>
      <w:r w:rsidRPr="00372B66">
        <w:rPr>
          <w:sz w:val="24"/>
          <w:szCs w:val="24"/>
        </w:rPr>
        <w:t xml:space="preserve"> af behandlingen, men den resulterende farveændring kan være permanent.</w:t>
      </w:r>
    </w:p>
    <w:p w14:paraId="7E91C490" w14:textId="77777777" w:rsidR="00F4025A" w:rsidRPr="00372B66" w:rsidRDefault="00F4025A" w:rsidP="008D55AB">
      <w:pPr>
        <w:ind w:left="851"/>
        <w:rPr>
          <w:sz w:val="24"/>
          <w:szCs w:val="24"/>
        </w:rPr>
      </w:pPr>
    </w:p>
    <w:p w14:paraId="392ED75A" w14:textId="77777777" w:rsidR="00F4025A" w:rsidRPr="00372B66" w:rsidRDefault="00F4025A" w:rsidP="008D55AB">
      <w:pPr>
        <w:ind w:left="851"/>
        <w:rPr>
          <w:sz w:val="24"/>
          <w:szCs w:val="24"/>
        </w:rPr>
      </w:pPr>
      <w:r w:rsidRPr="00372B66">
        <w:rPr>
          <w:sz w:val="24"/>
          <w:szCs w:val="24"/>
        </w:rPr>
        <w:lastRenderedPageBreak/>
        <w:t xml:space="preserve">Hverken </w:t>
      </w:r>
      <w:proofErr w:type="spellStart"/>
      <w:r w:rsidRPr="00372B66">
        <w:rPr>
          <w:sz w:val="24"/>
          <w:szCs w:val="24"/>
        </w:rPr>
        <w:t>naevi</w:t>
      </w:r>
      <w:proofErr w:type="spellEnd"/>
      <w:r w:rsidRPr="00372B66">
        <w:rPr>
          <w:sz w:val="24"/>
          <w:szCs w:val="24"/>
        </w:rPr>
        <w:t xml:space="preserve"> eller pletter i iris er blevet påvirket af behandlingen.</w:t>
      </w:r>
    </w:p>
    <w:p w14:paraId="55086818" w14:textId="77777777" w:rsidR="00F4025A" w:rsidRPr="00372B66" w:rsidRDefault="00F4025A" w:rsidP="008D55AB">
      <w:pPr>
        <w:ind w:left="851"/>
        <w:rPr>
          <w:sz w:val="24"/>
          <w:szCs w:val="24"/>
        </w:rPr>
      </w:pPr>
    </w:p>
    <w:p w14:paraId="3E8E36BD" w14:textId="77777777" w:rsidR="00F4025A" w:rsidRPr="00372B66" w:rsidRDefault="00F4025A" w:rsidP="008D55AB">
      <w:pPr>
        <w:ind w:left="851"/>
        <w:rPr>
          <w:sz w:val="24"/>
          <w:szCs w:val="24"/>
        </w:rPr>
      </w:pPr>
      <w:r w:rsidRPr="00372B66">
        <w:rPr>
          <w:sz w:val="24"/>
          <w:szCs w:val="24"/>
        </w:rPr>
        <w:t xml:space="preserve">Der er ikke observeret ophobning af pigment i </w:t>
      </w:r>
      <w:proofErr w:type="spellStart"/>
      <w:r w:rsidRPr="00372B66">
        <w:rPr>
          <w:sz w:val="24"/>
          <w:szCs w:val="24"/>
        </w:rPr>
        <w:t>trabekelværket</w:t>
      </w:r>
      <w:proofErr w:type="spellEnd"/>
      <w:r w:rsidRPr="00372B66">
        <w:rPr>
          <w:sz w:val="24"/>
          <w:szCs w:val="24"/>
        </w:rPr>
        <w:t xml:space="preserve"> eller andre steder i forkammeret, men patienterne bør undersøges regelmæssigt, og afhængigt af den kliniske situation kan behandlingen afbrydes, hvis der opstår øget irispigmentering.</w:t>
      </w:r>
    </w:p>
    <w:p w14:paraId="70D6B837" w14:textId="77777777" w:rsidR="00F4025A" w:rsidRPr="00372B66" w:rsidRDefault="00F4025A" w:rsidP="008D55AB">
      <w:pPr>
        <w:ind w:left="851"/>
        <w:rPr>
          <w:sz w:val="24"/>
          <w:szCs w:val="24"/>
        </w:rPr>
      </w:pPr>
    </w:p>
    <w:p w14:paraId="786601B9" w14:textId="77777777" w:rsidR="00F4025A" w:rsidRPr="00372B66" w:rsidRDefault="00F4025A" w:rsidP="008D55AB">
      <w:pPr>
        <w:ind w:left="851"/>
        <w:rPr>
          <w:sz w:val="24"/>
          <w:szCs w:val="24"/>
        </w:rPr>
      </w:pPr>
      <w:r w:rsidRPr="00372B66">
        <w:rPr>
          <w:sz w:val="24"/>
          <w:szCs w:val="24"/>
        </w:rPr>
        <w:t xml:space="preserve">Inden behandlingen påbegyndes, skal patienterne informeres om muligheden for ændring i øjenfarve. Ensidig behandling kan resultere i permanent </w:t>
      </w:r>
      <w:proofErr w:type="spellStart"/>
      <w:r w:rsidRPr="00372B66">
        <w:rPr>
          <w:sz w:val="24"/>
          <w:szCs w:val="24"/>
        </w:rPr>
        <w:t>heterokromi</w:t>
      </w:r>
      <w:proofErr w:type="spellEnd"/>
      <w:r w:rsidRPr="00372B66">
        <w:rPr>
          <w:sz w:val="24"/>
          <w:szCs w:val="24"/>
        </w:rPr>
        <w:t>.</w:t>
      </w:r>
    </w:p>
    <w:p w14:paraId="7C5D1E33" w14:textId="77777777" w:rsidR="00F4025A" w:rsidRPr="00372B66" w:rsidRDefault="00F4025A" w:rsidP="008D55AB">
      <w:pPr>
        <w:ind w:left="851"/>
        <w:rPr>
          <w:sz w:val="24"/>
          <w:szCs w:val="24"/>
        </w:rPr>
      </w:pPr>
    </w:p>
    <w:p w14:paraId="1B5C7E72" w14:textId="77777777" w:rsidR="00F4025A" w:rsidRPr="00733D19" w:rsidRDefault="00F4025A" w:rsidP="008D55AB">
      <w:pPr>
        <w:ind w:left="851"/>
        <w:rPr>
          <w:sz w:val="24"/>
          <w:szCs w:val="24"/>
          <w:u w:val="single"/>
        </w:rPr>
      </w:pPr>
      <w:r w:rsidRPr="00733D19">
        <w:rPr>
          <w:sz w:val="24"/>
          <w:szCs w:val="24"/>
          <w:u w:val="single"/>
        </w:rPr>
        <w:t>Ændringer i øjenlåg og øjenvipper</w:t>
      </w:r>
    </w:p>
    <w:p w14:paraId="466B8EE4" w14:textId="77777777" w:rsidR="00F4025A" w:rsidRPr="00372B66" w:rsidRDefault="00F4025A" w:rsidP="008D55AB">
      <w:pPr>
        <w:ind w:left="851"/>
        <w:rPr>
          <w:sz w:val="24"/>
          <w:szCs w:val="24"/>
        </w:rPr>
      </w:pPr>
    </w:p>
    <w:p w14:paraId="27559280" w14:textId="77777777" w:rsidR="00F4025A" w:rsidRPr="00372B66" w:rsidRDefault="00F4025A" w:rsidP="008D55AB">
      <w:pPr>
        <w:ind w:left="851"/>
        <w:rPr>
          <w:sz w:val="24"/>
          <w:szCs w:val="24"/>
        </w:rPr>
      </w:pPr>
      <w:r w:rsidRPr="00372B66">
        <w:rPr>
          <w:sz w:val="24"/>
          <w:szCs w:val="24"/>
        </w:rPr>
        <w:t xml:space="preserve">Der er rapporteret om mørkfarvning af øjenlågshuden, som kan være reversibel, i forbindelse med brug af </w:t>
      </w:r>
      <w:proofErr w:type="spellStart"/>
      <w:r w:rsidRPr="00372B66">
        <w:rPr>
          <w:sz w:val="24"/>
          <w:szCs w:val="24"/>
        </w:rPr>
        <w:t>latanoprost</w:t>
      </w:r>
      <w:proofErr w:type="spellEnd"/>
      <w:r w:rsidRPr="00372B66">
        <w:rPr>
          <w:sz w:val="24"/>
          <w:szCs w:val="24"/>
        </w:rPr>
        <w:t>.</w:t>
      </w:r>
    </w:p>
    <w:p w14:paraId="18E211E4" w14:textId="77777777" w:rsidR="00F4025A" w:rsidRPr="00372B66" w:rsidRDefault="00F4025A" w:rsidP="008D55AB">
      <w:pPr>
        <w:ind w:left="851"/>
        <w:rPr>
          <w:sz w:val="24"/>
          <w:szCs w:val="24"/>
        </w:rPr>
      </w:pPr>
    </w:p>
    <w:p w14:paraId="33D5260E" w14:textId="77777777" w:rsidR="00F4025A" w:rsidRPr="00372B66" w:rsidRDefault="00F4025A" w:rsidP="008D55AB">
      <w:pPr>
        <w:ind w:left="851"/>
        <w:rPr>
          <w:sz w:val="24"/>
          <w:szCs w:val="24"/>
        </w:rPr>
      </w:pPr>
      <w:proofErr w:type="spellStart"/>
      <w:r w:rsidRPr="00372B66">
        <w:rPr>
          <w:sz w:val="24"/>
          <w:szCs w:val="24"/>
        </w:rPr>
        <w:t>Latanoprost</w:t>
      </w:r>
      <w:proofErr w:type="spellEnd"/>
      <w:r w:rsidRPr="00372B66">
        <w:rPr>
          <w:sz w:val="24"/>
          <w:szCs w:val="24"/>
        </w:rPr>
        <w:t xml:space="preserve"> kan gradvist ændre øjenvipper og vellushår i det behandlede øje; disse ændringer omfatter øget længde, tykkelse, pigmentering og antal vipper eller hår samt forkert vækstretning af øjenvipper. Ændringer i øjenvipper er reversible efter </w:t>
      </w:r>
      <w:proofErr w:type="spellStart"/>
      <w:r w:rsidRPr="00372B66">
        <w:rPr>
          <w:sz w:val="24"/>
          <w:szCs w:val="24"/>
        </w:rPr>
        <w:t>seponering</w:t>
      </w:r>
      <w:proofErr w:type="spellEnd"/>
      <w:r w:rsidRPr="00372B66">
        <w:rPr>
          <w:sz w:val="24"/>
          <w:szCs w:val="24"/>
        </w:rPr>
        <w:t xml:space="preserve"> af behandlingen.</w:t>
      </w:r>
    </w:p>
    <w:p w14:paraId="1321B2D7" w14:textId="77777777" w:rsidR="00F4025A" w:rsidRPr="00372B66" w:rsidRDefault="00F4025A" w:rsidP="008D55AB">
      <w:pPr>
        <w:ind w:left="851"/>
        <w:rPr>
          <w:sz w:val="24"/>
          <w:szCs w:val="24"/>
        </w:rPr>
      </w:pPr>
    </w:p>
    <w:p w14:paraId="0ED6AE16" w14:textId="77777777" w:rsidR="00F4025A" w:rsidRPr="00733D19" w:rsidRDefault="00F4025A" w:rsidP="008D55AB">
      <w:pPr>
        <w:ind w:left="851"/>
        <w:rPr>
          <w:sz w:val="24"/>
          <w:szCs w:val="24"/>
          <w:u w:val="single"/>
        </w:rPr>
      </w:pPr>
      <w:proofErr w:type="spellStart"/>
      <w:r w:rsidRPr="00733D19">
        <w:rPr>
          <w:sz w:val="24"/>
          <w:szCs w:val="24"/>
          <w:u w:val="single"/>
        </w:rPr>
        <w:t>Glaukom</w:t>
      </w:r>
      <w:proofErr w:type="spellEnd"/>
    </w:p>
    <w:p w14:paraId="5CE13C82" w14:textId="77777777" w:rsidR="00F4025A" w:rsidRPr="00372B66" w:rsidRDefault="00F4025A" w:rsidP="008D55AB">
      <w:pPr>
        <w:ind w:left="851"/>
        <w:rPr>
          <w:sz w:val="24"/>
          <w:szCs w:val="24"/>
        </w:rPr>
      </w:pPr>
    </w:p>
    <w:p w14:paraId="47DB421C" w14:textId="77777777" w:rsidR="00F4025A" w:rsidRPr="00372B66" w:rsidRDefault="00F4025A" w:rsidP="008D55AB">
      <w:pPr>
        <w:ind w:left="851"/>
        <w:rPr>
          <w:sz w:val="24"/>
          <w:szCs w:val="24"/>
        </w:rPr>
      </w:pPr>
      <w:r w:rsidRPr="00372B66">
        <w:rPr>
          <w:sz w:val="24"/>
          <w:szCs w:val="24"/>
        </w:rPr>
        <w:t xml:space="preserve">Der er ingen dokumenteret erfaring med </w:t>
      </w:r>
      <w:proofErr w:type="spellStart"/>
      <w:r w:rsidRPr="00372B66">
        <w:rPr>
          <w:sz w:val="24"/>
          <w:szCs w:val="24"/>
        </w:rPr>
        <w:t>latanoprost</w:t>
      </w:r>
      <w:proofErr w:type="spellEnd"/>
      <w:r w:rsidRPr="00372B66">
        <w:rPr>
          <w:sz w:val="24"/>
          <w:szCs w:val="24"/>
        </w:rPr>
        <w:t xml:space="preserve"> ved inflammatorisk, </w:t>
      </w:r>
      <w:proofErr w:type="spellStart"/>
      <w:r w:rsidRPr="00372B66">
        <w:rPr>
          <w:sz w:val="24"/>
          <w:szCs w:val="24"/>
        </w:rPr>
        <w:t>neovaskulært</w:t>
      </w:r>
      <w:proofErr w:type="spellEnd"/>
      <w:r w:rsidRPr="00372B66">
        <w:rPr>
          <w:sz w:val="24"/>
          <w:szCs w:val="24"/>
        </w:rPr>
        <w:t xml:space="preserve"> eller kronisk snævervinklet </w:t>
      </w:r>
      <w:proofErr w:type="spellStart"/>
      <w:r w:rsidRPr="00372B66">
        <w:rPr>
          <w:sz w:val="24"/>
          <w:szCs w:val="24"/>
        </w:rPr>
        <w:t>glaukom</w:t>
      </w:r>
      <w:proofErr w:type="spellEnd"/>
      <w:r w:rsidRPr="00372B66">
        <w:rPr>
          <w:sz w:val="24"/>
          <w:szCs w:val="24"/>
        </w:rPr>
        <w:t xml:space="preserve">, ved åbenvinklet </w:t>
      </w:r>
      <w:proofErr w:type="spellStart"/>
      <w:r w:rsidRPr="00372B66">
        <w:rPr>
          <w:sz w:val="24"/>
          <w:szCs w:val="24"/>
        </w:rPr>
        <w:t>glaukom</w:t>
      </w:r>
      <w:proofErr w:type="spellEnd"/>
      <w:r w:rsidRPr="00372B66">
        <w:rPr>
          <w:sz w:val="24"/>
          <w:szCs w:val="24"/>
        </w:rPr>
        <w:t xml:space="preserve"> hos </w:t>
      </w:r>
      <w:proofErr w:type="spellStart"/>
      <w:r w:rsidRPr="00372B66">
        <w:rPr>
          <w:sz w:val="24"/>
          <w:szCs w:val="24"/>
        </w:rPr>
        <w:t>pseudofakiske</w:t>
      </w:r>
      <w:proofErr w:type="spellEnd"/>
      <w:r w:rsidRPr="00372B66">
        <w:rPr>
          <w:sz w:val="24"/>
          <w:szCs w:val="24"/>
        </w:rPr>
        <w:t xml:space="preserve"> patienter og ved </w:t>
      </w:r>
      <w:proofErr w:type="spellStart"/>
      <w:r w:rsidRPr="00372B66">
        <w:rPr>
          <w:sz w:val="24"/>
          <w:szCs w:val="24"/>
        </w:rPr>
        <w:t>pigmentglaukom</w:t>
      </w:r>
      <w:proofErr w:type="spellEnd"/>
      <w:r w:rsidRPr="00372B66">
        <w:rPr>
          <w:sz w:val="24"/>
          <w:szCs w:val="24"/>
        </w:rPr>
        <w:t xml:space="preserve">. </w:t>
      </w:r>
      <w:proofErr w:type="spellStart"/>
      <w:r w:rsidRPr="00372B66">
        <w:rPr>
          <w:sz w:val="24"/>
          <w:szCs w:val="24"/>
        </w:rPr>
        <w:t>Latanoprost</w:t>
      </w:r>
      <w:proofErr w:type="spellEnd"/>
      <w:r w:rsidRPr="00372B66">
        <w:rPr>
          <w:sz w:val="24"/>
          <w:szCs w:val="24"/>
        </w:rPr>
        <w:t xml:space="preserve"> har ingen eller ringe virkning på pupillen, men der er ingen dokumenteret erfaring med akutte anfald af snævervinklet </w:t>
      </w:r>
      <w:proofErr w:type="spellStart"/>
      <w:r w:rsidRPr="00372B66">
        <w:rPr>
          <w:sz w:val="24"/>
          <w:szCs w:val="24"/>
        </w:rPr>
        <w:t>glaukom</w:t>
      </w:r>
      <w:proofErr w:type="spellEnd"/>
      <w:r w:rsidRPr="00372B66">
        <w:rPr>
          <w:sz w:val="24"/>
          <w:szCs w:val="24"/>
        </w:rPr>
        <w:t xml:space="preserve">. Det anbefales derfor, at </w:t>
      </w:r>
      <w:proofErr w:type="spellStart"/>
      <w:r w:rsidRPr="00372B66">
        <w:rPr>
          <w:sz w:val="24"/>
          <w:szCs w:val="24"/>
        </w:rPr>
        <w:t>latanoprost</w:t>
      </w:r>
      <w:proofErr w:type="spellEnd"/>
      <w:r w:rsidRPr="00372B66">
        <w:rPr>
          <w:sz w:val="24"/>
          <w:szCs w:val="24"/>
        </w:rPr>
        <w:t>/</w:t>
      </w:r>
      <w:proofErr w:type="spellStart"/>
      <w:r w:rsidRPr="00372B66">
        <w:rPr>
          <w:sz w:val="24"/>
          <w:szCs w:val="24"/>
        </w:rPr>
        <w:t>timolol</w:t>
      </w:r>
      <w:proofErr w:type="spellEnd"/>
      <w:r w:rsidRPr="00372B66">
        <w:rPr>
          <w:sz w:val="24"/>
          <w:szCs w:val="24"/>
        </w:rPr>
        <w:t xml:space="preserve"> anvendes med forsigtighed under disse tilstande, indtil der foreligger mere erfaring.</w:t>
      </w:r>
    </w:p>
    <w:p w14:paraId="418401D1" w14:textId="77777777" w:rsidR="00F4025A" w:rsidRPr="00372B66" w:rsidRDefault="00F4025A" w:rsidP="008D55AB">
      <w:pPr>
        <w:ind w:left="851"/>
        <w:rPr>
          <w:sz w:val="24"/>
          <w:szCs w:val="24"/>
        </w:rPr>
      </w:pPr>
    </w:p>
    <w:p w14:paraId="00467A02" w14:textId="77777777" w:rsidR="00F4025A" w:rsidRPr="00733D19" w:rsidRDefault="00F4025A" w:rsidP="008D55AB">
      <w:pPr>
        <w:ind w:left="851"/>
        <w:rPr>
          <w:sz w:val="24"/>
          <w:szCs w:val="24"/>
          <w:u w:val="single"/>
        </w:rPr>
      </w:pPr>
      <w:proofErr w:type="spellStart"/>
      <w:r w:rsidRPr="00733D19">
        <w:rPr>
          <w:sz w:val="24"/>
          <w:szCs w:val="24"/>
          <w:u w:val="single"/>
        </w:rPr>
        <w:t>Herpetisk</w:t>
      </w:r>
      <w:proofErr w:type="spellEnd"/>
      <w:r w:rsidRPr="00733D19">
        <w:rPr>
          <w:sz w:val="24"/>
          <w:szCs w:val="24"/>
          <w:u w:val="single"/>
        </w:rPr>
        <w:t xml:space="preserve"> </w:t>
      </w:r>
      <w:proofErr w:type="spellStart"/>
      <w:r w:rsidRPr="00733D19">
        <w:rPr>
          <w:sz w:val="24"/>
          <w:szCs w:val="24"/>
          <w:u w:val="single"/>
        </w:rPr>
        <w:t>keratitis</w:t>
      </w:r>
      <w:proofErr w:type="spellEnd"/>
    </w:p>
    <w:p w14:paraId="2AC3525B" w14:textId="77777777" w:rsidR="00F4025A" w:rsidRPr="00372B66" w:rsidRDefault="00F4025A" w:rsidP="008D55AB">
      <w:pPr>
        <w:ind w:left="851"/>
        <w:rPr>
          <w:sz w:val="24"/>
          <w:szCs w:val="24"/>
        </w:rPr>
      </w:pPr>
    </w:p>
    <w:p w14:paraId="223B264F" w14:textId="77777777" w:rsidR="00F4025A" w:rsidRPr="00372B66" w:rsidRDefault="00F4025A" w:rsidP="008D55AB">
      <w:pPr>
        <w:ind w:left="851"/>
        <w:rPr>
          <w:sz w:val="24"/>
          <w:szCs w:val="24"/>
        </w:rPr>
      </w:pPr>
      <w:proofErr w:type="spellStart"/>
      <w:r w:rsidRPr="00372B66">
        <w:rPr>
          <w:sz w:val="24"/>
          <w:szCs w:val="24"/>
        </w:rPr>
        <w:t>Latanoprost</w:t>
      </w:r>
      <w:proofErr w:type="spellEnd"/>
      <w:r w:rsidRPr="00372B66">
        <w:rPr>
          <w:sz w:val="24"/>
          <w:szCs w:val="24"/>
        </w:rPr>
        <w:t xml:space="preserve"> skal anvendes med forsigtighed hos patienter med </w:t>
      </w:r>
      <w:proofErr w:type="spellStart"/>
      <w:r w:rsidRPr="00372B66">
        <w:rPr>
          <w:sz w:val="24"/>
          <w:szCs w:val="24"/>
        </w:rPr>
        <w:t>herpetisk</w:t>
      </w:r>
      <w:proofErr w:type="spellEnd"/>
      <w:r w:rsidRPr="00372B66">
        <w:rPr>
          <w:sz w:val="24"/>
          <w:szCs w:val="24"/>
        </w:rPr>
        <w:t xml:space="preserve"> </w:t>
      </w:r>
      <w:proofErr w:type="spellStart"/>
      <w:r w:rsidRPr="00372B66">
        <w:rPr>
          <w:sz w:val="24"/>
          <w:szCs w:val="24"/>
        </w:rPr>
        <w:t>keratitis</w:t>
      </w:r>
      <w:proofErr w:type="spellEnd"/>
      <w:r w:rsidRPr="00372B66">
        <w:rPr>
          <w:sz w:val="24"/>
          <w:szCs w:val="24"/>
        </w:rPr>
        <w:t xml:space="preserve"> i anamnesen og bør undgås i tilfælde af aktiv herpes </w:t>
      </w:r>
      <w:proofErr w:type="spellStart"/>
      <w:r w:rsidRPr="00372B66">
        <w:rPr>
          <w:sz w:val="24"/>
          <w:szCs w:val="24"/>
        </w:rPr>
        <w:t>simplex</w:t>
      </w:r>
      <w:proofErr w:type="spellEnd"/>
      <w:r w:rsidRPr="00372B66">
        <w:rPr>
          <w:sz w:val="24"/>
          <w:szCs w:val="24"/>
        </w:rPr>
        <w:t xml:space="preserve"> </w:t>
      </w:r>
      <w:proofErr w:type="spellStart"/>
      <w:r w:rsidRPr="00372B66">
        <w:rPr>
          <w:sz w:val="24"/>
          <w:szCs w:val="24"/>
        </w:rPr>
        <w:t>keratitis</w:t>
      </w:r>
      <w:proofErr w:type="spellEnd"/>
      <w:r w:rsidRPr="00372B66">
        <w:rPr>
          <w:sz w:val="24"/>
          <w:szCs w:val="24"/>
        </w:rPr>
        <w:t xml:space="preserve"> og hos patienter med tilbagevendende </w:t>
      </w:r>
      <w:proofErr w:type="spellStart"/>
      <w:r w:rsidRPr="00372B66">
        <w:rPr>
          <w:sz w:val="24"/>
          <w:szCs w:val="24"/>
        </w:rPr>
        <w:t>herpetisk</w:t>
      </w:r>
      <w:proofErr w:type="spellEnd"/>
      <w:r w:rsidRPr="00372B66">
        <w:rPr>
          <w:sz w:val="24"/>
          <w:szCs w:val="24"/>
        </w:rPr>
        <w:t xml:space="preserve"> </w:t>
      </w:r>
      <w:proofErr w:type="spellStart"/>
      <w:r w:rsidRPr="00372B66">
        <w:rPr>
          <w:sz w:val="24"/>
          <w:szCs w:val="24"/>
        </w:rPr>
        <w:t>keratitis</w:t>
      </w:r>
      <w:proofErr w:type="spellEnd"/>
      <w:r w:rsidRPr="00372B66">
        <w:rPr>
          <w:sz w:val="24"/>
          <w:szCs w:val="24"/>
        </w:rPr>
        <w:t xml:space="preserve"> i anamnesen, der specifikt er forbundet med </w:t>
      </w:r>
      <w:proofErr w:type="spellStart"/>
      <w:r w:rsidRPr="00372B66">
        <w:rPr>
          <w:sz w:val="24"/>
          <w:szCs w:val="24"/>
        </w:rPr>
        <w:t>prostaglandinanaloger</w:t>
      </w:r>
      <w:proofErr w:type="spellEnd"/>
      <w:r w:rsidRPr="00372B66">
        <w:rPr>
          <w:sz w:val="24"/>
          <w:szCs w:val="24"/>
        </w:rPr>
        <w:t>.</w:t>
      </w:r>
    </w:p>
    <w:p w14:paraId="52395DDE" w14:textId="77777777" w:rsidR="00F4025A" w:rsidRPr="00372B66" w:rsidRDefault="00F4025A" w:rsidP="008D55AB">
      <w:pPr>
        <w:ind w:left="851"/>
        <w:rPr>
          <w:sz w:val="24"/>
          <w:szCs w:val="24"/>
        </w:rPr>
      </w:pPr>
    </w:p>
    <w:p w14:paraId="7DD2FE30" w14:textId="77777777" w:rsidR="00F4025A" w:rsidRPr="00733D19" w:rsidRDefault="00F4025A" w:rsidP="008D55AB">
      <w:pPr>
        <w:ind w:left="851"/>
        <w:rPr>
          <w:sz w:val="24"/>
          <w:szCs w:val="24"/>
          <w:u w:val="single"/>
        </w:rPr>
      </w:pPr>
      <w:proofErr w:type="spellStart"/>
      <w:r w:rsidRPr="00733D19">
        <w:rPr>
          <w:sz w:val="24"/>
          <w:szCs w:val="24"/>
          <w:u w:val="single"/>
        </w:rPr>
        <w:t>Makulært</w:t>
      </w:r>
      <w:proofErr w:type="spellEnd"/>
      <w:r w:rsidRPr="00733D19">
        <w:rPr>
          <w:sz w:val="24"/>
          <w:szCs w:val="24"/>
          <w:u w:val="single"/>
        </w:rPr>
        <w:t xml:space="preserve"> ødem</w:t>
      </w:r>
    </w:p>
    <w:p w14:paraId="226E70E6" w14:textId="77777777" w:rsidR="00F4025A" w:rsidRPr="00372B66" w:rsidRDefault="00F4025A" w:rsidP="008D55AB">
      <w:pPr>
        <w:ind w:left="851"/>
        <w:rPr>
          <w:sz w:val="24"/>
          <w:szCs w:val="24"/>
        </w:rPr>
      </w:pPr>
    </w:p>
    <w:p w14:paraId="01EDEBF8" w14:textId="77777777" w:rsidR="00F4025A" w:rsidRPr="00372B66" w:rsidRDefault="00F4025A" w:rsidP="008D55AB">
      <w:pPr>
        <w:ind w:left="851"/>
        <w:rPr>
          <w:sz w:val="24"/>
          <w:szCs w:val="24"/>
        </w:rPr>
      </w:pPr>
      <w:r w:rsidRPr="00372B66">
        <w:rPr>
          <w:sz w:val="24"/>
          <w:szCs w:val="24"/>
        </w:rPr>
        <w:t xml:space="preserve">Der er rapporteret om </w:t>
      </w:r>
      <w:proofErr w:type="spellStart"/>
      <w:r w:rsidRPr="00372B66">
        <w:rPr>
          <w:sz w:val="24"/>
          <w:szCs w:val="24"/>
        </w:rPr>
        <w:t>makulært</w:t>
      </w:r>
      <w:proofErr w:type="spellEnd"/>
      <w:r w:rsidRPr="00372B66">
        <w:rPr>
          <w:sz w:val="24"/>
          <w:szCs w:val="24"/>
        </w:rPr>
        <w:t xml:space="preserve"> ødem, herunder </w:t>
      </w:r>
      <w:proofErr w:type="spellStart"/>
      <w:r w:rsidRPr="00372B66">
        <w:rPr>
          <w:sz w:val="24"/>
          <w:szCs w:val="24"/>
        </w:rPr>
        <w:t>cystoid</w:t>
      </w:r>
      <w:proofErr w:type="spellEnd"/>
      <w:r w:rsidRPr="00372B66">
        <w:rPr>
          <w:sz w:val="24"/>
          <w:szCs w:val="24"/>
        </w:rPr>
        <w:t xml:space="preserve"> </w:t>
      </w:r>
      <w:proofErr w:type="spellStart"/>
      <w:r w:rsidRPr="00372B66">
        <w:rPr>
          <w:sz w:val="24"/>
          <w:szCs w:val="24"/>
        </w:rPr>
        <w:t>makulært</w:t>
      </w:r>
      <w:proofErr w:type="spellEnd"/>
      <w:r w:rsidRPr="00372B66">
        <w:rPr>
          <w:sz w:val="24"/>
          <w:szCs w:val="24"/>
        </w:rPr>
        <w:t xml:space="preserve"> ødem, under behandling med </w:t>
      </w:r>
      <w:proofErr w:type="spellStart"/>
      <w:r w:rsidRPr="00372B66">
        <w:rPr>
          <w:sz w:val="24"/>
          <w:szCs w:val="24"/>
        </w:rPr>
        <w:t>latanoprost</w:t>
      </w:r>
      <w:proofErr w:type="spellEnd"/>
      <w:r w:rsidRPr="00372B66">
        <w:rPr>
          <w:sz w:val="24"/>
          <w:szCs w:val="24"/>
        </w:rPr>
        <w:t xml:space="preserve">. Disse tilfælde er hovedsageligt indberettet hos </w:t>
      </w:r>
      <w:proofErr w:type="spellStart"/>
      <w:r w:rsidRPr="00372B66">
        <w:rPr>
          <w:sz w:val="24"/>
          <w:szCs w:val="24"/>
        </w:rPr>
        <w:t>afakiske</w:t>
      </w:r>
      <w:proofErr w:type="spellEnd"/>
      <w:r w:rsidRPr="00372B66">
        <w:rPr>
          <w:sz w:val="24"/>
          <w:szCs w:val="24"/>
        </w:rPr>
        <w:t xml:space="preserve"> patienter, hos </w:t>
      </w:r>
      <w:proofErr w:type="spellStart"/>
      <w:r w:rsidRPr="00372B66">
        <w:rPr>
          <w:sz w:val="24"/>
          <w:szCs w:val="24"/>
        </w:rPr>
        <w:t>pseudofakiske</w:t>
      </w:r>
      <w:proofErr w:type="spellEnd"/>
      <w:r w:rsidRPr="00372B66">
        <w:rPr>
          <w:sz w:val="24"/>
          <w:szCs w:val="24"/>
        </w:rPr>
        <w:t xml:space="preserve"> patienter med en rift i den bageste linsekapsel eller hos patienter med kendte risikofaktorer for </w:t>
      </w:r>
      <w:proofErr w:type="spellStart"/>
      <w:r w:rsidRPr="00372B66">
        <w:rPr>
          <w:sz w:val="24"/>
          <w:szCs w:val="24"/>
        </w:rPr>
        <w:t>makulært</w:t>
      </w:r>
      <w:proofErr w:type="spellEnd"/>
      <w:r w:rsidRPr="00372B66">
        <w:rPr>
          <w:sz w:val="24"/>
          <w:szCs w:val="24"/>
        </w:rPr>
        <w:t xml:space="preserve"> ødem. </w:t>
      </w:r>
      <w:proofErr w:type="spellStart"/>
      <w:r w:rsidRPr="00372B66">
        <w:rPr>
          <w:sz w:val="24"/>
          <w:szCs w:val="24"/>
        </w:rPr>
        <w:t>Latanoprost</w:t>
      </w:r>
      <w:proofErr w:type="spellEnd"/>
      <w:r w:rsidRPr="00372B66">
        <w:rPr>
          <w:sz w:val="24"/>
          <w:szCs w:val="24"/>
        </w:rPr>
        <w:t>/</w:t>
      </w:r>
      <w:proofErr w:type="spellStart"/>
      <w:r w:rsidRPr="00372B66">
        <w:rPr>
          <w:sz w:val="24"/>
          <w:szCs w:val="24"/>
        </w:rPr>
        <w:t>timolol</w:t>
      </w:r>
      <w:proofErr w:type="spellEnd"/>
      <w:r w:rsidRPr="00372B66">
        <w:rPr>
          <w:sz w:val="24"/>
          <w:szCs w:val="24"/>
        </w:rPr>
        <w:t xml:space="preserve"> skal anvendes med forsigtighed hos disse patienter.</w:t>
      </w:r>
    </w:p>
    <w:p w14:paraId="39A920F1" w14:textId="77777777" w:rsidR="00733D19" w:rsidRDefault="00733D19" w:rsidP="008D55AB">
      <w:pPr>
        <w:ind w:left="851"/>
        <w:rPr>
          <w:sz w:val="24"/>
          <w:szCs w:val="24"/>
        </w:rPr>
      </w:pPr>
    </w:p>
    <w:p w14:paraId="616BE972" w14:textId="5A779C04" w:rsidR="00F4025A" w:rsidRPr="00733D19" w:rsidRDefault="00F4025A" w:rsidP="008D55AB">
      <w:pPr>
        <w:ind w:left="851"/>
        <w:rPr>
          <w:rFonts w:eastAsiaTheme="minorHAnsi"/>
          <w:sz w:val="24"/>
          <w:szCs w:val="24"/>
          <w:u w:val="single"/>
        </w:rPr>
      </w:pPr>
      <w:r w:rsidRPr="00733D19">
        <w:rPr>
          <w:sz w:val="24"/>
          <w:szCs w:val="24"/>
          <w:u w:val="single"/>
        </w:rPr>
        <w:t>Hjælpestoffer</w:t>
      </w:r>
    </w:p>
    <w:p w14:paraId="03E7A797" w14:textId="77777777" w:rsidR="00F4025A" w:rsidRPr="00372B66" w:rsidRDefault="00F4025A" w:rsidP="008D55AB">
      <w:pPr>
        <w:ind w:left="851"/>
        <w:rPr>
          <w:sz w:val="24"/>
          <w:szCs w:val="24"/>
        </w:rPr>
      </w:pPr>
    </w:p>
    <w:p w14:paraId="6914F1EB" w14:textId="77777777" w:rsidR="00F4025A" w:rsidRPr="00372B66" w:rsidRDefault="00F4025A" w:rsidP="008D55AB">
      <w:pPr>
        <w:ind w:left="851"/>
        <w:rPr>
          <w:noProof/>
          <w:sz w:val="24"/>
          <w:szCs w:val="24"/>
        </w:rPr>
      </w:pPr>
      <w:r w:rsidRPr="00372B66">
        <w:rPr>
          <w:sz w:val="24"/>
          <w:szCs w:val="24"/>
        </w:rPr>
        <w:t xml:space="preserve">Dette lægemiddel indeholder 6,3 mg </w:t>
      </w:r>
      <w:proofErr w:type="spellStart"/>
      <w:r w:rsidRPr="00372B66">
        <w:rPr>
          <w:sz w:val="24"/>
          <w:szCs w:val="24"/>
        </w:rPr>
        <w:t>phosphater</w:t>
      </w:r>
      <w:proofErr w:type="spellEnd"/>
      <w:r w:rsidRPr="00372B66">
        <w:rPr>
          <w:sz w:val="24"/>
          <w:szCs w:val="24"/>
        </w:rPr>
        <w:t xml:space="preserve"> pr. ml, hvilket svarer til 0,205 mg pr. dråbe.</w:t>
      </w:r>
    </w:p>
    <w:p w14:paraId="6391A8B3" w14:textId="6AD4D309" w:rsidR="007B2111" w:rsidRDefault="007B2111">
      <w:pPr>
        <w:rPr>
          <w:spacing w:val="-2"/>
          <w:sz w:val="24"/>
          <w:szCs w:val="24"/>
        </w:rPr>
      </w:pPr>
      <w:r>
        <w:rPr>
          <w:spacing w:val="-2"/>
          <w:sz w:val="24"/>
          <w:szCs w:val="24"/>
        </w:rPr>
        <w:br w:type="page"/>
      </w:r>
    </w:p>
    <w:p w14:paraId="01B0EFEB" w14:textId="77777777" w:rsidR="00F4025A" w:rsidRPr="00372B66" w:rsidRDefault="00F4025A" w:rsidP="008D55AB">
      <w:pPr>
        <w:ind w:left="851"/>
        <w:rPr>
          <w:spacing w:val="-2"/>
          <w:sz w:val="24"/>
          <w:szCs w:val="24"/>
        </w:rPr>
      </w:pPr>
    </w:p>
    <w:p w14:paraId="6601BD2E" w14:textId="77777777" w:rsidR="00F4025A" w:rsidRPr="00733D19" w:rsidRDefault="00F4025A" w:rsidP="008D55AB">
      <w:pPr>
        <w:ind w:left="851"/>
        <w:rPr>
          <w:sz w:val="24"/>
          <w:szCs w:val="24"/>
          <w:u w:val="single"/>
        </w:rPr>
      </w:pPr>
      <w:r w:rsidRPr="00733D19">
        <w:rPr>
          <w:sz w:val="24"/>
          <w:szCs w:val="24"/>
          <w:u w:val="single"/>
        </w:rPr>
        <w:t>Konserveringsmiddel</w:t>
      </w:r>
    </w:p>
    <w:p w14:paraId="6BC38BF6" w14:textId="77777777" w:rsidR="00F4025A" w:rsidRPr="00372B66" w:rsidRDefault="00F4025A" w:rsidP="008D55AB">
      <w:pPr>
        <w:ind w:left="851"/>
        <w:rPr>
          <w:sz w:val="24"/>
          <w:szCs w:val="24"/>
        </w:rPr>
      </w:pPr>
    </w:p>
    <w:p w14:paraId="47DD5F0B" w14:textId="77777777" w:rsidR="00F4025A" w:rsidRPr="00372B66" w:rsidRDefault="00F4025A" w:rsidP="008D55AB">
      <w:pPr>
        <w:ind w:left="851"/>
        <w:rPr>
          <w:sz w:val="24"/>
          <w:szCs w:val="24"/>
        </w:rPr>
      </w:pPr>
      <w:proofErr w:type="spellStart"/>
      <w:r w:rsidRPr="00372B66">
        <w:rPr>
          <w:sz w:val="24"/>
          <w:szCs w:val="24"/>
        </w:rPr>
        <w:t>Dualux</w:t>
      </w:r>
      <w:proofErr w:type="spellEnd"/>
      <w:r w:rsidRPr="00372B66">
        <w:rPr>
          <w:sz w:val="24"/>
          <w:szCs w:val="24"/>
        </w:rPr>
        <w:t xml:space="preserve"> indeholder </w:t>
      </w:r>
      <w:proofErr w:type="spellStart"/>
      <w:r w:rsidRPr="00372B66">
        <w:rPr>
          <w:sz w:val="24"/>
          <w:szCs w:val="24"/>
        </w:rPr>
        <w:t>benzalkoniumchlorid</w:t>
      </w:r>
      <w:proofErr w:type="spellEnd"/>
      <w:r w:rsidRPr="00372B66">
        <w:rPr>
          <w:sz w:val="24"/>
          <w:szCs w:val="24"/>
        </w:rPr>
        <w:t xml:space="preserve">, som er et almindeligt anvendt konserveringsmiddel i øjenprodukter. </w:t>
      </w:r>
      <w:proofErr w:type="spellStart"/>
      <w:r w:rsidRPr="00372B66">
        <w:rPr>
          <w:sz w:val="24"/>
          <w:szCs w:val="24"/>
        </w:rPr>
        <w:t>Benzalkoniumchlorid</w:t>
      </w:r>
      <w:proofErr w:type="spellEnd"/>
      <w:r w:rsidRPr="00372B66">
        <w:rPr>
          <w:sz w:val="24"/>
          <w:szCs w:val="24"/>
        </w:rPr>
        <w:t xml:space="preserve"> har været rapporteret til at forårsage </w:t>
      </w:r>
      <w:proofErr w:type="spellStart"/>
      <w:r w:rsidRPr="00372B66">
        <w:rPr>
          <w:sz w:val="24"/>
          <w:szCs w:val="24"/>
        </w:rPr>
        <w:t>punktatkeratopati</w:t>
      </w:r>
      <w:proofErr w:type="spellEnd"/>
      <w:r w:rsidRPr="00372B66">
        <w:rPr>
          <w:sz w:val="24"/>
          <w:szCs w:val="24"/>
        </w:rPr>
        <w:t xml:space="preserve"> og/eller toksisk ulcerøs </w:t>
      </w:r>
      <w:proofErr w:type="spellStart"/>
      <w:r w:rsidRPr="00372B66">
        <w:rPr>
          <w:sz w:val="24"/>
          <w:szCs w:val="24"/>
        </w:rPr>
        <w:t>keratopati</w:t>
      </w:r>
      <w:proofErr w:type="spellEnd"/>
      <w:r w:rsidRPr="00372B66">
        <w:rPr>
          <w:sz w:val="24"/>
          <w:szCs w:val="24"/>
        </w:rPr>
        <w:t xml:space="preserve"> og kan forårsage øjenirritation. Ved hyppig eller langvarig brug af </w:t>
      </w:r>
      <w:proofErr w:type="spellStart"/>
      <w:r w:rsidRPr="00372B66">
        <w:rPr>
          <w:sz w:val="24"/>
          <w:szCs w:val="24"/>
        </w:rPr>
        <w:t>Dualux</w:t>
      </w:r>
      <w:proofErr w:type="spellEnd"/>
      <w:r w:rsidRPr="00372B66">
        <w:rPr>
          <w:sz w:val="24"/>
          <w:szCs w:val="24"/>
        </w:rPr>
        <w:t xml:space="preserve"> hos patienter med tørre øjne eller i tilstande, hvor hornhinden er beskadiget, er nøje overvågning påkrævet.</w:t>
      </w:r>
    </w:p>
    <w:p w14:paraId="1293FA72" w14:textId="77777777" w:rsidR="00F4025A" w:rsidRPr="00372B66" w:rsidRDefault="00F4025A" w:rsidP="008D55AB">
      <w:pPr>
        <w:ind w:left="851"/>
        <w:rPr>
          <w:sz w:val="24"/>
          <w:szCs w:val="24"/>
        </w:rPr>
      </w:pPr>
    </w:p>
    <w:p w14:paraId="51FBABE6" w14:textId="77777777" w:rsidR="00F4025A" w:rsidRPr="00733D19" w:rsidRDefault="00F4025A" w:rsidP="008D55AB">
      <w:pPr>
        <w:ind w:left="851"/>
        <w:rPr>
          <w:sz w:val="24"/>
          <w:szCs w:val="24"/>
          <w:u w:val="single"/>
        </w:rPr>
      </w:pPr>
      <w:r w:rsidRPr="00733D19">
        <w:rPr>
          <w:sz w:val="24"/>
          <w:szCs w:val="24"/>
          <w:u w:val="single"/>
        </w:rPr>
        <w:t>Brug af kontaktlinser</w:t>
      </w:r>
    </w:p>
    <w:p w14:paraId="3EFE7125" w14:textId="77777777" w:rsidR="00F4025A" w:rsidRPr="00372B66" w:rsidRDefault="00F4025A" w:rsidP="008D55AB">
      <w:pPr>
        <w:ind w:left="851"/>
        <w:rPr>
          <w:sz w:val="24"/>
          <w:szCs w:val="24"/>
        </w:rPr>
      </w:pPr>
    </w:p>
    <w:p w14:paraId="42476312" w14:textId="41BA975B" w:rsidR="00F4025A" w:rsidRPr="00372B66" w:rsidRDefault="00F4025A" w:rsidP="008D55AB">
      <w:pPr>
        <w:ind w:left="851"/>
        <w:rPr>
          <w:sz w:val="24"/>
          <w:szCs w:val="24"/>
        </w:rPr>
      </w:pPr>
      <w:r w:rsidRPr="00372B66">
        <w:rPr>
          <w:sz w:val="24"/>
          <w:szCs w:val="24"/>
        </w:rPr>
        <w:t xml:space="preserve">Kontaktlinser kan absorbere </w:t>
      </w:r>
      <w:proofErr w:type="spellStart"/>
      <w:r w:rsidRPr="00372B66">
        <w:rPr>
          <w:sz w:val="24"/>
          <w:szCs w:val="24"/>
        </w:rPr>
        <w:t>benzalkoniumchlorid</w:t>
      </w:r>
      <w:proofErr w:type="spellEnd"/>
      <w:r w:rsidRPr="00372B66">
        <w:rPr>
          <w:sz w:val="24"/>
          <w:szCs w:val="24"/>
        </w:rPr>
        <w:t xml:space="preserve">, som er kendt for at misfarve bløde kontaktlinser. Kontaktlinser skal fjernes før påføring af </w:t>
      </w:r>
      <w:proofErr w:type="spellStart"/>
      <w:r w:rsidRPr="00372B66">
        <w:rPr>
          <w:sz w:val="24"/>
          <w:szCs w:val="24"/>
        </w:rPr>
        <w:t>Dualux</w:t>
      </w:r>
      <w:proofErr w:type="spellEnd"/>
      <w:r w:rsidRPr="00372B66">
        <w:rPr>
          <w:sz w:val="24"/>
          <w:szCs w:val="24"/>
        </w:rPr>
        <w:t xml:space="preserve">, men kan sættes i igen efter 15 minutter (se </w:t>
      </w:r>
      <w:r w:rsidR="00733D19">
        <w:rPr>
          <w:sz w:val="24"/>
          <w:szCs w:val="24"/>
        </w:rPr>
        <w:t>pkt.</w:t>
      </w:r>
      <w:r w:rsidRPr="00372B66">
        <w:rPr>
          <w:sz w:val="24"/>
          <w:szCs w:val="24"/>
        </w:rPr>
        <w:t xml:space="preserve"> 4.2).</w:t>
      </w:r>
    </w:p>
    <w:p w14:paraId="18343A4D" w14:textId="77777777" w:rsidR="009260DE" w:rsidRPr="00372B66" w:rsidRDefault="009260DE" w:rsidP="009260DE">
      <w:pPr>
        <w:tabs>
          <w:tab w:val="left" w:pos="851"/>
        </w:tabs>
        <w:ind w:left="851"/>
        <w:rPr>
          <w:sz w:val="24"/>
          <w:szCs w:val="24"/>
        </w:rPr>
      </w:pPr>
    </w:p>
    <w:p w14:paraId="26AD59A4" w14:textId="77777777" w:rsidR="009260DE" w:rsidRPr="00372B66" w:rsidRDefault="009260DE" w:rsidP="009260DE">
      <w:pPr>
        <w:tabs>
          <w:tab w:val="left" w:pos="851"/>
        </w:tabs>
        <w:ind w:left="851" w:hanging="851"/>
        <w:rPr>
          <w:b/>
          <w:sz w:val="24"/>
          <w:szCs w:val="24"/>
        </w:rPr>
      </w:pPr>
      <w:r w:rsidRPr="00372B66">
        <w:rPr>
          <w:b/>
          <w:sz w:val="24"/>
          <w:szCs w:val="24"/>
        </w:rPr>
        <w:t>4.5</w:t>
      </w:r>
      <w:r w:rsidRPr="00372B66">
        <w:rPr>
          <w:b/>
          <w:sz w:val="24"/>
          <w:szCs w:val="24"/>
        </w:rPr>
        <w:tab/>
        <w:t>Interaktion med andre lægemidler og andre former for interaktion</w:t>
      </w:r>
    </w:p>
    <w:p w14:paraId="7629DB13" w14:textId="77777777" w:rsidR="00F4025A" w:rsidRPr="00372B66" w:rsidRDefault="00F4025A" w:rsidP="008D55AB">
      <w:pPr>
        <w:ind w:left="851"/>
        <w:rPr>
          <w:spacing w:val="-2"/>
          <w:sz w:val="24"/>
          <w:szCs w:val="24"/>
        </w:rPr>
      </w:pPr>
      <w:r w:rsidRPr="00372B66">
        <w:rPr>
          <w:sz w:val="24"/>
          <w:szCs w:val="24"/>
        </w:rPr>
        <w:t xml:space="preserve">Der er ikke udført specifikke interaktionsstudier med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i fast kombinationsforhold.</w:t>
      </w:r>
    </w:p>
    <w:p w14:paraId="3EC660E9" w14:textId="77777777" w:rsidR="00F4025A" w:rsidRPr="00372B66" w:rsidRDefault="00F4025A" w:rsidP="008D55AB">
      <w:pPr>
        <w:ind w:left="851"/>
        <w:rPr>
          <w:sz w:val="24"/>
          <w:szCs w:val="24"/>
        </w:rPr>
      </w:pPr>
    </w:p>
    <w:p w14:paraId="5B80B1F8" w14:textId="77777777" w:rsidR="00F4025A" w:rsidRPr="00372B66" w:rsidRDefault="00F4025A" w:rsidP="008D55AB">
      <w:pPr>
        <w:ind w:left="851"/>
        <w:rPr>
          <w:sz w:val="24"/>
          <w:szCs w:val="24"/>
        </w:rPr>
      </w:pPr>
      <w:r w:rsidRPr="00372B66">
        <w:rPr>
          <w:sz w:val="24"/>
          <w:szCs w:val="24"/>
        </w:rPr>
        <w:t xml:space="preserve">Der er rapporteret om paradoksale stigninger i det </w:t>
      </w:r>
      <w:proofErr w:type="spellStart"/>
      <w:r w:rsidRPr="00372B66">
        <w:rPr>
          <w:sz w:val="24"/>
          <w:szCs w:val="24"/>
        </w:rPr>
        <w:t>intraokulære</w:t>
      </w:r>
      <w:proofErr w:type="spellEnd"/>
      <w:r w:rsidRPr="00372B66">
        <w:rPr>
          <w:sz w:val="24"/>
          <w:szCs w:val="24"/>
        </w:rPr>
        <w:t xml:space="preserve"> tryk efter samtidig </w:t>
      </w:r>
      <w:proofErr w:type="spellStart"/>
      <w:r w:rsidRPr="00372B66">
        <w:rPr>
          <w:sz w:val="24"/>
          <w:szCs w:val="24"/>
        </w:rPr>
        <w:t>oftalmisk</w:t>
      </w:r>
      <w:proofErr w:type="spellEnd"/>
      <w:r w:rsidRPr="00372B66">
        <w:rPr>
          <w:sz w:val="24"/>
          <w:szCs w:val="24"/>
        </w:rPr>
        <w:t xml:space="preserve"> administration af to </w:t>
      </w:r>
      <w:proofErr w:type="spellStart"/>
      <w:r w:rsidRPr="00372B66">
        <w:rPr>
          <w:sz w:val="24"/>
          <w:szCs w:val="24"/>
        </w:rPr>
        <w:t>prostaglandinanaloger</w:t>
      </w:r>
      <w:proofErr w:type="spellEnd"/>
      <w:r w:rsidRPr="00372B66">
        <w:rPr>
          <w:sz w:val="24"/>
          <w:szCs w:val="24"/>
        </w:rPr>
        <w:t xml:space="preserve">. Derfor anbefales det ikke at anvende to eller flere </w:t>
      </w:r>
      <w:proofErr w:type="spellStart"/>
      <w:r w:rsidRPr="00372B66">
        <w:rPr>
          <w:sz w:val="24"/>
          <w:szCs w:val="24"/>
        </w:rPr>
        <w:t>prostaglandiner</w:t>
      </w:r>
      <w:proofErr w:type="spellEnd"/>
      <w:r w:rsidRPr="00372B66">
        <w:rPr>
          <w:sz w:val="24"/>
          <w:szCs w:val="24"/>
        </w:rPr>
        <w:t xml:space="preserve">, </w:t>
      </w:r>
      <w:proofErr w:type="spellStart"/>
      <w:r w:rsidRPr="00372B66">
        <w:rPr>
          <w:sz w:val="24"/>
          <w:szCs w:val="24"/>
        </w:rPr>
        <w:t>prostaglandinanaloger</w:t>
      </w:r>
      <w:proofErr w:type="spellEnd"/>
      <w:r w:rsidRPr="00372B66">
        <w:rPr>
          <w:sz w:val="24"/>
          <w:szCs w:val="24"/>
        </w:rPr>
        <w:t xml:space="preserve"> eller </w:t>
      </w:r>
      <w:proofErr w:type="spellStart"/>
      <w:r w:rsidRPr="00372B66">
        <w:rPr>
          <w:sz w:val="24"/>
          <w:szCs w:val="24"/>
        </w:rPr>
        <w:t>prostaglandinderivater</w:t>
      </w:r>
      <w:proofErr w:type="spellEnd"/>
      <w:r w:rsidRPr="00372B66">
        <w:rPr>
          <w:sz w:val="24"/>
          <w:szCs w:val="24"/>
        </w:rPr>
        <w:t>.</w:t>
      </w:r>
    </w:p>
    <w:p w14:paraId="73386370" w14:textId="77777777" w:rsidR="00F4025A" w:rsidRPr="00372B66" w:rsidRDefault="00F4025A" w:rsidP="008D55AB">
      <w:pPr>
        <w:ind w:left="851"/>
        <w:rPr>
          <w:sz w:val="24"/>
          <w:szCs w:val="24"/>
        </w:rPr>
      </w:pPr>
    </w:p>
    <w:p w14:paraId="554BB28D" w14:textId="77777777" w:rsidR="00F4025A" w:rsidRPr="00372B66" w:rsidRDefault="00F4025A" w:rsidP="008D55AB">
      <w:pPr>
        <w:ind w:left="851"/>
        <w:rPr>
          <w:sz w:val="24"/>
          <w:szCs w:val="24"/>
        </w:rPr>
      </w:pPr>
      <w:r w:rsidRPr="00372B66">
        <w:rPr>
          <w:sz w:val="24"/>
          <w:szCs w:val="24"/>
        </w:rPr>
        <w:t xml:space="preserve">Der er risiko for </w:t>
      </w:r>
      <w:proofErr w:type="spellStart"/>
      <w:r w:rsidRPr="00372B66">
        <w:rPr>
          <w:sz w:val="24"/>
          <w:szCs w:val="24"/>
        </w:rPr>
        <w:t>additive</w:t>
      </w:r>
      <w:proofErr w:type="spellEnd"/>
      <w:r w:rsidRPr="00372B66">
        <w:rPr>
          <w:sz w:val="24"/>
          <w:szCs w:val="24"/>
        </w:rPr>
        <w:t xml:space="preserve"> effekter, der kan medføre hypotension og/eller markant bradykardi, når der administreres </w:t>
      </w:r>
      <w:proofErr w:type="spellStart"/>
      <w:r w:rsidRPr="00372B66">
        <w:rPr>
          <w:sz w:val="24"/>
          <w:szCs w:val="24"/>
        </w:rPr>
        <w:t>oftalmiske</w:t>
      </w:r>
      <w:proofErr w:type="spellEnd"/>
      <w:r w:rsidRPr="00372B66">
        <w:rPr>
          <w:sz w:val="24"/>
          <w:szCs w:val="24"/>
        </w:rPr>
        <w:t xml:space="preserve"> </w:t>
      </w:r>
      <w:proofErr w:type="spellStart"/>
      <w:r w:rsidRPr="00372B66">
        <w:rPr>
          <w:sz w:val="24"/>
          <w:szCs w:val="24"/>
        </w:rPr>
        <w:t>betablokkeropløsninger</w:t>
      </w:r>
      <w:proofErr w:type="spellEnd"/>
      <w:r w:rsidRPr="00372B66">
        <w:rPr>
          <w:sz w:val="24"/>
          <w:szCs w:val="24"/>
        </w:rPr>
        <w:t xml:space="preserve"> samtidig med orale calciumkanalblokkere, beta-</w:t>
      </w:r>
      <w:proofErr w:type="spellStart"/>
      <w:r w:rsidRPr="00372B66">
        <w:rPr>
          <w:sz w:val="24"/>
          <w:szCs w:val="24"/>
        </w:rPr>
        <w:t>adrenerge</w:t>
      </w:r>
      <w:proofErr w:type="spellEnd"/>
      <w:r w:rsidRPr="00372B66">
        <w:rPr>
          <w:sz w:val="24"/>
          <w:szCs w:val="24"/>
        </w:rPr>
        <w:t xml:space="preserve"> blokerende midler, </w:t>
      </w:r>
      <w:proofErr w:type="spellStart"/>
      <w:r w:rsidRPr="00372B66">
        <w:rPr>
          <w:sz w:val="24"/>
          <w:szCs w:val="24"/>
        </w:rPr>
        <w:t>antiarytmika</w:t>
      </w:r>
      <w:proofErr w:type="spellEnd"/>
      <w:r w:rsidRPr="00372B66">
        <w:rPr>
          <w:sz w:val="24"/>
          <w:szCs w:val="24"/>
        </w:rPr>
        <w:t xml:space="preserve"> (herunder </w:t>
      </w:r>
      <w:proofErr w:type="spellStart"/>
      <w:r w:rsidRPr="00372B66">
        <w:rPr>
          <w:sz w:val="24"/>
          <w:szCs w:val="24"/>
        </w:rPr>
        <w:t>amiodaron</w:t>
      </w:r>
      <w:proofErr w:type="spellEnd"/>
      <w:r w:rsidRPr="00372B66">
        <w:rPr>
          <w:sz w:val="24"/>
          <w:szCs w:val="24"/>
        </w:rPr>
        <w:t xml:space="preserve">), digitalisglykosider, </w:t>
      </w:r>
      <w:proofErr w:type="spellStart"/>
      <w:r w:rsidRPr="00372B66">
        <w:rPr>
          <w:sz w:val="24"/>
          <w:szCs w:val="24"/>
        </w:rPr>
        <w:t>parasympatomimetika</w:t>
      </w:r>
      <w:proofErr w:type="spellEnd"/>
      <w:r w:rsidRPr="00372B66">
        <w:rPr>
          <w:sz w:val="24"/>
          <w:szCs w:val="24"/>
        </w:rPr>
        <w:t xml:space="preserve"> og </w:t>
      </w:r>
      <w:proofErr w:type="spellStart"/>
      <w:r w:rsidRPr="00372B66">
        <w:rPr>
          <w:sz w:val="24"/>
          <w:szCs w:val="24"/>
        </w:rPr>
        <w:t>guanethidin</w:t>
      </w:r>
      <w:proofErr w:type="spellEnd"/>
      <w:r w:rsidRPr="00372B66">
        <w:rPr>
          <w:sz w:val="24"/>
          <w:szCs w:val="24"/>
        </w:rPr>
        <w:t>.</w:t>
      </w:r>
    </w:p>
    <w:p w14:paraId="540DB698" w14:textId="77777777" w:rsidR="00F4025A" w:rsidRPr="00372B66" w:rsidRDefault="00F4025A" w:rsidP="008D55AB">
      <w:pPr>
        <w:ind w:left="851"/>
        <w:rPr>
          <w:sz w:val="24"/>
          <w:szCs w:val="24"/>
        </w:rPr>
      </w:pPr>
    </w:p>
    <w:p w14:paraId="2D22CA39" w14:textId="77777777" w:rsidR="00F4025A" w:rsidRPr="00372B66" w:rsidRDefault="00F4025A" w:rsidP="008D55AB">
      <w:pPr>
        <w:ind w:left="851"/>
        <w:rPr>
          <w:sz w:val="24"/>
          <w:szCs w:val="24"/>
        </w:rPr>
      </w:pPr>
      <w:r w:rsidRPr="00372B66">
        <w:rPr>
          <w:sz w:val="24"/>
          <w:szCs w:val="24"/>
        </w:rPr>
        <w:t xml:space="preserve">Der er rapporteret om potenseret systemisk betablokade (f.eks. nedsat hjertefrekvens, </w:t>
      </w:r>
      <w:proofErr w:type="spellStart"/>
      <w:r w:rsidRPr="00372B66">
        <w:rPr>
          <w:sz w:val="24"/>
          <w:szCs w:val="24"/>
        </w:rPr>
        <w:t>myokardie</w:t>
      </w:r>
      <w:proofErr w:type="spellEnd"/>
      <w:r w:rsidRPr="00372B66">
        <w:rPr>
          <w:sz w:val="24"/>
          <w:szCs w:val="24"/>
        </w:rPr>
        <w:t xml:space="preserve"> depression) under kombinationsbehandling med CYP2D6-hæmmere (f.eks. </w:t>
      </w:r>
      <w:proofErr w:type="spellStart"/>
      <w:r w:rsidRPr="00372B66">
        <w:rPr>
          <w:sz w:val="24"/>
          <w:szCs w:val="24"/>
        </w:rPr>
        <w:t>quinidin</w:t>
      </w:r>
      <w:proofErr w:type="spellEnd"/>
      <w:r w:rsidRPr="00372B66">
        <w:rPr>
          <w:sz w:val="24"/>
          <w:szCs w:val="24"/>
        </w:rPr>
        <w:t xml:space="preserve">, </w:t>
      </w:r>
      <w:proofErr w:type="spellStart"/>
      <w:r w:rsidRPr="00372B66">
        <w:rPr>
          <w:sz w:val="24"/>
          <w:szCs w:val="24"/>
        </w:rPr>
        <w:t>fluoxetin</w:t>
      </w:r>
      <w:proofErr w:type="spellEnd"/>
      <w:r w:rsidRPr="00372B66">
        <w:rPr>
          <w:sz w:val="24"/>
          <w:szCs w:val="24"/>
        </w:rPr>
        <w:t xml:space="preserve">, </w:t>
      </w:r>
      <w:proofErr w:type="spellStart"/>
      <w:r w:rsidRPr="00372B66">
        <w:rPr>
          <w:sz w:val="24"/>
          <w:szCs w:val="24"/>
        </w:rPr>
        <w:t>paroxetin</w:t>
      </w:r>
      <w:proofErr w:type="spellEnd"/>
      <w:r w:rsidRPr="00372B66">
        <w:rPr>
          <w:sz w:val="24"/>
          <w:szCs w:val="24"/>
        </w:rPr>
        <w:t xml:space="preserve">) og </w:t>
      </w:r>
      <w:proofErr w:type="spellStart"/>
      <w:r w:rsidRPr="00372B66">
        <w:rPr>
          <w:sz w:val="24"/>
          <w:szCs w:val="24"/>
        </w:rPr>
        <w:t>timolol</w:t>
      </w:r>
      <w:proofErr w:type="spellEnd"/>
      <w:r w:rsidRPr="00372B66">
        <w:rPr>
          <w:sz w:val="24"/>
          <w:szCs w:val="24"/>
        </w:rPr>
        <w:t>.</w:t>
      </w:r>
    </w:p>
    <w:p w14:paraId="2AB4C0DA" w14:textId="77777777" w:rsidR="00F4025A" w:rsidRPr="00372B66" w:rsidRDefault="00F4025A" w:rsidP="008D55AB">
      <w:pPr>
        <w:ind w:left="851"/>
        <w:rPr>
          <w:sz w:val="24"/>
          <w:szCs w:val="24"/>
        </w:rPr>
      </w:pPr>
    </w:p>
    <w:p w14:paraId="7357445B" w14:textId="77777777" w:rsidR="00F4025A" w:rsidRPr="00372B66" w:rsidRDefault="00F4025A" w:rsidP="008D55AB">
      <w:pPr>
        <w:ind w:left="851"/>
        <w:rPr>
          <w:sz w:val="24"/>
          <w:szCs w:val="24"/>
        </w:rPr>
      </w:pPr>
      <w:r w:rsidRPr="00372B66">
        <w:rPr>
          <w:sz w:val="24"/>
          <w:szCs w:val="24"/>
        </w:rPr>
        <w:t xml:space="preserve">Virkningen på det </w:t>
      </w:r>
      <w:proofErr w:type="spellStart"/>
      <w:r w:rsidRPr="00372B66">
        <w:rPr>
          <w:sz w:val="24"/>
          <w:szCs w:val="24"/>
        </w:rPr>
        <w:t>intraokulære</w:t>
      </w:r>
      <w:proofErr w:type="spellEnd"/>
      <w:r w:rsidRPr="00372B66">
        <w:rPr>
          <w:sz w:val="24"/>
          <w:szCs w:val="24"/>
        </w:rPr>
        <w:t xml:space="preserve"> tryk eller de kendte virkninger af systemisk betablokade kan forstærkes, når </w:t>
      </w:r>
      <w:proofErr w:type="spellStart"/>
      <w:r w:rsidRPr="00372B66">
        <w:rPr>
          <w:sz w:val="24"/>
          <w:szCs w:val="24"/>
        </w:rPr>
        <w:t>latanoprost</w:t>
      </w:r>
      <w:proofErr w:type="spellEnd"/>
      <w:r w:rsidRPr="00372B66">
        <w:rPr>
          <w:sz w:val="24"/>
          <w:szCs w:val="24"/>
        </w:rPr>
        <w:t>/</w:t>
      </w:r>
      <w:proofErr w:type="spellStart"/>
      <w:r w:rsidRPr="00372B66">
        <w:rPr>
          <w:sz w:val="24"/>
          <w:szCs w:val="24"/>
        </w:rPr>
        <w:t>timolol</w:t>
      </w:r>
      <w:proofErr w:type="spellEnd"/>
      <w:r w:rsidRPr="00372B66">
        <w:rPr>
          <w:sz w:val="24"/>
          <w:szCs w:val="24"/>
        </w:rPr>
        <w:t xml:space="preserve"> gives til patienter, der allerede får et oralt beta-</w:t>
      </w:r>
      <w:proofErr w:type="spellStart"/>
      <w:r w:rsidRPr="00372B66">
        <w:rPr>
          <w:sz w:val="24"/>
          <w:szCs w:val="24"/>
        </w:rPr>
        <w:t>adrenerg</w:t>
      </w:r>
      <w:proofErr w:type="spellEnd"/>
      <w:r w:rsidRPr="00372B66">
        <w:rPr>
          <w:sz w:val="24"/>
          <w:szCs w:val="24"/>
        </w:rPr>
        <w:t xml:space="preserve"> blokerende middel, og det anbefales ikke at anvende to eller flere topiske beta-</w:t>
      </w:r>
      <w:proofErr w:type="spellStart"/>
      <w:r w:rsidRPr="00372B66">
        <w:rPr>
          <w:sz w:val="24"/>
          <w:szCs w:val="24"/>
        </w:rPr>
        <w:t>adrenerge</w:t>
      </w:r>
      <w:proofErr w:type="spellEnd"/>
      <w:r w:rsidRPr="00372B66">
        <w:rPr>
          <w:sz w:val="24"/>
          <w:szCs w:val="24"/>
        </w:rPr>
        <w:t xml:space="preserve"> blokerende midler.</w:t>
      </w:r>
    </w:p>
    <w:p w14:paraId="75E65D1A" w14:textId="77777777" w:rsidR="00F4025A" w:rsidRPr="00372B66" w:rsidRDefault="00F4025A" w:rsidP="008D55AB">
      <w:pPr>
        <w:ind w:left="851"/>
        <w:rPr>
          <w:sz w:val="24"/>
          <w:szCs w:val="24"/>
        </w:rPr>
      </w:pPr>
    </w:p>
    <w:p w14:paraId="218EAD00" w14:textId="77777777" w:rsidR="00F4025A" w:rsidRPr="00372B66" w:rsidRDefault="00F4025A" w:rsidP="008D55AB">
      <w:pPr>
        <w:ind w:left="851"/>
        <w:rPr>
          <w:sz w:val="24"/>
          <w:szCs w:val="24"/>
        </w:rPr>
      </w:pPr>
      <w:r w:rsidRPr="00372B66">
        <w:rPr>
          <w:sz w:val="24"/>
          <w:szCs w:val="24"/>
        </w:rPr>
        <w:t xml:space="preserve">Der er lejlighedsvis rapporteret om </w:t>
      </w:r>
      <w:proofErr w:type="spellStart"/>
      <w:r w:rsidRPr="00372B66">
        <w:rPr>
          <w:sz w:val="24"/>
          <w:szCs w:val="24"/>
        </w:rPr>
        <w:t>mydriasis</w:t>
      </w:r>
      <w:proofErr w:type="spellEnd"/>
      <w:r w:rsidRPr="00372B66">
        <w:rPr>
          <w:sz w:val="24"/>
          <w:szCs w:val="24"/>
        </w:rPr>
        <w:t xml:space="preserve"> som følge af samtidig brug af </w:t>
      </w:r>
      <w:proofErr w:type="spellStart"/>
      <w:r w:rsidRPr="00372B66">
        <w:rPr>
          <w:sz w:val="24"/>
          <w:szCs w:val="24"/>
        </w:rPr>
        <w:t>oftalmiske</w:t>
      </w:r>
      <w:proofErr w:type="spellEnd"/>
      <w:r w:rsidRPr="00372B66">
        <w:rPr>
          <w:sz w:val="24"/>
          <w:szCs w:val="24"/>
        </w:rPr>
        <w:t xml:space="preserve"> betablokkere og adrenalin (</w:t>
      </w:r>
      <w:proofErr w:type="spellStart"/>
      <w:r w:rsidRPr="00372B66">
        <w:rPr>
          <w:sz w:val="24"/>
          <w:szCs w:val="24"/>
        </w:rPr>
        <w:t>epinephrin</w:t>
      </w:r>
      <w:proofErr w:type="spellEnd"/>
      <w:r w:rsidRPr="00372B66">
        <w:rPr>
          <w:sz w:val="24"/>
          <w:szCs w:val="24"/>
        </w:rPr>
        <w:t>).</w:t>
      </w:r>
    </w:p>
    <w:p w14:paraId="798FAAE5" w14:textId="77777777" w:rsidR="00F4025A" w:rsidRPr="00372B66" w:rsidRDefault="00F4025A" w:rsidP="008D55AB">
      <w:pPr>
        <w:ind w:left="851"/>
        <w:rPr>
          <w:sz w:val="24"/>
          <w:szCs w:val="24"/>
        </w:rPr>
      </w:pPr>
    </w:p>
    <w:p w14:paraId="179C017D" w14:textId="77777777" w:rsidR="00F4025A" w:rsidRPr="00372B66" w:rsidRDefault="00F4025A" w:rsidP="008D55AB">
      <w:pPr>
        <w:ind w:left="851"/>
        <w:rPr>
          <w:sz w:val="24"/>
          <w:szCs w:val="24"/>
        </w:rPr>
      </w:pPr>
      <w:r w:rsidRPr="00372B66">
        <w:rPr>
          <w:sz w:val="24"/>
          <w:szCs w:val="24"/>
        </w:rPr>
        <w:t xml:space="preserve">Den </w:t>
      </w:r>
      <w:proofErr w:type="spellStart"/>
      <w:r w:rsidRPr="00372B66">
        <w:rPr>
          <w:sz w:val="24"/>
          <w:szCs w:val="24"/>
        </w:rPr>
        <w:t>hypertensive</w:t>
      </w:r>
      <w:proofErr w:type="spellEnd"/>
      <w:r w:rsidRPr="00372B66">
        <w:rPr>
          <w:sz w:val="24"/>
          <w:szCs w:val="24"/>
        </w:rPr>
        <w:t xml:space="preserve"> reaktion ved pludselig </w:t>
      </w:r>
      <w:proofErr w:type="spellStart"/>
      <w:r w:rsidRPr="00372B66">
        <w:rPr>
          <w:sz w:val="24"/>
          <w:szCs w:val="24"/>
        </w:rPr>
        <w:t>seponering</w:t>
      </w:r>
      <w:proofErr w:type="spellEnd"/>
      <w:r w:rsidRPr="00372B66">
        <w:rPr>
          <w:sz w:val="24"/>
          <w:szCs w:val="24"/>
        </w:rPr>
        <w:t xml:space="preserve"> af </w:t>
      </w:r>
      <w:proofErr w:type="spellStart"/>
      <w:r w:rsidRPr="00372B66">
        <w:rPr>
          <w:sz w:val="24"/>
          <w:szCs w:val="24"/>
        </w:rPr>
        <w:t>clonidin</w:t>
      </w:r>
      <w:proofErr w:type="spellEnd"/>
      <w:r w:rsidRPr="00372B66">
        <w:rPr>
          <w:sz w:val="24"/>
          <w:szCs w:val="24"/>
        </w:rPr>
        <w:t xml:space="preserve"> kan forstærkes ved samtidig behandling med betablokkere.</w:t>
      </w:r>
    </w:p>
    <w:p w14:paraId="56F1DA45" w14:textId="77777777" w:rsidR="00F4025A" w:rsidRPr="00372B66" w:rsidRDefault="00F4025A" w:rsidP="008D55AB">
      <w:pPr>
        <w:ind w:left="851"/>
        <w:rPr>
          <w:sz w:val="24"/>
          <w:szCs w:val="24"/>
        </w:rPr>
      </w:pPr>
    </w:p>
    <w:p w14:paraId="174F7C4F" w14:textId="77777777" w:rsidR="00F4025A" w:rsidRPr="00372B66" w:rsidRDefault="00F4025A" w:rsidP="008D55AB">
      <w:pPr>
        <w:ind w:left="851"/>
        <w:rPr>
          <w:sz w:val="24"/>
          <w:szCs w:val="24"/>
        </w:rPr>
      </w:pPr>
      <w:r w:rsidRPr="00372B66">
        <w:rPr>
          <w:sz w:val="24"/>
          <w:szCs w:val="24"/>
        </w:rPr>
        <w:t xml:space="preserve">Betablokkere kan forstærke den hypoglykæmiske virkning af </w:t>
      </w:r>
      <w:proofErr w:type="spellStart"/>
      <w:r w:rsidRPr="00372B66">
        <w:rPr>
          <w:sz w:val="24"/>
          <w:szCs w:val="24"/>
        </w:rPr>
        <w:t>antidiabetika</w:t>
      </w:r>
      <w:proofErr w:type="spellEnd"/>
      <w:r w:rsidRPr="00372B66">
        <w:rPr>
          <w:sz w:val="24"/>
          <w:szCs w:val="24"/>
        </w:rPr>
        <w:t>. Betablokkere kan maskere tegn og symptomer på hypoglykæmi (se pkt. 4.4).</w:t>
      </w:r>
    </w:p>
    <w:p w14:paraId="42C5164C" w14:textId="7BF0B05B" w:rsidR="007B2111" w:rsidRDefault="007B2111">
      <w:pPr>
        <w:rPr>
          <w:sz w:val="24"/>
          <w:szCs w:val="24"/>
        </w:rPr>
      </w:pPr>
      <w:r>
        <w:rPr>
          <w:sz w:val="24"/>
          <w:szCs w:val="24"/>
        </w:rPr>
        <w:br w:type="page"/>
      </w:r>
    </w:p>
    <w:p w14:paraId="5BAA96C9" w14:textId="77777777" w:rsidR="009260DE" w:rsidRPr="00372B66" w:rsidRDefault="009260DE" w:rsidP="009260DE">
      <w:pPr>
        <w:tabs>
          <w:tab w:val="left" w:pos="851"/>
        </w:tabs>
        <w:ind w:left="851"/>
        <w:rPr>
          <w:sz w:val="24"/>
          <w:szCs w:val="24"/>
        </w:rPr>
      </w:pPr>
    </w:p>
    <w:p w14:paraId="1DF53C6D" w14:textId="77777777" w:rsidR="009260DE" w:rsidRPr="00372B66" w:rsidRDefault="009260DE" w:rsidP="009260DE">
      <w:pPr>
        <w:tabs>
          <w:tab w:val="left" w:pos="851"/>
        </w:tabs>
        <w:ind w:left="851" w:hanging="851"/>
        <w:rPr>
          <w:b/>
          <w:sz w:val="24"/>
          <w:szCs w:val="24"/>
        </w:rPr>
      </w:pPr>
      <w:r w:rsidRPr="00372B66">
        <w:rPr>
          <w:b/>
          <w:sz w:val="24"/>
          <w:szCs w:val="24"/>
        </w:rPr>
        <w:t>4.6</w:t>
      </w:r>
      <w:r w:rsidRPr="00372B66">
        <w:rPr>
          <w:b/>
          <w:sz w:val="24"/>
          <w:szCs w:val="24"/>
        </w:rPr>
        <w:tab/>
      </w:r>
      <w:r w:rsidR="0071241E" w:rsidRPr="00372B66">
        <w:rPr>
          <w:b/>
          <w:sz w:val="24"/>
          <w:szCs w:val="24"/>
        </w:rPr>
        <w:t>Fertilitet, g</w:t>
      </w:r>
      <w:r w:rsidRPr="00372B66">
        <w:rPr>
          <w:b/>
          <w:sz w:val="24"/>
          <w:szCs w:val="24"/>
        </w:rPr>
        <w:t>raviditet og amning</w:t>
      </w:r>
    </w:p>
    <w:p w14:paraId="67B08A0B" w14:textId="77777777" w:rsidR="00733D19" w:rsidRDefault="00733D19" w:rsidP="008D55AB">
      <w:pPr>
        <w:ind w:left="851"/>
        <w:rPr>
          <w:sz w:val="24"/>
          <w:szCs w:val="24"/>
        </w:rPr>
      </w:pPr>
    </w:p>
    <w:p w14:paraId="3D0EAFDC" w14:textId="2E4D5487" w:rsidR="00F4025A" w:rsidRPr="00733D19" w:rsidRDefault="00F4025A" w:rsidP="008D55AB">
      <w:pPr>
        <w:ind w:left="851"/>
        <w:rPr>
          <w:sz w:val="24"/>
          <w:szCs w:val="24"/>
          <w:u w:val="single"/>
        </w:rPr>
      </w:pPr>
      <w:r w:rsidRPr="00733D19">
        <w:rPr>
          <w:sz w:val="24"/>
          <w:szCs w:val="24"/>
          <w:u w:val="single"/>
        </w:rPr>
        <w:t>Graviditet</w:t>
      </w:r>
    </w:p>
    <w:p w14:paraId="777D68A7" w14:textId="77777777" w:rsidR="00F4025A" w:rsidRPr="00372B66" w:rsidRDefault="00F4025A" w:rsidP="008D55AB">
      <w:pPr>
        <w:ind w:left="851"/>
        <w:rPr>
          <w:sz w:val="24"/>
          <w:szCs w:val="24"/>
        </w:rPr>
      </w:pPr>
    </w:p>
    <w:p w14:paraId="2124D7CA" w14:textId="77777777" w:rsidR="00F4025A" w:rsidRPr="00372B66" w:rsidRDefault="00F4025A" w:rsidP="008D55AB">
      <w:pPr>
        <w:ind w:left="851"/>
        <w:rPr>
          <w:i/>
          <w:sz w:val="24"/>
          <w:szCs w:val="24"/>
        </w:rPr>
      </w:pPr>
      <w:proofErr w:type="spellStart"/>
      <w:r w:rsidRPr="00372B66">
        <w:rPr>
          <w:i/>
          <w:sz w:val="24"/>
          <w:szCs w:val="24"/>
        </w:rPr>
        <w:t>Latanoprost</w:t>
      </w:r>
      <w:proofErr w:type="spellEnd"/>
    </w:p>
    <w:p w14:paraId="1D772372" w14:textId="77777777" w:rsidR="00F4025A" w:rsidRPr="00372B66" w:rsidRDefault="00F4025A" w:rsidP="008D55AB">
      <w:pPr>
        <w:ind w:left="851"/>
        <w:rPr>
          <w:i/>
          <w:sz w:val="24"/>
          <w:szCs w:val="24"/>
        </w:rPr>
      </w:pPr>
    </w:p>
    <w:p w14:paraId="7E9795B1" w14:textId="77777777" w:rsidR="00F4025A" w:rsidRPr="00372B66" w:rsidRDefault="00F4025A" w:rsidP="008D55AB">
      <w:pPr>
        <w:ind w:left="851"/>
        <w:rPr>
          <w:sz w:val="24"/>
          <w:szCs w:val="24"/>
        </w:rPr>
      </w:pPr>
      <w:r w:rsidRPr="00372B66">
        <w:rPr>
          <w:sz w:val="24"/>
          <w:szCs w:val="24"/>
        </w:rPr>
        <w:t xml:space="preserve">Der er ikke tilstrækkelige data fra brugen af </w:t>
      </w:r>
      <w:proofErr w:type="spellStart"/>
      <w:r w:rsidRPr="00372B66">
        <w:rPr>
          <w:sz w:val="24"/>
          <w:szCs w:val="24"/>
        </w:rPr>
        <w:t>latanoprost</w:t>
      </w:r>
      <w:proofErr w:type="spellEnd"/>
      <w:r w:rsidRPr="00372B66">
        <w:rPr>
          <w:sz w:val="24"/>
          <w:szCs w:val="24"/>
        </w:rPr>
        <w:t xml:space="preserve"> hos gravide kvinder. Dyreforsøg har vist reproduktionstoksicitet (se pkt. 5.3). Den potentielle risiko for mennesker er ukendt.</w:t>
      </w:r>
    </w:p>
    <w:p w14:paraId="185699DE" w14:textId="77777777" w:rsidR="00F4025A" w:rsidRPr="00372B66" w:rsidRDefault="00F4025A" w:rsidP="008D55AB">
      <w:pPr>
        <w:ind w:left="851"/>
        <w:rPr>
          <w:sz w:val="24"/>
          <w:szCs w:val="24"/>
        </w:rPr>
      </w:pPr>
    </w:p>
    <w:p w14:paraId="4D59A926" w14:textId="77777777" w:rsidR="00F4025A" w:rsidRPr="00372B66" w:rsidRDefault="00F4025A" w:rsidP="008D55AB">
      <w:pPr>
        <w:ind w:left="851"/>
        <w:rPr>
          <w:i/>
          <w:sz w:val="24"/>
          <w:szCs w:val="24"/>
        </w:rPr>
      </w:pPr>
      <w:proofErr w:type="spellStart"/>
      <w:r w:rsidRPr="00372B66">
        <w:rPr>
          <w:i/>
          <w:sz w:val="24"/>
          <w:szCs w:val="24"/>
        </w:rPr>
        <w:t>Timolol</w:t>
      </w:r>
      <w:proofErr w:type="spellEnd"/>
    </w:p>
    <w:p w14:paraId="03BAE5EF" w14:textId="77777777" w:rsidR="00F4025A" w:rsidRPr="00372B66" w:rsidRDefault="00F4025A" w:rsidP="008D55AB">
      <w:pPr>
        <w:ind w:left="851"/>
        <w:rPr>
          <w:i/>
          <w:sz w:val="24"/>
          <w:szCs w:val="24"/>
        </w:rPr>
      </w:pPr>
    </w:p>
    <w:p w14:paraId="3413AE1C" w14:textId="77777777" w:rsidR="00F4025A" w:rsidRPr="00372B66" w:rsidRDefault="00F4025A" w:rsidP="008D55AB">
      <w:pPr>
        <w:ind w:left="851"/>
        <w:rPr>
          <w:sz w:val="24"/>
          <w:szCs w:val="24"/>
        </w:rPr>
      </w:pPr>
      <w:r w:rsidRPr="00372B66">
        <w:rPr>
          <w:sz w:val="24"/>
          <w:szCs w:val="24"/>
        </w:rPr>
        <w:t xml:space="preserve">Der er ikke tilstrækkelige data for brugen af </w:t>
      </w:r>
      <w:proofErr w:type="spellStart"/>
      <w:r w:rsidRPr="00372B66">
        <w:rPr>
          <w:sz w:val="24"/>
          <w:szCs w:val="24"/>
        </w:rPr>
        <w:t>timolol</w:t>
      </w:r>
      <w:proofErr w:type="spellEnd"/>
      <w:r w:rsidRPr="00372B66">
        <w:rPr>
          <w:sz w:val="24"/>
          <w:szCs w:val="24"/>
        </w:rPr>
        <w:t xml:space="preserve"> hos gravide kvinder. </w:t>
      </w:r>
      <w:proofErr w:type="spellStart"/>
      <w:r w:rsidRPr="00372B66">
        <w:rPr>
          <w:sz w:val="24"/>
          <w:szCs w:val="24"/>
        </w:rPr>
        <w:t>Timolol</w:t>
      </w:r>
      <w:proofErr w:type="spellEnd"/>
      <w:r w:rsidRPr="00372B66">
        <w:rPr>
          <w:sz w:val="24"/>
          <w:szCs w:val="24"/>
        </w:rPr>
        <w:t xml:space="preserve"> bør ikke anvendes under graviditet, medmindre det er strengt nødvendigt. For at reducere den systemiske absorption, se pkt. 4.2.</w:t>
      </w:r>
    </w:p>
    <w:p w14:paraId="720B290F" w14:textId="77777777" w:rsidR="00F4025A" w:rsidRPr="00372B66" w:rsidRDefault="00F4025A" w:rsidP="008D55AB">
      <w:pPr>
        <w:ind w:left="851"/>
        <w:rPr>
          <w:sz w:val="24"/>
          <w:szCs w:val="24"/>
        </w:rPr>
      </w:pPr>
    </w:p>
    <w:p w14:paraId="313309D4" w14:textId="77777777" w:rsidR="00F4025A" w:rsidRPr="00372B66" w:rsidRDefault="00F4025A" w:rsidP="008D55AB">
      <w:pPr>
        <w:ind w:left="851"/>
        <w:rPr>
          <w:sz w:val="24"/>
          <w:szCs w:val="24"/>
        </w:rPr>
      </w:pPr>
      <w:r w:rsidRPr="00372B66">
        <w:rPr>
          <w:sz w:val="24"/>
          <w:szCs w:val="24"/>
        </w:rPr>
        <w:t xml:space="preserve">Epidemiologiske undersøgelser har ikke vist misdannelser, men viser en risiko for intrauterin væksthæmning, når betablokkere administreres oralt. Derudover er der observeret tegn og symptomer på betablokade (f.eks. bradykardi, hypotension, respirationsbesvær og hypoglykæmi) hos nyfødte, når betablokkere er blevet administreret frem til fødslen. Hvis der administreres </w:t>
      </w:r>
      <w:proofErr w:type="spellStart"/>
      <w:r w:rsidRPr="00372B66">
        <w:rPr>
          <w:sz w:val="24"/>
          <w:szCs w:val="24"/>
        </w:rPr>
        <w:t>latanoprost</w:t>
      </w:r>
      <w:proofErr w:type="spellEnd"/>
      <w:r w:rsidRPr="00372B66">
        <w:rPr>
          <w:sz w:val="24"/>
          <w:szCs w:val="24"/>
        </w:rPr>
        <w:t>/</w:t>
      </w:r>
      <w:proofErr w:type="spellStart"/>
      <w:r w:rsidRPr="00372B66">
        <w:rPr>
          <w:sz w:val="24"/>
          <w:szCs w:val="24"/>
        </w:rPr>
        <w:t>timolol</w:t>
      </w:r>
      <w:proofErr w:type="spellEnd"/>
      <w:r w:rsidRPr="00372B66">
        <w:rPr>
          <w:sz w:val="24"/>
          <w:szCs w:val="24"/>
        </w:rPr>
        <w:t xml:space="preserve"> frem til fødslen, skal den nyfødte overvåges nøje i de første levedage.</w:t>
      </w:r>
    </w:p>
    <w:p w14:paraId="0E0CDAB7" w14:textId="77777777" w:rsidR="00F4025A" w:rsidRPr="00372B66" w:rsidRDefault="00F4025A" w:rsidP="008D55AB">
      <w:pPr>
        <w:ind w:left="851"/>
        <w:rPr>
          <w:sz w:val="24"/>
          <w:szCs w:val="24"/>
        </w:rPr>
      </w:pPr>
    </w:p>
    <w:p w14:paraId="1E2F6A03" w14:textId="77777777" w:rsidR="00F4025A" w:rsidRPr="00372B66" w:rsidRDefault="00F4025A" w:rsidP="008D55AB">
      <w:pPr>
        <w:ind w:left="851"/>
        <w:rPr>
          <w:sz w:val="24"/>
          <w:szCs w:val="24"/>
        </w:rPr>
      </w:pPr>
      <w:proofErr w:type="spellStart"/>
      <w:r w:rsidRPr="00372B66">
        <w:rPr>
          <w:sz w:val="24"/>
          <w:szCs w:val="24"/>
        </w:rPr>
        <w:t>Dualux</w:t>
      </w:r>
      <w:proofErr w:type="spellEnd"/>
      <w:r w:rsidRPr="00372B66">
        <w:rPr>
          <w:sz w:val="24"/>
          <w:szCs w:val="24"/>
        </w:rPr>
        <w:t xml:space="preserve"> bør derfor ikke anvendes under graviditet (se pkt. 5.3). </w:t>
      </w:r>
    </w:p>
    <w:p w14:paraId="508389F8" w14:textId="77777777" w:rsidR="00733D19" w:rsidRDefault="00733D19" w:rsidP="008D55AB">
      <w:pPr>
        <w:ind w:left="851"/>
        <w:rPr>
          <w:sz w:val="24"/>
          <w:szCs w:val="24"/>
        </w:rPr>
      </w:pPr>
    </w:p>
    <w:p w14:paraId="1C02AC2A" w14:textId="7AACC160" w:rsidR="00F4025A" w:rsidRPr="00733D19" w:rsidRDefault="00F4025A" w:rsidP="008D55AB">
      <w:pPr>
        <w:ind w:left="851"/>
        <w:rPr>
          <w:sz w:val="24"/>
          <w:szCs w:val="24"/>
          <w:u w:val="single"/>
        </w:rPr>
      </w:pPr>
      <w:r w:rsidRPr="00733D19">
        <w:rPr>
          <w:sz w:val="24"/>
          <w:szCs w:val="24"/>
          <w:u w:val="single"/>
        </w:rPr>
        <w:t>Amning</w:t>
      </w:r>
    </w:p>
    <w:p w14:paraId="71E05A03" w14:textId="77777777" w:rsidR="00733D19" w:rsidRDefault="00733D19" w:rsidP="008D55AB">
      <w:pPr>
        <w:ind w:left="851"/>
        <w:rPr>
          <w:sz w:val="24"/>
          <w:szCs w:val="24"/>
        </w:rPr>
      </w:pPr>
    </w:p>
    <w:p w14:paraId="10C0CE7A" w14:textId="2DDA6C82" w:rsidR="00F4025A" w:rsidRPr="00372B66" w:rsidRDefault="00F4025A" w:rsidP="008D55AB">
      <w:pPr>
        <w:ind w:left="851"/>
        <w:rPr>
          <w:sz w:val="24"/>
          <w:szCs w:val="24"/>
        </w:rPr>
      </w:pPr>
      <w:r w:rsidRPr="00372B66">
        <w:rPr>
          <w:sz w:val="24"/>
          <w:szCs w:val="24"/>
        </w:rPr>
        <w:t xml:space="preserve">Betablokkere udskilles i modermælken. Ved terapeutiske doser af </w:t>
      </w:r>
      <w:proofErr w:type="spellStart"/>
      <w:r w:rsidRPr="00372B66">
        <w:rPr>
          <w:sz w:val="24"/>
          <w:szCs w:val="24"/>
        </w:rPr>
        <w:t>timolol</w:t>
      </w:r>
      <w:proofErr w:type="spellEnd"/>
      <w:r w:rsidRPr="00372B66">
        <w:rPr>
          <w:sz w:val="24"/>
          <w:szCs w:val="24"/>
        </w:rPr>
        <w:t xml:space="preserve"> i øjendråber er det dog ikke sandsynligt, at der vil være tilstrækkelige mængder i modermælken til at fremkalde kliniske symptomer på</w:t>
      </w:r>
      <w:r w:rsidR="007B2111">
        <w:rPr>
          <w:sz w:val="24"/>
          <w:szCs w:val="24"/>
        </w:rPr>
        <w:t xml:space="preserve"> </w:t>
      </w:r>
      <w:r w:rsidRPr="00372B66">
        <w:rPr>
          <w:sz w:val="24"/>
          <w:szCs w:val="24"/>
        </w:rPr>
        <w:t>betablokade hos spædbarnet. For at reducere den systemiske absorption, se pkt. 4.2.</w:t>
      </w:r>
    </w:p>
    <w:p w14:paraId="4FBDD82A" w14:textId="77777777" w:rsidR="00F4025A" w:rsidRPr="00372B66" w:rsidRDefault="00F4025A" w:rsidP="008D55AB">
      <w:pPr>
        <w:ind w:left="851"/>
        <w:rPr>
          <w:sz w:val="24"/>
          <w:szCs w:val="24"/>
        </w:rPr>
      </w:pPr>
    </w:p>
    <w:p w14:paraId="411AA5CA" w14:textId="77777777" w:rsidR="00F4025A" w:rsidRPr="00372B66" w:rsidRDefault="00F4025A" w:rsidP="008D55AB">
      <w:pPr>
        <w:ind w:left="851"/>
        <w:rPr>
          <w:sz w:val="24"/>
          <w:szCs w:val="24"/>
        </w:rPr>
      </w:pPr>
      <w:proofErr w:type="spellStart"/>
      <w:r w:rsidRPr="00372B66">
        <w:rPr>
          <w:sz w:val="24"/>
          <w:szCs w:val="24"/>
        </w:rPr>
        <w:t>Latanoprost</w:t>
      </w:r>
      <w:proofErr w:type="spellEnd"/>
      <w:r w:rsidRPr="00372B66">
        <w:rPr>
          <w:sz w:val="24"/>
          <w:szCs w:val="24"/>
        </w:rPr>
        <w:t xml:space="preserve"> og dets metabolitter kan udskilles i modermælken. </w:t>
      </w:r>
      <w:proofErr w:type="spellStart"/>
      <w:r w:rsidRPr="00372B66">
        <w:rPr>
          <w:sz w:val="24"/>
          <w:szCs w:val="24"/>
        </w:rPr>
        <w:t>Dualux</w:t>
      </w:r>
      <w:proofErr w:type="spellEnd"/>
      <w:r w:rsidRPr="00372B66">
        <w:rPr>
          <w:sz w:val="24"/>
          <w:szCs w:val="24"/>
        </w:rPr>
        <w:t xml:space="preserve"> bør derfor ikke anvendes til ammende kvinder.</w:t>
      </w:r>
    </w:p>
    <w:p w14:paraId="36570AC1" w14:textId="77777777" w:rsidR="00F4025A" w:rsidRPr="00372B66" w:rsidRDefault="00F4025A" w:rsidP="008D55AB">
      <w:pPr>
        <w:ind w:left="851"/>
        <w:rPr>
          <w:sz w:val="24"/>
          <w:szCs w:val="24"/>
        </w:rPr>
      </w:pPr>
    </w:p>
    <w:p w14:paraId="444455D2" w14:textId="77777777" w:rsidR="00F4025A" w:rsidRPr="00733D19" w:rsidRDefault="00F4025A" w:rsidP="008D55AB">
      <w:pPr>
        <w:ind w:left="851"/>
        <w:rPr>
          <w:sz w:val="24"/>
          <w:szCs w:val="24"/>
          <w:u w:val="single"/>
        </w:rPr>
      </w:pPr>
      <w:r w:rsidRPr="00733D19">
        <w:rPr>
          <w:sz w:val="24"/>
          <w:szCs w:val="24"/>
          <w:u w:val="single"/>
        </w:rPr>
        <w:t>Fertilitet</w:t>
      </w:r>
    </w:p>
    <w:p w14:paraId="0C9D2C9D" w14:textId="77777777" w:rsidR="00F4025A" w:rsidRPr="00372B66" w:rsidRDefault="00F4025A" w:rsidP="008D55AB">
      <w:pPr>
        <w:ind w:left="851"/>
        <w:rPr>
          <w:sz w:val="24"/>
          <w:szCs w:val="24"/>
        </w:rPr>
      </w:pPr>
    </w:p>
    <w:p w14:paraId="04C535EA" w14:textId="77777777" w:rsidR="00F4025A" w:rsidRPr="00372B66" w:rsidRDefault="00F4025A" w:rsidP="008D55AB">
      <w:pPr>
        <w:ind w:left="851"/>
        <w:rPr>
          <w:sz w:val="24"/>
          <w:szCs w:val="24"/>
        </w:rPr>
      </w:pPr>
      <w:r w:rsidRPr="00372B66">
        <w:rPr>
          <w:sz w:val="24"/>
          <w:szCs w:val="24"/>
        </w:rPr>
        <w:t xml:space="preserve">Hverken </w:t>
      </w:r>
      <w:proofErr w:type="spellStart"/>
      <w:r w:rsidRPr="00372B66">
        <w:rPr>
          <w:sz w:val="24"/>
          <w:szCs w:val="24"/>
        </w:rPr>
        <w:t>latanoprost</w:t>
      </w:r>
      <w:proofErr w:type="spellEnd"/>
      <w:r w:rsidRPr="00372B66">
        <w:rPr>
          <w:sz w:val="24"/>
          <w:szCs w:val="24"/>
        </w:rPr>
        <w:t xml:space="preserve"> eller </w:t>
      </w:r>
      <w:proofErr w:type="spellStart"/>
      <w:r w:rsidRPr="00372B66">
        <w:rPr>
          <w:sz w:val="24"/>
          <w:szCs w:val="24"/>
        </w:rPr>
        <w:t>timolol</w:t>
      </w:r>
      <w:proofErr w:type="spellEnd"/>
      <w:r w:rsidRPr="00372B66">
        <w:rPr>
          <w:sz w:val="24"/>
          <w:szCs w:val="24"/>
        </w:rPr>
        <w:t xml:space="preserve"> er fundet at have nogen indvirkning på fertiliteten hos hanner eller hunner i dyreforsøg.</w:t>
      </w:r>
    </w:p>
    <w:p w14:paraId="1BA481BF" w14:textId="77777777" w:rsidR="009260DE" w:rsidRPr="00372B66" w:rsidRDefault="009260DE" w:rsidP="009260DE">
      <w:pPr>
        <w:tabs>
          <w:tab w:val="left" w:pos="851"/>
        </w:tabs>
        <w:ind w:left="851"/>
        <w:rPr>
          <w:sz w:val="24"/>
          <w:szCs w:val="24"/>
        </w:rPr>
      </w:pPr>
    </w:p>
    <w:p w14:paraId="11124F7C" w14:textId="77777777" w:rsidR="009260DE" w:rsidRPr="00372B66" w:rsidRDefault="009260DE" w:rsidP="009260DE">
      <w:pPr>
        <w:tabs>
          <w:tab w:val="left" w:pos="851"/>
        </w:tabs>
        <w:ind w:left="851" w:hanging="851"/>
        <w:rPr>
          <w:b/>
          <w:sz w:val="24"/>
          <w:szCs w:val="24"/>
        </w:rPr>
      </w:pPr>
      <w:r w:rsidRPr="00372B66">
        <w:rPr>
          <w:b/>
          <w:sz w:val="24"/>
          <w:szCs w:val="24"/>
        </w:rPr>
        <w:t>4.7</w:t>
      </w:r>
      <w:r w:rsidRPr="00372B66">
        <w:rPr>
          <w:b/>
          <w:sz w:val="24"/>
          <w:szCs w:val="24"/>
        </w:rPr>
        <w:tab/>
        <w:t xml:space="preserve">Virkning på evnen til at føre motorkøretøj </w:t>
      </w:r>
      <w:r w:rsidR="0071241E" w:rsidRPr="00372B66">
        <w:rPr>
          <w:b/>
          <w:sz w:val="24"/>
          <w:szCs w:val="24"/>
        </w:rPr>
        <w:t>og</w:t>
      </w:r>
      <w:r w:rsidRPr="00372B66">
        <w:rPr>
          <w:b/>
          <w:sz w:val="24"/>
          <w:szCs w:val="24"/>
        </w:rPr>
        <w:t xml:space="preserve"> betjene maskiner</w:t>
      </w:r>
    </w:p>
    <w:p w14:paraId="4A0A9A34" w14:textId="77777777" w:rsidR="00733D19" w:rsidRDefault="00733D19" w:rsidP="008D55AB">
      <w:pPr>
        <w:ind w:left="851"/>
        <w:rPr>
          <w:sz w:val="24"/>
          <w:szCs w:val="24"/>
        </w:rPr>
      </w:pPr>
      <w:r>
        <w:rPr>
          <w:sz w:val="24"/>
          <w:szCs w:val="24"/>
        </w:rPr>
        <w:t>Ikke mærkning.</w:t>
      </w:r>
    </w:p>
    <w:p w14:paraId="6C392CA9" w14:textId="63A19CD6" w:rsidR="00F4025A" w:rsidRPr="00372B66" w:rsidRDefault="00F4025A" w:rsidP="008D55AB">
      <w:pPr>
        <w:ind w:left="851"/>
        <w:rPr>
          <w:sz w:val="24"/>
          <w:szCs w:val="24"/>
        </w:rPr>
      </w:pPr>
      <w:proofErr w:type="spellStart"/>
      <w:r w:rsidRPr="00372B66">
        <w:rPr>
          <w:sz w:val="24"/>
          <w:szCs w:val="24"/>
        </w:rPr>
        <w:t>Dualux</w:t>
      </w:r>
      <w:proofErr w:type="spellEnd"/>
      <w:r w:rsidRPr="00372B66">
        <w:rPr>
          <w:sz w:val="24"/>
          <w:szCs w:val="24"/>
        </w:rPr>
        <w:t xml:space="preserve"> påvirker i mindre grad evnen til at føre motorkøretøj og betjene maskiner. </w:t>
      </w:r>
      <w:proofErr w:type="spellStart"/>
      <w:r w:rsidRPr="00372B66">
        <w:rPr>
          <w:sz w:val="24"/>
          <w:szCs w:val="24"/>
        </w:rPr>
        <w:t>Inddrypning</w:t>
      </w:r>
      <w:proofErr w:type="spellEnd"/>
      <w:r w:rsidRPr="00372B66">
        <w:rPr>
          <w:sz w:val="24"/>
          <w:szCs w:val="24"/>
        </w:rPr>
        <w:t xml:space="preserve"> af øjendråber kan forårsage forbigående sløret syn. Indtil synet er vendt tilbage, bør patienterne undlade at føre motorkøretøj eller betjene maskiner.</w:t>
      </w:r>
    </w:p>
    <w:p w14:paraId="7967D840" w14:textId="77777777" w:rsidR="009260DE" w:rsidRPr="00372B66" w:rsidRDefault="009260DE" w:rsidP="009260DE">
      <w:pPr>
        <w:tabs>
          <w:tab w:val="left" w:pos="851"/>
        </w:tabs>
        <w:ind w:left="851"/>
        <w:rPr>
          <w:sz w:val="24"/>
          <w:szCs w:val="24"/>
        </w:rPr>
      </w:pPr>
    </w:p>
    <w:p w14:paraId="1FE0087C" w14:textId="77777777" w:rsidR="009260DE" w:rsidRPr="00372B66" w:rsidRDefault="009260DE" w:rsidP="009260DE">
      <w:pPr>
        <w:tabs>
          <w:tab w:val="left" w:pos="851"/>
        </w:tabs>
        <w:ind w:left="851" w:hanging="851"/>
        <w:rPr>
          <w:b/>
          <w:sz w:val="24"/>
          <w:szCs w:val="24"/>
        </w:rPr>
      </w:pPr>
      <w:r w:rsidRPr="00372B66">
        <w:rPr>
          <w:b/>
          <w:sz w:val="24"/>
          <w:szCs w:val="24"/>
        </w:rPr>
        <w:t>4.8</w:t>
      </w:r>
      <w:r w:rsidRPr="00372B66">
        <w:rPr>
          <w:b/>
          <w:sz w:val="24"/>
          <w:szCs w:val="24"/>
        </w:rPr>
        <w:tab/>
        <w:t>Bivirkninger</w:t>
      </w:r>
    </w:p>
    <w:p w14:paraId="2A3AC9C3" w14:textId="77777777" w:rsidR="00F4025A" w:rsidRPr="00372B66" w:rsidRDefault="00F4025A" w:rsidP="008D55AB">
      <w:pPr>
        <w:ind w:left="851"/>
        <w:rPr>
          <w:sz w:val="24"/>
          <w:szCs w:val="24"/>
        </w:rPr>
      </w:pPr>
      <w:r w:rsidRPr="00372B66">
        <w:rPr>
          <w:sz w:val="24"/>
          <w:szCs w:val="24"/>
        </w:rPr>
        <w:t xml:space="preserve">For </w:t>
      </w:r>
      <w:proofErr w:type="spellStart"/>
      <w:r w:rsidRPr="00372B66">
        <w:rPr>
          <w:sz w:val="24"/>
          <w:szCs w:val="24"/>
        </w:rPr>
        <w:t>latanoprost</w:t>
      </w:r>
      <w:proofErr w:type="spellEnd"/>
      <w:r w:rsidRPr="00372B66">
        <w:rPr>
          <w:sz w:val="24"/>
          <w:szCs w:val="24"/>
        </w:rPr>
        <w:t xml:space="preserve"> er de fleste bivirkninger relateret til det </w:t>
      </w:r>
      <w:proofErr w:type="spellStart"/>
      <w:r w:rsidRPr="00372B66">
        <w:rPr>
          <w:sz w:val="24"/>
          <w:szCs w:val="24"/>
        </w:rPr>
        <w:t>okulære</w:t>
      </w:r>
      <w:proofErr w:type="spellEnd"/>
      <w:r w:rsidRPr="00372B66">
        <w:rPr>
          <w:sz w:val="24"/>
          <w:szCs w:val="24"/>
        </w:rPr>
        <w:t xml:space="preserve"> system. I data fra forlængelsesfasen af hovedundersøgelserne med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udviklede 16-20 % af patienterne øget irispigmentering, som kan være permanent. I et åbent 5-årigt </w:t>
      </w:r>
      <w:r w:rsidRPr="00372B66">
        <w:rPr>
          <w:sz w:val="24"/>
          <w:szCs w:val="24"/>
        </w:rPr>
        <w:lastRenderedPageBreak/>
        <w:t xml:space="preserve">sikkerhedsforsøg med </w:t>
      </w:r>
      <w:proofErr w:type="spellStart"/>
      <w:r w:rsidRPr="00372B66">
        <w:rPr>
          <w:sz w:val="24"/>
          <w:szCs w:val="24"/>
        </w:rPr>
        <w:t>latanoprost</w:t>
      </w:r>
      <w:proofErr w:type="spellEnd"/>
      <w:r w:rsidRPr="00372B66">
        <w:rPr>
          <w:sz w:val="24"/>
          <w:szCs w:val="24"/>
        </w:rPr>
        <w:t xml:space="preserve"> udviklede 33 % af patienterne irispigmentering (se pkt. 4.4). Andre </w:t>
      </w:r>
      <w:proofErr w:type="spellStart"/>
      <w:r w:rsidRPr="00372B66">
        <w:rPr>
          <w:sz w:val="24"/>
          <w:szCs w:val="24"/>
        </w:rPr>
        <w:t>okulære</w:t>
      </w:r>
      <w:proofErr w:type="spellEnd"/>
      <w:r w:rsidRPr="00372B66">
        <w:rPr>
          <w:sz w:val="24"/>
          <w:szCs w:val="24"/>
        </w:rPr>
        <w:t xml:space="preserve"> bivirkninger er generelt forbigående og forekommer ved dosering. For </w:t>
      </w:r>
      <w:proofErr w:type="spellStart"/>
      <w:r w:rsidRPr="00372B66">
        <w:rPr>
          <w:sz w:val="24"/>
          <w:szCs w:val="24"/>
        </w:rPr>
        <w:t>timolol</w:t>
      </w:r>
      <w:proofErr w:type="spellEnd"/>
      <w:r w:rsidRPr="00372B66">
        <w:rPr>
          <w:sz w:val="24"/>
          <w:szCs w:val="24"/>
        </w:rPr>
        <w:t xml:space="preserve"> er de mest alvorlige bivirkninger systemiske, herunder bradykardi, </w:t>
      </w:r>
      <w:proofErr w:type="spellStart"/>
      <w:r w:rsidRPr="00372B66">
        <w:rPr>
          <w:sz w:val="24"/>
          <w:szCs w:val="24"/>
        </w:rPr>
        <w:t>arytmi</w:t>
      </w:r>
      <w:proofErr w:type="spellEnd"/>
      <w:r w:rsidRPr="00372B66">
        <w:rPr>
          <w:sz w:val="24"/>
          <w:szCs w:val="24"/>
        </w:rPr>
        <w:t xml:space="preserve">, kongestiv hjerteinsufficiens, </w:t>
      </w:r>
      <w:proofErr w:type="spellStart"/>
      <w:r w:rsidRPr="00372B66">
        <w:rPr>
          <w:sz w:val="24"/>
          <w:szCs w:val="24"/>
        </w:rPr>
        <w:t>bronkospasme</w:t>
      </w:r>
      <w:proofErr w:type="spellEnd"/>
      <w:r w:rsidRPr="00372B66">
        <w:rPr>
          <w:sz w:val="24"/>
          <w:szCs w:val="24"/>
        </w:rPr>
        <w:t xml:space="preserve"> og allergiske reaktioner.</w:t>
      </w:r>
    </w:p>
    <w:p w14:paraId="2C5AFD15" w14:textId="77777777" w:rsidR="00F4025A" w:rsidRPr="00372B66" w:rsidRDefault="00F4025A" w:rsidP="008D55AB">
      <w:pPr>
        <w:ind w:left="851"/>
        <w:rPr>
          <w:sz w:val="24"/>
          <w:szCs w:val="24"/>
        </w:rPr>
      </w:pPr>
    </w:p>
    <w:p w14:paraId="39ABCDCB" w14:textId="77777777" w:rsidR="00F4025A" w:rsidRPr="00372B66" w:rsidRDefault="00F4025A" w:rsidP="008D55AB">
      <w:pPr>
        <w:ind w:left="851"/>
        <w:rPr>
          <w:sz w:val="24"/>
          <w:szCs w:val="24"/>
        </w:rPr>
      </w:pPr>
      <w:proofErr w:type="spellStart"/>
      <w:r w:rsidRPr="00372B66">
        <w:rPr>
          <w:sz w:val="24"/>
          <w:szCs w:val="24"/>
        </w:rPr>
        <w:t>Timolol</w:t>
      </w:r>
      <w:proofErr w:type="spellEnd"/>
      <w:r w:rsidRPr="00372B66">
        <w:rPr>
          <w:sz w:val="24"/>
          <w:szCs w:val="24"/>
        </w:rPr>
        <w:t xml:space="preserve"> absorberes i den systemiske cirkulation. Dette kan forårsage lignende uønskede virkninger som ved systemiske betablokkere. Forekomsten af systemiske bivirkninger efter topisk </w:t>
      </w:r>
      <w:proofErr w:type="spellStart"/>
      <w:r w:rsidRPr="00372B66">
        <w:rPr>
          <w:sz w:val="24"/>
          <w:szCs w:val="24"/>
        </w:rPr>
        <w:t>oftalmisk</w:t>
      </w:r>
      <w:proofErr w:type="spellEnd"/>
      <w:r w:rsidRPr="00372B66">
        <w:rPr>
          <w:sz w:val="24"/>
          <w:szCs w:val="24"/>
        </w:rPr>
        <w:t xml:space="preserve"> administration er lavere end ved systemisk administration. De anførte bivirkninger omfatter reaktioner, der er set inden for klassen af </w:t>
      </w:r>
      <w:proofErr w:type="spellStart"/>
      <w:r w:rsidRPr="00372B66">
        <w:rPr>
          <w:sz w:val="24"/>
          <w:szCs w:val="24"/>
        </w:rPr>
        <w:t>oftalmiske</w:t>
      </w:r>
      <w:proofErr w:type="spellEnd"/>
      <w:r w:rsidRPr="00372B66">
        <w:rPr>
          <w:sz w:val="24"/>
          <w:szCs w:val="24"/>
        </w:rPr>
        <w:t xml:space="preserve"> betablokkere.</w:t>
      </w:r>
    </w:p>
    <w:p w14:paraId="0F02C34F" w14:textId="77777777" w:rsidR="00F4025A" w:rsidRPr="00372B66" w:rsidRDefault="00F4025A" w:rsidP="008D55AB">
      <w:pPr>
        <w:ind w:left="851"/>
        <w:rPr>
          <w:sz w:val="24"/>
          <w:szCs w:val="24"/>
        </w:rPr>
      </w:pPr>
    </w:p>
    <w:p w14:paraId="780B6A03" w14:textId="77777777" w:rsidR="00F4025A" w:rsidRPr="00372B66" w:rsidRDefault="00F4025A" w:rsidP="008D55AB">
      <w:pPr>
        <w:ind w:left="851"/>
        <w:rPr>
          <w:sz w:val="24"/>
          <w:szCs w:val="24"/>
        </w:rPr>
      </w:pPr>
      <w:r w:rsidRPr="00372B66">
        <w:rPr>
          <w:sz w:val="24"/>
          <w:szCs w:val="24"/>
        </w:rPr>
        <w:t xml:space="preserve">De behandlingsrelaterede bivirkninger, der er set i kliniske undersøgelser med </w:t>
      </w:r>
      <w:proofErr w:type="spellStart"/>
      <w:r w:rsidRPr="00372B66">
        <w:rPr>
          <w:sz w:val="24"/>
          <w:szCs w:val="24"/>
        </w:rPr>
        <w:t>latanoprost</w:t>
      </w:r>
      <w:proofErr w:type="spellEnd"/>
      <w:r w:rsidRPr="00372B66">
        <w:rPr>
          <w:sz w:val="24"/>
          <w:szCs w:val="24"/>
        </w:rPr>
        <w:t xml:space="preserve"> og </w:t>
      </w:r>
      <w:proofErr w:type="spellStart"/>
      <w:r w:rsidRPr="00372B66">
        <w:rPr>
          <w:sz w:val="24"/>
          <w:szCs w:val="24"/>
        </w:rPr>
        <w:t>timolol</w:t>
      </w:r>
      <w:proofErr w:type="spellEnd"/>
      <w:r w:rsidRPr="00372B66">
        <w:rPr>
          <w:sz w:val="24"/>
          <w:szCs w:val="24"/>
        </w:rPr>
        <w:t xml:space="preserve"> i fast dosiskombination, er anført nedenfor.</w:t>
      </w:r>
    </w:p>
    <w:p w14:paraId="4B954168" w14:textId="5EDA0C09" w:rsidR="00F4025A" w:rsidRPr="00372B66" w:rsidRDefault="00F4025A" w:rsidP="008D55AB">
      <w:pPr>
        <w:ind w:left="851"/>
        <w:rPr>
          <w:sz w:val="24"/>
          <w:szCs w:val="24"/>
        </w:rPr>
      </w:pPr>
      <w:r w:rsidRPr="00372B66">
        <w:rPr>
          <w:sz w:val="24"/>
          <w:szCs w:val="24"/>
        </w:rPr>
        <w:t>Bivirkningerne er kategoriseret efter hyppighed som følger: meget almindelige (≥1/10), almindelige (≥1/100 til</w:t>
      </w:r>
      <w:r w:rsidR="00733D19">
        <w:rPr>
          <w:sz w:val="24"/>
          <w:szCs w:val="24"/>
        </w:rPr>
        <w:t xml:space="preserve"> </w:t>
      </w:r>
      <w:r w:rsidRPr="00372B66">
        <w:rPr>
          <w:sz w:val="24"/>
          <w:szCs w:val="24"/>
        </w:rPr>
        <w:t>&lt;1/10), sjældne (≥1/1.000 til &lt;1/100), meget sjældne (≥1/10.000 til &lt;1/1.000) og meget sjældne (&lt;1/10.000), ikke kendt (kan ikke estimeres ud fra forhåndenværende data).</w:t>
      </w:r>
    </w:p>
    <w:p w14:paraId="37FB04FA" w14:textId="77777777" w:rsidR="00F4025A" w:rsidRPr="00372B66" w:rsidRDefault="00F4025A" w:rsidP="008D55AB">
      <w:pPr>
        <w:ind w:left="851"/>
        <w:rPr>
          <w:sz w:val="24"/>
          <w:szCs w:val="24"/>
        </w:rPr>
      </w:pPr>
    </w:p>
    <w:p w14:paraId="33FACEA0" w14:textId="02F02C55" w:rsidR="00F4025A" w:rsidRDefault="00F4025A" w:rsidP="00733D19">
      <w:pPr>
        <w:rPr>
          <w:b/>
          <w:sz w:val="24"/>
          <w:szCs w:val="24"/>
        </w:rPr>
      </w:pPr>
      <w:r w:rsidRPr="00733D19">
        <w:rPr>
          <w:b/>
          <w:sz w:val="24"/>
          <w:szCs w:val="24"/>
        </w:rPr>
        <w:t xml:space="preserve">Tabel 1: Bivirkninger observeret i forsøg med fastdosiskombination af </w:t>
      </w:r>
      <w:proofErr w:type="spellStart"/>
      <w:r w:rsidRPr="00733D19">
        <w:rPr>
          <w:b/>
          <w:sz w:val="24"/>
          <w:szCs w:val="24"/>
        </w:rPr>
        <w:t>latanoprost</w:t>
      </w:r>
      <w:proofErr w:type="spellEnd"/>
      <w:r w:rsidRPr="00733D19">
        <w:rPr>
          <w:b/>
          <w:sz w:val="24"/>
          <w:szCs w:val="24"/>
        </w:rPr>
        <w:t xml:space="preserve"> og </w:t>
      </w:r>
      <w:proofErr w:type="spellStart"/>
      <w:r w:rsidRPr="00733D19">
        <w:rPr>
          <w:b/>
          <w:sz w:val="24"/>
          <w:szCs w:val="24"/>
        </w:rPr>
        <w:t>timolol</w:t>
      </w:r>
      <w:proofErr w:type="spellEnd"/>
    </w:p>
    <w:p w14:paraId="52E16563" w14:textId="77777777" w:rsidR="00733D19" w:rsidRPr="00733D19" w:rsidRDefault="00733D19" w:rsidP="00733D19">
      <w:pPr>
        <w:rPr>
          <w:b/>
          <w:sz w:val="24"/>
          <w:szCs w:val="24"/>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2"/>
        <w:gridCol w:w="2082"/>
        <w:gridCol w:w="2082"/>
        <w:gridCol w:w="3052"/>
      </w:tblGrid>
      <w:tr w:rsidR="00F4025A" w:rsidRPr="00372B66" w14:paraId="2888EE6D" w14:textId="77777777" w:rsidTr="008D55AB">
        <w:trPr>
          <w:trHeight w:val="1011"/>
        </w:trPr>
        <w:tc>
          <w:tcPr>
            <w:tcW w:w="1252" w:type="pct"/>
            <w:tcBorders>
              <w:top w:val="single" w:sz="4" w:space="0" w:color="000000"/>
              <w:left w:val="single" w:sz="4" w:space="0" w:color="000000"/>
              <w:bottom w:val="single" w:sz="4" w:space="0" w:color="000000"/>
              <w:right w:val="single" w:sz="4" w:space="0" w:color="000000"/>
            </w:tcBorders>
            <w:hideMark/>
          </w:tcPr>
          <w:p w14:paraId="37D5A7DE" w14:textId="77777777" w:rsidR="00F4025A" w:rsidRPr="00372B66" w:rsidRDefault="00F4025A" w:rsidP="00733D19">
            <w:pPr>
              <w:pStyle w:val="TableParagraph"/>
              <w:ind w:left="57" w:right="57"/>
              <w:jc w:val="both"/>
              <w:rPr>
                <w:rFonts w:ascii="Times New Roman" w:hAnsi="Times New Roman" w:cs="Times New Roman"/>
                <w:b/>
                <w:sz w:val="24"/>
                <w:szCs w:val="24"/>
              </w:rPr>
            </w:pPr>
            <w:r w:rsidRPr="00372B66">
              <w:rPr>
                <w:rFonts w:ascii="Times New Roman" w:hAnsi="Times New Roman" w:cs="Times New Roman"/>
                <w:b/>
                <w:sz w:val="24"/>
                <w:szCs w:val="24"/>
              </w:rPr>
              <w:t>Systemorganklasse</w:t>
            </w:r>
          </w:p>
        </w:tc>
        <w:tc>
          <w:tcPr>
            <w:tcW w:w="1081" w:type="pct"/>
            <w:tcBorders>
              <w:top w:val="single" w:sz="4" w:space="0" w:color="000000"/>
              <w:left w:val="single" w:sz="4" w:space="0" w:color="000000"/>
              <w:bottom w:val="single" w:sz="4" w:space="0" w:color="000000"/>
              <w:right w:val="single" w:sz="4" w:space="0" w:color="000000"/>
            </w:tcBorders>
            <w:hideMark/>
          </w:tcPr>
          <w:p w14:paraId="1A95BE07" w14:textId="77777777" w:rsidR="00F4025A" w:rsidRPr="00372B66" w:rsidRDefault="00F4025A" w:rsidP="00733D19">
            <w:pPr>
              <w:pStyle w:val="TableParagraph"/>
              <w:ind w:left="57" w:right="57"/>
              <w:jc w:val="both"/>
              <w:rPr>
                <w:rFonts w:ascii="Times New Roman" w:hAnsi="Times New Roman" w:cs="Times New Roman"/>
                <w:b/>
                <w:sz w:val="24"/>
                <w:szCs w:val="24"/>
              </w:rPr>
            </w:pPr>
            <w:r w:rsidRPr="00372B66">
              <w:rPr>
                <w:rFonts w:ascii="Times New Roman" w:hAnsi="Times New Roman" w:cs="Times New Roman"/>
                <w:b/>
                <w:sz w:val="24"/>
                <w:szCs w:val="24"/>
              </w:rPr>
              <w:t>Meget almindelig</w:t>
            </w:r>
          </w:p>
          <w:p w14:paraId="7DA7C5DE" w14:textId="77777777" w:rsidR="00F4025A" w:rsidRPr="00372B66" w:rsidRDefault="00F4025A" w:rsidP="00733D19">
            <w:pPr>
              <w:pStyle w:val="TableParagraph"/>
              <w:ind w:left="57" w:right="57"/>
              <w:jc w:val="both"/>
              <w:rPr>
                <w:rFonts w:ascii="Times New Roman" w:hAnsi="Times New Roman" w:cs="Times New Roman"/>
                <w:b/>
                <w:sz w:val="24"/>
                <w:szCs w:val="24"/>
              </w:rPr>
            </w:pPr>
            <w:r w:rsidRPr="00372B66">
              <w:rPr>
                <w:rFonts w:ascii="Times New Roman" w:hAnsi="Times New Roman" w:cs="Times New Roman"/>
                <w:b/>
                <w:sz w:val="24"/>
                <w:szCs w:val="24"/>
              </w:rPr>
              <w:t>(≥1/10)</w:t>
            </w:r>
          </w:p>
        </w:tc>
        <w:tc>
          <w:tcPr>
            <w:tcW w:w="1081" w:type="pct"/>
            <w:tcBorders>
              <w:top w:val="single" w:sz="4" w:space="0" w:color="000000"/>
              <w:left w:val="single" w:sz="4" w:space="0" w:color="000000"/>
              <w:bottom w:val="single" w:sz="4" w:space="0" w:color="000000"/>
              <w:right w:val="single" w:sz="4" w:space="0" w:color="000000"/>
            </w:tcBorders>
            <w:hideMark/>
          </w:tcPr>
          <w:p w14:paraId="285EBFC0" w14:textId="77777777" w:rsidR="00F4025A" w:rsidRPr="00372B66" w:rsidRDefault="00F4025A" w:rsidP="00733D19">
            <w:pPr>
              <w:pStyle w:val="TableParagraph"/>
              <w:ind w:left="57" w:right="57"/>
              <w:jc w:val="both"/>
              <w:rPr>
                <w:rFonts w:ascii="Times New Roman" w:hAnsi="Times New Roman" w:cs="Times New Roman"/>
                <w:b/>
                <w:sz w:val="24"/>
                <w:szCs w:val="24"/>
              </w:rPr>
            </w:pPr>
            <w:r w:rsidRPr="00372B66">
              <w:rPr>
                <w:rFonts w:ascii="Times New Roman" w:hAnsi="Times New Roman" w:cs="Times New Roman"/>
                <w:b/>
                <w:sz w:val="24"/>
                <w:szCs w:val="24"/>
              </w:rPr>
              <w:t>Almindelig</w:t>
            </w:r>
          </w:p>
          <w:p w14:paraId="55EEE404" w14:textId="77777777" w:rsidR="00F4025A" w:rsidRPr="00372B66" w:rsidRDefault="00F4025A" w:rsidP="00733D19">
            <w:pPr>
              <w:pStyle w:val="TableParagraph"/>
              <w:ind w:left="57" w:right="57"/>
              <w:jc w:val="both"/>
              <w:rPr>
                <w:rFonts w:ascii="Times New Roman" w:hAnsi="Times New Roman" w:cs="Times New Roman"/>
                <w:b/>
                <w:sz w:val="24"/>
                <w:szCs w:val="24"/>
              </w:rPr>
            </w:pPr>
            <w:r w:rsidRPr="00372B66">
              <w:rPr>
                <w:rFonts w:ascii="Times New Roman" w:hAnsi="Times New Roman" w:cs="Times New Roman"/>
                <w:b/>
                <w:sz w:val="24"/>
                <w:szCs w:val="24"/>
              </w:rPr>
              <w:t>≥ 1/100 til &lt; 1/10</w:t>
            </w:r>
          </w:p>
        </w:tc>
        <w:tc>
          <w:tcPr>
            <w:tcW w:w="1585" w:type="pct"/>
            <w:tcBorders>
              <w:top w:val="single" w:sz="4" w:space="0" w:color="000000"/>
              <w:left w:val="single" w:sz="4" w:space="0" w:color="000000"/>
              <w:bottom w:val="single" w:sz="4" w:space="0" w:color="000000"/>
              <w:right w:val="single" w:sz="4" w:space="0" w:color="000000"/>
            </w:tcBorders>
            <w:hideMark/>
          </w:tcPr>
          <w:p w14:paraId="48AE614B" w14:textId="77777777" w:rsidR="00F4025A" w:rsidRPr="00372B66" w:rsidRDefault="00F4025A" w:rsidP="00733D19">
            <w:pPr>
              <w:pStyle w:val="TableParagraph"/>
              <w:ind w:left="57" w:right="57"/>
              <w:jc w:val="both"/>
              <w:rPr>
                <w:rFonts w:ascii="Times New Roman" w:hAnsi="Times New Roman" w:cs="Times New Roman"/>
                <w:b/>
                <w:sz w:val="24"/>
                <w:szCs w:val="24"/>
              </w:rPr>
            </w:pPr>
            <w:r w:rsidRPr="00372B66">
              <w:rPr>
                <w:rFonts w:ascii="Times New Roman" w:hAnsi="Times New Roman" w:cs="Times New Roman"/>
                <w:b/>
                <w:sz w:val="24"/>
                <w:szCs w:val="24"/>
              </w:rPr>
              <w:t>Ikke almindelig</w:t>
            </w:r>
          </w:p>
          <w:p w14:paraId="64D74D0A" w14:textId="77777777" w:rsidR="00F4025A" w:rsidRPr="00372B66" w:rsidRDefault="00F4025A" w:rsidP="00733D19">
            <w:pPr>
              <w:pStyle w:val="TableParagraph"/>
              <w:ind w:left="57" w:right="57"/>
              <w:jc w:val="both"/>
              <w:rPr>
                <w:rFonts w:ascii="Times New Roman" w:hAnsi="Times New Roman" w:cs="Times New Roman"/>
                <w:b/>
                <w:sz w:val="24"/>
                <w:szCs w:val="24"/>
              </w:rPr>
            </w:pPr>
            <w:r w:rsidRPr="00372B66">
              <w:rPr>
                <w:rFonts w:ascii="Times New Roman" w:hAnsi="Times New Roman" w:cs="Times New Roman"/>
                <w:b/>
                <w:sz w:val="24"/>
                <w:szCs w:val="24"/>
              </w:rPr>
              <w:t>≥ 1/1.000 til</w:t>
            </w:r>
          </w:p>
          <w:p w14:paraId="32B36DD2" w14:textId="77777777" w:rsidR="00F4025A" w:rsidRPr="00372B66" w:rsidRDefault="00F4025A" w:rsidP="00733D19">
            <w:pPr>
              <w:pStyle w:val="TableParagraph"/>
              <w:ind w:left="57" w:right="57"/>
              <w:jc w:val="both"/>
              <w:rPr>
                <w:rFonts w:ascii="Times New Roman" w:hAnsi="Times New Roman" w:cs="Times New Roman"/>
                <w:b/>
                <w:sz w:val="24"/>
                <w:szCs w:val="24"/>
              </w:rPr>
            </w:pPr>
            <w:r w:rsidRPr="00372B66">
              <w:rPr>
                <w:rFonts w:ascii="Times New Roman" w:hAnsi="Times New Roman" w:cs="Times New Roman"/>
                <w:b/>
                <w:sz w:val="24"/>
                <w:szCs w:val="24"/>
              </w:rPr>
              <w:t>&lt; 1/100</w:t>
            </w:r>
          </w:p>
        </w:tc>
      </w:tr>
      <w:tr w:rsidR="00F4025A" w:rsidRPr="00372B66" w14:paraId="13CB5E72" w14:textId="77777777" w:rsidTr="008D55AB">
        <w:trPr>
          <w:trHeight w:val="505"/>
        </w:trPr>
        <w:tc>
          <w:tcPr>
            <w:tcW w:w="1252" w:type="pct"/>
            <w:tcBorders>
              <w:top w:val="single" w:sz="4" w:space="0" w:color="000000"/>
              <w:left w:val="single" w:sz="4" w:space="0" w:color="000000"/>
              <w:bottom w:val="single" w:sz="4" w:space="0" w:color="000000"/>
              <w:right w:val="single" w:sz="4" w:space="0" w:color="000000"/>
            </w:tcBorders>
            <w:hideMark/>
          </w:tcPr>
          <w:p w14:paraId="282F9CF9" w14:textId="77777777" w:rsidR="00F4025A" w:rsidRPr="00372B66" w:rsidRDefault="00F4025A" w:rsidP="00733D19">
            <w:pPr>
              <w:pStyle w:val="TableParagraph"/>
              <w:ind w:left="57" w:right="57"/>
              <w:jc w:val="both"/>
              <w:rPr>
                <w:rFonts w:ascii="Times New Roman" w:hAnsi="Times New Roman" w:cs="Times New Roman"/>
                <w:sz w:val="24"/>
                <w:szCs w:val="24"/>
              </w:rPr>
            </w:pPr>
            <w:r w:rsidRPr="00372B66">
              <w:rPr>
                <w:rFonts w:ascii="Times New Roman" w:hAnsi="Times New Roman" w:cs="Times New Roman"/>
                <w:sz w:val="24"/>
                <w:szCs w:val="24"/>
              </w:rPr>
              <w:t>Nervesystemet</w:t>
            </w:r>
          </w:p>
        </w:tc>
        <w:tc>
          <w:tcPr>
            <w:tcW w:w="1081" w:type="pct"/>
            <w:tcBorders>
              <w:top w:val="single" w:sz="4" w:space="0" w:color="000000"/>
              <w:left w:val="single" w:sz="4" w:space="0" w:color="000000"/>
              <w:bottom w:val="single" w:sz="4" w:space="0" w:color="000000"/>
              <w:right w:val="single" w:sz="4" w:space="0" w:color="000000"/>
            </w:tcBorders>
          </w:tcPr>
          <w:p w14:paraId="45A5B9F9" w14:textId="77777777" w:rsidR="00F4025A" w:rsidRPr="00372B66" w:rsidRDefault="00F4025A" w:rsidP="00733D19">
            <w:pPr>
              <w:pStyle w:val="TableParagraph"/>
              <w:ind w:left="57" w:right="57"/>
              <w:jc w:val="both"/>
              <w:rPr>
                <w:rFonts w:ascii="Times New Roman" w:hAnsi="Times New Roman" w:cs="Times New Roman"/>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01DC642C" w14:textId="77777777" w:rsidR="00F4025A" w:rsidRPr="00372B66" w:rsidRDefault="00F4025A" w:rsidP="00733D19">
            <w:pPr>
              <w:pStyle w:val="TableParagraph"/>
              <w:ind w:left="57" w:right="57"/>
              <w:jc w:val="both"/>
              <w:rPr>
                <w:rFonts w:ascii="Times New Roman" w:hAnsi="Times New Roman" w:cs="Times New Roman"/>
                <w:sz w:val="24"/>
                <w:szCs w:val="24"/>
              </w:rPr>
            </w:pPr>
          </w:p>
        </w:tc>
        <w:tc>
          <w:tcPr>
            <w:tcW w:w="1585" w:type="pct"/>
            <w:tcBorders>
              <w:top w:val="single" w:sz="4" w:space="0" w:color="000000"/>
              <w:left w:val="single" w:sz="4" w:space="0" w:color="000000"/>
              <w:bottom w:val="single" w:sz="4" w:space="0" w:color="000000"/>
              <w:right w:val="single" w:sz="4" w:space="0" w:color="000000"/>
            </w:tcBorders>
            <w:hideMark/>
          </w:tcPr>
          <w:p w14:paraId="7EFB8FDF" w14:textId="77777777" w:rsidR="00F4025A" w:rsidRPr="00372B66" w:rsidRDefault="00F4025A" w:rsidP="00733D19">
            <w:pPr>
              <w:pStyle w:val="TableParagraph"/>
              <w:ind w:left="57" w:right="57"/>
              <w:jc w:val="both"/>
              <w:rPr>
                <w:rFonts w:ascii="Times New Roman" w:hAnsi="Times New Roman" w:cs="Times New Roman"/>
                <w:sz w:val="24"/>
                <w:szCs w:val="24"/>
              </w:rPr>
            </w:pPr>
            <w:r w:rsidRPr="00372B66">
              <w:rPr>
                <w:rFonts w:ascii="Times New Roman" w:hAnsi="Times New Roman" w:cs="Times New Roman"/>
                <w:sz w:val="24"/>
                <w:szCs w:val="24"/>
              </w:rPr>
              <w:t>Hovedpine</w:t>
            </w:r>
          </w:p>
        </w:tc>
      </w:tr>
      <w:tr w:rsidR="00F4025A" w:rsidRPr="00372B66" w14:paraId="5CEA784B" w14:textId="77777777" w:rsidTr="008D55AB">
        <w:trPr>
          <w:trHeight w:val="1264"/>
        </w:trPr>
        <w:tc>
          <w:tcPr>
            <w:tcW w:w="1252" w:type="pct"/>
            <w:tcBorders>
              <w:top w:val="single" w:sz="4" w:space="0" w:color="000000"/>
              <w:left w:val="single" w:sz="4" w:space="0" w:color="000000"/>
              <w:bottom w:val="single" w:sz="4" w:space="0" w:color="000000"/>
              <w:right w:val="single" w:sz="4" w:space="0" w:color="000000"/>
            </w:tcBorders>
            <w:hideMark/>
          </w:tcPr>
          <w:p w14:paraId="7BF2EC57" w14:textId="77777777" w:rsidR="00F4025A" w:rsidRPr="00372B66" w:rsidRDefault="00F4025A" w:rsidP="00733D19">
            <w:pPr>
              <w:pStyle w:val="TableParagraph"/>
              <w:ind w:left="57" w:right="57"/>
              <w:jc w:val="both"/>
              <w:rPr>
                <w:rFonts w:ascii="Times New Roman" w:hAnsi="Times New Roman" w:cs="Times New Roman"/>
                <w:sz w:val="24"/>
                <w:szCs w:val="24"/>
              </w:rPr>
            </w:pPr>
            <w:r w:rsidRPr="00372B66">
              <w:rPr>
                <w:rFonts w:ascii="Times New Roman" w:hAnsi="Times New Roman" w:cs="Times New Roman"/>
                <w:sz w:val="24"/>
                <w:szCs w:val="24"/>
              </w:rPr>
              <w:t>Øjne</w:t>
            </w:r>
          </w:p>
        </w:tc>
        <w:tc>
          <w:tcPr>
            <w:tcW w:w="1081" w:type="pct"/>
            <w:tcBorders>
              <w:top w:val="single" w:sz="4" w:space="0" w:color="000000"/>
              <w:left w:val="single" w:sz="4" w:space="0" w:color="000000"/>
              <w:bottom w:val="single" w:sz="4" w:space="0" w:color="000000"/>
              <w:right w:val="single" w:sz="4" w:space="0" w:color="000000"/>
            </w:tcBorders>
            <w:hideMark/>
          </w:tcPr>
          <w:p w14:paraId="3161B6E6" w14:textId="77777777" w:rsidR="00F4025A" w:rsidRPr="00372B66" w:rsidRDefault="00F4025A" w:rsidP="00733D19">
            <w:pPr>
              <w:pStyle w:val="TableParagraph"/>
              <w:ind w:left="57" w:right="57"/>
              <w:jc w:val="both"/>
              <w:rPr>
                <w:rFonts w:ascii="Times New Roman" w:hAnsi="Times New Roman" w:cs="Times New Roman"/>
                <w:sz w:val="24"/>
                <w:szCs w:val="24"/>
              </w:rPr>
            </w:pPr>
            <w:proofErr w:type="spellStart"/>
            <w:r w:rsidRPr="00372B66">
              <w:rPr>
                <w:rFonts w:ascii="Times New Roman" w:hAnsi="Times New Roman" w:cs="Times New Roman"/>
                <w:sz w:val="24"/>
                <w:szCs w:val="24"/>
              </w:rPr>
              <w:t>Hyperpigmentering</w:t>
            </w:r>
            <w:proofErr w:type="spellEnd"/>
            <w:r w:rsidRPr="00372B66">
              <w:rPr>
                <w:rFonts w:ascii="Times New Roman" w:hAnsi="Times New Roman" w:cs="Times New Roman"/>
                <w:sz w:val="24"/>
                <w:szCs w:val="24"/>
              </w:rPr>
              <w:t xml:space="preserve"> af iris</w:t>
            </w:r>
          </w:p>
        </w:tc>
        <w:tc>
          <w:tcPr>
            <w:tcW w:w="1081" w:type="pct"/>
            <w:tcBorders>
              <w:top w:val="single" w:sz="4" w:space="0" w:color="000000"/>
              <w:left w:val="single" w:sz="4" w:space="0" w:color="000000"/>
              <w:bottom w:val="single" w:sz="4" w:space="0" w:color="000000"/>
              <w:right w:val="single" w:sz="4" w:space="0" w:color="000000"/>
            </w:tcBorders>
            <w:hideMark/>
          </w:tcPr>
          <w:p w14:paraId="0CB2619C"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Øjensmerter, øjenirritation (herunder svien, brændende fornemmelse, kløe, fornemmelse af fremmedlegeme)</w:t>
            </w:r>
          </w:p>
        </w:tc>
        <w:tc>
          <w:tcPr>
            <w:tcW w:w="1585" w:type="pct"/>
            <w:tcBorders>
              <w:top w:val="single" w:sz="4" w:space="0" w:color="000000"/>
              <w:left w:val="single" w:sz="4" w:space="0" w:color="000000"/>
              <w:bottom w:val="single" w:sz="4" w:space="0" w:color="000000"/>
              <w:right w:val="single" w:sz="4" w:space="0" w:color="000000"/>
            </w:tcBorders>
            <w:hideMark/>
          </w:tcPr>
          <w:p w14:paraId="32575F29" w14:textId="77777777" w:rsidR="00F4025A" w:rsidRPr="00372B66" w:rsidRDefault="00F4025A" w:rsidP="00733D19">
            <w:pPr>
              <w:pStyle w:val="TableParagraph"/>
              <w:ind w:left="57" w:right="57"/>
              <w:rPr>
                <w:rFonts w:ascii="Times New Roman" w:hAnsi="Times New Roman" w:cs="Times New Roman"/>
                <w:sz w:val="24"/>
                <w:szCs w:val="24"/>
              </w:rPr>
            </w:pPr>
            <w:proofErr w:type="spellStart"/>
            <w:r w:rsidRPr="00372B66">
              <w:rPr>
                <w:rFonts w:ascii="Times New Roman" w:hAnsi="Times New Roman" w:cs="Times New Roman"/>
                <w:sz w:val="24"/>
                <w:szCs w:val="24"/>
              </w:rPr>
              <w:t>Kornealidelser</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konjunktivitis</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blefaritis</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øjenhyperæmi</w:t>
            </w:r>
            <w:proofErr w:type="spellEnd"/>
            <w:r w:rsidRPr="00372B66">
              <w:rPr>
                <w:rFonts w:ascii="Times New Roman" w:hAnsi="Times New Roman" w:cs="Times New Roman"/>
                <w:sz w:val="24"/>
                <w:szCs w:val="24"/>
              </w:rPr>
              <w:t>, sløret syn, øget tåreflåd</w:t>
            </w:r>
          </w:p>
        </w:tc>
      </w:tr>
      <w:tr w:rsidR="00F4025A" w:rsidRPr="00372B66" w14:paraId="612F31EA" w14:textId="77777777" w:rsidTr="008D55AB">
        <w:trPr>
          <w:trHeight w:val="505"/>
        </w:trPr>
        <w:tc>
          <w:tcPr>
            <w:tcW w:w="1252" w:type="pct"/>
            <w:tcBorders>
              <w:top w:val="single" w:sz="4" w:space="0" w:color="000000"/>
              <w:left w:val="single" w:sz="4" w:space="0" w:color="000000"/>
              <w:bottom w:val="single" w:sz="4" w:space="0" w:color="000000"/>
              <w:right w:val="single" w:sz="4" w:space="0" w:color="000000"/>
            </w:tcBorders>
            <w:hideMark/>
          </w:tcPr>
          <w:p w14:paraId="2A15AB44" w14:textId="77777777" w:rsidR="00F4025A" w:rsidRPr="00372B66" w:rsidRDefault="00F4025A" w:rsidP="00733D19">
            <w:pPr>
              <w:pStyle w:val="TableParagraph"/>
              <w:ind w:left="57" w:right="57"/>
              <w:jc w:val="both"/>
              <w:rPr>
                <w:rFonts w:ascii="Times New Roman" w:hAnsi="Times New Roman" w:cs="Times New Roman"/>
                <w:sz w:val="24"/>
                <w:szCs w:val="24"/>
              </w:rPr>
            </w:pPr>
            <w:r w:rsidRPr="00372B66">
              <w:rPr>
                <w:rFonts w:ascii="Times New Roman" w:hAnsi="Times New Roman" w:cs="Times New Roman"/>
                <w:sz w:val="24"/>
                <w:szCs w:val="24"/>
              </w:rPr>
              <w:t>Hud og subkutane væv</w:t>
            </w:r>
          </w:p>
        </w:tc>
        <w:tc>
          <w:tcPr>
            <w:tcW w:w="1081" w:type="pct"/>
            <w:tcBorders>
              <w:top w:val="single" w:sz="4" w:space="0" w:color="000000"/>
              <w:left w:val="single" w:sz="4" w:space="0" w:color="000000"/>
              <w:bottom w:val="single" w:sz="4" w:space="0" w:color="000000"/>
              <w:right w:val="single" w:sz="4" w:space="0" w:color="000000"/>
            </w:tcBorders>
          </w:tcPr>
          <w:p w14:paraId="1C581743" w14:textId="77777777" w:rsidR="00F4025A" w:rsidRPr="00372B66" w:rsidRDefault="00F4025A" w:rsidP="00733D19">
            <w:pPr>
              <w:pStyle w:val="TableParagraph"/>
              <w:ind w:left="57" w:right="57"/>
              <w:jc w:val="both"/>
              <w:rPr>
                <w:rFonts w:ascii="Times New Roman" w:hAnsi="Times New Roman" w:cs="Times New Roman"/>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7A812AB8" w14:textId="77777777" w:rsidR="00F4025A" w:rsidRPr="00372B66" w:rsidRDefault="00F4025A" w:rsidP="00733D19">
            <w:pPr>
              <w:pStyle w:val="TableParagraph"/>
              <w:ind w:left="57" w:right="57"/>
              <w:jc w:val="both"/>
              <w:rPr>
                <w:rFonts w:ascii="Times New Roman" w:hAnsi="Times New Roman" w:cs="Times New Roman"/>
                <w:sz w:val="24"/>
                <w:szCs w:val="24"/>
              </w:rPr>
            </w:pPr>
          </w:p>
        </w:tc>
        <w:tc>
          <w:tcPr>
            <w:tcW w:w="1585" w:type="pct"/>
            <w:tcBorders>
              <w:top w:val="single" w:sz="4" w:space="0" w:color="000000"/>
              <w:left w:val="single" w:sz="4" w:space="0" w:color="000000"/>
              <w:bottom w:val="single" w:sz="4" w:space="0" w:color="000000"/>
              <w:right w:val="single" w:sz="4" w:space="0" w:color="000000"/>
            </w:tcBorders>
            <w:hideMark/>
          </w:tcPr>
          <w:p w14:paraId="4850DCB0" w14:textId="77777777" w:rsidR="00F4025A" w:rsidRPr="00372B66" w:rsidRDefault="00F4025A" w:rsidP="00733D19">
            <w:pPr>
              <w:pStyle w:val="TableParagraph"/>
              <w:ind w:left="57" w:right="57"/>
              <w:jc w:val="both"/>
              <w:rPr>
                <w:rFonts w:ascii="Times New Roman" w:hAnsi="Times New Roman" w:cs="Times New Roman"/>
                <w:sz w:val="24"/>
                <w:szCs w:val="24"/>
              </w:rPr>
            </w:pPr>
            <w:r w:rsidRPr="00372B66">
              <w:rPr>
                <w:rFonts w:ascii="Times New Roman" w:hAnsi="Times New Roman" w:cs="Times New Roman"/>
                <w:sz w:val="24"/>
                <w:szCs w:val="24"/>
              </w:rPr>
              <w:t xml:space="preserve">Udslæt, </w:t>
            </w:r>
            <w:proofErr w:type="spellStart"/>
            <w:r w:rsidRPr="00372B66">
              <w:rPr>
                <w:rFonts w:ascii="Times New Roman" w:hAnsi="Times New Roman" w:cs="Times New Roman"/>
                <w:sz w:val="24"/>
                <w:szCs w:val="24"/>
              </w:rPr>
              <w:t>pruritus</w:t>
            </w:r>
            <w:proofErr w:type="spellEnd"/>
          </w:p>
        </w:tc>
      </w:tr>
    </w:tbl>
    <w:p w14:paraId="6A9AC003" w14:textId="77777777" w:rsidR="00F4025A" w:rsidRPr="00372B66" w:rsidRDefault="00F4025A" w:rsidP="008D55AB">
      <w:pPr>
        <w:ind w:left="851"/>
        <w:rPr>
          <w:sz w:val="24"/>
          <w:szCs w:val="24"/>
        </w:rPr>
      </w:pPr>
    </w:p>
    <w:p w14:paraId="4DC52368" w14:textId="77777777" w:rsidR="00F4025A" w:rsidRPr="00372B66" w:rsidRDefault="00F4025A" w:rsidP="008D55AB">
      <w:pPr>
        <w:ind w:left="851"/>
        <w:rPr>
          <w:sz w:val="24"/>
          <w:szCs w:val="24"/>
        </w:rPr>
      </w:pPr>
      <w:r w:rsidRPr="00372B66">
        <w:rPr>
          <w:sz w:val="24"/>
          <w:szCs w:val="24"/>
        </w:rPr>
        <w:t xml:space="preserve">Der er rapporteret yderligere bivirkninger, der er specifikke for anvendelsen af de enkelte komponenter i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enten i kliniske forsøg, spontane indberetninger eller i den tilgængelige litteratur.</w:t>
      </w:r>
    </w:p>
    <w:p w14:paraId="1EEC3156" w14:textId="77777777" w:rsidR="00F4025A" w:rsidRPr="00372B66" w:rsidRDefault="00F4025A" w:rsidP="008D55AB">
      <w:pPr>
        <w:ind w:left="851"/>
        <w:rPr>
          <w:sz w:val="24"/>
          <w:szCs w:val="24"/>
        </w:rPr>
      </w:pPr>
    </w:p>
    <w:p w14:paraId="662D80F0" w14:textId="77777777" w:rsidR="00F4025A" w:rsidRPr="00372B66" w:rsidRDefault="00F4025A" w:rsidP="008D55AB">
      <w:pPr>
        <w:ind w:left="851"/>
        <w:rPr>
          <w:sz w:val="24"/>
          <w:szCs w:val="24"/>
        </w:rPr>
      </w:pPr>
      <w:r w:rsidRPr="00372B66">
        <w:rPr>
          <w:sz w:val="24"/>
          <w:szCs w:val="24"/>
          <w:u w:val="single"/>
        </w:rPr>
        <w:t xml:space="preserve">For </w:t>
      </w:r>
      <w:proofErr w:type="spellStart"/>
      <w:r w:rsidRPr="00372B66">
        <w:rPr>
          <w:sz w:val="24"/>
          <w:szCs w:val="24"/>
          <w:u w:val="single"/>
        </w:rPr>
        <w:t>latanoprost</w:t>
      </w:r>
      <w:proofErr w:type="spellEnd"/>
      <w:r w:rsidRPr="00372B66">
        <w:rPr>
          <w:sz w:val="24"/>
          <w:szCs w:val="24"/>
          <w:u w:val="single"/>
        </w:rPr>
        <w:t xml:space="preserve"> er disse</w:t>
      </w:r>
      <w:r w:rsidRPr="00372B66">
        <w:rPr>
          <w:sz w:val="24"/>
          <w:szCs w:val="24"/>
        </w:rPr>
        <w:t>:</w:t>
      </w:r>
    </w:p>
    <w:p w14:paraId="7AB86913" w14:textId="77777777" w:rsidR="00F4025A" w:rsidRPr="00372B66" w:rsidRDefault="00F4025A" w:rsidP="008D55AB">
      <w:pPr>
        <w:ind w:left="851"/>
        <w:rPr>
          <w:sz w:val="24"/>
          <w:szCs w:val="24"/>
        </w:rPr>
      </w:pPr>
    </w:p>
    <w:p w14:paraId="0FA401B4" w14:textId="67C6396A" w:rsidR="00F4025A" w:rsidRDefault="00F4025A" w:rsidP="00733D19">
      <w:pPr>
        <w:rPr>
          <w:b/>
          <w:sz w:val="24"/>
          <w:szCs w:val="24"/>
        </w:rPr>
      </w:pPr>
      <w:r w:rsidRPr="00733D19">
        <w:rPr>
          <w:b/>
          <w:sz w:val="24"/>
          <w:szCs w:val="24"/>
        </w:rPr>
        <w:t xml:space="preserve">Tabel 2: Bivirkninger for </w:t>
      </w:r>
      <w:proofErr w:type="spellStart"/>
      <w:r w:rsidRPr="00733D19">
        <w:rPr>
          <w:b/>
          <w:sz w:val="24"/>
          <w:szCs w:val="24"/>
        </w:rPr>
        <w:t>latanopros</w:t>
      </w:r>
      <w:r w:rsidR="00733D19">
        <w:rPr>
          <w:b/>
          <w:sz w:val="24"/>
          <w:szCs w:val="24"/>
        </w:rPr>
        <w:t>t</w:t>
      </w:r>
      <w:proofErr w:type="spellEnd"/>
    </w:p>
    <w:p w14:paraId="3A957BCD" w14:textId="77777777" w:rsidR="00733D19" w:rsidRPr="00733D19" w:rsidRDefault="00733D19" w:rsidP="00733D19">
      <w:pPr>
        <w:rPr>
          <w:b/>
          <w:sz w:val="24"/>
          <w:szCs w:val="24"/>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0"/>
        <w:gridCol w:w="6978"/>
      </w:tblGrid>
      <w:tr w:rsidR="00F4025A" w:rsidRPr="00372B66" w14:paraId="03BCBDC1"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21E21D5A" w14:textId="77777777" w:rsidR="00F4025A" w:rsidRPr="00372B66" w:rsidRDefault="00F4025A" w:rsidP="00733D19">
            <w:pPr>
              <w:pStyle w:val="TableParagraph"/>
              <w:ind w:left="57" w:right="57"/>
              <w:rPr>
                <w:rFonts w:ascii="Times New Roman" w:hAnsi="Times New Roman" w:cs="Times New Roman"/>
                <w:b/>
                <w:sz w:val="24"/>
                <w:szCs w:val="24"/>
              </w:rPr>
            </w:pPr>
            <w:r w:rsidRPr="00372B66">
              <w:rPr>
                <w:rFonts w:ascii="Times New Roman" w:hAnsi="Times New Roman" w:cs="Times New Roman"/>
                <w:b/>
                <w:sz w:val="24"/>
                <w:szCs w:val="24"/>
              </w:rPr>
              <w:t>Systemorganklasse</w:t>
            </w:r>
          </w:p>
        </w:tc>
        <w:tc>
          <w:tcPr>
            <w:tcW w:w="3624" w:type="pct"/>
            <w:tcBorders>
              <w:top w:val="single" w:sz="4" w:space="0" w:color="000000"/>
              <w:left w:val="single" w:sz="4" w:space="0" w:color="000000"/>
              <w:bottom w:val="single" w:sz="4" w:space="0" w:color="000000"/>
              <w:right w:val="single" w:sz="4" w:space="0" w:color="000000"/>
            </w:tcBorders>
            <w:hideMark/>
          </w:tcPr>
          <w:p w14:paraId="7A8CB9B1" w14:textId="77777777" w:rsidR="00F4025A" w:rsidRPr="00372B66" w:rsidRDefault="00F4025A" w:rsidP="00733D19">
            <w:pPr>
              <w:pStyle w:val="TableParagraph"/>
              <w:ind w:left="57" w:right="57"/>
              <w:rPr>
                <w:rFonts w:ascii="Times New Roman" w:hAnsi="Times New Roman" w:cs="Times New Roman"/>
                <w:b/>
                <w:sz w:val="24"/>
                <w:szCs w:val="24"/>
              </w:rPr>
            </w:pPr>
            <w:r w:rsidRPr="00372B66">
              <w:rPr>
                <w:rFonts w:ascii="Times New Roman" w:hAnsi="Times New Roman" w:cs="Times New Roman"/>
                <w:b/>
                <w:sz w:val="24"/>
                <w:szCs w:val="24"/>
              </w:rPr>
              <w:t>Bivirkninger</w:t>
            </w:r>
          </w:p>
        </w:tc>
      </w:tr>
      <w:tr w:rsidR="00F4025A" w:rsidRPr="00372B66" w14:paraId="43E47D18"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7AC851BA"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Infektioner og parasitære sygdomme </w:t>
            </w:r>
          </w:p>
        </w:tc>
        <w:tc>
          <w:tcPr>
            <w:tcW w:w="3624" w:type="pct"/>
            <w:tcBorders>
              <w:top w:val="single" w:sz="4" w:space="0" w:color="000000"/>
              <w:left w:val="single" w:sz="4" w:space="0" w:color="000000"/>
              <w:bottom w:val="single" w:sz="4" w:space="0" w:color="000000"/>
              <w:right w:val="single" w:sz="4" w:space="0" w:color="000000"/>
            </w:tcBorders>
            <w:hideMark/>
          </w:tcPr>
          <w:p w14:paraId="71F44ABF" w14:textId="77777777" w:rsidR="00F4025A" w:rsidRPr="00372B66" w:rsidRDefault="00F4025A" w:rsidP="00733D19">
            <w:pPr>
              <w:pStyle w:val="TableParagraph"/>
              <w:ind w:left="57" w:right="57"/>
              <w:rPr>
                <w:rFonts w:ascii="Times New Roman" w:hAnsi="Times New Roman" w:cs="Times New Roman"/>
                <w:sz w:val="24"/>
                <w:szCs w:val="24"/>
              </w:rPr>
            </w:pPr>
            <w:proofErr w:type="spellStart"/>
            <w:r w:rsidRPr="00372B66">
              <w:rPr>
                <w:rFonts w:ascii="Times New Roman" w:hAnsi="Times New Roman" w:cs="Times New Roman"/>
                <w:sz w:val="24"/>
                <w:szCs w:val="24"/>
              </w:rPr>
              <w:t>Herpetisk</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keratitis</w:t>
            </w:r>
            <w:proofErr w:type="spellEnd"/>
          </w:p>
        </w:tc>
      </w:tr>
      <w:tr w:rsidR="00F4025A" w:rsidRPr="00372B66" w14:paraId="3ABA5946"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2F9FD75D"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Nervesystemet</w:t>
            </w:r>
          </w:p>
        </w:tc>
        <w:tc>
          <w:tcPr>
            <w:tcW w:w="3624" w:type="pct"/>
            <w:tcBorders>
              <w:top w:val="single" w:sz="4" w:space="0" w:color="000000"/>
              <w:left w:val="single" w:sz="4" w:space="0" w:color="000000"/>
              <w:bottom w:val="single" w:sz="4" w:space="0" w:color="000000"/>
              <w:right w:val="single" w:sz="4" w:space="0" w:color="000000"/>
            </w:tcBorders>
            <w:hideMark/>
          </w:tcPr>
          <w:p w14:paraId="2215D5DE"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Svimmelhed</w:t>
            </w:r>
          </w:p>
        </w:tc>
      </w:tr>
      <w:tr w:rsidR="00F4025A" w:rsidRPr="00372B66" w14:paraId="0D6A99A2"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19FFB20A"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Øjne</w:t>
            </w:r>
          </w:p>
        </w:tc>
        <w:tc>
          <w:tcPr>
            <w:tcW w:w="3624" w:type="pct"/>
            <w:tcBorders>
              <w:top w:val="single" w:sz="4" w:space="0" w:color="000000"/>
              <w:left w:val="single" w:sz="4" w:space="0" w:color="000000"/>
              <w:bottom w:val="single" w:sz="4" w:space="0" w:color="000000"/>
              <w:right w:val="single" w:sz="4" w:space="0" w:color="000000"/>
            </w:tcBorders>
            <w:hideMark/>
          </w:tcPr>
          <w:p w14:paraId="015DFAC9"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Ændringer i øjenvipper og </w:t>
            </w:r>
            <w:proofErr w:type="spellStart"/>
            <w:r w:rsidRPr="00372B66">
              <w:rPr>
                <w:rFonts w:ascii="Times New Roman" w:hAnsi="Times New Roman" w:cs="Times New Roman"/>
                <w:sz w:val="24"/>
                <w:szCs w:val="24"/>
              </w:rPr>
              <w:t>vellus</w:t>
            </w:r>
            <w:proofErr w:type="spellEnd"/>
            <w:r w:rsidRPr="00372B66">
              <w:rPr>
                <w:rFonts w:ascii="Times New Roman" w:hAnsi="Times New Roman" w:cs="Times New Roman"/>
                <w:sz w:val="24"/>
                <w:szCs w:val="24"/>
              </w:rPr>
              <w:t xml:space="preserve"> hår på øjenlågene (øget længde, tykkelse, pigmentering og antal øjenvipper); punktformet </w:t>
            </w:r>
            <w:proofErr w:type="spellStart"/>
            <w:r w:rsidRPr="00372B66">
              <w:rPr>
                <w:rFonts w:ascii="Times New Roman" w:hAnsi="Times New Roman" w:cs="Times New Roman"/>
                <w:sz w:val="24"/>
                <w:szCs w:val="24"/>
              </w:rPr>
              <w:t>keratitis</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periorbitalt</w:t>
            </w:r>
            <w:proofErr w:type="spellEnd"/>
            <w:r w:rsidRPr="00372B66">
              <w:rPr>
                <w:rFonts w:ascii="Times New Roman" w:hAnsi="Times New Roman" w:cs="Times New Roman"/>
                <w:sz w:val="24"/>
                <w:szCs w:val="24"/>
              </w:rPr>
              <w:t xml:space="preserve"> ødem; </w:t>
            </w:r>
            <w:proofErr w:type="spellStart"/>
            <w:r w:rsidRPr="00372B66">
              <w:rPr>
                <w:rFonts w:ascii="Times New Roman" w:hAnsi="Times New Roman" w:cs="Times New Roman"/>
                <w:sz w:val="24"/>
                <w:szCs w:val="24"/>
              </w:rPr>
              <w:t>iritis</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uveitis</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makulært</w:t>
            </w:r>
            <w:proofErr w:type="spellEnd"/>
            <w:r w:rsidRPr="00372B66">
              <w:rPr>
                <w:rFonts w:ascii="Times New Roman" w:hAnsi="Times New Roman" w:cs="Times New Roman"/>
                <w:sz w:val="24"/>
                <w:szCs w:val="24"/>
              </w:rPr>
              <w:t xml:space="preserve"> ødem, herunder </w:t>
            </w:r>
            <w:proofErr w:type="spellStart"/>
            <w:r w:rsidRPr="00372B66">
              <w:rPr>
                <w:rFonts w:ascii="Times New Roman" w:hAnsi="Times New Roman" w:cs="Times New Roman"/>
                <w:sz w:val="24"/>
                <w:szCs w:val="24"/>
              </w:rPr>
              <w:t>cystoid</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makulært</w:t>
            </w:r>
            <w:proofErr w:type="spellEnd"/>
            <w:r w:rsidRPr="00372B66">
              <w:rPr>
                <w:rFonts w:ascii="Times New Roman" w:hAnsi="Times New Roman" w:cs="Times New Roman"/>
                <w:sz w:val="24"/>
                <w:szCs w:val="24"/>
              </w:rPr>
              <w:t xml:space="preserve"> ødem; tørre øjne; </w:t>
            </w:r>
            <w:proofErr w:type="spellStart"/>
            <w:r w:rsidRPr="00372B66">
              <w:rPr>
                <w:rFonts w:ascii="Times New Roman" w:hAnsi="Times New Roman" w:cs="Times New Roman"/>
                <w:sz w:val="24"/>
                <w:szCs w:val="24"/>
              </w:rPr>
              <w:t>keratitis</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korneaødem</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korneaerosion</w:t>
            </w:r>
            <w:proofErr w:type="spellEnd"/>
            <w:r w:rsidRPr="00372B66">
              <w:rPr>
                <w:rFonts w:ascii="Times New Roman" w:hAnsi="Times New Roman" w:cs="Times New Roman"/>
                <w:sz w:val="24"/>
                <w:szCs w:val="24"/>
              </w:rPr>
              <w:t xml:space="preserve">; trichiasis; </w:t>
            </w:r>
            <w:proofErr w:type="spellStart"/>
            <w:r w:rsidRPr="00372B66">
              <w:rPr>
                <w:rFonts w:ascii="Times New Roman" w:hAnsi="Times New Roman" w:cs="Times New Roman"/>
                <w:sz w:val="24"/>
                <w:szCs w:val="24"/>
              </w:rPr>
              <w:t>iriscyst</w:t>
            </w:r>
            <w:proofErr w:type="spellEnd"/>
            <w:r w:rsidRPr="00372B66">
              <w:rPr>
                <w:rFonts w:ascii="Times New Roman" w:hAnsi="Times New Roman" w:cs="Times New Roman"/>
                <w:sz w:val="24"/>
                <w:szCs w:val="24"/>
              </w:rPr>
              <w:t xml:space="preserve">; fotofobi; </w:t>
            </w:r>
            <w:proofErr w:type="spellStart"/>
            <w:r w:rsidRPr="00372B66">
              <w:rPr>
                <w:rFonts w:ascii="Times New Roman" w:hAnsi="Times New Roman" w:cs="Times New Roman"/>
                <w:sz w:val="24"/>
                <w:szCs w:val="24"/>
              </w:rPr>
              <w:t>periorbitale</w:t>
            </w:r>
            <w:proofErr w:type="spellEnd"/>
            <w:r w:rsidRPr="00372B66">
              <w:rPr>
                <w:rFonts w:ascii="Times New Roman" w:hAnsi="Times New Roman" w:cs="Times New Roman"/>
                <w:sz w:val="24"/>
                <w:szCs w:val="24"/>
              </w:rPr>
              <w:t xml:space="preserve"> og øjenlågsforandringer, der </w:t>
            </w:r>
            <w:r w:rsidRPr="00372B66">
              <w:rPr>
                <w:rFonts w:ascii="Times New Roman" w:hAnsi="Times New Roman" w:cs="Times New Roman"/>
                <w:sz w:val="24"/>
                <w:szCs w:val="24"/>
              </w:rPr>
              <w:lastRenderedPageBreak/>
              <w:t xml:space="preserve">medfører fordybning af </w:t>
            </w:r>
            <w:proofErr w:type="spellStart"/>
            <w:r w:rsidRPr="00372B66">
              <w:rPr>
                <w:rFonts w:ascii="Times New Roman" w:hAnsi="Times New Roman" w:cs="Times New Roman"/>
                <w:sz w:val="24"/>
                <w:szCs w:val="24"/>
              </w:rPr>
              <w:t>øjenlågssulcus</w:t>
            </w:r>
            <w:proofErr w:type="spellEnd"/>
            <w:r w:rsidRPr="00372B66">
              <w:rPr>
                <w:rFonts w:ascii="Times New Roman" w:hAnsi="Times New Roman" w:cs="Times New Roman"/>
                <w:sz w:val="24"/>
                <w:szCs w:val="24"/>
              </w:rPr>
              <w:t xml:space="preserve">; øjenlågsødem; lokal hudreaktion på øjenlågene; </w:t>
            </w:r>
            <w:proofErr w:type="spellStart"/>
            <w:r w:rsidRPr="00372B66">
              <w:rPr>
                <w:rFonts w:ascii="Times New Roman" w:hAnsi="Times New Roman" w:cs="Times New Roman"/>
                <w:sz w:val="24"/>
                <w:szCs w:val="24"/>
              </w:rPr>
              <w:t>pseudopemphigoid</w:t>
            </w:r>
            <w:proofErr w:type="spellEnd"/>
            <w:r w:rsidRPr="00372B66">
              <w:rPr>
                <w:rFonts w:ascii="Times New Roman" w:hAnsi="Times New Roman" w:cs="Times New Roman"/>
                <w:sz w:val="24"/>
                <w:szCs w:val="24"/>
              </w:rPr>
              <w:t xml:space="preserve"> i </w:t>
            </w:r>
            <w:proofErr w:type="spellStart"/>
            <w:r w:rsidRPr="00372B66">
              <w:rPr>
                <w:rFonts w:ascii="Times New Roman" w:hAnsi="Times New Roman" w:cs="Times New Roman"/>
                <w:sz w:val="24"/>
                <w:szCs w:val="24"/>
              </w:rPr>
              <w:t>okulær</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konjunktiva</w:t>
            </w:r>
            <w:proofErr w:type="spellEnd"/>
            <w:r w:rsidRPr="00372B66">
              <w:rPr>
                <w:rFonts w:ascii="Times New Roman" w:hAnsi="Times New Roman" w:cs="Times New Roman"/>
                <w:sz w:val="24"/>
                <w:szCs w:val="24"/>
                <w:vertAlign w:val="superscript"/>
              </w:rPr>
              <w:t>+</w:t>
            </w:r>
            <w:r w:rsidRPr="00372B66">
              <w:rPr>
                <w:rFonts w:ascii="Times New Roman" w:hAnsi="Times New Roman" w:cs="Times New Roman"/>
                <w:sz w:val="24"/>
                <w:szCs w:val="24"/>
              </w:rPr>
              <w:t xml:space="preserve">; mørkfarvning af </w:t>
            </w:r>
            <w:proofErr w:type="spellStart"/>
            <w:r w:rsidRPr="00372B66">
              <w:rPr>
                <w:rFonts w:ascii="Times New Roman" w:hAnsi="Times New Roman" w:cs="Times New Roman"/>
                <w:sz w:val="24"/>
                <w:szCs w:val="24"/>
              </w:rPr>
              <w:t>palpebralhuden</w:t>
            </w:r>
            <w:proofErr w:type="spellEnd"/>
          </w:p>
        </w:tc>
      </w:tr>
      <w:tr w:rsidR="00F4025A" w:rsidRPr="00372B66" w14:paraId="15F278CB"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4D94A090"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lastRenderedPageBreak/>
              <w:t>Hjerte</w:t>
            </w:r>
          </w:p>
        </w:tc>
        <w:tc>
          <w:tcPr>
            <w:tcW w:w="3624" w:type="pct"/>
            <w:tcBorders>
              <w:top w:val="single" w:sz="4" w:space="0" w:color="000000"/>
              <w:left w:val="single" w:sz="4" w:space="0" w:color="000000"/>
              <w:bottom w:val="single" w:sz="4" w:space="0" w:color="000000"/>
              <w:right w:val="single" w:sz="4" w:space="0" w:color="000000"/>
            </w:tcBorders>
            <w:hideMark/>
          </w:tcPr>
          <w:p w14:paraId="59E088F1"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Angina; ustabil angina; </w:t>
            </w:r>
            <w:proofErr w:type="spellStart"/>
            <w:r w:rsidRPr="00372B66">
              <w:rPr>
                <w:rFonts w:ascii="Times New Roman" w:hAnsi="Times New Roman" w:cs="Times New Roman"/>
                <w:sz w:val="24"/>
                <w:szCs w:val="24"/>
              </w:rPr>
              <w:t>palpitationer</w:t>
            </w:r>
            <w:proofErr w:type="spellEnd"/>
          </w:p>
        </w:tc>
      </w:tr>
      <w:tr w:rsidR="00F4025A" w:rsidRPr="00372B66" w14:paraId="4BE96D4A"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1210C529"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Luftveje, thorax og </w:t>
            </w:r>
            <w:proofErr w:type="spellStart"/>
            <w:r w:rsidRPr="00372B66">
              <w:rPr>
                <w:rFonts w:ascii="Times New Roman" w:hAnsi="Times New Roman" w:cs="Times New Roman"/>
                <w:sz w:val="24"/>
                <w:szCs w:val="24"/>
              </w:rPr>
              <w:t>mediastinum</w:t>
            </w:r>
            <w:proofErr w:type="spellEnd"/>
          </w:p>
        </w:tc>
        <w:tc>
          <w:tcPr>
            <w:tcW w:w="3624" w:type="pct"/>
            <w:tcBorders>
              <w:top w:val="single" w:sz="4" w:space="0" w:color="000000"/>
              <w:left w:val="single" w:sz="4" w:space="0" w:color="000000"/>
              <w:bottom w:val="single" w:sz="4" w:space="0" w:color="000000"/>
              <w:right w:val="single" w:sz="4" w:space="0" w:color="000000"/>
            </w:tcBorders>
            <w:hideMark/>
          </w:tcPr>
          <w:p w14:paraId="28687F53"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Astma; forværring af astma; dyspnø</w:t>
            </w:r>
          </w:p>
        </w:tc>
      </w:tr>
      <w:tr w:rsidR="00F4025A" w:rsidRPr="00372B66" w14:paraId="796E0D5E"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55129D6D" w14:textId="2F8193C4"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Mave-tarm-kanalen</w:t>
            </w:r>
          </w:p>
        </w:tc>
        <w:tc>
          <w:tcPr>
            <w:tcW w:w="3624" w:type="pct"/>
            <w:tcBorders>
              <w:top w:val="single" w:sz="4" w:space="0" w:color="000000"/>
              <w:left w:val="single" w:sz="4" w:space="0" w:color="000000"/>
              <w:bottom w:val="single" w:sz="4" w:space="0" w:color="000000"/>
              <w:right w:val="single" w:sz="4" w:space="0" w:color="000000"/>
            </w:tcBorders>
            <w:hideMark/>
          </w:tcPr>
          <w:p w14:paraId="462E4DDE"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Kvalme*; opkastning*</w:t>
            </w:r>
          </w:p>
        </w:tc>
      </w:tr>
      <w:tr w:rsidR="00F4025A" w:rsidRPr="00372B66" w14:paraId="3278ED8A"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0E03D98B"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Knogler, led, muskler og bindevæv</w:t>
            </w:r>
          </w:p>
        </w:tc>
        <w:tc>
          <w:tcPr>
            <w:tcW w:w="3624" w:type="pct"/>
            <w:tcBorders>
              <w:top w:val="single" w:sz="4" w:space="0" w:color="000000"/>
              <w:left w:val="single" w:sz="4" w:space="0" w:color="000000"/>
              <w:bottom w:val="single" w:sz="4" w:space="0" w:color="000000"/>
              <w:right w:val="single" w:sz="4" w:space="0" w:color="000000"/>
            </w:tcBorders>
            <w:hideMark/>
          </w:tcPr>
          <w:p w14:paraId="44BD6FDB"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Myalgi; </w:t>
            </w:r>
            <w:proofErr w:type="spellStart"/>
            <w:r w:rsidRPr="00372B66">
              <w:rPr>
                <w:rFonts w:ascii="Times New Roman" w:hAnsi="Times New Roman" w:cs="Times New Roman"/>
                <w:sz w:val="24"/>
                <w:szCs w:val="24"/>
              </w:rPr>
              <w:t>artralgi</w:t>
            </w:r>
            <w:proofErr w:type="spellEnd"/>
          </w:p>
        </w:tc>
      </w:tr>
      <w:tr w:rsidR="00F4025A" w:rsidRPr="00372B66" w14:paraId="694965F8" w14:textId="77777777" w:rsidTr="00733D19">
        <w:trPr>
          <w:trHeight w:val="20"/>
        </w:trPr>
        <w:tc>
          <w:tcPr>
            <w:tcW w:w="1376" w:type="pct"/>
            <w:tcBorders>
              <w:top w:val="single" w:sz="4" w:space="0" w:color="000000"/>
              <w:left w:val="single" w:sz="4" w:space="0" w:color="000000"/>
              <w:bottom w:val="single" w:sz="4" w:space="0" w:color="000000"/>
              <w:right w:val="single" w:sz="4" w:space="0" w:color="000000"/>
            </w:tcBorders>
            <w:hideMark/>
          </w:tcPr>
          <w:p w14:paraId="643D9DD3"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Almene symptomer og reaktioner på administrationsstedet</w:t>
            </w:r>
          </w:p>
        </w:tc>
        <w:tc>
          <w:tcPr>
            <w:tcW w:w="3624" w:type="pct"/>
            <w:tcBorders>
              <w:top w:val="single" w:sz="4" w:space="0" w:color="000000"/>
              <w:left w:val="single" w:sz="4" w:space="0" w:color="000000"/>
              <w:bottom w:val="single" w:sz="4" w:space="0" w:color="000000"/>
              <w:right w:val="single" w:sz="4" w:space="0" w:color="000000"/>
            </w:tcBorders>
            <w:hideMark/>
          </w:tcPr>
          <w:p w14:paraId="2ADC8790"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Brystsmerter</w:t>
            </w:r>
          </w:p>
        </w:tc>
      </w:tr>
    </w:tbl>
    <w:p w14:paraId="3FD9BFF3" w14:textId="77777777" w:rsidR="00F4025A" w:rsidRPr="00372B66" w:rsidRDefault="00F4025A" w:rsidP="00733D19">
      <w:pPr>
        <w:pStyle w:val="Brdtekst"/>
        <w:rPr>
          <w:sz w:val="24"/>
          <w:szCs w:val="24"/>
        </w:rPr>
      </w:pPr>
      <w:r w:rsidRPr="00372B66">
        <w:rPr>
          <w:sz w:val="24"/>
          <w:szCs w:val="24"/>
        </w:rPr>
        <w:t>* Identificeret efter markedsføring med en estimeret hyppighed som sjælden</w:t>
      </w:r>
    </w:p>
    <w:p w14:paraId="1FA5937D" w14:textId="77777777" w:rsidR="00F4025A" w:rsidRPr="00372B66" w:rsidRDefault="00F4025A" w:rsidP="00733D19">
      <w:pPr>
        <w:pStyle w:val="Brdtekst"/>
        <w:rPr>
          <w:sz w:val="24"/>
          <w:szCs w:val="24"/>
        </w:rPr>
      </w:pPr>
      <w:r w:rsidRPr="00372B66">
        <w:rPr>
          <w:sz w:val="24"/>
          <w:szCs w:val="24"/>
        </w:rPr>
        <w:t xml:space="preserve">+ Kan være potentielt relateret til konserveringsmidlet </w:t>
      </w:r>
      <w:proofErr w:type="spellStart"/>
      <w:r w:rsidRPr="00372B66">
        <w:rPr>
          <w:sz w:val="24"/>
          <w:szCs w:val="24"/>
        </w:rPr>
        <w:t>benzalkoniumchlorid</w:t>
      </w:r>
      <w:proofErr w:type="spellEnd"/>
    </w:p>
    <w:p w14:paraId="55C240F0" w14:textId="77777777" w:rsidR="00733D19" w:rsidRDefault="00733D19" w:rsidP="00733D19">
      <w:pPr>
        <w:pStyle w:val="Brdtekst"/>
        <w:rPr>
          <w:sz w:val="24"/>
          <w:szCs w:val="24"/>
          <w:u w:val="single"/>
        </w:rPr>
      </w:pPr>
    </w:p>
    <w:p w14:paraId="64978A13" w14:textId="737B2188" w:rsidR="00F4025A" w:rsidRPr="00372B66" w:rsidRDefault="00F4025A" w:rsidP="00733D19">
      <w:pPr>
        <w:pStyle w:val="Brdtekst"/>
        <w:rPr>
          <w:sz w:val="24"/>
          <w:szCs w:val="24"/>
        </w:rPr>
      </w:pPr>
      <w:r w:rsidRPr="00372B66">
        <w:rPr>
          <w:sz w:val="24"/>
          <w:szCs w:val="24"/>
          <w:u w:val="single"/>
        </w:rPr>
        <w:t xml:space="preserve">For </w:t>
      </w:r>
      <w:proofErr w:type="spellStart"/>
      <w:r w:rsidRPr="00372B66">
        <w:rPr>
          <w:sz w:val="24"/>
          <w:szCs w:val="24"/>
          <w:u w:val="single"/>
        </w:rPr>
        <w:t>timolol</w:t>
      </w:r>
      <w:proofErr w:type="spellEnd"/>
      <w:r w:rsidRPr="00372B66">
        <w:rPr>
          <w:sz w:val="24"/>
          <w:szCs w:val="24"/>
          <w:u w:val="single"/>
        </w:rPr>
        <w:t xml:space="preserve"> er disse</w:t>
      </w:r>
      <w:r w:rsidRPr="00372B66">
        <w:rPr>
          <w:sz w:val="24"/>
          <w:szCs w:val="24"/>
        </w:rPr>
        <w:t>:</w:t>
      </w:r>
    </w:p>
    <w:p w14:paraId="2498DA10" w14:textId="77777777" w:rsidR="00F4025A" w:rsidRPr="00372B66" w:rsidRDefault="00F4025A" w:rsidP="00733D19">
      <w:pPr>
        <w:pStyle w:val="Brdtekst"/>
        <w:rPr>
          <w:sz w:val="24"/>
          <w:szCs w:val="24"/>
        </w:rPr>
      </w:pPr>
    </w:p>
    <w:p w14:paraId="16F26584" w14:textId="18420BA2" w:rsidR="00F4025A" w:rsidRDefault="00F4025A" w:rsidP="00733D19">
      <w:pPr>
        <w:pStyle w:val="Overskrift2"/>
        <w:ind w:left="0" w:firstLine="0"/>
        <w:rPr>
          <w:sz w:val="24"/>
          <w:szCs w:val="24"/>
        </w:rPr>
      </w:pPr>
      <w:r w:rsidRPr="00372B66">
        <w:rPr>
          <w:sz w:val="24"/>
          <w:szCs w:val="24"/>
        </w:rPr>
        <w:t xml:space="preserve">Tabel 3: Bivirkninger ved </w:t>
      </w:r>
      <w:proofErr w:type="spellStart"/>
      <w:r w:rsidRPr="00372B66">
        <w:rPr>
          <w:sz w:val="24"/>
          <w:szCs w:val="24"/>
        </w:rPr>
        <w:t>timololmaleat</w:t>
      </w:r>
      <w:proofErr w:type="spellEnd"/>
      <w:r w:rsidRPr="00372B66">
        <w:rPr>
          <w:sz w:val="24"/>
          <w:szCs w:val="24"/>
        </w:rPr>
        <w:t xml:space="preserve"> (</w:t>
      </w:r>
      <w:proofErr w:type="spellStart"/>
      <w:r w:rsidRPr="00372B66">
        <w:rPr>
          <w:sz w:val="24"/>
          <w:szCs w:val="24"/>
        </w:rPr>
        <w:t>okulær</w:t>
      </w:r>
      <w:proofErr w:type="spellEnd"/>
      <w:r w:rsidRPr="00372B66">
        <w:rPr>
          <w:sz w:val="24"/>
          <w:szCs w:val="24"/>
        </w:rPr>
        <w:t xml:space="preserve"> administration)</w:t>
      </w:r>
    </w:p>
    <w:p w14:paraId="38C51487" w14:textId="77777777" w:rsidR="00733D19" w:rsidRPr="00372B66" w:rsidRDefault="00733D19" w:rsidP="00733D19">
      <w:pPr>
        <w:pStyle w:val="Overskrift2"/>
        <w:ind w:left="0" w:firstLine="0"/>
        <w:rPr>
          <w:sz w:val="24"/>
          <w:szCs w:val="24"/>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3"/>
        <w:gridCol w:w="5935"/>
      </w:tblGrid>
      <w:tr w:rsidR="00F4025A" w:rsidRPr="00372B66" w14:paraId="1C0E2B17"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6C2D3A4A" w14:textId="77777777" w:rsidR="00F4025A" w:rsidRPr="00372B66" w:rsidRDefault="00F4025A" w:rsidP="00733D19">
            <w:pPr>
              <w:pStyle w:val="TableParagraph"/>
              <w:ind w:left="57" w:right="57"/>
              <w:rPr>
                <w:rFonts w:ascii="Times New Roman" w:hAnsi="Times New Roman" w:cs="Times New Roman"/>
                <w:b/>
                <w:sz w:val="24"/>
                <w:szCs w:val="24"/>
              </w:rPr>
            </w:pPr>
            <w:r w:rsidRPr="00372B66">
              <w:rPr>
                <w:rFonts w:ascii="Times New Roman" w:hAnsi="Times New Roman" w:cs="Times New Roman"/>
                <w:b/>
                <w:sz w:val="24"/>
                <w:szCs w:val="24"/>
              </w:rPr>
              <w:t>Systemorganklasse</w:t>
            </w:r>
          </w:p>
        </w:tc>
        <w:tc>
          <w:tcPr>
            <w:tcW w:w="3082" w:type="pct"/>
            <w:tcBorders>
              <w:top w:val="single" w:sz="4" w:space="0" w:color="000000"/>
              <w:left w:val="single" w:sz="4" w:space="0" w:color="000000"/>
              <w:bottom w:val="single" w:sz="4" w:space="0" w:color="000000"/>
              <w:right w:val="single" w:sz="4" w:space="0" w:color="000000"/>
            </w:tcBorders>
            <w:hideMark/>
          </w:tcPr>
          <w:p w14:paraId="1E2211B6" w14:textId="77777777" w:rsidR="00F4025A" w:rsidRPr="00372B66" w:rsidRDefault="00F4025A" w:rsidP="00733D19">
            <w:pPr>
              <w:pStyle w:val="TableParagraph"/>
              <w:ind w:left="57" w:right="57"/>
              <w:rPr>
                <w:rFonts w:ascii="Times New Roman" w:hAnsi="Times New Roman" w:cs="Times New Roman"/>
                <w:b/>
                <w:sz w:val="24"/>
                <w:szCs w:val="24"/>
              </w:rPr>
            </w:pPr>
            <w:r w:rsidRPr="00372B66">
              <w:rPr>
                <w:rFonts w:ascii="Times New Roman" w:hAnsi="Times New Roman" w:cs="Times New Roman"/>
                <w:b/>
                <w:sz w:val="24"/>
                <w:szCs w:val="24"/>
              </w:rPr>
              <w:t>Bivirkninger</w:t>
            </w:r>
          </w:p>
        </w:tc>
      </w:tr>
      <w:tr w:rsidR="00F4025A" w:rsidRPr="00372B66" w14:paraId="25C588BD"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6697DF21"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Immunsystemet</w:t>
            </w:r>
          </w:p>
        </w:tc>
        <w:tc>
          <w:tcPr>
            <w:tcW w:w="3082" w:type="pct"/>
            <w:tcBorders>
              <w:top w:val="single" w:sz="4" w:space="0" w:color="000000"/>
              <w:left w:val="single" w:sz="4" w:space="0" w:color="000000"/>
              <w:bottom w:val="single" w:sz="4" w:space="0" w:color="000000"/>
              <w:right w:val="single" w:sz="4" w:space="0" w:color="000000"/>
            </w:tcBorders>
            <w:hideMark/>
          </w:tcPr>
          <w:p w14:paraId="6B57E3A8"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Systemiske allergiske reaktioner, herunder </w:t>
            </w:r>
            <w:proofErr w:type="spellStart"/>
            <w:r w:rsidRPr="00372B66">
              <w:rPr>
                <w:rFonts w:ascii="Times New Roman" w:hAnsi="Times New Roman" w:cs="Times New Roman"/>
                <w:sz w:val="24"/>
                <w:szCs w:val="24"/>
              </w:rPr>
              <w:t>anafylaktisk</w:t>
            </w:r>
            <w:proofErr w:type="spellEnd"/>
            <w:r w:rsidRPr="00372B66">
              <w:rPr>
                <w:rFonts w:ascii="Times New Roman" w:hAnsi="Times New Roman" w:cs="Times New Roman"/>
                <w:sz w:val="24"/>
                <w:szCs w:val="24"/>
              </w:rPr>
              <w:t xml:space="preserve"> reaktion, </w:t>
            </w:r>
            <w:proofErr w:type="spellStart"/>
            <w:r w:rsidRPr="00372B66">
              <w:rPr>
                <w:rFonts w:ascii="Times New Roman" w:hAnsi="Times New Roman" w:cs="Times New Roman"/>
                <w:sz w:val="24"/>
                <w:szCs w:val="24"/>
              </w:rPr>
              <w:t>angioødem</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urticaria</w:t>
            </w:r>
            <w:proofErr w:type="spellEnd"/>
            <w:r w:rsidRPr="00372B66">
              <w:rPr>
                <w:rFonts w:ascii="Times New Roman" w:hAnsi="Times New Roman" w:cs="Times New Roman"/>
                <w:sz w:val="24"/>
                <w:szCs w:val="24"/>
              </w:rPr>
              <w:t xml:space="preserve">, lokaliseret og generaliseret udslæt, </w:t>
            </w:r>
            <w:proofErr w:type="spellStart"/>
            <w:r w:rsidRPr="00372B66">
              <w:rPr>
                <w:rFonts w:ascii="Times New Roman" w:hAnsi="Times New Roman" w:cs="Times New Roman"/>
                <w:sz w:val="24"/>
                <w:szCs w:val="24"/>
              </w:rPr>
              <w:t>pruritus</w:t>
            </w:r>
            <w:proofErr w:type="spellEnd"/>
          </w:p>
        </w:tc>
      </w:tr>
      <w:tr w:rsidR="00F4025A" w:rsidRPr="00372B66" w14:paraId="6E65565B"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261B72EF"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Metabolisme og ernæring</w:t>
            </w:r>
          </w:p>
        </w:tc>
        <w:tc>
          <w:tcPr>
            <w:tcW w:w="3082" w:type="pct"/>
            <w:tcBorders>
              <w:top w:val="single" w:sz="4" w:space="0" w:color="000000"/>
              <w:left w:val="single" w:sz="4" w:space="0" w:color="000000"/>
              <w:bottom w:val="single" w:sz="4" w:space="0" w:color="000000"/>
              <w:right w:val="single" w:sz="4" w:space="0" w:color="000000"/>
            </w:tcBorders>
            <w:hideMark/>
          </w:tcPr>
          <w:p w14:paraId="0614FE1D"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Hypoglykæmi</w:t>
            </w:r>
          </w:p>
        </w:tc>
      </w:tr>
      <w:tr w:rsidR="00F4025A" w:rsidRPr="00372B66" w14:paraId="21FD596C"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40AEC743"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Psykiske forstyrrelser</w:t>
            </w:r>
          </w:p>
        </w:tc>
        <w:tc>
          <w:tcPr>
            <w:tcW w:w="3082" w:type="pct"/>
            <w:tcBorders>
              <w:top w:val="single" w:sz="4" w:space="0" w:color="000000"/>
              <w:left w:val="single" w:sz="4" w:space="0" w:color="000000"/>
              <w:bottom w:val="single" w:sz="4" w:space="0" w:color="000000"/>
              <w:right w:val="single" w:sz="4" w:space="0" w:color="000000"/>
            </w:tcBorders>
            <w:hideMark/>
          </w:tcPr>
          <w:p w14:paraId="0C1F25E4"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Hukommelsestab, </w:t>
            </w:r>
            <w:proofErr w:type="spellStart"/>
            <w:r w:rsidRPr="00372B66">
              <w:rPr>
                <w:rFonts w:ascii="Times New Roman" w:hAnsi="Times New Roman" w:cs="Times New Roman"/>
                <w:sz w:val="24"/>
                <w:szCs w:val="24"/>
              </w:rPr>
              <w:t>insomni</w:t>
            </w:r>
            <w:proofErr w:type="spellEnd"/>
            <w:r w:rsidRPr="00372B66">
              <w:rPr>
                <w:rFonts w:ascii="Times New Roman" w:hAnsi="Times New Roman" w:cs="Times New Roman"/>
                <w:sz w:val="24"/>
                <w:szCs w:val="24"/>
              </w:rPr>
              <w:t>, depression, mareridt, hallucinationer</w:t>
            </w:r>
          </w:p>
        </w:tc>
      </w:tr>
      <w:tr w:rsidR="00F4025A" w:rsidRPr="00372B66" w14:paraId="289D0380"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0F5C438D"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Nervesystemet</w:t>
            </w:r>
          </w:p>
        </w:tc>
        <w:tc>
          <w:tcPr>
            <w:tcW w:w="3082" w:type="pct"/>
            <w:tcBorders>
              <w:top w:val="single" w:sz="4" w:space="0" w:color="000000"/>
              <w:left w:val="single" w:sz="4" w:space="0" w:color="000000"/>
              <w:bottom w:val="single" w:sz="4" w:space="0" w:color="000000"/>
              <w:right w:val="single" w:sz="4" w:space="0" w:color="000000"/>
            </w:tcBorders>
            <w:hideMark/>
          </w:tcPr>
          <w:p w14:paraId="61983E5B" w14:textId="77777777" w:rsidR="00F4025A" w:rsidRPr="00372B66" w:rsidRDefault="00F4025A" w:rsidP="00733D19">
            <w:pPr>
              <w:pStyle w:val="TableParagraph"/>
              <w:ind w:left="57" w:right="57"/>
              <w:rPr>
                <w:rFonts w:ascii="Times New Roman" w:hAnsi="Times New Roman" w:cs="Times New Roman"/>
                <w:sz w:val="24"/>
                <w:szCs w:val="24"/>
              </w:rPr>
            </w:pPr>
            <w:proofErr w:type="spellStart"/>
            <w:r w:rsidRPr="00372B66">
              <w:rPr>
                <w:rFonts w:ascii="Times New Roman" w:hAnsi="Times New Roman" w:cs="Times New Roman"/>
                <w:sz w:val="24"/>
                <w:szCs w:val="24"/>
              </w:rPr>
              <w:t>Cerebrovaskulær</w:t>
            </w:r>
            <w:proofErr w:type="spellEnd"/>
            <w:r w:rsidRPr="00372B66">
              <w:rPr>
                <w:rFonts w:ascii="Times New Roman" w:hAnsi="Times New Roman" w:cs="Times New Roman"/>
                <w:sz w:val="24"/>
                <w:szCs w:val="24"/>
              </w:rPr>
              <w:t xml:space="preserve"> hændelse, cerebral iskæmi, svimmelhed, forværring af tegn og symptomer på </w:t>
            </w:r>
            <w:proofErr w:type="spellStart"/>
            <w:r w:rsidRPr="00372B66">
              <w:rPr>
                <w:rFonts w:ascii="Times New Roman" w:hAnsi="Times New Roman" w:cs="Times New Roman"/>
                <w:sz w:val="24"/>
                <w:szCs w:val="24"/>
              </w:rPr>
              <w:t>myasthenia</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gravis</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paræstesi</w:t>
            </w:r>
            <w:proofErr w:type="spellEnd"/>
            <w:r w:rsidRPr="00372B66">
              <w:rPr>
                <w:rFonts w:ascii="Times New Roman" w:hAnsi="Times New Roman" w:cs="Times New Roman"/>
                <w:sz w:val="24"/>
                <w:szCs w:val="24"/>
              </w:rPr>
              <w:t>, hovedpine, synkope</w:t>
            </w:r>
          </w:p>
        </w:tc>
      </w:tr>
      <w:tr w:rsidR="00F4025A" w:rsidRPr="00372B66" w14:paraId="11767BB8"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2A9C0232"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Øjne</w:t>
            </w:r>
          </w:p>
        </w:tc>
        <w:tc>
          <w:tcPr>
            <w:tcW w:w="3082" w:type="pct"/>
            <w:tcBorders>
              <w:top w:val="single" w:sz="4" w:space="0" w:color="000000"/>
              <w:left w:val="single" w:sz="4" w:space="0" w:color="000000"/>
              <w:bottom w:val="single" w:sz="4" w:space="0" w:color="000000"/>
              <w:right w:val="single" w:sz="4" w:space="0" w:color="000000"/>
            </w:tcBorders>
            <w:hideMark/>
          </w:tcPr>
          <w:p w14:paraId="3E0CF096" w14:textId="77777777" w:rsidR="00F4025A" w:rsidRPr="00372B66" w:rsidRDefault="00F4025A" w:rsidP="00733D19">
            <w:pPr>
              <w:pStyle w:val="TableParagraph"/>
              <w:ind w:left="57" w:right="57"/>
              <w:rPr>
                <w:rFonts w:ascii="Times New Roman" w:hAnsi="Times New Roman" w:cs="Times New Roman"/>
                <w:sz w:val="24"/>
                <w:szCs w:val="24"/>
              </w:rPr>
            </w:pPr>
            <w:proofErr w:type="spellStart"/>
            <w:r w:rsidRPr="00372B66">
              <w:rPr>
                <w:rFonts w:ascii="Times New Roman" w:hAnsi="Times New Roman" w:cs="Times New Roman"/>
                <w:sz w:val="24"/>
                <w:szCs w:val="24"/>
              </w:rPr>
              <w:t>Choroidalløsning</w:t>
            </w:r>
            <w:proofErr w:type="spellEnd"/>
            <w:r w:rsidRPr="00372B66">
              <w:rPr>
                <w:rFonts w:ascii="Times New Roman" w:hAnsi="Times New Roman" w:cs="Times New Roman"/>
                <w:sz w:val="24"/>
                <w:szCs w:val="24"/>
              </w:rPr>
              <w:t xml:space="preserve"> efter filtrationskirurgi (se pkt. 4.4), </w:t>
            </w:r>
            <w:proofErr w:type="spellStart"/>
            <w:r w:rsidRPr="00372B66">
              <w:rPr>
                <w:rFonts w:ascii="Times New Roman" w:hAnsi="Times New Roman" w:cs="Times New Roman"/>
                <w:sz w:val="24"/>
                <w:szCs w:val="24"/>
              </w:rPr>
              <w:t>korneaerosion</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keratitis</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diplopi</w:t>
            </w:r>
            <w:proofErr w:type="spellEnd"/>
            <w:r w:rsidRPr="00372B66">
              <w:rPr>
                <w:rFonts w:ascii="Times New Roman" w:hAnsi="Times New Roman" w:cs="Times New Roman"/>
                <w:sz w:val="24"/>
                <w:szCs w:val="24"/>
              </w:rPr>
              <w:t xml:space="preserve">, nedsat følsomhed i </w:t>
            </w:r>
            <w:proofErr w:type="spellStart"/>
            <w:r w:rsidRPr="00372B66">
              <w:rPr>
                <w:rFonts w:ascii="Times New Roman" w:hAnsi="Times New Roman" w:cs="Times New Roman"/>
                <w:sz w:val="24"/>
                <w:szCs w:val="24"/>
              </w:rPr>
              <w:t>kornea</w:t>
            </w:r>
            <w:proofErr w:type="spellEnd"/>
            <w:r w:rsidRPr="00372B66">
              <w:rPr>
                <w:rFonts w:ascii="Times New Roman" w:hAnsi="Times New Roman" w:cs="Times New Roman"/>
                <w:sz w:val="24"/>
                <w:szCs w:val="24"/>
              </w:rPr>
              <w:t xml:space="preserve">, tegn og symptomer på øjenirritation (f.eks. brændende fornemmelse, svien, kløe, tåreflåd og rødme), tørre øjne, </w:t>
            </w:r>
            <w:proofErr w:type="spellStart"/>
            <w:r w:rsidRPr="00372B66">
              <w:rPr>
                <w:rFonts w:ascii="Times New Roman" w:hAnsi="Times New Roman" w:cs="Times New Roman"/>
                <w:sz w:val="24"/>
                <w:szCs w:val="24"/>
              </w:rPr>
              <w:t>ptose</w:t>
            </w:r>
            <w:proofErr w:type="spellEnd"/>
            <w:r w:rsidRPr="00372B66">
              <w:rPr>
                <w:rFonts w:ascii="Times New Roman" w:hAnsi="Times New Roman" w:cs="Times New Roman"/>
                <w:sz w:val="24"/>
                <w:szCs w:val="24"/>
              </w:rPr>
              <w:t xml:space="preserve">, </w:t>
            </w:r>
            <w:proofErr w:type="spellStart"/>
            <w:r w:rsidRPr="00372B66">
              <w:rPr>
                <w:rFonts w:ascii="Times New Roman" w:hAnsi="Times New Roman" w:cs="Times New Roman"/>
                <w:sz w:val="24"/>
                <w:szCs w:val="24"/>
              </w:rPr>
              <w:t>blefaritis</w:t>
            </w:r>
            <w:proofErr w:type="spellEnd"/>
            <w:r w:rsidRPr="00372B66">
              <w:rPr>
                <w:rFonts w:ascii="Times New Roman" w:hAnsi="Times New Roman" w:cs="Times New Roman"/>
                <w:sz w:val="24"/>
                <w:szCs w:val="24"/>
              </w:rPr>
              <w:t>, sløret syn</w:t>
            </w:r>
          </w:p>
        </w:tc>
      </w:tr>
      <w:tr w:rsidR="00F4025A" w:rsidRPr="00372B66" w14:paraId="57A731F1"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0974F16D"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Øre og labyrint</w:t>
            </w:r>
          </w:p>
        </w:tc>
        <w:tc>
          <w:tcPr>
            <w:tcW w:w="3082" w:type="pct"/>
            <w:tcBorders>
              <w:top w:val="single" w:sz="4" w:space="0" w:color="000000"/>
              <w:left w:val="single" w:sz="4" w:space="0" w:color="000000"/>
              <w:bottom w:val="single" w:sz="4" w:space="0" w:color="000000"/>
              <w:right w:val="single" w:sz="4" w:space="0" w:color="000000"/>
            </w:tcBorders>
            <w:hideMark/>
          </w:tcPr>
          <w:p w14:paraId="665EA32F"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Tinnitus</w:t>
            </w:r>
          </w:p>
        </w:tc>
      </w:tr>
      <w:tr w:rsidR="00F4025A" w:rsidRPr="00372B66" w14:paraId="5DC1B2C8"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4433CBA8"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Hjerte</w:t>
            </w:r>
          </w:p>
        </w:tc>
        <w:tc>
          <w:tcPr>
            <w:tcW w:w="3082" w:type="pct"/>
            <w:tcBorders>
              <w:top w:val="single" w:sz="4" w:space="0" w:color="000000"/>
              <w:left w:val="single" w:sz="4" w:space="0" w:color="000000"/>
              <w:bottom w:val="single" w:sz="4" w:space="0" w:color="000000"/>
              <w:right w:val="single" w:sz="4" w:space="0" w:color="000000"/>
            </w:tcBorders>
            <w:hideMark/>
          </w:tcPr>
          <w:p w14:paraId="1218D575" w14:textId="3E161270"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Hjertestop, hjertesvigt, </w:t>
            </w:r>
            <w:proofErr w:type="spellStart"/>
            <w:r w:rsidRPr="00372B66">
              <w:rPr>
                <w:rFonts w:ascii="Times New Roman" w:hAnsi="Times New Roman" w:cs="Times New Roman"/>
                <w:sz w:val="24"/>
                <w:szCs w:val="24"/>
              </w:rPr>
              <w:t>atrioventrikulær</w:t>
            </w:r>
            <w:proofErr w:type="spellEnd"/>
            <w:r w:rsidRPr="00372B66">
              <w:rPr>
                <w:rFonts w:ascii="Times New Roman" w:hAnsi="Times New Roman" w:cs="Times New Roman"/>
                <w:sz w:val="24"/>
                <w:szCs w:val="24"/>
              </w:rPr>
              <w:t xml:space="preserve"> blok, </w:t>
            </w:r>
            <w:proofErr w:type="gramStart"/>
            <w:r w:rsidRPr="00372B66">
              <w:rPr>
                <w:rFonts w:ascii="Times New Roman" w:hAnsi="Times New Roman" w:cs="Times New Roman"/>
                <w:sz w:val="24"/>
                <w:szCs w:val="24"/>
              </w:rPr>
              <w:t>kongestiv</w:t>
            </w:r>
            <w:r w:rsidR="006661CE">
              <w:rPr>
                <w:rFonts w:ascii="Times New Roman" w:hAnsi="Times New Roman" w:cs="Times New Roman"/>
                <w:sz w:val="24"/>
                <w:szCs w:val="24"/>
              </w:rPr>
              <w:t xml:space="preserve"> </w:t>
            </w:r>
            <w:r w:rsidRPr="00372B66">
              <w:rPr>
                <w:rFonts w:ascii="Times New Roman" w:hAnsi="Times New Roman" w:cs="Times New Roman"/>
                <w:sz w:val="24"/>
                <w:szCs w:val="24"/>
              </w:rPr>
              <w:t>hjertesvigt</w:t>
            </w:r>
            <w:proofErr w:type="gramEnd"/>
            <w:r w:rsidRPr="00372B66">
              <w:rPr>
                <w:rFonts w:ascii="Times New Roman" w:hAnsi="Times New Roman" w:cs="Times New Roman"/>
                <w:sz w:val="24"/>
                <w:szCs w:val="24"/>
              </w:rPr>
              <w:t xml:space="preserve">, brystsmerter, </w:t>
            </w:r>
            <w:proofErr w:type="spellStart"/>
            <w:r w:rsidRPr="00372B66">
              <w:rPr>
                <w:rFonts w:ascii="Times New Roman" w:hAnsi="Times New Roman" w:cs="Times New Roman"/>
                <w:sz w:val="24"/>
                <w:szCs w:val="24"/>
              </w:rPr>
              <w:t>arytmi</w:t>
            </w:r>
            <w:proofErr w:type="spellEnd"/>
            <w:r w:rsidRPr="00372B66">
              <w:rPr>
                <w:rFonts w:ascii="Times New Roman" w:hAnsi="Times New Roman" w:cs="Times New Roman"/>
                <w:sz w:val="24"/>
                <w:szCs w:val="24"/>
              </w:rPr>
              <w:t xml:space="preserve">, bradykardi, ødem, </w:t>
            </w:r>
            <w:proofErr w:type="spellStart"/>
            <w:r w:rsidRPr="00372B66">
              <w:rPr>
                <w:rFonts w:ascii="Times New Roman" w:hAnsi="Times New Roman" w:cs="Times New Roman"/>
                <w:sz w:val="24"/>
                <w:szCs w:val="24"/>
              </w:rPr>
              <w:t>palpitationer</w:t>
            </w:r>
            <w:proofErr w:type="spellEnd"/>
          </w:p>
        </w:tc>
      </w:tr>
      <w:tr w:rsidR="00F4025A" w:rsidRPr="00372B66" w14:paraId="54398F82"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6AF49538" w14:textId="77777777" w:rsidR="00F4025A" w:rsidRPr="00372B66" w:rsidRDefault="00F4025A" w:rsidP="00733D19">
            <w:pPr>
              <w:pStyle w:val="TableParagraph"/>
              <w:ind w:left="57" w:right="57"/>
              <w:rPr>
                <w:rFonts w:ascii="Times New Roman" w:hAnsi="Times New Roman" w:cs="Times New Roman"/>
                <w:sz w:val="24"/>
                <w:szCs w:val="24"/>
              </w:rPr>
            </w:pPr>
            <w:proofErr w:type="spellStart"/>
            <w:r w:rsidRPr="00372B66">
              <w:rPr>
                <w:rFonts w:ascii="Times New Roman" w:hAnsi="Times New Roman" w:cs="Times New Roman"/>
                <w:sz w:val="24"/>
                <w:szCs w:val="24"/>
              </w:rPr>
              <w:t>Vaskulære</w:t>
            </w:r>
            <w:proofErr w:type="spellEnd"/>
            <w:r w:rsidRPr="00372B66">
              <w:rPr>
                <w:rFonts w:ascii="Times New Roman" w:hAnsi="Times New Roman" w:cs="Times New Roman"/>
                <w:sz w:val="24"/>
                <w:szCs w:val="24"/>
              </w:rPr>
              <w:t xml:space="preserve"> sygdomme</w:t>
            </w:r>
          </w:p>
        </w:tc>
        <w:tc>
          <w:tcPr>
            <w:tcW w:w="3082" w:type="pct"/>
            <w:tcBorders>
              <w:top w:val="single" w:sz="4" w:space="0" w:color="000000"/>
              <w:left w:val="single" w:sz="4" w:space="0" w:color="000000"/>
              <w:bottom w:val="single" w:sz="4" w:space="0" w:color="000000"/>
              <w:right w:val="single" w:sz="4" w:space="0" w:color="000000"/>
            </w:tcBorders>
            <w:hideMark/>
          </w:tcPr>
          <w:p w14:paraId="440D7B22"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Kolde hænder og fødder, hypotension, </w:t>
            </w:r>
            <w:proofErr w:type="spellStart"/>
            <w:r w:rsidRPr="00372B66">
              <w:rPr>
                <w:rFonts w:ascii="Times New Roman" w:hAnsi="Times New Roman" w:cs="Times New Roman"/>
                <w:sz w:val="24"/>
                <w:szCs w:val="24"/>
              </w:rPr>
              <w:t>Raynauds</w:t>
            </w:r>
            <w:proofErr w:type="spellEnd"/>
            <w:r w:rsidRPr="00372B66">
              <w:rPr>
                <w:rFonts w:ascii="Times New Roman" w:hAnsi="Times New Roman" w:cs="Times New Roman"/>
                <w:sz w:val="24"/>
                <w:szCs w:val="24"/>
              </w:rPr>
              <w:t xml:space="preserve"> fænomen</w:t>
            </w:r>
          </w:p>
        </w:tc>
      </w:tr>
      <w:tr w:rsidR="00F4025A" w:rsidRPr="00372B66" w14:paraId="1E44B9B5"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3F4344FE"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Luftveje, thorax og </w:t>
            </w:r>
            <w:proofErr w:type="spellStart"/>
            <w:r w:rsidRPr="00372B66">
              <w:rPr>
                <w:rFonts w:ascii="Times New Roman" w:hAnsi="Times New Roman" w:cs="Times New Roman"/>
                <w:sz w:val="24"/>
                <w:szCs w:val="24"/>
              </w:rPr>
              <w:t>mediastinum</w:t>
            </w:r>
            <w:proofErr w:type="spellEnd"/>
          </w:p>
        </w:tc>
        <w:tc>
          <w:tcPr>
            <w:tcW w:w="3082" w:type="pct"/>
            <w:tcBorders>
              <w:top w:val="single" w:sz="4" w:space="0" w:color="000000"/>
              <w:left w:val="single" w:sz="4" w:space="0" w:color="000000"/>
              <w:bottom w:val="single" w:sz="4" w:space="0" w:color="000000"/>
              <w:right w:val="single" w:sz="4" w:space="0" w:color="000000"/>
            </w:tcBorders>
            <w:hideMark/>
          </w:tcPr>
          <w:p w14:paraId="12BAAB27" w14:textId="77777777" w:rsidR="00F4025A" w:rsidRPr="00372B66" w:rsidRDefault="00F4025A" w:rsidP="00733D19">
            <w:pPr>
              <w:pStyle w:val="TableParagraph"/>
              <w:ind w:left="57" w:right="57"/>
              <w:rPr>
                <w:rFonts w:ascii="Times New Roman" w:hAnsi="Times New Roman" w:cs="Times New Roman"/>
                <w:sz w:val="24"/>
                <w:szCs w:val="24"/>
              </w:rPr>
            </w:pPr>
            <w:proofErr w:type="spellStart"/>
            <w:r w:rsidRPr="00372B66">
              <w:rPr>
                <w:rFonts w:ascii="Times New Roman" w:hAnsi="Times New Roman" w:cs="Times New Roman"/>
                <w:sz w:val="24"/>
                <w:szCs w:val="24"/>
              </w:rPr>
              <w:t>Bronkospasme</w:t>
            </w:r>
            <w:proofErr w:type="spellEnd"/>
            <w:r w:rsidRPr="00372B66">
              <w:rPr>
                <w:rFonts w:ascii="Times New Roman" w:hAnsi="Times New Roman" w:cs="Times New Roman"/>
                <w:sz w:val="24"/>
                <w:szCs w:val="24"/>
              </w:rPr>
              <w:t xml:space="preserve"> (overvejende hos patienter med præeksisterende </w:t>
            </w:r>
            <w:proofErr w:type="spellStart"/>
            <w:r w:rsidRPr="00372B66">
              <w:rPr>
                <w:rFonts w:ascii="Times New Roman" w:hAnsi="Times New Roman" w:cs="Times New Roman"/>
                <w:sz w:val="24"/>
                <w:szCs w:val="24"/>
              </w:rPr>
              <w:t>bronkospastisk</w:t>
            </w:r>
            <w:proofErr w:type="spellEnd"/>
            <w:r w:rsidRPr="00372B66">
              <w:rPr>
                <w:rFonts w:ascii="Times New Roman" w:hAnsi="Times New Roman" w:cs="Times New Roman"/>
                <w:sz w:val="24"/>
                <w:szCs w:val="24"/>
              </w:rPr>
              <w:t xml:space="preserve"> sygdom), hoste, dyspnø</w:t>
            </w:r>
          </w:p>
        </w:tc>
      </w:tr>
      <w:tr w:rsidR="00F4025A" w:rsidRPr="00372B66" w14:paraId="0BBF7195"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4D95139E" w14:textId="190E8632"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Mave-tarm-kanalen</w:t>
            </w:r>
          </w:p>
        </w:tc>
        <w:tc>
          <w:tcPr>
            <w:tcW w:w="3082" w:type="pct"/>
            <w:tcBorders>
              <w:top w:val="single" w:sz="4" w:space="0" w:color="000000"/>
              <w:left w:val="single" w:sz="4" w:space="0" w:color="000000"/>
              <w:bottom w:val="single" w:sz="4" w:space="0" w:color="000000"/>
              <w:right w:val="single" w:sz="4" w:space="0" w:color="000000"/>
            </w:tcBorders>
            <w:hideMark/>
          </w:tcPr>
          <w:p w14:paraId="6B1E7D72"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Mavesmerter, opkastning, diarré, mundtørhed, </w:t>
            </w:r>
            <w:proofErr w:type="spellStart"/>
            <w:r w:rsidRPr="00372B66">
              <w:rPr>
                <w:rFonts w:ascii="Times New Roman" w:hAnsi="Times New Roman" w:cs="Times New Roman"/>
                <w:sz w:val="24"/>
                <w:szCs w:val="24"/>
              </w:rPr>
              <w:t>dysgeusi</w:t>
            </w:r>
            <w:proofErr w:type="spellEnd"/>
            <w:r w:rsidRPr="00372B66">
              <w:rPr>
                <w:rFonts w:ascii="Times New Roman" w:hAnsi="Times New Roman" w:cs="Times New Roman"/>
                <w:sz w:val="24"/>
                <w:szCs w:val="24"/>
              </w:rPr>
              <w:t>, dyspepsi, kvalme</w:t>
            </w:r>
          </w:p>
        </w:tc>
      </w:tr>
      <w:tr w:rsidR="00F4025A" w:rsidRPr="00372B66" w14:paraId="20780B4C"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4A751BA6"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Hud og subkutane væv</w:t>
            </w:r>
          </w:p>
        </w:tc>
        <w:tc>
          <w:tcPr>
            <w:tcW w:w="3082" w:type="pct"/>
            <w:tcBorders>
              <w:top w:val="single" w:sz="4" w:space="0" w:color="000000"/>
              <w:left w:val="single" w:sz="4" w:space="0" w:color="000000"/>
              <w:bottom w:val="single" w:sz="4" w:space="0" w:color="000000"/>
              <w:right w:val="single" w:sz="4" w:space="0" w:color="000000"/>
            </w:tcBorders>
            <w:hideMark/>
          </w:tcPr>
          <w:p w14:paraId="09B283D4"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 xml:space="preserve">Hududslæt, psoriasislignende udslæt, forværring af psoriasis, </w:t>
            </w:r>
            <w:proofErr w:type="spellStart"/>
            <w:r w:rsidRPr="00372B66">
              <w:rPr>
                <w:rFonts w:ascii="Times New Roman" w:hAnsi="Times New Roman" w:cs="Times New Roman"/>
                <w:sz w:val="24"/>
                <w:szCs w:val="24"/>
              </w:rPr>
              <w:t>alopeci</w:t>
            </w:r>
            <w:proofErr w:type="spellEnd"/>
          </w:p>
        </w:tc>
      </w:tr>
      <w:tr w:rsidR="00F4025A" w:rsidRPr="00372B66" w14:paraId="38C86DB5"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38562DB0"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Knogler, led, muskler og bindevæv</w:t>
            </w:r>
          </w:p>
        </w:tc>
        <w:tc>
          <w:tcPr>
            <w:tcW w:w="3082" w:type="pct"/>
            <w:tcBorders>
              <w:top w:val="single" w:sz="4" w:space="0" w:color="000000"/>
              <w:left w:val="single" w:sz="4" w:space="0" w:color="000000"/>
              <w:bottom w:val="single" w:sz="4" w:space="0" w:color="000000"/>
              <w:right w:val="single" w:sz="4" w:space="0" w:color="000000"/>
            </w:tcBorders>
            <w:hideMark/>
          </w:tcPr>
          <w:p w14:paraId="5D2392ED"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Myalgi</w:t>
            </w:r>
          </w:p>
        </w:tc>
      </w:tr>
      <w:tr w:rsidR="00F4025A" w:rsidRPr="00372B66" w14:paraId="6C0EE30C"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7C2589E6"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Det reproduktive system og mammae</w:t>
            </w:r>
          </w:p>
        </w:tc>
        <w:tc>
          <w:tcPr>
            <w:tcW w:w="3082" w:type="pct"/>
            <w:tcBorders>
              <w:top w:val="single" w:sz="4" w:space="0" w:color="000000"/>
              <w:left w:val="single" w:sz="4" w:space="0" w:color="000000"/>
              <w:bottom w:val="single" w:sz="4" w:space="0" w:color="000000"/>
              <w:right w:val="single" w:sz="4" w:space="0" w:color="000000"/>
            </w:tcBorders>
            <w:hideMark/>
          </w:tcPr>
          <w:p w14:paraId="472831E4"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Seksuel dysfunktion, nedsat libido</w:t>
            </w:r>
          </w:p>
        </w:tc>
      </w:tr>
      <w:tr w:rsidR="00F4025A" w:rsidRPr="00372B66" w14:paraId="57645AB9" w14:textId="77777777" w:rsidTr="00733D19">
        <w:trPr>
          <w:trHeight w:val="20"/>
        </w:trPr>
        <w:tc>
          <w:tcPr>
            <w:tcW w:w="1918" w:type="pct"/>
            <w:tcBorders>
              <w:top w:val="single" w:sz="4" w:space="0" w:color="000000"/>
              <w:left w:val="single" w:sz="4" w:space="0" w:color="000000"/>
              <w:bottom w:val="single" w:sz="4" w:space="0" w:color="000000"/>
              <w:right w:val="single" w:sz="4" w:space="0" w:color="000000"/>
            </w:tcBorders>
            <w:hideMark/>
          </w:tcPr>
          <w:p w14:paraId="122940CB"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Almene symptomer og reaktioner på administrationsstedet</w:t>
            </w:r>
          </w:p>
        </w:tc>
        <w:tc>
          <w:tcPr>
            <w:tcW w:w="3082" w:type="pct"/>
            <w:tcBorders>
              <w:top w:val="single" w:sz="4" w:space="0" w:color="000000"/>
              <w:left w:val="single" w:sz="4" w:space="0" w:color="000000"/>
              <w:bottom w:val="single" w:sz="4" w:space="0" w:color="000000"/>
              <w:right w:val="single" w:sz="4" w:space="0" w:color="000000"/>
            </w:tcBorders>
            <w:hideMark/>
          </w:tcPr>
          <w:p w14:paraId="53A761EB" w14:textId="77777777" w:rsidR="00F4025A" w:rsidRPr="00372B66" w:rsidRDefault="00F4025A" w:rsidP="00733D19">
            <w:pPr>
              <w:pStyle w:val="TableParagraph"/>
              <w:ind w:left="57" w:right="57"/>
              <w:rPr>
                <w:rFonts w:ascii="Times New Roman" w:hAnsi="Times New Roman" w:cs="Times New Roman"/>
                <w:sz w:val="24"/>
                <w:szCs w:val="24"/>
              </w:rPr>
            </w:pPr>
            <w:r w:rsidRPr="00372B66">
              <w:rPr>
                <w:rFonts w:ascii="Times New Roman" w:hAnsi="Times New Roman" w:cs="Times New Roman"/>
                <w:sz w:val="24"/>
                <w:szCs w:val="24"/>
              </w:rPr>
              <w:t>Asteni, træthed</w:t>
            </w:r>
          </w:p>
        </w:tc>
      </w:tr>
    </w:tbl>
    <w:p w14:paraId="3FF949B1" w14:textId="77777777" w:rsidR="00F4025A" w:rsidRPr="00372B66" w:rsidRDefault="00F4025A" w:rsidP="008D55AB">
      <w:pPr>
        <w:ind w:left="851"/>
        <w:rPr>
          <w:sz w:val="24"/>
          <w:szCs w:val="24"/>
        </w:rPr>
      </w:pPr>
    </w:p>
    <w:p w14:paraId="598CE703" w14:textId="77777777" w:rsidR="00F4025A" w:rsidRPr="00372B66" w:rsidRDefault="00F4025A" w:rsidP="008D55AB">
      <w:pPr>
        <w:ind w:left="851"/>
        <w:rPr>
          <w:sz w:val="24"/>
          <w:szCs w:val="24"/>
        </w:rPr>
      </w:pPr>
      <w:r w:rsidRPr="00372B66">
        <w:rPr>
          <w:sz w:val="24"/>
          <w:szCs w:val="24"/>
        </w:rPr>
        <w:t xml:space="preserve">Der er meget sjældent rapporteret tilfælde af hornhindeforkalkning i forbindelse med brug af </w:t>
      </w:r>
      <w:proofErr w:type="spellStart"/>
      <w:r w:rsidRPr="00372B66">
        <w:rPr>
          <w:sz w:val="24"/>
          <w:szCs w:val="24"/>
        </w:rPr>
        <w:t>phosphatholdige</w:t>
      </w:r>
      <w:proofErr w:type="spellEnd"/>
      <w:r w:rsidRPr="00372B66">
        <w:rPr>
          <w:sz w:val="24"/>
          <w:szCs w:val="24"/>
        </w:rPr>
        <w:t xml:space="preserve"> øjendråber hos nogle patienter med betydeligt beskadiget hornhinder.</w:t>
      </w:r>
    </w:p>
    <w:p w14:paraId="0D874485" w14:textId="77777777" w:rsidR="00F4025A" w:rsidRPr="00372B66" w:rsidRDefault="00F4025A" w:rsidP="008D55AB">
      <w:pPr>
        <w:ind w:left="851"/>
        <w:rPr>
          <w:sz w:val="24"/>
          <w:szCs w:val="24"/>
        </w:rPr>
      </w:pPr>
    </w:p>
    <w:p w14:paraId="195C6169" w14:textId="77777777" w:rsidR="00F4025A" w:rsidRPr="00372B66" w:rsidRDefault="00F4025A" w:rsidP="008D55AB">
      <w:pPr>
        <w:ind w:left="851"/>
        <w:rPr>
          <w:sz w:val="24"/>
          <w:szCs w:val="24"/>
        </w:rPr>
      </w:pPr>
      <w:r w:rsidRPr="00372B66">
        <w:rPr>
          <w:sz w:val="24"/>
          <w:szCs w:val="24"/>
          <w:u w:val="single"/>
        </w:rPr>
        <w:t>Indberetning af formodede bivirkninger</w:t>
      </w:r>
    </w:p>
    <w:p w14:paraId="28C1E551" w14:textId="77777777" w:rsidR="00F4025A" w:rsidRPr="00372B66" w:rsidRDefault="00F4025A" w:rsidP="008D55AB">
      <w:pPr>
        <w:ind w:left="851"/>
        <w:rPr>
          <w:color w:val="000000"/>
          <w:sz w:val="24"/>
          <w:szCs w:val="24"/>
        </w:rPr>
      </w:pPr>
      <w:r w:rsidRPr="00372B66">
        <w:rPr>
          <w:sz w:val="24"/>
          <w:szCs w:val="24"/>
        </w:rPr>
        <w:t>Når lægemidlet er godkendt, er indberetning af formodede bivirkninger vigtig. Det muliggør løbende overvågning af benefit/</w:t>
      </w:r>
      <w:proofErr w:type="spellStart"/>
      <w:r w:rsidRPr="00372B66">
        <w:rPr>
          <w:sz w:val="24"/>
          <w:szCs w:val="24"/>
        </w:rPr>
        <w:t>risk</w:t>
      </w:r>
      <w:proofErr w:type="spellEnd"/>
      <w:r w:rsidRPr="00372B66">
        <w:rPr>
          <w:sz w:val="24"/>
          <w:szCs w:val="24"/>
        </w:rPr>
        <w:t>-forholdet for lægemidlet. Sundhedspersoner anmodes om at indberette alle formodede bivirkninger via:</w:t>
      </w:r>
    </w:p>
    <w:p w14:paraId="31870FFF" w14:textId="77777777" w:rsidR="00F4025A" w:rsidRPr="00372B66" w:rsidRDefault="00F4025A" w:rsidP="008D55AB">
      <w:pPr>
        <w:ind w:left="851"/>
        <w:rPr>
          <w:sz w:val="24"/>
          <w:szCs w:val="24"/>
        </w:rPr>
      </w:pPr>
    </w:p>
    <w:p w14:paraId="257D6CA0" w14:textId="77777777" w:rsidR="00F4025A" w:rsidRPr="00372B66" w:rsidRDefault="00F4025A" w:rsidP="008D55AB">
      <w:pPr>
        <w:ind w:left="851"/>
        <w:rPr>
          <w:rStyle w:val="Strk"/>
          <w:sz w:val="24"/>
          <w:szCs w:val="24"/>
        </w:rPr>
      </w:pPr>
      <w:r w:rsidRPr="00372B66">
        <w:rPr>
          <w:iCs/>
          <w:spacing w:val="-3"/>
          <w:sz w:val="24"/>
          <w:szCs w:val="24"/>
        </w:rPr>
        <w:t>Lægemiddelstyrelsen</w:t>
      </w:r>
      <w:r w:rsidRPr="00372B66">
        <w:rPr>
          <w:iCs/>
          <w:spacing w:val="-3"/>
          <w:sz w:val="24"/>
          <w:szCs w:val="24"/>
        </w:rPr>
        <w:br/>
        <w:t>Axel Heides Gade 1</w:t>
      </w:r>
      <w:r w:rsidRPr="00372B66">
        <w:rPr>
          <w:iCs/>
          <w:spacing w:val="-3"/>
          <w:sz w:val="24"/>
          <w:szCs w:val="24"/>
        </w:rPr>
        <w:br/>
        <w:t>2300 København S</w:t>
      </w:r>
      <w:r w:rsidRPr="00372B66">
        <w:rPr>
          <w:iCs/>
          <w:spacing w:val="-3"/>
          <w:sz w:val="24"/>
          <w:szCs w:val="24"/>
        </w:rPr>
        <w:br/>
        <w:t xml:space="preserve">Websted: </w:t>
      </w:r>
      <w:hyperlink r:id="rId8" w:history="1">
        <w:r w:rsidRPr="00372B66">
          <w:rPr>
            <w:rStyle w:val="Hyperlink"/>
            <w:iCs/>
            <w:spacing w:val="-3"/>
            <w:sz w:val="24"/>
            <w:szCs w:val="24"/>
          </w:rPr>
          <w:t>www.meldenbivirkning.dk</w:t>
        </w:r>
      </w:hyperlink>
    </w:p>
    <w:p w14:paraId="04269ADE" w14:textId="77777777" w:rsidR="009260DE" w:rsidRPr="00372B66" w:rsidRDefault="009260DE" w:rsidP="00A10294">
      <w:pPr>
        <w:tabs>
          <w:tab w:val="left" w:pos="851"/>
        </w:tabs>
        <w:ind w:left="851"/>
        <w:rPr>
          <w:sz w:val="24"/>
          <w:szCs w:val="24"/>
        </w:rPr>
      </w:pPr>
    </w:p>
    <w:p w14:paraId="580FD9F0" w14:textId="77777777" w:rsidR="009260DE" w:rsidRPr="00372B66" w:rsidRDefault="009260DE" w:rsidP="009260DE">
      <w:pPr>
        <w:tabs>
          <w:tab w:val="left" w:pos="851"/>
        </w:tabs>
        <w:ind w:left="851" w:hanging="851"/>
        <w:rPr>
          <w:b/>
          <w:sz w:val="24"/>
          <w:szCs w:val="24"/>
        </w:rPr>
      </w:pPr>
      <w:r w:rsidRPr="00372B66">
        <w:rPr>
          <w:b/>
          <w:sz w:val="24"/>
          <w:szCs w:val="24"/>
        </w:rPr>
        <w:t>4.9</w:t>
      </w:r>
      <w:r w:rsidRPr="00372B66">
        <w:rPr>
          <w:b/>
          <w:sz w:val="24"/>
          <w:szCs w:val="24"/>
        </w:rPr>
        <w:tab/>
        <w:t>Overdosering</w:t>
      </w:r>
    </w:p>
    <w:p w14:paraId="52E4FB0A" w14:textId="5D3EE449" w:rsidR="00F4025A" w:rsidRDefault="00F4025A" w:rsidP="008D55AB">
      <w:pPr>
        <w:ind w:left="851"/>
        <w:rPr>
          <w:sz w:val="24"/>
          <w:szCs w:val="24"/>
        </w:rPr>
      </w:pPr>
      <w:r w:rsidRPr="00372B66">
        <w:rPr>
          <w:sz w:val="24"/>
          <w:szCs w:val="24"/>
        </w:rPr>
        <w:t xml:space="preserve">Der foreligger ingen data vedrørende overdosis af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hos mennesker.</w:t>
      </w:r>
    </w:p>
    <w:p w14:paraId="50C8A03B" w14:textId="77777777" w:rsidR="007B2111" w:rsidRPr="00372B66" w:rsidRDefault="007B2111" w:rsidP="008D55AB">
      <w:pPr>
        <w:ind w:left="851"/>
        <w:rPr>
          <w:sz w:val="24"/>
          <w:szCs w:val="24"/>
        </w:rPr>
      </w:pPr>
    </w:p>
    <w:p w14:paraId="7B15FF6F" w14:textId="77777777" w:rsidR="00F4025A" w:rsidRPr="00372B66" w:rsidRDefault="00F4025A" w:rsidP="008D55AB">
      <w:pPr>
        <w:ind w:left="851"/>
        <w:rPr>
          <w:sz w:val="24"/>
          <w:szCs w:val="24"/>
        </w:rPr>
      </w:pPr>
      <w:r w:rsidRPr="00372B66">
        <w:rPr>
          <w:sz w:val="24"/>
          <w:szCs w:val="24"/>
          <w:u w:val="single"/>
        </w:rPr>
        <w:t>Symptomer</w:t>
      </w:r>
    </w:p>
    <w:p w14:paraId="15F5350C" w14:textId="77777777" w:rsidR="00F4025A" w:rsidRPr="00372B66" w:rsidRDefault="00F4025A" w:rsidP="008D55AB">
      <w:pPr>
        <w:ind w:left="851"/>
        <w:rPr>
          <w:sz w:val="24"/>
          <w:szCs w:val="24"/>
        </w:rPr>
      </w:pPr>
    </w:p>
    <w:p w14:paraId="7B00BA3D" w14:textId="77777777" w:rsidR="00F4025A" w:rsidRPr="00372B66" w:rsidRDefault="00F4025A" w:rsidP="008D55AB">
      <w:pPr>
        <w:ind w:left="851"/>
        <w:rPr>
          <w:sz w:val="24"/>
          <w:szCs w:val="24"/>
        </w:rPr>
      </w:pPr>
      <w:r w:rsidRPr="00372B66">
        <w:rPr>
          <w:sz w:val="24"/>
          <w:szCs w:val="24"/>
        </w:rPr>
        <w:t xml:space="preserve">Symptomer på systemisk overdosering med </w:t>
      </w:r>
      <w:proofErr w:type="spellStart"/>
      <w:r w:rsidRPr="00372B66">
        <w:rPr>
          <w:sz w:val="24"/>
          <w:szCs w:val="24"/>
        </w:rPr>
        <w:t>timolol</w:t>
      </w:r>
      <w:proofErr w:type="spellEnd"/>
      <w:r w:rsidRPr="00372B66">
        <w:rPr>
          <w:sz w:val="24"/>
          <w:szCs w:val="24"/>
        </w:rPr>
        <w:t xml:space="preserve"> er: bradykardi, hypotension, </w:t>
      </w:r>
      <w:proofErr w:type="spellStart"/>
      <w:r w:rsidRPr="00372B66">
        <w:rPr>
          <w:sz w:val="24"/>
          <w:szCs w:val="24"/>
        </w:rPr>
        <w:t>bronkospasme</w:t>
      </w:r>
      <w:proofErr w:type="spellEnd"/>
      <w:r w:rsidRPr="00372B66">
        <w:rPr>
          <w:sz w:val="24"/>
          <w:szCs w:val="24"/>
        </w:rPr>
        <w:t xml:space="preserve"> og hjertestop.</w:t>
      </w:r>
    </w:p>
    <w:p w14:paraId="65F5AECB" w14:textId="77777777" w:rsidR="00F4025A" w:rsidRPr="00372B66" w:rsidRDefault="00F4025A" w:rsidP="008D55AB">
      <w:pPr>
        <w:ind w:left="851"/>
        <w:rPr>
          <w:sz w:val="24"/>
          <w:szCs w:val="24"/>
        </w:rPr>
      </w:pPr>
    </w:p>
    <w:p w14:paraId="1D3F8CAC" w14:textId="77777777" w:rsidR="00F4025A" w:rsidRPr="00372B66" w:rsidRDefault="00F4025A" w:rsidP="008D55AB">
      <w:pPr>
        <w:ind w:left="851"/>
        <w:rPr>
          <w:sz w:val="24"/>
          <w:szCs w:val="24"/>
        </w:rPr>
      </w:pPr>
      <w:r w:rsidRPr="00372B66">
        <w:rPr>
          <w:sz w:val="24"/>
          <w:szCs w:val="24"/>
        </w:rPr>
        <w:t xml:space="preserve">Bortset fra øjenirritation og </w:t>
      </w:r>
      <w:proofErr w:type="spellStart"/>
      <w:r w:rsidRPr="00372B66">
        <w:rPr>
          <w:sz w:val="24"/>
          <w:szCs w:val="24"/>
        </w:rPr>
        <w:t>konjunktival</w:t>
      </w:r>
      <w:proofErr w:type="spellEnd"/>
      <w:r w:rsidRPr="00372B66">
        <w:rPr>
          <w:sz w:val="24"/>
          <w:szCs w:val="24"/>
        </w:rPr>
        <w:t xml:space="preserve"> </w:t>
      </w:r>
      <w:proofErr w:type="spellStart"/>
      <w:r w:rsidRPr="00372B66">
        <w:rPr>
          <w:sz w:val="24"/>
          <w:szCs w:val="24"/>
        </w:rPr>
        <w:t>hyperæmi</w:t>
      </w:r>
      <w:proofErr w:type="spellEnd"/>
      <w:r w:rsidRPr="00372B66">
        <w:rPr>
          <w:sz w:val="24"/>
          <w:szCs w:val="24"/>
        </w:rPr>
        <w:t xml:space="preserve"> er der ikke kendt andre </w:t>
      </w:r>
      <w:proofErr w:type="spellStart"/>
      <w:r w:rsidRPr="00372B66">
        <w:rPr>
          <w:sz w:val="24"/>
          <w:szCs w:val="24"/>
        </w:rPr>
        <w:t>okulære</w:t>
      </w:r>
      <w:proofErr w:type="spellEnd"/>
      <w:r w:rsidRPr="00372B66">
        <w:rPr>
          <w:sz w:val="24"/>
          <w:szCs w:val="24"/>
        </w:rPr>
        <w:t xml:space="preserve"> eller systemiske bivirkninger ved overdosering af </w:t>
      </w:r>
      <w:proofErr w:type="spellStart"/>
      <w:r w:rsidRPr="00372B66">
        <w:rPr>
          <w:sz w:val="24"/>
          <w:szCs w:val="24"/>
        </w:rPr>
        <w:t>latanoprost</w:t>
      </w:r>
      <w:proofErr w:type="spellEnd"/>
      <w:r w:rsidRPr="00372B66">
        <w:rPr>
          <w:sz w:val="24"/>
          <w:szCs w:val="24"/>
        </w:rPr>
        <w:t>.</w:t>
      </w:r>
    </w:p>
    <w:p w14:paraId="2A045DAE" w14:textId="77777777" w:rsidR="00F4025A" w:rsidRPr="00372B66" w:rsidRDefault="00F4025A" w:rsidP="008D55AB">
      <w:pPr>
        <w:ind w:left="851"/>
        <w:rPr>
          <w:sz w:val="24"/>
          <w:szCs w:val="24"/>
        </w:rPr>
      </w:pPr>
    </w:p>
    <w:p w14:paraId="048AA2B9" w14:textId="77777777" w:rsidR="00F4025A" w:rsidRPr="00372B66" w:rsidRDefault="00F4025A" w:rsidP="008D55AB">
      <w:pPr>
        <w:ind w:left="851"/>
        <w:rPr>
          <w:sz w:val="24"/>
          <w:szCs w:val="24"/>
        </w:rPr>
      </w:pPr>
      <w:r w:rsidRPr="00372B66">
        <w:rPr>
          <w:sz w:val="24"/>
          <w:szCs w:val="24"/>
          <w:u w:val="single"/>
        </w:rPr>
        <w:t>Behandling</w:t>
      </w:r>
    </w:p>
    <w:p w14:paraId="559143C2" w14:textId="77777777" w:rsidR="00F4025A" w:rsidRPr="00372B66" w:rsidRDefault="00F4025A" w:rsidP="008D55AB">
      <w:pPr>
        <w:ind w:left="851"/>
        <w:rPr>
          <w:sz w:val="24"/>
          <w:szCs w:val="24"/>
        </w:rPr>
      </w:pPr>
    </w:p>
    <w:p w14:paraId="40E15E4A" w14:textId="77777777" w:rsidR="00F4025A" w:rsidRPr="00372B66" w:rsidRDefault="00F4025A" w:rsidP="008D55AB">
      <w:pPr>
        <w:ind w:left="851"/>
        <w:rPr>
          <w:sz w:val="24"/>
          <w:szCs w:val="24"/>
        </w:rPr>
      </w:pPr>
      <w:r w:rsidRPr="00372B66">
        <w:rPr>
          <w:sz w:val="24"/>
          <w:szCs w:val="24"/>
        </w:rPr>
        <w:t>Hvis der opstår symptomer på overdosering, skal behandlingen være symptomatisk og understøttende.</w:t>
      </w:r>
    </w:p>
    <w:p w14:paraId="20EB1D8B" w14:textId="77777777" w:rsidR="00F4025A" w:rsidRPr="00372B66" w:rsidRDefault="00F4025A" w:rsidP="008D55AB">
      <w:pPr>
        <w:ind w:left="851"/>
        <w:rPr>
          <w:sz w:val="24"/>
          <w:szCs w:val="24"/>
        </w:rPr>
      </w:pPr>
    </w:p>
    <w:p w14:paraId="76D91D1B" w14:textId="17C72661" w:rsidR="00F4025A" w:rsidRPr="00372B66" w:rsidRDefault="00F4025A" w:rsidP="008D55AB">
      <w:pPr>
        <w:ind w:left="851"/>
        <w:rPr>
          <w:sz w:val="24"/>
          <w:szCs w:val="24"/>
        </w:rPr>
      </w:pPr>
      <w:r w:rsidRPr="00372B66">
        <w:rPr>
          <w:i/>
          <w:sz w:val="24"/>
          <w:szCs w:val="24"/>
        </w:rPr>
        <w:t>Ved utilsigtet oral indtagelse kan følgende oplysninger være nyttige</w:t>
      </w:r>
      <w:r w:rsidRPr="00372B66">
        <w:rPr>
          <w:sz w:val="24"/>
          <w:szCs w:val="24"/>
        </w:rPr>
        <w:t xml:space="preserve">: Forsøg har vist, at </w:t>
      </w:r>
      <w:proofErr w:type="spellStart"/>
      <w:r w:rsidRPr="00372B66">
        <w:rPr>
          <w:sz w:val="24"/>
          <w:szCs w:val="24"/>
        </w:rPr>
        <w:t>timolol</w:t>
      </w:r>
      <w:proofErr w:type="spellEnd"/>
      <w:r w:rsidRPr="00372B66">
        <w:rPr>
          <w:sz w:val="24"/>
          <w:szCs w:val="24"/>
        </w:rPr>
        <w:t xml:space="preserve"> ikke let kan dialyseres. Udpumpning kan være nødvendig. </w:t>
      </w:r>
      <w:proofErr w:type="spellStart"/>
      <w:r w:rsidRPr="00372B66">
        <w:rPr>
          <w:sz w:val="24"/>
          <w:szCs w:val="24"/>
        </w:rPr>
        <w:t>Latanoprost</w:t>
      </w:r>
      <w:proofErr w:type="spellEnd"/>
      <w:r w:rsidRPr="00372B66">
        <w:rPr>
          <w:sz w:val="24"/>
          <w:szCs w:val="24"/>
        </w:rPr>
        <w:t xml:space="preserve"> </w:t>
      </w:r>
      <w:proofErr w:type="spellStart"/>
      <w:r w:rsidRPr="00372B66">
        <w:rPr>
          <w:sz w:val="24"/>
          <w:szCs w:val="24"/>
        </w:rPr>
        <w:t>metaboliseres</w:t>
      </w:r>
      <w:proofErr w:type="spellEnd"/>
      <w:r w:rsidRPr="00372B66">
        <w:rPr>
          <w:sz w:val="24"/>
          <w:szCs w:val="24"/>
        </w:rPr>
        <w:t xml:space="preserve"> i vid udstrækning under første passage gennem leveren. Intravenøs infusion af 3 mikrogram/kg til raske frivillige fremkaldte ingen symptomer, men en dosis på 5,5-10</w:t>
      </w:r>
      <w:r w:rsidR="007B2111">
        <w:rPr>
          <w:sz w:val="24"/>
          <w:szCs w:val="24"/>
        </w:rPr>
        <w:t> </w:t>
      </w:r>
      <w:r w:rsidRPr="00372B66">
        <w:rPr>
          <w:sz w:val="24"/>
          <w:szCs w:val="24"/>
        </w:rPr>
        <w:t>mikrogram/kg forårsagede kvalme, mavesmerter, svimmelhed, træthed, hedeture og svedtendens. Disse bivirkninger var milde til moderate og forsvandt uden behandling inden for 4 timer efter afslutning af infusionen.</w:t>
      </w:r>
    </w:p>
    <w:p w14:paraId="7CA3A79D" w14:textId="77777777" w:rsidR="009260DE" w:rsidRPr="00372B66" w:rsidRDefault="009260DE" w:rsidP="009260DE">
      <w:pPr>
        <w:tabs>
          <w:tab w:val="left" w:pos="851"/>
        </w:tabs>
        <w:ind w:left="851"/>
        <w:rPr>
          <w:sz w:val="24"/>
          <w:szCs w:val="24"/>
        </w:rPr>
      </w:pPr>
    </w:p>
    <w:p w14:paraId="2D622281" w14:textId="77777777" w:rsidR="009260DE" w:rsidRPr="00372B66" w:rsidRDefault="009260DE" w:rsidP="009260DE">
      <w:pPr>
        <w:tabs>
          <w:tab w:val="left" w:pos="851"/>
        </w:tabs>
        <w:ind w:left="851" w:hanging="851"/>
        <w:rPr>
          <w:b/>
          <w:sz w:val="24"/>
          <w:szCs w:val="24"/>
        </w:rPr>
      </w:pPr>
      <w:r w:rsidRPr="00372B66">
        <w:rPr>
          <w:b/>
          <w:sz w:val="24"/>
          <w:szCs w:val="24"/>
        </w:rPr>
        <w:t>4.10</w:t>
      </w:r>
      <w:r w:rsidRPr="00372B66">
        <w:rPr>
          <w:b/>
          <w:sz w:val="24"/>
          <w:szCs w:val="24"/>
        </w:rPr>
        <w:tab/>
        <w:t>Udlevering</w:t>
      </w:r>
    </w:p>
    <w:p w14:paraId="28D27B11" w14:textId="40B9D942" w:rsidR="009260DE" w:rsidRPr="00372B66" w:rsidRDefault="00733D19" w:rsidP="009260DE">
      <w:pPr>
        <w:tabs>
          <w:tab w:val="left" w:pos="851"/>
        </w:tabs>
        <w:ind w:left="851"/>
        <w:rPr>
          <w:sz w:val="24"/>
          <w:szCs w:val="24"/>
        </w:rPr>
      </w:pPr>
      <w:r>
        <w:rPr>
          <w:sz w:val="24"/>
          <w:szCs w:val="24"/>
        </w:rPr>
        <w:t>B</w:t>
      </w:r>
    </w:p>
    <w:p w14:paraId="2DC80A9A" w14:textId="77777777" w:rsidR="009260DE" w:rsidRPr="00372B66" w:rsidRDefault="009260DE" w:rsidP="009260DE">
      <w:pPr>
        <w:tabs>
          <w:tab w:val="left" w:pos="851"/>
        </w:tabs>
        <w:ind w:left="851"/>
        <w:rPr>
          <w:sz w:val="24"/>
          <w:szCs w:val="24"/>
        </w:rPr>
      </w:pPr>
    </w:p>
    <w:p w14:paraId="6E4B7E19" w14:textId="77777777" w:rsidR="009260DE" w:rsidRPr="00372B66" w:rsidRDefault="009260DE" w:rsidP="009260DE">
      <w:pPr>
        <w:tabs>
          <w:tab w:val="left" w:pos="851"/>
        </w:tabs>
        <w:ind w:left="851"/>
        <w:rPr>
          <w:sz w:val="24"/>
          <w:szCs w:val="24"/>
        </w:rPr>
      </w:pPr>
    </w:p>
    <w:p w14:paraId="61318236" w14:textId="77777777" w:rsidR="009260DE" w:rsidRPr="00372B66" w:rsidRDefault="009260DE" w:rsidP="009260DE">
      <w:pPr>
        <w:tabs>
          <w:tab w:val="left" w:pos="851"/>
        </w:tabs>
        <w:ind w:left="851" w:hanging="851"/>
        <w:rPr>
          <w:b/>
          <w:sz w:val="24"/>
          <w:szCs w:val="24"/>
        </w:rPr>
      </w:pPr>
      <w:r w:rsidRPr="00372B66">
        <w:rPr>
          <w:b/>
          <w:sz w:val="24"/>
          <w:szCs w:val="24"/>
        </w:rPr>
        <w:t>5.</w:t>
      </w:r>
      <w:r w:rsidRPr="00372B66">
        <w:rPr>
          <w:b/>
          <w:sz w:val="24"/>
          <w:szCs w:val="24"/>
        </w:rPr>
        <w:tab/>
        <w:t>FARMAKOLOGISKE EGENSKABER</w:t>
      </w:r>
    </w:p>
    <w:p w14:paraId="435D38A5" w14:textId="77777777" w:rsidR="009260DE" w:rsidRPr="00372B66" w:rsidRDefault="009260DE" w:rsidP="009260DE">
      <w:pPr>
        <w:tabs>
          <w:tab w:val="left" w:pos="851"/>
        </w:tabs>
        <w:ind w:left="851"/>
        <w:rPr>
          <w:sz w:val="24"/>
          <w:szCs w:val="24"/>
        </w:rPr>
      </w:pPr>
    </w:p>
    <w:p w14:paraId="6A52E26A" w14:textId="77777777" w:rsidR="009260DE" w:rsidRPr="00372B66" w:rsidRDefault="009260DE" w:rsidP="009260DE">
      <w:pPr>
        <w:tabs>
          <w:tab w:val="num" w:pos="851"/>
        </w:tabs>
        <w:ind w:left="851" w:hanging="851"/>
        <w:rPr>
          <w:b/>
          <w:sz w:val="24"/>
          <w:szCs w:val="24"/>
        </w:rPr>
      </w:pPr>
      <w:r w:rsidRPr="00372B66">
        <w:rPr>
          <w:b/>
          <w:sz w:val="24"/>
          <w:szCs w:val="24"/>
        </w:rPr>
        <w:t>5.1</w:t>
      </w:r>
      <w:r w:rsidRPr="00372B66">
        <w:rPr>
          <w:b/>
          <w:sz w:val="24"/>
          <w:szCs w:val="24"/>
        </w:rPr>
        <w:tab/>
      </w:r>
      <w:proofErr w:type="spellStart"/>
      <w:r w:rsidRPr="00372B66">
        <w:rPr>
          <w:b/>
          <w:sz w:val="24"/>
          <w:szCs w:val="24"/>
        </w:rPr>
        <w:t>Farmakodynamiske</w:t>
      </w:r>
      <w:proofErr w:type="spellEnd"/>
      <w:r w:rsidRPr="00372B66">
        <w:rPr>
          <w:b/>
          <w:sz w:val="24"/>
          <w:szCs w:val="24"/>
        </w:rPr>
        <w:t xml:space="preserve"> egenskaber</w:t>
      </w:r>
    </w:p>
    <w:p w14:paraId="4466B71E" w14:textId="0BE6A8D7" w:rsidR="00F4025A" w:rsidRPr="00372B66" w:rsidRDefault="00F4025A" w:rsidP="008D55AB">
      <w:pPr>
        <w:ind w:left="851"/>
        <w:rPr>
          <w:sz w:val="24"/>
          <w:szCs w:val="24"/>
        </w:rPr>
      </w:pPr>
      <w:proofErr w:type="spellStart"/>
      <w:r w:rsidRPr="00372B66">
        <w:rPr>
          <w:sz w:val="24"/>
          <w:szCs w:val="24"/>
        </w:rPr>
        <w:t>Farmakoterapeutisk</w:t>
      </w:r>
      <w:proofErr w:type="spellEnd"/>
      <w:r w:rsidRPr="00372B66">
        <w:rPr>
          <w:sz w:val="24"/>
          <w:szCs w:val="24"/>
        </w:rPr>
        <w:t xml:space="preserve"> klassifikation: Oftalmologiske betablokkere - </w:t>
      </w:r>
      <w:proofErr w:type="spellStart"/>
      <w:r w:rsidRPr="00372B66">
        <w:rPr>
          <w:sz w:val="24"/>
          <w:szCs w:val="24"/>
        </w:rPr>
        <w:t>timolol</w:t>
      </w:r>
      <w:proofErr w:type="spellEnd"/>
      <w:r w:rsidRPr="00372B66">
        <w:rPr>
          <w:sz w:val="24"/>
          <w:szCs w:val="24"/>
        </w:rPr>
        <w:t>, kombinationer</w:t>
      </w:r>
      <w:r w:rsidR="007B2111">
        <w:rPr>
          <w:sz w:val="24"/>
          <w:szCs w:val="24"/>
        </w:rPr>
        <w:t>,</w:t>
      </w:r>
      <w:r w:rsidRPr="00372B66">
        <w:rPr>
          <w:sz w:val="24"/>
          <w:szCs w:val="24"/>
        </w:rPr>
        <w:t xml:space="preserve"> ATC-kode: S01ED51</w:t>
      </w:r>
    </w:p>
    <w:p w14:paraId="338BC31B" w14:textId="4E180877" w:rsidR="007B2111" w:rsidRDefault="007B2111">
      <w:pPr>
        <w:rPr>
          <w:sz w:val="24"/>
          <w:szCs w:val="24"/>
        </w:rPr>
      </w:pPr>
      <w:r>
        <w:rPr>
          <w:sz w:val="24"/>
          <w:szCs w:val="24"/>
        </w:rPr>
        <w:br w:type="page"/>
      </w:r>
    </w:p>
    <w:p w14:paraId="0B09A409" w14:textId="77777777" w:rsidR="00F4025A" w:rsidRPr="00372B66" w:rsidRDefault="00F4025A" w:rsidP="008D55AB">
      <w:pPr>
        <w:ind w:left="851"/>
        <w:rPr>
          <w:sz w:val="24"/>
          <w:szCs w:val="24"/>
        </w:rPr>
      </w:pPr>
    </w:p>
    <w:p w14:paraId="13C8A80C" w14:textId="77777777" w:rsidR="00F4025A" w:rsidRPr="00372B66" w:rsidRDefault="00F4025A" w:rsidP="008D55AB">
      <w:pPr>
        <w:ind w:left="851"/>
        <w:rPr>
          <w:sz w:val="24"/>
          <w:szCs w:val="24"/>
        </w:rPr>
      </w:pPr>
      <w:r w:rsidRPr="00372B66">
        <w:rPr>
          <w:sz w:val="24"/>
          <w:szCs w:val="24"/>
          <w:u w:val="single"/>
        </w:rPr>
        <w:t>Virkningsmekanisme</w:t>
      </w:r>
    </w:p>
    <w:p w14:paraId="13E3818B" w14:textId="77777777" w:rsidR="00F4025A" w:rsidRPr="00372B66" w:rsidRDefault="00F4025A" w:rsidP="008D55AB">
      <w:pPr>
        <w:ind w:left="851"/>
        <w:rPr>
          <w:sz w:val="24"/>
          <w:szCs w:val="24"/>
        </w:rPr>
      </w:pPr>
    </w:p>
    <w:p w14:paraId="19ED7948" w14:textId="77777777" w:rsidR="00F4025A" w:rsidRPr="00372B66" w:rsidRDefault="00F4025A" w:rsidP="008D55AB">
      <w:pPr>
        <w:ind w:left="851"/>
        <w:rPr>
          <w:sz w:val="24"/>
          <w:szCs w:val="24"/>
        </w:rPr>
      </w:pPr>
      <w:proofErr w:type="spellStart"/>
      <w:r w:rsidRPr="00372B66">
        <w:rPr>
          <w:sz w:val="24"/>
          <w:szCs w:val="24"/>
        </w:rPr>
        <w:t>Dualux</w:t>
      </w:r>
      <w:proofErr w:type="spellEnd"/>
      <w:r w:rsidRPr="00372B66">
        <w:rPr>
          <w:sz w:val="24"/>
          <w:szCs w:val="24"/>
        </w:rPr>
        <w:t xml:space="preserve"> består af to aktive stoffer: </w:t>
      </w:r>
      <w:proofErr w:type="spellStart"/>
      <w:r w:rsidRPr="00372B66">
        <w:rPr>
          <w:sz w:val="24"/>
          <w:szCs w:val="24"/>
        </w:rPr>
        <w:t>latanoprost</w:t>
      </w:r>
      <w:proofErr w:type="spellEnd"/>
      <w:r w:rsidRPr="00372B66">
        <w:rPr>
          <w:sz w:val="24"/>
          <w:szCs w:val="24"/>
        </w:rPr>
        <w:t xml:space="preserve"> og </w:t>
      </w:r>
      <w:proofErr w:type="spellStart"/>
      <w:r w:rsidRPr="00372B66">
        <w:rPr>
          <w:sz w:val="24"/>
          <w:szCs w:val="24"/>
        </w:rPr>
        <w:t>timololmaleat</w:t>
      </w:r>
      <w:proofErr w:type="spellEnd"/>
      <w:r w:rsidRPr="00372B66">
        <w:rPr>
          <w:sz w:val="24"/>
          <w:szCs w:val="24"/>
        </w:rPr>
        <w:t xml:space="preserve">. Disse to aktive stoffer sænker forhøjet </w:t>
      </w:r>
      <w:proofErr w:type="spellStart"/>
      <w:r w:rsidRPr="00372B66">
        <w:rPr>
          <w:sz w:val="24"/>
          <w:szCs w:val="24"/>
        </w:rPr>
        <w:t>intraokulært</w:t>
      </w:r>
      <w:proofErr w:type="spellEnd"/>
      <w:r w:rsidRPr="00372B66">
        <w:rPr>
          <w:sz w:val="24"/>
          <w:szCs w:val="24"/>
        </w:rPr>
        <w:t xml:space="preserve"> tryk (IOP) ved forskellige virkningsmekanismer, og den kombinerede virkning resulterer i en yderligere sænkning af IOP sammenlignet med hver af de to stoffer administreret alene.</w:t>
      </w:r>
    </w:p>
    <w:p w14:paraId="46527315" w14:textId="77777777" w:rsidR="00F4025A" w:rsidRPr="00372B66" w:rsidRDefault="00F4025A" w:rsidP="008D55AB">
      <w:pPr>
        <w:ind w:left="851"/>
        <w:rPr>
          <w:sz w:val="24"/>
          <w:szCs w:val="24"/>
        </w:rPr>
      </w:pPr>
    </w:p>
    <w:p w14:paraId="6415C1BF" w14:textId="77777777" w:rsidR="00F4025A" w:rsidRPr="00372B66" w:rsidRDefault="00F4025A" w:rsidP="008D55AB">
      <w:pPr>
        <w:ind w:left="851"/>
        <w:rPr>
          <w:sz w:val="24"/>
          <w:szCs w:val="24"/>
        </w:rPr>
      </w:pPr>
      <w:proofErr w:type="spellStart"/>
      <w:r w:rsidRPr="00372B66">
        <w:rPr>
          <w:sz w:val="24"/>
          <w:szCs w:val="24"/>
        </w:rPr>
        <w:t>Latanoprost</w:t>
      </w:r>
      <w:proofErr w:type="spellEnd"/>
      <w:r w:rsidRPr="00372B66">
        <w:rPr>
          <w:sz w:val="24"/>
          <w:szCs w:val="24"/>
        </w:rPr>
        <w:t xml:space="preserve">, som er en </w:t>
      </w:r>
      <w:proofErr w:type="spellStart"/>
      <w:r w:rsidRPr="00372B66">
        <w:rPr>
          <w:sz w:val="24"/>
          <w:szCs w:val="24"/>
        </w:rPr>
        <w:t>prostaglandin</w:t>
      </w:r>
      <w:proofErr w:type="spellEnd"/>
      <w:r w:rsidRPr="00372B66">
        <w:rPr>
          <w:sz w:val="24"/>
          <w:szCs w:val="24"/>
        </w:rPr>
        <w:t xml:space="preserve"> F</w:t>
      </w:r>
      <w:r w:rsidRPr="00372B66">
        <w:rPr>
          <w:sz w:val="24"/>
          <w:szCs w:val="24"/>
          <w:vertAlign w:val="subscript"/>
        </w:rPr>
        <w:t>2α</w:t>
      </w:r>
      <w:r w:rsidRPr="00372B66">
        <w:rPr>
          <w:sz w:val="24"/>
          <w:szCs w:val="24"/>
        </w:rPr>
        <w:t xml:space="preserve">-analog, er en selektiv </w:t>
      </w:r>
      <w:proofErr w:type="spellStart"/>
      <w:r w:rsidRPr="00372B66">
        <w:rPr>
          <w:sz w:val="24"/>
          <w:szCs w:val="24"/>
        </w:rPr>
        <w:t>prostanoid</w:t>
      </w:r>
      <w:proofErr w:type="spellEnd"/>
      <w:r w:rsidRPr="00372B66">
        <w:rPr>
          <w:sz w:val="24"/>
          <w:szCs w:val="24"/>
        </w:rPr>
        <w:t xml:space="preserve"> FP-receptoragonist, der reducerer IOP ved at øge udstrømningen af kammervand. Den vigtigste virkningsmekanisme er øget </w:t>
      </w:r>
      <w:proofErr w:type="spellStart"/>
      <w:r w:rsidRPr="00372B66">
        <w:rPr>
          <w:sz w:val="24"/>
          <w:szCs w:val="24"/>
        </w:rPr>
        <w:t>uveoscleralt</w:t>
      </w:r>
      <w:proofErr w:type="spellEnd"/>
      <w:r w:rsidRPr="00372B66">
        <w:rPr>
          <w:sz w:val="24"/>
          <w:szCs w:val="24"/>
        </w:rPr>
        <w:t xml:space="preserve"> afløb. Derudover er der rapporteret om en vis forøgelse af afløbsfaciliteten (nedsat </w:t>
      </w:r>
      <w:proofErr w:type="spellStart"/>
      <w:r w:rsidRPr="00372B66">
        <w:rPr>
          <w:sz w:val="24"/>
          <w:szCs w:val="24"/>
        </w:rPr>
        <w:t>trabekulær</w:t>
      </w:r>
      <w:proofErr w:type="spellEnd"/>
      <w:r w:rsidRPr="00372B66">
        <w:rPr>
          <w:sz w:val="24"/>
          <w:szCs w:val="24"/>
        </w:rPr>
        <w:t xml:space="preserve"> afløbsmodstand) hos mennesker. </w:t>
      </w:r>
      <w:proofErr w:type="spellStart"/>
      <w:r w:rsidRPr="00372B66">
        <w:rPr>
          <w:sz w:val="24"/>
          <w:szCs w:val="24"/>
        </w:rPr>
        <w:t>Latanoprost</w:t>
      </w:r>
      <w:proofErr w:type="spellEnd"/>
      <w:r w:rsidRPr="00372B66">
        <w:rPr>
          <w:sz w:val="24"/>
          <w:szCs w:val="24"/>
        </w:rPr>
        <w:t xml:space="preserve"> har ingen signifikant effekt på produktionen af kammervand, blod-kammervand-barrieren eller den </w:t>
      </w:r>
      <w:proofErr w:type="spellStart"/>
      <w:r w:rsidRPr="00372B66">
        <w:rPr>
          <w:sz w:val="24"/>
          <w:szCs w:val="24"/>
        </w:rPr>
        <w:t>intraokulære</w:t>
      </w:r>
      <w:proofErr w:type="spellEnd"/>
      <w:r w:rsidRPr="00372B66">
        <w:rPr>
          <w:sz w:val="24"/>
          <w:szCs w:val="24"/>
        </w:rPr>
        <w:t xml:space="preserve"> blodcirkulation. Kronisk behandling med </w:t>
      </w:r>
      <w:proofErr w:type="spellStart"/>
      <w:r w:rsidRPr="00372B66">
        <w:rPr>
          <w:sz w:val="24"/>
          <w:szCs w:val="24"/>
        </w:rPr>
        <w:t>latanoprost</w:t>
      </w:r>
      <w:proofErr w:type="spellEnd"/>
      <w:r w:rsidRPr="00372B66">
        <w:rPr>
          <w:sz w:val="24"/>
          <w:szCs w:val="24"/>
        </w:rPr>
        <w:t xml:space="preserve"> i abeøjne, som havde gennemgået </w:t>
      </w:r>
      <w:proofErr w:type="spellStart"/>
      <w:r w:rsidRPr="00372B66">
        <w:rPr>
          <w:sz w:val="24"/>
          <w:szCs w:val="24"/>
        </w:rPr>
        <w:t>ekstrakapsulær</w:t>
      </w:r>
      <w:proofErr w:type="spellEnd"/>
      <w:r w:rsidRPr="00372B66">
        <w:rPr>
          <w:sz w:val="24"/>
          <w:szCs w:val="24"/>
        </w:rPr>
        <w:t xml:space="preserve"> linseekstraktion, påvirkede ikke nethindens blodkar, som bestemt ved </w:t>
      </w:r>
      <w:proofErr w:type="spellStart"/>
      <w:r w:rsidRPr="00372B66">
        <w:rPr>
          <w:sz w:val="24"/>
          <w:szCs w:val="24"/>
        </w:rPr>
        <w:t>fluoresceinangiografi</w:t>
      </w:r>
      <w:proofErr w:type="spellEnd"/>
      <w:r w:rsidRPr="00372B66">
        <w:rPr>
          <w:sz w:val="24"/>
          <w:szCs w:val="24"/>
        </w:rPr>
        <w:t xml:space="preserve">. </w:t>
      </w:r>
      <w:proofErr w:type="spellStart"/>
      <w:r w:rsidRPr="00372B66">
        <w:rPr>
          <w:sz w:val="24"/>
          <w:szCs w:val="24"/>
        </w:rPr>
        <w:t>Latanoprost</w:t>
      </w:r>
      <w:proofErr w:type="spellEnd"/>
      <w:r w:rsidRPr="00372B66">
        <w:rPr>
          <w:sz w:val="24"/>
          <w:szCs w:val="24"/>
        </w:rPr>
        <w:t xml:space="preserve"> har ikke forårsaget </w:t>
      </w:r>
      <w:proofErr w:type="spellStart"/>
      <w:r w:rsidRPr="00372B66">
        <w:rPr>
          <w:sz w:val="24"/>
          <w:szCs w:val="24"/>
        </w:rPr>
        <w:t>fluoresceinlækage</w:t>
      </w:r>
      <w:proofErr w:type="spellEnd"/>
      <w:r w:rsidRPr="00372B66">
        <w:rPr>
          <w:sz w:val="24"/>
          <w:szCs w:val="24"/>
        </w:rPr>
        <w:t xml:space="preserve"> i det </w:t>
      </w:r>
      <w:proofErr w:type="spellStart"/>
      <w:r w:rsidRPr="00372B66">
        <w:rPr>
          <w:sz w:val="24"/>
          <w:szCs w:val="24"/>
        </w:rPr>
        <w:t>posteriore</w:t>
      </w:r>
      <w:proofErr w:type="spellEnd"/>
      <w:r w:rsidRPr="00372B66">
        <w:rPr>
          <w:sz w:val="24"/>
          <w:szCs w:val="24"/>
        </w:rPr>
        <w:t xml:space="preserve"> segment af </w:t>
      </w:r>
      <w:proofErr w:type="spellStart"/>
      <w:r w:rsidRPr="00372B66">
        <w:rPr>
          <w:sz w:val="24"/>
          <w:szCs w:val="24"/>
        </w:rPr>
        <w:t>pseudofakiske</w:t>
      </w:r>
      <w:proofErr w:type="spellEnd"/>
      <w:r w:rsidRPr="00372B66">
        <w:rPr>
          <w:sz w:val="24"/>
          <w:szCs w:val="24"/>
        </w:rPr>
        <w:t xml:space="preserve"> humane øjne under kortvarig behandling.</w:t>
      </w:r>
    </w:p>
    <w:p w14:paraId="31B6A36A" w14:textId="77777777" w:rsidR="00F4025A" w:rsidRPr="00372B66" w:rsidRDefault="00F4025A" w:rsidP="008D55AB">
      <w:pPr>
        <w:ind w:left="851"/>
        <w:rPr>
          <w:sz w:val="24"/>
          <w:szCs w:val="24"/>
        </w:rPr>
      </w:pPr>
    </w:p>
    <w:p w14:paraId="46A7E9FB" w14:textId="77777777" w:rsidR="00F4025A" w:rsidRPr="00372B66" w:rsidRDefault="00F4025A" w:rsidP="008D55AB">
      <w:pPr>
        <w:ind w:left="851"/>
        <w:rPr>
          <w:sz w:val="24"/>
          <w:szCs w:val="24"/>
        </w:rPr>
      </w:pPr>
      <w:proofErr w:type="spellStart"/>
      <w:r w:rsidRPr="00372B66">
        <w:rPr>
          <w:sz w:val="24"/>
          <w:szCs w:val="24"/>
        </w:rPr>
        <w:t>Timolol</w:t>
      </w:r>
      <w:proofErr w:type="spellEnd"/>
      <w:r w:rsidRPr="00372B66">
        <w:rPr>
          <w:sz w:val="24"/>
          <w:szCs w:val="24"/>
        </w:rPr>
        <w:t xml:space="preserve"> er et beta-1- og beta-2-adrenerg (ikke-selektiv) receptorblokerende middel, som ikke har nogen signifikant </w:t>
      </w:r>
      <w:proofErr w:type="spellStart"/>
      <w:r w:rsidRPr="00372B66">
        <w:rPr>
          <w:sz w:val="24"/>
          <w:szCs w:val="24"/>
        </w:rPr>
        <w:t>intrinsisk</w:t>
      </w:r>
      <w:proofErr w:type="spellEnd"/>
      <w:r w:rsidRPr="00372B66">
        <w:rPr>
          <w:sz w:val="24"/>
          <w:szCs w:val="24"/>
        </w:rPr>
        <w:t xml:space="preserve"> </w:t>
      </w:r>
      <w:proofErr w:type="spellStart"/>
      <w:r w:rsidRPr="00372B66">
        <w:rPr>
          <w:sz w:val="24"/>
          <w:szCs w:val="24"/>
        </w:rPr>
        <w:t>sympatomimetisk</w:t>
      </w:r>
      <w:proofErr w:type="spellEnd"/>
      <w:r w:rsidRPr="00372B66">
        <w:rPr>
          <w:sz w:val="24"/>
          <w:szCs w:val="24"/>
        </w:rPr>
        <w:t xml:space="preserve">, direkte </w:t>
      </w:r>
      <w:proofErr w:type="spellStart"/>
      <w:r w:rsidRPr="00372B66">
        <w:rPr>
          <w:sz w:val="24"/>
          <w:szCs w:val="24"/>
        </w:rPr>
        <w:t>myokardie</w:t>
      </w:r>
      <w:proofErr w:type="spellEnd"/>
      <w:r w:rsidRPr="00372B66">
        <w:rPr>
          <w:sz w:val="24"/>
          <w:szCs w:val="24"/>
        </w:rPr>
        <w:t xml:space="preserve">-depressiv eller membranstabiliserende virkning. </w:t>
      </w:r>
      <w:proofErr w:type="spellStart"/>
      <w:r w:rsidRPr="00372B66">
        <w:rPr>
          <w:sz w:val="24"/>
          <w:szCs w:val="24"/>
        </w:rPr>
        <w:t>Timolol</w:t>
      </w:r>
      <w:proofErr w:type="spellEnd"/>
      <w:r w:rsidRPr="00372B66">
        <w:rPr>
          <w:sz w:val="24"/>
          <w:szCs w:val="24"/>
        </w:rPr>
        <w:t xml:space="preserve"> sænker IOP ved at nedsætte dannelsen af kammervand i </w:t>
      </w:r>
      <w:proofErr w:type="spellStart"/>
      <w:r w:rsidRPr="00372B66">
        <w:rPr>
          <w:sz w:val="24"/>
          <w:szCs w:val="24"/>
        </w:rPr>
        <w:t>ciliære</w:t>
      </w:r>
      <w:proofErr w:type="spellEnd"/>
      <w:r w:rsidRPr="00372B66">
        <w:rPr>
          <w:sz w:val="24"/>
          <w:szCs w:val="24"/>
        </w:rPr>
        <w:t xml:space="preserve"> epitel.</w:t>
      </w:r>
    </w:p>
    <w:p w14:paraId="32C81F2C" w14:textId="77777777" w:rsidR="00F4025A" w:rsidRPr="00372B66" w:rsidRDefault="00F4025A" w:rsidP="008D55AB">
      <w:pPr>
        <w:ind w:left="851"/>
        <w:rPr>
          <w:sz w:val="24"/>
          <w:szCs w:val="24"/>
        </w:rPr>
      </w:pPr>
    </w:p>
    <w:p w14:paraId="42609E6C" w14:textId="77777777" w:rsidR="00F4025A" w:rsidRPr="00372B66" w:rsidRDefault="00F4025A" w:rsidP="008D55AB">
      <w:pPr>
        <w:ind w:left="851"/>
        <w:rPr>
          <w:sz w:val="24"/>
          <w:szCs w:val="24"/>
        </w:rPr>
      </w:pPr>
      <w:r w:rsidRPr="00372B66">
        <w:rPr>
          <w:sz w:val="24"/>
          <w:szCs w:val="24"/>
        </w:rPr>
        <w:t>Den præcise virkningsmekanisme er ikke klart fastslået, men hæmning af den øgede cykliske AMP-syntese forårsaget af endogen beta-</w:t>
      </w:r>
      <w:proofErr w:type="spellStart"/>
      <w:r w:rsidRPr="00372B66">
        <w:rPr>
          <w:sz w:val="24"/>
          <w:szCs w:val="24"/>
        </w:rPr>
        <w:t>adrenerg</w:t>
      </w:r>
      <w:proofErr w:type="spellEnd"/>
      <w:r w:rsidRPr="00372B66">
        <w:rPr>
          <w:sz w:val="24"/>
          <w:szCs w:val="24"/>
        </w:rPr>
        <w:t xml:space="preserve"> stimulering er sandsynlig. </w:t>
      </w:r>
      <w:proofErr w:type="spellStart"/>
      <w:r w:rsidRPr="00372B66">
        <w:rPr>
          <w:sz w:val="24"/>
          <w:szCs w:val="24"/>
        </w:rPr>
        <w:t>Timolol</w:t>
      </w:r>
      <w:proofErr w:type="spellEnd"/>
      <w:r w:rsidRPr="00372B66">
        <w:rPr>
          <w:sz w:val="24"/>
          <w:szCs w:val="24"/>
        </w:rPr>
        <w:t xml:space="preserve"> har ikke vist sig at have nogen signifikant indvirkning på permeabiliteten af blod-kammervand-barrieren for plasmaproteiner. Hos kaniner havde </w:t>
      </w:r>
      <w:proofErr w:type="spellStart"/>
      <w:r w:rsidRPr="00372B66">
        <w:rPr>
          <w:sz w:val="24"/>
          <w:szCs w:val="24"/>
        </w:rPr>
        <w:t>timolol</w:t>
      </w:r>
      <w:proofErr w:type="spellEnd"/>
      <w:r w:rsidRPr="00372B66">
        <w:rPr>
          <w:sz w:val="24"/>
          <w:szCs w:val="24"/>
        </w:rPr>
        <w:t xml:space="preserve"> ingen virkning på det regionale </w:t>
      </w:r>
      <w:proofErr w:type="spellStart"/>
      <w:r w:rsidRPr="00372B66">
        <w:rPr>
          <w:sz w:val="24"/>
          <w:szCs w:val="24"/>
        </w:rPr>
        <w:t>okulære</w:t>
      </w:r>
      <w:proofErr w:type="spellEnd"/>
      <w:r w:rsidRPr="00372B66">
        <w:rPr>
          <w:sz w:val="24"/>
          <w:szCs w:val="24"/>
        </w:rPr>
        <w:t xml:space="preserve"> blodgennemløb efter langvarig behandling.</w:t>
      </w:r>
    </w:p>
    <w:p w14:paraId="40D0EB45" w14:textId="77777777" w:rsidR="00733D19" w:rsidRDefault="00733D19" w:rsidP="008D55AB">
      <w:pPr>
        <w:ind w:left="851"/>
        <w:rPr>
          <w:sz w:val="24"/>
          <w:szCs w:val="24"/>
        </w:rPr>
      </w:pPr>
    </w:p>
    <w:p w14:paraId="1571A03D" w14:textId="34D0942A" w:rsidR="00F4025A" w:rsidRPr="00733D19" w:rsidRDefault="00F4025A" w:rsidP="008D55AB">
      <w:pPr>
        <w:ind w:left="851"/>
        <w:rPr>
          <w:sz w:val="24"/>
          <w:szCs w:val="24"/>
          <w:u w:val="single"/>
        </w:rPr>
      </w:pPr>
      <w:proofErr w:type="spellStart"/>
      <w:r w:rsidRPr="00733D19">
        <w:rPr>
          <w:sz w:val="24"/>
          <w:szCs w:val="24"/>
          <w:u w:val="single"/>
        </w:rPr>
        <w:t>Farmakodynamisk</w:t>
      </w:r>
      <w:proofErr w:type="spellEnd"/>
      <w:r w:rsidRPr="00733D19">
        <w:rPr>
          <w:sz w:val="24"/>
          <w:szCs w:val="24"/>
          <w:u w:val="single"/>
        </w:rPr>
        <w:t xml:space="preserve"> virkning</w:t>
      </w:r>
    </w:p>
    <w:p w14:paraId="431CEF18" w14:textId="77777777" w:rsidR="00F4025A" w:rsidRPr="00372B66" w:rsidRDefault="00F4025A" w:rsidP="008D55AB">
      <w:pPr>
        <w:ind w:left="851"/>
        <w:rPr>
          <w:sz w:val="24"/>
          <w:szCs w:val="24"/>
        </w:rPr>
      </w:pPr>
    </w:p>
    <w:p w14:paraId="480D48A1" w14:textId="77777777" w:rsidR="00F4025A" w:rsidRPr="00372B66" w:rsidRDefault="00F4025A" w:rsidP="008D55AB">
      <w:pPr>
        <w:ind w:left="851"/>
        <w:rPr>
          <w:i/>
          <w:sz w:val="24"/>
          <w:szCs w:val="24"/>
        </w:rPr>
      </w:pPr>
      <w:r w:rsidRPr="00372B66">
        <w:rPr>
          <w:i/>
          <w:sz w:val="24"/>
          <w:szCs w:val="24"/>
        </w:rPr>
        <w:t>Klinisk virkning og sikkerhed</w:t>
      </w:r>
    </w:p>
    <w:p w14:paraId="40A82B52" w14:textId="77777777" w:rsidR="00F4025A" w:rsidRPr="00372B66" w:rsidRDefault="00F4025A" w:rsidP="008D55AB">
      <w:pPr>
        <w:ind w:left="851"/>
        <w:rPr>
          <w:sz w:val="24"/>
          <w:szCs w:val="24"/>
        </w:rPr>
      </w:pPr>
      <w:r w:rsidRPr="00372B66">
        <w:rPr>
          <w:sz w:val="24"/>
          <w:szCs w:val="24"/>
        </w:rPr>
        <w:t xml:space="preserve">I dosisbestemmende forsøg bevirkede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signifikant større fald i det gennemsnitlige daglige IOP sammenlignet med </w:t>
      </w:r>
      <w:proofErr w:type="spellStart"/>
      <w:r w:rsidRPr="00372B66">
        <w:rPr>
          <w:sz w:val="24"/>
          <w:szCs w:val="24"/>
        </w:rPr>
        <w:t>latanoprost</w:t>
      </w:r>
      <w:proofErr w:type="spellEnd"/>
      <w:r w:rsidRPr="00372B66">
        <w:rPr>
          <w:sz w:val="24"/>
          <w:szCs w:val="24"/>
        </w:rPr>
        <w:t xml:space="preserve"> og </w:t>
      </w:r>
      <w:proofErr w:type="spellStart"/>
      <w:r w:rsidRPr="00372B66">
        <w:rPr>
          <w:sz w:val="24"/>
          <w:szCs w:val="24"/>
        </w:rPr>
        <w:t>timolol</w:t>
      </w:r>
      <w:proofErr w:type="spellEnd"/>
      <w:r w:rsidRPr="00372B66">
        <w:rPr>
          <w:sz w:val="24"/>
          <w:szCs w:val="24"/>
        </w:rPr>
        <w:t xml:space="preserve"> administreret én gang dagligt som monoterapi. I to velkontrollerede, dobbelt blinde seks måneders kliniske forsøg blev den IOP-sænkende virkning af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sammenlignet med </w:t>
      </w:r>
      <w:proofErr w:type="spellStart"/>
      <w:r w:rsidRPr="00372B66">
        <w:rPr>
          <w:sz w:val="24"/>
          <w:szCs w:val="24"/>
        </w:rPr>
        <w:t>latanoprost</w:t>
      </w:r>
      <w:proofErr w:type="spellEnd"/>
      <w:r w:rsidRPr="00372B66">
        <w:rPr>
          <w:sz w:val="24"/>
          <w:szCs w:val="24"/>
        </w:rPr>
        <w:t xml:space="preserve"> og </w:t>
      </w:r>
      <w:proofErr w:type="spellStart"/>
      <w:r w:rsidRPr="00372B66">
        <w:rPr>
          <w:sz w:val="24"/>
          <w:szCs w:val="24"/>
        </w:rPr>
        <w:t>timolol</w:t>
      </w:r>
      <w:proofErr w:type="spellEnd"/>
      <w:r w:rsidRPr="00372B66">
        <w:rPr>
          <w:sz w:val="24"/>
          <w:szCs w:val="24"/>
        </w:rPr>
        <w:t xml:space="preserve"> som monoterapi hos patienter med et IOP på mindst 25 mm Hg eller derover. Efter en 2-4 ugers indledende behandling med </w:t>
      </w:r>
      <w:proofErr w:type="spellStart"/>
      <w:r w:rsidRPr="00372B66">
        <w:rPr>
          <w:sz w:val="24"/>
          <w:szCs w:val="24"/>
        </w:rPr>
        <w:t>timolol</w:t>
      </w:r>
      <w:proofErr w:type="spellEnd"/>
      <w:r w:rsidRPr="00372B66">
        <w:rPr>
          <w:sz w:val="24"/>
          <w:szCs w:val="24"/>
        </w:rPr>
        <w:t xml:space="preserve"> (gennemsnitligt fald i IOP fra indskrivning på 5 mm Hg) blev der observeret yderligere fald i det gennemsnitlige daglige IOP på 3,1, 2,0 og 0,6 mm Hg efter 6 måneders behandling med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w:t>
      </w:r>
      <w:proofErr w:type="spellStart"/>
      <w:r w:rsidRPr="00372B66">
        <w:rPr>
          <w:sz w:val="24"/>
          <w:szCs w:val="24"/>
        </w:rPr>
        <w:t>latanoprost</w:t>
      </w:r>
      <w:proofErr w:type="spellEnd"/>
      <w:r w:rsidRPr="00372B66">
        <w:rPr>
          <w:sz w:val="24"/>
          <w:szCs w:val="24"/>
        </w:rPr>
        <w:t xml:space="preserve"> og </w:t>
      </w:r>
      <w:proofErr w:type="spellStart"/>
      <w:r w:rsidRPr="00372B66">
        <w:rPr>
          <w:sz w:val="24"/>
          <w:szCs w:val="24"/>
        </w:rPr>
        <w:t>timolol</w:t>
      </w:r>
      <w:proofErr w:type="spellEnd"/>
      <w:r w:rsidRPr="00372B66">
        <w:rPr>
          <w:sz w:val="24"/>
          <w:szCs w:val="24"/>
        </w:rPr>
        <w:t xml:space="preserve"> (to gange dagligt) henholdsvis. Den IOP-sænkende virkning af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blev opretholdt i 6-måneder i åben forlængelse af disse forsøg.</w:t>
      </w:r>
    </w:p>
    <w:p w14:paraId="0E92B2AC" w14:textId="77777777" w:rsidR="00F4025A" w:rsidRPr="00372B66" w:rsidRDefault="00F4025A" w:rsidP="008D55AB">
      <w:pPr>
        <w:ind w:left="851"/>
        <w:rPr>
          <w:sz w:val="24"/>
          <w:szCs w:val="24"/>
        </w:rPr>
      </w:pPr>
    </w:p>
    <w:p w14:paraId="2CDD27B5" w14:textId="77777777" w:rsidR="00F4025A" w:rsidRPr="00372B66" w:rsidRDefault="00F4025A" w:rsidP="008D55AB">
      <w:pPr>
        <w:ind w:left="851"/>
        <w:rPr>
          <w:sz w:val="24"/>
          <w:szCs w:val="24"/>
        </w:rPr>
      </w:pPr>
      <w:r w:rsidRPr="00372B66">
        <w:rPr>
          <w:sz w:val="24"/>
          <w:szCs w:val="24"/>
        </w:rPr>
        <w:t>Eksisterende data tyder på, at dosering om aftenen kan være mere effektiv til at sænke IOP end dosering om morgenen. Når der overvejes en anbefaling om dosering om morgenen eller om aftenen, bør der dog tages behørigt hensyn til patientens livsstil og sandsynlige compliance.</w:t>
      </w:r>
    </w:p>
    <w:p w14:paraId="3B491F93" w14:textId="77777777" w:rsidR="00F4025A" w:rsidRPr="00372B66" w:rsidRDefault="00F4025A" w:rsidP="008D55AB">
      <w:pPr>
        <w:ind w:left="851"/>
        <w:rPr>
          <w:sz w:val="24"/>
          <w:szCs w:val="24"/>
        </w:rPr>
      </w:pPr>
    </w:p>
    <w:p w14:paraId="7F4D158D" w14:textId="77777777" w:rsidR="00F4025A" w:rsidRPr="00372B66" w:rsidRDefault="00F4025A" w:rsidP="008D55AB">
      <w:pPr>
        <w:ind w:left="851"/>
        <w:rPr>
          <w:sz w:val="24"/>
          <w:szCs w:val="24"/>
        </w:rPr>
      </w:pPr>
      <w:r w:rsidRPr="00372B66">
        <w:rPr>
          <w:sz w:val="24"/>
          <w:szCs w:val="24"/>
        </w:rPr>
        <w:lastRenderedPageBreak/>
        <w:t xml:space="preserve">Det bør bemærkes, at hvis den faste kombination ikke er tilstrækkelig effektiv, tyder resultater fra undersøgelser på, at det stadig kan være effektivt at anvende </w:t>
      </w:r>
      <w:proofErr w:type="spellStart"/>
      <w:r w:rsidRPr="00372B66">
        <w:rPr>
          <w:sz w:val="24"/>
          <w:szCs w:val="24"/>
        </w:rPr>
        <w:t>timolol</w:t>
      </w:r>
      <w:proofErr w:type="spellEnd"/>
      <w:r w:rsidRPr="00372B66">
        <w:rPr>
          <w:sz w:val="24"/>
          <w:szCs w:val="24"/>
        </w:rPr>
        <w:t xml:space="preserve"> to gange dagligt</w:t>
      </w:r>
      <w:r w:rsidRPr="00372B66">
        <w:rPr>
          <w:i/>
          <w:sz w:val="24"/>
          <w:szCs w:val="24"/>
        </w:rPr>
        <w:t xml:space="preserve"> </w:t>
      </w:r>
      <w:r w:rsidRPr="00372B66">
        <w:rPr>
          <w:sz w:val="24"/>
          <w:szCs w:val="24"/>
        </w:rPr>
        <w:t xml:space="preserve">og </w:t>
      </w:r>
      <w:proofErr w:type="spellStart"/>
      <w:r w:rsidRPr="00372B66">
        <w:rPr>
          <w:sz w:val="24"/>
          <w:szCs w:val="24"/>
        </w:rPr>
        <w:t>latanoprost</w:t>
      </w:r>
      <w:proofErr w:type="spellEnd"/>
      <w:r w:rsidRPr="00372B66">
        <w:rPr>
          <w:sz w:val="24"/>
          <w:szCs w:val="24"/>
        </w:rPr>
        <w:t xml:space="preserve"> én gang dagligt i ikke-fast dosering.</w:t>
      </w:r>
    </w:p>
    <w:p w14:paraId="4B40C98B" w14:textId="77777777" w:rsidR="00F4025A" w:rsidRPr="00372B66" w:rsidRDefault="00F4025A" w:rsidP="008D55AB">
      <w:pPr>
        <w:ind w:left="851"/>
        <w:rPr>
          <w:sz w:val="24"/>
          <w:szCs w:val="24"/>
        </w:rPr>
      </w:pPr>
    </w:p>
    <w:p w14:paraId="0F80B523" w14:textId="77777777" w:rsidR="00F4025A" w:rsidRPr="00372B66" w:rsidRDefault="00F4025A" w:rsidP="008D55AB">
      <w:pPr>
        <w:ind w:left="851"/>
        <w:rPr>
          <w:sz w:val="24"/>
          <w:szCs w:val="24"/>
        </w:rPr>
      </w:pP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begynder at virke inden for en time, og den maksimale virkning opnås inden for seks til otte timer. Der er påvist en tilstrækkelig IOP-sænkende virkning op til 24 timer efter dosering efter flere behandlinger.</w:t>
      </w:r>
    </w:p>
    <w:p w14:paraId="02D8A094" w14:textId="77777777" w:rsidR="009260DE" w:rsidRPr="00372B66" w:rsidRDefault="009260DE" w:rsidP="009260DE">
      <w:pPr>
        <w:tabs>
          <w:tab w:val="left" w:pos="851"/>
        </w:tabs>
        <w:ind w:left="851"/>
        <w:rPr>
          <w:sz w:val="24"/>
          <w:szCs w:val="24"/>
        </w:rPr>
      </w:pPr>
    </w:p>
    <w:p w14:paraId="4B94ED29" w14:textId="77777777" w:rsidR="009260DE" w:rsidRPr="00372B66" w:rsidRDefault="009260DE" w:rsidP="009260DE">
      <w:pPr>
        <w:tabs>
          <w:tab w:val="left" w:pos="851"/>
        </w:tabs>
        <w:ind w:left="851" w:hanging="851"/>
        <w:rPr>
          <w:b/>
          <w:sz w:val="24"/>
          <w:szCs w:val="24"/>
        </w:rPr>
      </w:pPr>
      <w:r w:rsidRPr="00372B66">
        <w:rPr>
          <w:b/>
          <w:sz w:val="24"/>
          <w:szCs w:val="24"/>
        </w:rPr>
        <w:t>5.2</w:t>
      </w:r>
      <w:r w:rsidRPr="00372B66">
        <w:rPr>
          <w:b/>
          <w:sz w:val="24"/>
          <w:szCs w:val="24"/>
        </w:rPr>
        <w:tab/>
      </w:r>
      <w:proofErr w:type="spellStart"/>
      <w:r w:rsidRPr="00372B66">
        <w:rPr>
          <w:b/>
          <w:sz w:val="24"/>
          <w:szCs w:val="24"/>
        </w:rPr>
        <w:t>Farmakokinetiske</w:t>
      </w:r>
      <w:proofErr w:type="spellEnd"/>
      <w:r w:rsidRPr="00372B66">
        <w:rPr>
          <w:b/>
          <w:sz w:val="24"/>
          <w:szCs w:val="24"/>
        </w:rPr>
        <w:t xml:space="preserve"> egenskaber</w:t>
      </w:r>
    </w:p>
    <w:p w14:paraId="5A940555" w14:textId="77777777" w:rsidR="00733D19" w:rsidRDefault="00733D19" w:rsidP="008D55AB">
      <w:pPr>
        <w:ind w:left="851"/>
        <w:rPr>
          <w:sz w:val="24"/>
          <w:szCs w:val="24"/>
        </w:rPr>
      </w:pPr>
    </w:p>
    <w:p w14:paraId="2249610B" w14:textId="29DE9201" w:rsidR="00F4025A" w:rsidRPr="00733D19" w:rsidRDefault="00F4025A" w:rsidP="008D55AB">
      <w:pPr>
        <w:ind w:left="851"/>
        <w:rPr>
          <w:sz w:val="24"/>
          <w:szCs w:val="24"/>
          <w:u w:val="single"/>
        </w:rPr>
      </w:pPr>
      <w:proofErr w:type="spellStart"/>
      <w:r w:rsidRPr="00733D19">
        <w:rPr>
          <w:sz w:val="24"/>
          <w:szCs w:val="24"/>
          <w:u w:val="single"/>
        </w:rPr>
        <w:t>Latanoprost</w:t>
      </w:r>
      <w:proofErr w:type="spellEnd"/>
    </w:p>
    <w:p w14:paraId="741C968B" w14:textId="77777777" w:rsidR="00F4025A" w:rsidRPr="00372B66" w:rsidRDefault="00F4025A" w:rsidP="008D55AB">
      <w:pPr>
        <w:ind w:left="851"/>
        <w:rPr>
          <w:sz w:val="24"/>
          <w:szCs w:val="24"/>
        </w:rPr>
      </w:pPr>
    </w:p>
    <w:p w14:paraId="07C85181" w14:textId="77777777" w:rsidR="00F4025A" w:rsidRPr="00372B66" w:rsidRDefault="00F4025A" w:rsidP="008D55AB">
      <w:pPr>
        <w:ind w:left="851"/>
        <w:rPr>
          <w:i/>
          <w:sz w:val="24"/>
          <w:szCs w:val="24"/>
        </w:rPr>
      </w:pPr>
      <w:r w:rsidRPr="00372B66">
        <w:rPr>
          <w:i/>
          <w:sz w:val="24"/>
          <w:szCs w:val="24"/>
        </w:rPr>
        <w:t>Absorption</w:t>
      </w:r>
    </w:p>
    <w:p w14:paraId="2AEB70D8" w14:textId="77777777" w:rsidR="00F4025A" w:rsidRPr="00372B66" w:rsidRDefault="00F4025A" w:rsidP="008D55AB">
      <w:pPr>
        <w:ind w:left="851"/>
        <w:rPr>
          <w:sz w:val="24"/>
          <w:szCs w:val="24"/>
        </w:rPr>
      </w:pPr>
      <w:proofErr w:type="spellStart"/>
      <w:r w:rsidRPr="00372B66">
        <w:rPr>
          <w:sz w:val="24"/>
          <w:szCs w:val="24"/>
        </w:rPr>
        <w:t>Latanoprost</w:t>
      </w:r>
      <w:proofErr w:type="spellEnd"/>
      <w:r w:rsidRPr="00372B66">
        <w:rPr>
          <w:sz w:val="24"/>
          <w:szCs w:val="24"/>
        </w:rPr>
        <w:t xml:space="preserve"> er et </w:t>
      </w:r>
      <w:proofErr w:type="spellStart"/>
      <w:r w:rsidRPr="00372B66">
        <w:rPr>
          <w:sz w:val="24"/>
          <w:szCs w:val="24"/>
        </w:rPr>
        <w:t>isopropylester</w:t>
      </w:r>
      <w:proofErr w:type="spellEnd"/>
      <w:r w:rsidRPr="00372B66">
        <w:rPr>
          <w:sz w:val="24"/>
          <w:szCs w:val="24"/>
        </w:rPr>
        <w:t xml:space="preserve">-prodrug, som i sig selv er inaktivt, men som efter hydrolyse af esteraser i hornhinden til </w:t>
      </w:r>
      <w:proofErr w:type="spellStart"/>
      <w:r w:rsidRPr="00372B66">
        <w:rPr>
          <w:sz w:val="24"/>
          <w:szCs w:val="24"/>
        </w:rPr>
        <w:t>latanoprost</w:t>
      </w:r>
      <w:proofErr w:type="spellEnd"/>
      <w:r w:rsidRPr="00372B66">
        <w:rPr>
          <w:sz w:val="24"/>
          <w:szCs w:val="24"/>
        </w:rPr>
        <w:t xml:space="preserve">-syre bliver biologisk aktivt. </w:t>
      </w:r>
      <w:proofErr w:type="gramStart"/>
      <w:r w:rsidRPr="00372B66">
        <w:rPr>
          <w:sz w:val="24"/>
          <w:szCs w:val="24"/>
        </w:rPr>
        <w:t>Dette prodrug</w:t>
      </w:r>
      <w:proofErr w:type="gramEnd"/>
      <w:r w:rsidRPr="00372B66">
        <w:rPr>
          <w:sz w:val="24"/>
          <w:szCs w:val="24"/>
        </w:rPr>
        <w:t xml:space="preserve"> absorberes godt gennem hornhinden, og alle lægemidler, der trænger ind i kammervandet, hydrolyseres under passage gennem hornhinden.</w:t>
      </w:r>
    </w:p>
    <w:p w14:paraId="2554E40A" w14:textId="77777777" w:rsidR="00F4025A" w:rsidRPr="00372B66" w:rsidRDefault="00F4025A" w:rsidP="008D55AB">
      <w:pPr>
        <w:ind w:left="851"/>
        <w:rPr>
          <w:sz w:val="24"/>
          <w:szCs w:val="24"/>
        </w:rPr>
      </w:pPr>
    </w:p>
    <w:p w14:paraId="44BD17BE" w14:textId="77777777" w:rsidR="00F4025A" w:rsidRPr="00372B66" w:rsidRDefault="00F4025A" w:rsidP="008D55AB">
      <w:pPr>
        <w:ind w:left="851"/>
        <w:rPr>
          <w:i/>
          <w:sz w:val="24"/>
          <w:szCs w:val="24"/>
        </w:rPr>
      </w:pPr>
      <w:r w:rsidRPr="00372B66">
        <w:rPr>
          <w:i/>
          <w:sz w:val="24"/>
          <w:szCs w:val="24"/>
        </w:rPr>
        <w:t>Fordeling</w:t>
      </w:r>
    </w:p>
    <w:p w14:paraId="2544B223" w14:textId="21CB7208" w:rsidR="00F4025A" w:rsidRPr="00372B66" w:rsidRDefault="00F4025A" w:rsidP="008D55AB">
      <w:pPr>
        <w:ind w:left="851"/>
        <w:rPr>
          <w:sz w:val="24"/>
          <w:szCs w:val="24"/>
        </w:rPr>
      </w:pPr>
      <w:r w:rsidRPr="00372B66">
        <w:rPr>
          <w:sz w:val="24"/>
          <w:szCs w:val="24"/>
        </w:rPr>
        <w:t>Forsøg hos mennesker viser, at den maksimale koncentration i kammervandet, ca. 15-30</w:t>
      </w:r>
      <w:r w:rsidR="007B2111">
        <w:rPr>
          <w:sz w:val="24"/>
          <w:szCs w:val="24"/>
        </w:rPr>
        <w:t> </w:t>
      </w:r>
      <w:proofErr w:type="spellStart"/>
      <w:r w:rsidRPr="00372B66">
        <w:rPr>
          <w:sz w:val="24"/>
          <w:szCs w:val="24"/>
        </w:rPr>
        <w:t>ng</w:t>
      </w:r>
      <w:proofErr w:type="spellEnd"/>
      <w:r w:rsidRPr="00372B66">
        <w:rPr>
          <w:sz w:val="24"/>
          <w:szCs w:val="24"/>
        </w:rPr>
        <w:t xml:space="preserve">/ml, nås ca. 2 timer efter topisk administration af </w:t>
      </w:r>
      <w:proofErr w:type="spellStart"/>
      <w:r w:rsidRPr="00372B66">
        <w:rPr>
          <w:sz w:val="24"/>
          <w:szCs w:val="24"/>
        </w:rPr>
        <w:t>latanoprost</w:t>
      </w:r>
      <w:proofErr w:type="spellEnd"/>
      <w:r w:rsidRPr="00372B66">
        <w:rPr>
          <w:sz w:val="24"/>
          <w:szCs w:val="24"/>
        </w:rPr>
        <w:t xml:space="preserve"> alene. Efter topisk påføring hos aber distribueres </w:t>
      </w:r>
      <w:proofErr w:type="spellStart"/>
      <w:r w:rsidRPr="00372B66">
        <w:rPr>
          <w:sz w:val="24"/>
          <w:szCs w:val="24"/>
        </w:rPr>
        <w:t>latanoprost</w:t>
      </w:r>
      <w:proofErr w:type="spellEnd"/>
      <w:r w:rsidRPr="00372B66">
        <w:rPr>
          <w:sz w:val="24"/>
          <w:szCs w:val="24"/>
        </w:rPr>
        <w:t xml:space="preserve"> primært i det </w:t>
      </w:r>
      <w:proofErr w:type="spellStart"/>
      <w:r w:rsidRPr="00372B66">
        <w:rPr>
          <w:sz w:val="24"/>
          <w:szCs w:val="24"/>
        </w:rPr>
        <w:t>anteriore</w:t>
      </w:r>
      <w:proofErr w:type="spellEnd"/>
      <w:r w:rsidRPr="00372B66">
        <w:rPr>
          <w:sz w:val="24"/>
          <w:szCs w:val="24"/>
        </w:rPr>
        <w:t xml:space="preserve"> segment, bindehinden og øjenlågene.</w:t>
      </w:r>
    </w:p>
    <w:p w14:paraId="5772A196" w14:textId="77777777" w:rsidR="00F4025A" w:rsidRPr="00372B66" w:rsidRDefault="00F4025A" w:rsidP="008D55AB">
      <w:pPr>
        <w:ind w:left="851"/>
        <w:rPr>
          <w:sz w:val="24"/>
          <w:szCs w:val="24"/>
        </w:rPr>
      </w:pPr>
    </w:p>
    <w:p w14:paraId="63ADCC29" w14:textId="4D853F7C" w:rsidR="00F4025A" w:rsidRDefault="00F4025A" w:rsidP="008D55AB">
      <w:pPr>
        <w:ind w:left="851"/>
        <w:rPr>
          <w:sz w:val="24"/>
          <w:szCs w:val="24"/>
        </w:rPr>
      </w:pPr>
      <w:proofErr w:type="spellStart"/>
      <w:r w:rsidRPr="00372B66">
        <w:rPr>
          <w:sz w:val="24"/>
          <w:szCs w:val="24"/>
        </w:rPr>
        <w:t>Latanoprost</w:t>
      </w:r>
      <w:proofErr w:type="spellEnd"/>
      <w:r w:rsidRPr="00372B66">
        <w:rPr>
          <w:sz w:val="24"/>
          <w:szCs w:val="24"/>
        </w:rPr>
        <w:t xml:space="preserve">-syren har en plasma </w:t>
      </w:r>
      <w:proofErr w:type="spellStart"/>
      <w:r w:rsidRPr="00372B66">
        <w:rPr>
          <w:sz w:val="24"/>
          <w:szCs w:val="24"/>
        </w:rPr>
        <w:t>clearance</w:t>
      </w:r>
      <w:proofErr w:type="spellEnd"/>
      <w:r w:rsidRPr="00372B66">
        <w:rPr>
          <w:sz w:val="24"/>
          <w:szCs w:val="24"/>
        </w:rPr>
        <w:t xml:space="preserve"> på 0,40 l/h/kg og et lille distributionsvolumen på 0,16 l/kg, hvilket resulterer i en hurtig halveringstid i plasma på 17 minutter. Efter topisk </w:t>
      </w:r>
      <w:proofErr w:type="spellStart"/>
      <w:r w:rsidRPr="00372B66">
        <w:rPr>
          <w:sz w:val="24"/>
          <w:szCs w:val="24"/>
        </w:rPr>
        <w:t>okulær</w:t>
      </w:r>
      <w:proofErr w:type="spellEnd"/>
      <w:r w:rsidRPr="00372B66">
        <w:rPr>
          <w:sz w:val="24"/>
          <w:szCs w:val="24"/>
        </w:rPr>
        <w:t xml:space="preserve"> administration er den systemiske biotilgængelighed af </w:t>
      </w:r>
      <w:proofErr w:type="spellStart"/>
      <w:r w:rsidRPr="00372B66">
        <w:rPr>
          <w:sz w:val="24"/>
          <w:szCs w:val="24"/>
        </w:rPr>
        <w:t>latanoprost</w:t>
      </w:r>
      <w:proofErr w:type="spellEnd"/>
      <w:r w:rsidRPr="00372B66">
        <w:rPr>
          <w:sz w:val="24"/>
          <w:szCs w:val="24"/>
        </w:rPr>
        <w:t>-syren 45</w:t>
      </w:r>
      <w:r w:rsidR="007B2111">
        <w:rPr>
          <w:sz w:val="24"/>
          <w:szCs w:val="24"/>
        </w:rPr>
        <w:t> </w:t>
      </w:r>
      <w:r w:rsidRPr="00372B66">
        <w:rPr>
          <w:sz w:val="24"/>
          <w:szCs w:val="24"/>
        </w:rPr>
        <w:t xml:space="preserve">%. </w:t>
      </w:r>
      <w:proofErr w:type="spellStart"/>
      <w:r w:rsidRPr="00372B66">
        <w:rPr>
          <w:sz w:val="24"/>
          <w:szCs w:val="24"/>
        </w:rPr>
        <w:t>Latanoprost</w:t>
      </w:r>
      <w:proofErr w:type="spellEnd"/>
      <w:r w:rsidRPr="00372B66">
        <w:rPr>
          <w:sz w:val="24"/>
          <w:szCs w:val="24"/>
        </w:rPr>
        <w:t>-syren har en plasmaproteinbinding på 87 %.</w:t>
      </w:r>
    </w:p>
    <w:p w14:paraId="608410CF" w14:textId="77777777" w:rsidR="00733D19" w:rsidRPr="00372B66" w:rsidRDefault="00733D19" w:rsidP="008D55AB">
      <w:pPr>
        <w:ind w:left="851"/>
        <w:rPr>
          <w:sz w:val="24"/>
          <w:szCs w:val="24"/>
        </w:rPr>
      </w:pPr>
    </w:p>
    <w:p w14:paraId="0B4A1F29" w14:textId="77777777" w:rsidR="00F4025A" w:rsidRPr="00372B66" w:rsidRDefault="00F4025A" w:rsidP="008D55AB">
      <w:pPr>
        <w:ind w:left="851"/>
        <w:rPr>
          <w:i/>
          <w:sz w:val="24"/>
          <w:szCs w:val="24"/>
        </w:rPr>
      </w:pPr>
      <w:r w:rsidRPr="00372B66">
        <w:rPr>
          <w:i/>
          <w:sz w:val="24"/>
          <w:szCs w:val="24"/>
        </w:rPr>
        <w:t>Biotransformation og elimination</w:t>
      </w:r>
    </w:p>
    <w:p w14:paraId="359A1C45" w14:textId="4585B170" w:rsidR="00F4025A" w:rsidRPr="00372B66" w:rsidRDefault="00F4025A" w:rsidP="008D55AB">
      <w:pPr>
        <w:ind w:left="851"/>
        <w:rPr>
          <w:sz w:val="24"/>
          <w:szCs w:val="24"/>
        </w:rPr>
      </w:pPr>
      <w:r w:rsidRPr="00372B66">
        <w:rPr>
          <w:sz w:val="24"/>
          <w:szCs w:val="24"/>
        </w:rPr>
        <w:t xml:space="preserve">Der er praktisk talt ingen metabolisme af </w:t>
      </w:r>
      <w:proofErr w:type="spellStart"/>
      <w:r w:rsidRPr="00372B66">
        <w:rPr>
          <w:sz w:val="24"/>
          <w:szCs w:val="24"/>
        </w:rPr>
        <w:t>latanoprost</w:t>
      </w:r>
      <w:proofErr w:type="spellEnd"/>
      <w:r w:rsidRPr="00372B66">
        <w:rPr>
          <w:sz w:val="24"/>
          <w:szCs w:val="24"/>
        </w:rPr>
        <w:t>-syren i øjet. Den primære metabolisme finder sted i leveren. De vigtigste metabolitter, 1,2-dinor- og 1,2,3,4-tetranor-metabolitterne, udviser ingen eller kun svag biologisk aktivitet i dyreforsøg og udskilles primært i urinen.</w:t>
      </w:r>
    </w:p>
    <w:p w14:paraId="743B5BA1" w14:textId="77777777" w:rsidR="00F4025A" w:rsidRPr="00372B66" w:rsidRDefault="00F4025A" w:rsidP="008D55AB">
      <w:pPr>
        <w:ind w:left="851"/>
        <w:rPr>
          <w:sz w:val="24"/>
          <w:szCs w:val="24"/>
        </w:rPr>
      </w:pPr>
    </w:p>
    <w:p w14:paraId="24372427" w14:textId="77777777" w:rsidR="00F4025A" w:rsidRPr="00733D19" w:rsidRDefault="00F4025A" w:rsidP="008D55AB">
      <w:pPr>
        <w:ind w:left="851"/>
        <w:rPr>
          <w:sz w:val="24"/>
          <w:szCs w:val="24"/>
          <w:u w:val="single"/>
        </w:rPr>
      </w:pPr>
      <w:proofErr w:type="spellStart"/>
      <w:r w:rsidRPr="00733D19">
        <w:rPr>
          <w:sz w:val="24"/>
          <w:szCs w:val="24"/>
          <w:u w:val="single"/>
        </w:rPr>
        <w:t>Timolol</w:t>
      </w:r>
      <w:proofErr w:type="spellEnd"/>
    </w:p>
    <w:p w14:paraId="7272BEF6" w14:textId="77777777" w:rsidR="00F4025A" w:rsidRPr="00372B66" w:rsidRDefault="00F4025A" w:rsidP="008D55AB">
      <w:pPr>
        <w:ind w:left="851"/>
        <w:rPr>
          <w:sz w:val="24"/>
          <w:szCs w:val="24"/>
        </w:rPr>
      </w:pPr>
    </w:p>
    <w:p w14:paraId="3714D88E" w14:textId="77777777" w:rsidR="00F4025A" w:rsidRPr="00372B66" w:rsidRDefault="00F4025A" w:rsidP="008D55AB">
      <w:pPr>
        <w:ind w:left="851"/>
        <w:rPr>
          <w:i/>
          <w:sz w:val="24"/>
          <w:szCs w:val="24"/>
        </w:rPr>
      </w:pPr>
      <w:r w:rsidRPr="00372B66">
        <w:rPr>
          <w:i/>
          <w:sz w:val="24"/>
          <w:szCs w:val="24"/>
        </w:rPr>
        <w:t>Absorption og distribution</w:t>
      </w:r>
    </w:p>
    <w:p w14:paraId="35C49CB9" w14:textId="77777777" w:rsidR="00F4025A" w:rsidRPr="00372B66" w:rsidRDefault="00F4025A" w:rsidP="008D55AB">
      <w:pPr>
        <w:ind w:left="851"/>
        <w:rPr>
          <w:sz w:val="24"/>
          <w:szCs w:val="24"/>
        </w:rPr>
      </w:pPr>
      <w:r w:rsidRPr="00372B66">
        <w:rPr>
          <w:sz w:val="24"/>
          <w:szCs w:val="24"/>
        </w:rPr>
        <w:t xml:space="preserve">Den maksimale koncentration af </w:t>
      </w:r>
      <w:proofErr w:type="spellStart"/>
      <w:r w:rsidRPr="00372B66">
        <w:rPr>
          <w:sz w:val="24"/>
          <w:szCs w:val="24"/>
        </w:rPr>
        <w:t>timolol</w:t>
      </w:r>
      <w:proofErr w:type="spellEnd"/>
      <w:r w:rsidRPr="00372B66">
        <w:rPr>
          <w:sz w:val="24"/>
          <w:szCs w:val="24"/>
        </w:rPr>
        <w:t xml:space="preserve"> i kammervandet nås ca. 1 time efter topisk administration af øjendråber. En del af dosis absorberes systemisk, og den maksimale plasmakoncentration på 1 </w:t>
      </w:r>
      <w:proofErr w:type="spellStart"/>
      <w:r w:rsidRPr="00372B66">
        <w:rPr>
          <w:sz w:val="24"/>
          <w:szCs w:val="24"/>
        </w:rPr>
        <w:t>ng</w:t>
      </w:r>
      <w:proofErr w:type="spellEnd"/>
      <w:r w:rsidRPr="00372B66">
        <w:rPr>
          <w:sz w:val="24"/>
          <w:szCs w:val="24"/>
        </w:rPr>
        <w:t>/ml nås 10-20 minutter efter topisk administration af én øjendråbe i hvert øje én gang dagligt (300 mikrogram/dag).</w:t>
      </w:r>
    </w:p>
    <w:p w14:paraId="52BD3694" w14:textId="77777777" w:rsidR="00F4025A" w:rsidRPr="00372B66" w:rsidRDefault="00F4025A" w:rsidP="008D55AB">
      <w:pPr>
        <w:ind w:left="851"/>
        <w:rPr>
          <w:sz w:val="24"/>
          <w:szCs w:val="24"/>
        </w:rPr>
      </w:pPr>
    </w:p>
    <w:p w14:paraId="3FE3AFA5" w14:textId="77777777" w:rsidR="00F4025A" w:rsidRPr="00372B66" w:rsidRDefault="00F4025A" w:rsidP="008D55AB">
      <w:pPr>
        <w:ind w:left="851"/>
        <w:rPr>
          <w:i/>
          <w:sz w:val="24"/>
          <w:szCs w:val="24"/>
        </w:rPr>
      </w:pPr>
      <w:r w:rsidRPr="00372B66">
        <w:rPr>
          <w:i/>
          <w:sz w:val="24"/>
          <w:szCs w:val="24"/>
        </w:rPr>
        <w:t>Biotransformation</w:t>
      </w:r>
    </w:p>
    <w:p w14:paraId="1CD62BA7" w14:textId="77777777" w:rsidR="00F4025A" w:rsidRPr="00372B66" w:rsidRDefault="00F4025A" w:rsidP="008D55AB">
      <w:pPr>
        <w:ind w:left="851"/>
        <w:rPr>
          <w:sz w:val="24"/>
          <w:szCs w:val="24"/>
        </w:rPr>
      </w:pPr>
      <w:r w:rsidRPr="00372B66">
        <w:rPr>
          <w:sz w:val="24"/>
          <w:szCs w:val="24"/>
        </w:rPr>
        <w:t xml:space="preserve">Halveringstiden for </w:t>
      </w:r>
      <w:proofErr w:type="spellStart"/>
      <w:r w:rsidRPr="00372B66">
        <w:rPr>
          <w:sz w:val="24"/>
          <w:szCs w:val="24"/>
        </w:rPr>
        <w:t>timolol</w:t>
      </w:r>
      <w:proofErr w:type="spellEnd"/>
      <w:r w:rsidRPr="00372B66">
        <w:rPr>
          <w:sz w:val="24"/>
          <w:szCs w:val="24"/>
        </w:rPr>
        <w:t xml:space="preserve"> i plasma er ca. 6 timer. </w:t>
      </w:r>
      <w:proofErr w:type="spellStart"/>
      <w:r w:rsidRPr="00372B66">
        <w:rPr>
          <w:sz w:val="24"/>
          <w:szCs w:val="24"/>
        </w:rPr>
        <w:t>Timolol</w:t>
      </w:r>
      <w:proofErr w:type="spellEnd"/>
      <w:r w:rsidRPr="00372B66">
        <w:rPr>
          <w:sz w:val="24"/>
          <w:szCs w:val="24"/>
        </w:rPr>
        <w:t xml:space="preserve"> </w:t>
      </w:r>
      <w:proofErr w:type="spellStart"/>
      <w:r w:rsidRPr="00372B66">
        <w:rPr>
          <w:sz w:val="24"/>
          <w:szCs w:val="24"/>
        </w:rPr>
        <w:t>metaboliseres</w:t>
      </w:r>
      <w:proofErr w:type="spellEnd"/>
      <w:r w:rsidRPr="00372B66">
        <w:rPr>
          <w:sz w:val="24"/>
          <w:szCs w:val="24"/>
        </w:rPr>
        <w:t xml:space="preserve"> i stor udstrækning i leveren.</w:t>
      </w:r>
    </w:p>
    <w:p w14:paraId="5F556FEC" w14:textId="77777777" w:rsidR="00F4025A" w:rsidRPr="00372B66" w:rsidRDefault="00F4025A" w:rsidP="008D55AB">
      <w:pPr>
        <w:ind w:left="851"/>
        <w:rPr>
          <w:sz w:val="24"/>
          <w:szCs w:val="24"/>
        </w:rPr>
      </w:pPr>
    </w:p>
    <w:p w14:paraId="6BB38ACC" w14:textId="77777777" w:rsidR="00F4025A" w:rsidRPr="00372B66" w:rsidRDefault="00F4025A" w:rsidP="008D55AB">
      <w:pPr>
        <w:ind w:left="851"/>
        <w:rPr>
          <w:i/>
          <w:sz w:val="24"/>
          <w:szCs w:val="24"/>
        </w:rPr>
      </w:pPr>
      <w:r w:rsidRPr="00372B66">
        <w:rPr>
          <w:i/>
          <w:sz w:val="24"/>
          <w:szCs w:val="24"/>
        </w:rPr>
        <w:t>Elimination</w:t>
      </w:r>
    </w:p>
    <w:p w14:paraId="61E09AAF" w14:textId="77777777" w:rsidR="00F4025A" w:rsidRPr="00372B66" w:rsidRDefault="00F4025A" w:rsidP="008D55AB">
      <w:pPr>
        <w:ind w:left="851"/>
        <w:rPr>
          <w:sz w:val="24"/>
          <w:szCs w:val="24"/>
        </w:rPr>
      </w:pPr>
      <w:r w:rsidRPr="00372B66">
        <w:rPr>
          <w:sz w:val="24"/>
          <w:szCs w:val="24"/>
        </w:rPr>
        <w:t xml:space="preserve">Metabolitterne udskilles i urinen sammen med noget omdannet </w:t>
      </w:r>
      <w:proofErr w:type="spellStart"/>
      <w:r w:rsidRPr="00372B66">
        <w:rPr>
          <w:sz w:val="24"/>
          <w:szCs w:val="24"/>
        </w:rPr>
        <w:t>timolol</w:t>
      </w:r>
      <w:proofErr w:type="spellEnd"/>
      <w:r w:rsidRPr="00372B66">
        <w:rPr>
          <w:sz w:val="24"/>
          <w:szCs w:val="24"/>
        </w:rPr>
        <w:t xml:space="preserve">. </w:t>
      </w:r>
    </w:p>
    <w:p w14:paraId="49517D49" w14:textId="0BE143BA" w:rsidR="007B2111" w:rsidRDefault="007B2111">
      <w:pPr>
        <w:rPr>
          <w:sz w:val="24"/>
          <w:szCs w:val="24"/>
        </w:rPr>
      </w:pPr>
      <w:r>
        <w:rPr>
          <w:sz w:val="24"/>
          <w:szCs w:val="24"/>
        </w:rPr>
        <w:br w:type="page"/>
      </w:r>
    </w:p>
    <w:p w14:paraId="5BEFFB94" w14:textId="77777777" w:rsidR="00733D19" w:rsidRDefault="00733D19" w:rsidP="008D55AB">
      <w:pPr>
        <w:ind w:left="851"/>
        <w:rPr>
          <w:sz w:val="24"/>
          <w:szCs w:val="24"/>
        </w:rPr>
      </w:pPr>
    </w:p>
    <w:p w14:paraId="009B1F0B" w14:textId="31489A3A" w:rsidR="00F4025A" w:rsidRPr="00733D19" w:rsidRDefault="00F4025A" w:rsidP="008D55AB">
      <w:pPr>
        <w:ind w:left="851"/>
        <w:rPr>
          <w:sz w:val="24"/>
          <w:szCs w:val="24"/>
          <w:u w:val="single"/>
        </w:rPr>
      </w:pPr>
      <w:proofErr w:type="spellStart"/>
      <w:r w:rsidRPr="00733D19">
        <w:rPr>
          <w:sz w:val="24"/>
          <w:szCs w:val="24"/>
          <w:u w:val="single"/>
        </w:rPr>
        <w:t>Latanoprost</w:t>
      </w:r>
      <w:proofErr w:type="spellEnd"/>
      <w:r w:rsidRPr="00733D19">
        <w:rPr>
          <w:sz w:val="24"/>
          <w:szCs w:val="24"/>
          <w:u w:val="single"/>
        </w:rPr>
        <w:t xml:space="preserve"> + </w:t>
      </w:r>
      <w:proofErr w:type="spellStart"/>
      <w:r w:rsidRPr="00733D19">
        <w:rPr>
          <w:sz w:val="24"/>
          <w:szCs w:val="24"/>
          <w:u w:val="single"/>
        </w:rPr>
        <w:t>timolol</w:t>
      </w:r>
      <w:proofErr w:type="spellEnd"/>
    </w:p>
    <w:p w14:paraId="763EB644" w14:textId="77777777" w:rsidR="00733D19" w:rsidRDefault="00733D19" w:rsidP="008D55AB">
      <w:pPr>
        <w:ind w:left="851"/>
        <w:rPr>
          <w:i/>
          <w:sz w:val="24"/>
          <w:szCs w:val="24"/>
        </w:rPr>
      </w:pPr>
    </w:p>
    <w:p w14:paraId="5A0298F3" w14:textId="564027AB" w:rsidR="00F4025A" w:rsidRPr="00372B66" w:rsidRDefault="00F4025A" w:rsidP="008D55AB">
      <w:pPr>
        <w:ind w:left="851"/>
        <w:rPr>
          <w:i/>
          <w:sz w:val="24"/>
          <w:szCs w:val="24"/>
        </w:rPr>
      </w:pPr>
      <w:proofErr w:type="spellStart"/>
      <w:r w:rsidRPr="00372B66">
        <w:rPr>
          <w:i/>
          <w:sz w:val="24"/>
          <w:szCs w:val="24"/>
        </w:rPr>
        <w:t>Farmakokinetiske</w:t>
      </w:r>
      <w:proofErr w:type="spellEnd"/>
      <w:r w:rsidRPr="00372B66">
        <w:rPr>
          <w:i/>
          <w:sz w:val="24"/>
          <w:szCs w:val="24"/>
        </w:rPr>
        <w:t>/</w:t>
      </w:r>
      <w:proofErr w:type="spellStart"/>
      <w:r w:rsidRPr="00372B66">
        <w:rPr>
          <w:i/>
          <w:sz w:val="24"/>
          <w:szCs w:val="24"/>
        </w:rPr>
        <w:t>farmakodynamiske</w:t>
      </w:r>
      <w:proofErr w:type="spellEnd"/>
      <w:r w:rsidRPr="00372B66">
        <w:rPr>
          <w:i/>
          <w:sz w:val="24"/>
          <w:szCs w:val="24"/>
        </w:rPr>
        <w:t xml:space="preserve"> forhold</w:t>
      </w:r>
    </w:p>
    <w:p w14:paraId="30B285B6" w14:textId="77777777" w:rsidR="00F4025A" w:rsidRPr="00372B66" w:rsidRDefault="00F4025A" w:rsidP="008D55AB">
      <w:pPr>
        <w:ind w:left="851"/>
        <w:rPr>
          <w:sz w:val="24"/>
          <w:szCs w:val="24"/>
        </w:rPr>
      </w:pPr>
      <w:r w:rsidRPr="00372B66">
        <w:rPr>
          <w:sz w:val="24"/>
          <w:szCs w:val="24"/>
        </w:rPr>
        <w:t xml:space="preserve">Der blev ikke observeret </w:t>
      </w:r>
      <w:proofErr w:type="spellStart"/>
      <w:r w:rsidRPr="00372B66">
        <w:rPr>
          <w:sz w:val="24"/>
          <w:szCs w:val="24"/>
        </w:rPr>
        <w:t>farmakokinetiske</w:t>
      </w:r>
      <w:proofErr w:type="spellEnd"/>
      <w:r w:rsidRPr="00372B66">
        <w:rPr>
          <w:sz w:val="24"/>
          <w:szCs w:val="24"/>
        </w:rPr>
        <w:t xml:space="preserve"> interaktioner mellem </w:t>
      </w:r>
      <w:proofErr w:type="spellStart"/>
      <w:r w:rsidRPr="00372B66">
        <w:rPr>
          <w:sz w:val="24"/>
          <w:szCs w:val="24"/>
        </w:rPr>
        <w:t>latanoprost</w:t>
      </w:r>
      <w:proofErr w:type="spellEnd"/>
      <w:r w:rsidRPr="00372B66">
        <w:rPr>
          <w:sz w:val="24"/>
          <w:szCs w:val="24"/>
        </w:rPr>
        <w:t xml:space="preserve"> og </w:t>
      </w:r>
      <w:proofErr w:type="spellStart"/>
      <w:r w:rsidRPr="00372B66">
        <w:rPr>
          <w:sz w:val="24"/>
          <w:szCs w:val="24"/>
        </w:rPr>
        <w:t>timolol</w:t>
      </w:r>
      <w:proofErr w:type="spellEnd"/>
      <w:r w:rsidRPr="00372B66">
        <w:rPr>
          <w:sz w:val="24"/>
          <w:szCs w:val="24"/>
        </w:rPr>
        <w:t xml:space="preserve">, selvom koncentrationen af </w:t>
      </w:r>
      <w:proofErr w:type="spellStart"/>
      <w:r w:rsidRPr="00372B66">
        <w:rPr>
          <w:sz w:val="24"/>
          <w:szCs w:val="24"/>
        </w:rPr>
        <w:t>latanoprost</w:t>
      </w:r>
      <w:proofErr w:type="spellEnd"/>
      <w:r w:rsidRPr="00372B66">
        <w:rPr>
          <w:sz w:val="24"/>
          <w:szCs w:val="24"/>
        </w:rPr>
        <w:t xml:space="preserve">-syren i kammervandet var ca. dobbelt så høj 1-4 timer efter administration af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sammenlignet med monoterapi.</w:t>
      </w:r>
    </w:p>
    <w:p w14:paraId="614888DB" w14:textId="77777777" w:rsidR="009260DE" w:rsidRPr="00372B66" w:rsidRDefault="009260DE" w:rsidP="009260DE">
      <w:pPr>
        <w:tabs>
          <w:tab w:val="left" w:pos="851"/>
        </w:tabs>
        <w:ind w:left="851"/>
        <w:rPr>
          <w:sz w:val="24"/>
          <w:szCs w:val="24"/>
        </w:rPr>
      </w:pPr>
    </w:p>
    <w:p w14:paraId="36B733C4" w14:textId="77777777" w:rsidR="009260DE" w:rsidRPr="00372B66" w:rsidRDefault="009260DE" w:rsidP="009260DE">
      <w:pPr>
        <w:tabs>
          <w:tab w:val="left" w:pos="851"/>
        </w:tabs>
        <w:ind w:left="851" w:hanging="851"/>
        <w:rPr>
          <w:b/>
          <w:sz w:val="24"/>
          <w:szCs w:val="24"/>
        </w:rPr>
      </w:pPr>
      <w:r w:rsidRPr="00372B66">
        <w:rPr>
          <w:b/>
          <w:sz w:val="24"/>
          <w:szCs w:val="24"/>
        </w:rPr>
        <w:t>5.3</w:t>
      </w:r>
      <w:r w:rsidRPr="00372B66">
        <w:rPr>
          <w:b/>
          <w:sz w:val="24"/>
          <w:szCs w:val="24"/>
        </w:rPr>
        <w:tab/>
      </w:r>
      <w:r w:rsidR="00BD7931" w:rsidRPr="00372B66">
        <w:rPr>
          <w:b/>
          <w:sz w:val="24"/>
          <w:szCs w:val="24"/>
        </w:rPr>
        <w:t>Non-</w:t>
      </w:r>
      <w:r w:rsidRPr="00372B66">
        <w:rPr>
          <w:b/>
          <w:sz w:val="24"/>
          <w:szCs w:val="24"/>
        </w:rPr>
        <w:t>kliniske sikkerhedsdata</w:t>
      </w:r>
    </w:p>
    <w:p w14:paraId="73F96FED" w14:textId="77777777" w:rsidR="00F4025A" w:rsidRPr="00372B66" w:rsidRDefault="00F4025A" w:rsidP="008D55AB">
      <w:pPr>
        <w:ind w:left="851"/>
        <w:rPr>
          <w:sz w:val="24"/>
          <w:szCs w:val="24"/>
        </w:rPr>
      </w:pPr>
      <w:r w:rsidRPr="00372B66">
        <w:rPr>
          <w:sz w:val="24"/>
          <w:szCs w:val="24"/>
        </w:rPr>
        <w:t xml:space="preserve">De enkelte komponenters </w:t>
      </w:r>
      <w:proofErr w:type="spellStart"/>
      <w:r w:rsidRPr="00372B66">
        <w:rPr>
          <w:sz w:val="24"/>
          <w:szCs w:val="24"/>
        </w:rPr>
        <w:t>okulære</w:t>
      </w:r>
      <w:proofErr w:type="spellEnd"/>
      <w:r w:rsidRPr="00372B66">
        <w:rPr>
          <w:sz w:val="24"/>
          <w:szCs w:val="24"/>
        </w:rPr>
        <w:t xml:space="preserve"> og systemiske sikkerhedsprofil er velkendt. Der blev ikke observeret nogen </w:t>
      </w:r>
      <w:proofErr w:type="spellStart"/>
      <w:r w:rsidRPr="00372B66">
        <w:rPr>
          <w:sz w:val="24"/>
          <w:szCs w:val="24"/>
        </w:rPr>
        <w:t>okulære</w:t>
      </w:r>
      <w:proofErr w:type="spellEnd"/>
      <w:r w:rsidRPr="00372B66">
        <w:rPr>
          <w:sz w:val="24"/>
          <w:szCs w:val="24"/>
        </w:rPr>
        <w:t xml:space="preserve"> eller systemiske bivirkninger hos kaniner, der blev behandlet topisk med den faste kombination eller med samtidig administration af </w:t>
      </w:r>
      <w:proofErr w:type="spellStart"/>
      <w:r w:rsidRPr="00372B66">
        <w:rPr>
          <w:sz w:val="24"/>
          <w:szCs w:val="24"/>
        </w:rPr>
        <w:t>latanoprost</w:t>
      </w:r>
      <w:proofErr w:type="spellEnd"/>
      <w:r w:rsidRPr="00372B66">
        <w:rPr>
          <w:sz w:val="24"/>
          <w:szCs w:val="24"/>
        </w:rPr>
        <w:t xml:space="preserve"> og </w:t>
      </w:r>
      <w:proofErr w:type="spellStart"/>
      <w:r w:rsidRPr="00372B66">
        <w:rPr>
          <w:sz w:val="24"/>
          <w:szCs w:val="24"/>
        </w:rPr>
        <w:t>timolol</w:t>
      </w:r>
      <w:proofErr w:type="spellEnd"/>
      <w:r w:rsidRPr="00372B66">
        <w:rPr>
          <w:sz w:val="24"/>
          <w:szCs w:val="24"/>
        </w:rPr>
        <w:t xml:space="preserve"> </w:t>
      </w:r>
      <w:proofErr w:type="spellStart"/>
      <w:r w:rsidRPr="00372B66">
        <w:rPr>
          <w:sz w:val="24"/>
          <w:szCs w:val="24"/>
        </w:rPr>
        <w:t>oftalmiske</w:t>
      </w:r>
      <w:proofErr w:type="spellEnd"/>
      <w:r w:rsidRPr="00372B66">
        <w:rPr>
          <w:sz w:val="24"/>
          <w:szCs w:val="24"/>
        </w:rPr>
        <w:t xml:space="preserve"> opløsninger. Sikkerhedsstudier af farmakologi, genotoksicitet og </w:t>
      </w:r>
      <w:proofErr w:type="spellStart"/>
      <w:r w:rsidRPr="00372B66">
        <w:rPr>
          <w:sz w:val="24"/>
          <w:szCs w:val="24"/>
        </w:rPr>
        <w:t>carcinogenicitet</w:t>
      </w:r>
      <w:proofErr w:type="spellEnd"/>
      <w:r w:rsidRPr="00372B66">
        <w:rPr>
          <w:sz w:val="24"/>
          <w:szCs w:val="24"/>
        </w:rPr>
        <w:t xml:space="preserve"> med hver af komponenterne viste ingen særlige risici for mennesker. </w:t>
      </w:r>
      <w:proofErr w:type="spellStart"/>
      <w:r w:rsidRPr="00372B66">
        <w:rPr>
          <w:sz w:val="24"/>
          <w:szCs w:val="24"/>
        </w:rPr>
        <w:t>Latanoprost</w:t>
      </w:r>
      <w:proofErr w:type="spellEnd"/>
      <w:r w:rsidRPr="00372B66">
        <w:rPr>
          <w:sz w:val="24"/>
          <w:szCs w:val="24"/>
        </w:rPr>
        <w:t xml:space="preserve"> påvirkede ikke heling af hornhindesår i kaninøjne, mens </w:t>
      </w:r>
      <w:proofErr w:type="spellStart"/>
      <w:r w:rsidRPr="00372B66">
        <w:rPr>
          <w:sz w:val="24"/>
          <w:szCs w:val="24"/>
        </w:rPr>
        <w:t>timolol</w:t>
      </w:r>
      <w:proofErr w:type="spellEnd"/>
      <w:r w:rsidRPr="00372B66">
        <w:rPr>
          <w:sz w:val="24"/>
          <w:szCs w:val="24"/>
        </w:rPr>
        <w:t xml:space="preserve"> hæmmede processen i kanin- og abeøjne, når det blev administreret oftere end én gang dagligt.</w:t>
      </w:r>
    </w:p>
    <w:p w14:paraId="4347DB6C" w14:textId="77777777" w:rsidR="00F4025A" w:rsidRPr="00372B66" w:rsidRDefault="00F4025A" w:rsidP="008D55AB">
      <w:pPr>
        <w:ind w:left="851"/>
        <w:rPr>
          <w:sz w:val="24"/>
          <w:szCs w:val="24"/>
        </w:rPr>
      </w:pPr>
    </w:p>
    <w:p w14:paraId="36B98FAF" w14:textId="77777777" w:rsidR="00F4025A" w:rsidRPr="00372B66" w:rsidRDefault="00F4025A" w:rsidP="008D55AB">
      <w:pPr>
        <w:ind w:left="851"/>
        <w:rPr>
          <w:sz w:val="24"/>
          <w:szCs w:val="24"/>
        </w:rPr>
      </w:pPr>
      <w:r w:rsidRPr="00372B66">
        <w:rPr>
          <w:sz w:val="24"/>
          <w:szCs w:val="24"/>
        </w:rPr>
        <w:t xml:space="preserve">For </w:t>
      </w:r>
      <w:proofErr w:type="spellStart"/>
      <w:r w:rsidRPr="00372B66">
        <w:rPr>
          <w:sz w:val="24"/>
          <w:szCs w:val="24"/>
        </w:rPr>
        <w:t>latanoprost</w:t>
      </w:r>
      <w:proofErr w:type="spellEnd"/>
      <w:r w:rsidRPr="00372B66">
        <w:rPr>
          <w:sz w:val="24"/>
          <w:szCs w:val="24"/>
        </w:rPr>
        <w:t xml:space="preserve"> er der ikke påvist nogen virkning på fertiliteten hos han- og hunrotter og intet </w:t>
      </w:r>
      <w:proofErr w:type="spellStart"/>
      <w:r w:rsidRPr="00372B66">
        <w:rPr>
          <w:sz w:val="24"/>
          <w:szCs w:val="24"/>
        </w:rPr>
        <w:t>teratogent</w:t>
      </w:r>
      <w:proofErr w:type="spellEnd"/>
      <w:r w:rsidRPr="00372B66">
        <w:rPr>
          <w:sz w:val="24"/>
          <w:szCs w:val="24"/>
        </w:rPr>
        <w:t xml:space="preserve"> potentiale hos rotter og kaniner. Der blev ikke observeret embryotoksicitet hos rotter efter intravenøse doser på op til 250 mikrogram/kg/dag. </w:t>
      </w:r>
      <w:proofErr w:type="spellStart"/>
      <w:r w:rsidRPr="00372B66">
        <w:rPr>
          <w:sz w:val="24"/>
          <w:szCs w:val="24"/>
        </w:rPr>
        <w:t>Latanoprost</w:t>
      </w:r>
      <w:proofErr w:type="spellEnd"/>
      <w:r w:rsidRPr="00372B66">
        <w:rPr>
          <w:sz w:val="24"/>
          <w:szCs w:val="24"/>
        </w:rPr>
        <w:t xml:space="preserve"> forårsagede imidlertid </w:t>
      </w:r>
      <w:proofErr w:type="spellStart"/>
      <w:r w:rsidRPr="00372B66">
        <w:rPr>
          <w:sz w:val="24"/>
          <w:szCs w:val="24"/>
        </w:rPr>
        <w:t>embryoføtal</w:t>
      </w:r>
      <w:proofErr w:type="spellEnd"/>
      <w:r w:rsidRPr="00372B66">
        <w:rPr>
          <w:sz w:val="24"/>
          <w:szCs w:val="24"/>
        </w:rPr>
        <w:t xml:space="preserve"> toksicitet, karakteriseret ved øget forekomst af sen resorption og abort og ved nedsat </w:t>
      </w:r>
      <w:proofErr w:type="spellStart"/>
      <w:r w:rsidRPr="00372B66">
        <w:rPr>
          <w:sz w:val="24"/>
          <w:szCs w:val="24"/>
        </w:rPr>
        <w:t>føtalvægt</w:t>
      </w:r>
      <w:proofErr w:type="spellEnd"/>
      <w:r w:rsidRPr="00372B66">
        <w:rPr>
          <w:sz w:val="24"/>
          <w:szCs w:val="24"/>
        </w:rPr>
        <w:t xml:space="preserve">, hos kaniner ved intravenøse doser på 5 mikrogram/kg/dag (ca. 100 gange den kliniske dosis) og derover. </w:t>
      </w:r>
      <w:proofErr w:type="spellStart"/>
      <w:r w:rsidRPr="00372B66">
        <w:rPr>
          <w:sz w:val="24"/>
          <w:szCs w:val="24"/>
        </w:rPr>
        <w:t>Timolol</w:t>
      </w:r>
      <w:proofErr w:type="spellEnd"/>
      <w:r w:rsidRPr="00372B66">
        <w:rPr>
          <w:sz w:val="24"/>
          <w:szCs w:val="24"/>
        </w:rPr>
        <w:t xml:space="preserve"> viste ingen virkninger på fertiliteten hos hanner og hunner hos rotter eller </w:t>
      </w:r>
      <w:proofErr w:type="spellStart"/>
      <w:r w:rsidRPr="00372B66">
        <w:rPr>
          <w:sz w:val="24"/>
          <w:szCs w:val="24"/>
        </w:rPr>
        <w:t>teratogent</w:t>
      </w:r>
      <w:proofErr w:type="spellEnd"/>
      <w:r w:rsidRPr="00372B66">
        <w:rPr>
          <w:sz w:val="24"/>
          <w:szCs w:val="24"/>
        </w:rPr>
        <w:t xml:space="preserve"> potentiale hos mus, rotter og kaniner.</w:t>
      </w:r>
    </w:p>
    <w:p w14:paraId="02D1C6BB" w14:textId="77777777" w:rsidR="009260DE" w:rsidRPr="00372B66" w:rsidRDefault="009260DE" w:rsidP="009260DE">
      <w:pPr>
        <w:tabs>
          <w:tab w:val="left" w:pos="851"/>
        </w:tabs>
        <w:ind w:left="851"/>
        <w:rPr>
          <w:sz w:val="24"/>
          <w:szCs w:val="24"/>
        </w:rPr>
      </w:pPr>
    </w:p>
    <w:p w14:paraId="44C1A430" w14:textId="77777777" w:rsidR="009260DE" w:rsidRPr="00372B66" w:rsidRDefault="009260DE" w:rsidP="009260DE">
      <w:pPr>
        <w:tabs>
          <w:tab w:val="left" w:pos="851"/>
        </w:tabs>
        <w:ind w:left="851"/>
        <w:rPr>
          <w:sz w:val="24"/>
          <w:szCs w:val="24"/>
        </w:rPr>
      </w:pPr>
    </w:p>
    <w:p w14:paraId="53C49E61" w14:textId="77777777" w:rsidR="009260DE" w:rsidRPr="00372B66" w:rsidRDefault="009260DE" w:rsidP="009260DE">
      <w:pPr>
        <w:tabs>
          <w:tab w:val="left" w:pos="851"/>
        </w:tabs>
        <w:ind w:left="851" w:hanging="851"/>
        <w:rPr>
          <w:b/>
          <w:sz w:val="24"/>
          <w:szCs w:val="24"/>
        </w:rPr>
      </w:pPr>
      <w:r w:rsidRPr="00372B66">
        <w:rPr>
          <w:b/>
          <w:sz w:val="24"/>
          <w:szCs w:val="24"/>
        </w:rPr>
        <w:t>6.</w:t>
      </w:r>
      <w:r w:rsidRPr="00372B66">
        <w:rPr>
          <w:b/>
          <w:sz w:val="24"/>
          <w:szCs w:val="24"/>
        </w:rPr>
        <w:tab/>
        <w:t>FARMACEUTISKE OPLYSNINGER</w:t>
      </w:r>
    </w:p>
    <w:p w14:paraId="38FCD105" w14:textId="77777777" w:rsidR="009260DE" w:rsidRPr="00372B66" w:rsidRDefault="009260DE" w:rsidP="009260DE">
      <w:pPr>
        <w:tabs>
          <w:tab w:val="left" w:pos="851"/>
        </w:tabs>
        <w:ind w:left="851"/>
        <w:rPr>
          <w:sz w:val="24"/>
          <w:szCs w:val="24"/>
        </w:rPr>
      </w:pPr>
    </w:p>
    <w:p w14:paraId="55EB883A" w14:textId="77777777" w:rsidR="009260DE" w:rsidRPr="00372B66" w:rsidRDefault="009260DE" w:rsidP="009260DE">
      <w:pPr>
        <w:tabs>
          <w:tab w:val="left" w:pos="851"/>
        </w:tabs>
        <w:ind w:left="851" w:hanging="851"/>
        <w:rPr>
          <w:b/>
          <w:sz w:val="24"/>
          <w:szCs w:val="24"/>
        </w:rPr>
      </w:pPr>
      <w:r w:rsidRPr="00372B66">
        <w:rPr>
          <w:b/>
          <w:sz w:val="24"/>
          <w:szCs w:val="24"/>
        </w:rPr>
        <w:t>6.1</w:t>
      </w:r>
      <w:r w:rsidRPr="00372B66">
        <w:rPr>
          <w:b/>
          <w:sz w:val="24"/>
          <w:szCs w:val="24"/>
        </w:rPr>
        <w:tab/>
        <w:t>Hjælpestoffer</w:t>
      </w:r>
    </w:p>
    <w:p w14:paraId="71E4572B" w14:textId="77777777" w:rsidR="00F4025A" w:rsidRPr="00372B66" w:rsidRDefault="00F4025A" w:rsidP="008D55AB">
      <w:pPr>
        <w:ind w:left="851"/>
        <w:rPr>
          <w:sz w:val="24"/>
          <w:szCs w:val="24"/>
        </w:rPr>
      </w:pPr>
      <w:proofErr w:type="spellStart"/>
      <w:r w:rsidRPr="00372B66">
        <w:rPr>
          <w:sz w:val="24"/>
          <w:szCs w:val="24"/>
        </w:rPr>
        <w:t>Natriumchlorid</w:t>
      </w:r>
      <w:proofErr w:type="spellEnd"/>
    </w:p>
    <w:p w14:paraId="5FF108DA" w14:textId="77777777" w:rsidR="00F4025A" w:rsidRPr="00372B66" w:rsidRDefault="00F4025A" w:rsidP="008D55AB">
      <w:pPr>
        <w:ind w:left="851"/>
        <w:rPr>
          <w:sz w:val="24"/>
          <w:szCs w:val="24"/>
        </w:rPr>
      </w:pPr>
      <w:proofErr w:type="spellStart"/>
      <w:r w:rsidRPr="00372B66">
        <w:rPr>
          <w:sz w:val="24"/>
          <w:szCs w:val="24"/>
        </w:rPr>
        <w:t>Natriumdihydrogenphosphat</w:t>
      </w:r>
      <w:proofErr w:type="spellEnd"/>
      <w:r w:rsidRPr="00372B66">
        <w:rPr>
          <w:sz w:val="24"/>
          <w:szCs w:val="24"/>
        </w:rPr>
        <w:t xml:space="preserve"> monohydrat (E 339i)</w:t>
      </w:r>
    </w:p>
    <w:p w14:paraId="3CED7354" w14:textId="77777777" w:rsidR="00F4025A" w:rsidRPr="00372B66" w:rsidRDefault="00F4025A" w:rsidP="008D55AB">
      <w:pPr>
        <w:ind w:left="851"/>
        <w:rPr>
          <w:sz w:val="24"/>
          <w:szCs w:val="24"/>
        </w:rPr>
      </w:pPr>
      <w:proofErr w:type="spellStart"/>
      <w:r w:rsidRPr="00372B66">
        <w:rPr>
          <w:sz w:val="24"/>
          <w:szCs w:val="24"/>
        </w:rPr>
        <w:t>Dinatriumhydrogenphosphat</w:t>
      </w:r>
      <w:proofErr w:type="spellEnd"/>
      <w:r w:rsidRPr="00372B66">
        <w:rPr>
          <w:sz w:val="24"/>
          <w:szCs w:val="24"/>
        </w:rPr>
        <w:t>, vandfrit (E 339ii)</w:t>
      </w:r>
    </w:p>
    <w:p w14:paraId="7C6E3913" w14:textId="77777777" w:rsidR="00F4025A" w:rsidRPr="00372B66" w:rsidRDefault="00F4025A" w:rsidP="008D55AB">
      <w:pPr>
        <w:ind w:left="851"/>
        <w:rPr>
          <w:sz w:val="24"/>
          <w:szCs w:val="24"/>
        </w:rPr>
      </w:pPr>
      <w:proofErr w:type="spellStart"/>
      <w:r w:rsidRPr="00372B66">
        <w:rPr>
          <w:sz w:val="24"/>
          <w:szCs w:val="24"/>
        </w:rPr>
        <w:t>Benzalkoniumchlorid</w:t>
      </w:r>
      <w:proofErr w:type="spellEnd"/>
    </w:p>
    <w:p w14:paraId="2B908CC2" w14:textId="77777777" w:rsidR="00F4025A" w:rsidRPr="00372B66" w:rsidRDefault="00F4025A" w:rsidP="008D55AB">
      <w:pPr>
        <w:ind w:left="851"/>
        <w:rPr>
          <w:sz w:val="24"/>
          <w:szCs w:val="24"/>
        </w:rPr>
      </w:pPr>
      <w:r w:rsidRPr="00372B66">
        <w:rPr>
          <w:sz w:val="24"/>
          <w:szCs w:val="24"/>
        </w:rPr>
        <w:t>Natriumhydroxid og saltsyre (til pH-justering)</w:t>
      </w:r>
    </w:p>
    <w:p w14:paraId="6374B5E2" w14:textId="77777777" w:rsidR="00F4025A" w:rsidRPr="00372B66" w:rsidRDefault="00F4025A" w:rsidP="008D55AB">
      <w:pPr>
        <w:ind w:left="851"/>
        <w:rPr>
          <w:sz w:val="24"/>
          <w:szCs w:val="24"/>
        </w:rPr>
      </w:pPr>
      <w:r w:rsidRPr="00372B66">
        <w:rPr>
          <w:sz w:val="24"/>
          <w:szCs w:val="24"/>
        </w:rPr>
        <w:t>Vand til injektionsvæske</w:t>
      </w:r>
    </w:p>
    <w:p w14:paraId="7949FE7B" w14:textId="77777777" w:rsidR="009260DE" w:rsidRPr="00372B66" w:rsidRDefault="009260DE" w:rsidP="009260DE">
      <w:pPr>
        <w:tabs>
          <w:tab w:val="left" w:pos="851"/>
        </w:tabs>
        <w:ind w:left="851"/>
        <w:rPr>
          <w:sz w:val="24"/>
          <w:szCs w:val="24"/>
        </w:rPr>
      </w:pPr>
    </w:p>
    <w:p w14:paraId="26B4B124" w14:textId="77777777" w:rsidR="009260DE" w:rsidRPr="00372B66" w:rsidRDefault="009260DE" w:rsidP="009260DE">
      <w:pPr>
        <w:tabs>
          <w:tab w:val="left" w:pos="851"/>
        </w:tabs>
        <w:ind w:left="851" w:hanging="851"/>
        <w:rPr>
          <w:b/>
          <w:sz w:val="24"/>
          <w:szCs w:val="24"/>
        </w:rPr>
      </w:pPr>
      <w:r w:rsidRPr="00372B66">
        <w:rPr>
          <w:b/>
          <w:sz w:val="24"/>
          <w:szCs w:val="24"/>
        </w:rPr>
        <w:t>6.2</w:t>
      </w:r>
      <w:r w:rsidRPr="00372B66">
        <w:rPr>
          <w:b/>
          <w:sz w:val="24"/>
          <w:szCs w:val="24"/>
        </w:rPr>
        <w:tab/>
        <w:t>Uforligeligheder</w:t>
      </w:r>
    </w:p>
    <w:p w14:paraId="0D65451A" w14:textId="77777777" w:rsidR="00F4025A" w:rsidRPr="00372B66" w:rsidRDefault="00F4025A" w:rsidP="008D55AB">
      <w:pPr>
        <w:ind w:left="851"/>
        <w:rPr>
          <w:sz w:val="24"/>
          <w:szCs w:val="24"/>
        </w:rPr>
      </w:pPr>
      <w:r w:rsidRPr="00372B66">
        <w:rPr>
          <w:sz w:val="24"/>
          <w:szCs w:val="24"/>
        </w:rPr>
        <w:t xml:space="preserve">In </w:t>
      </w:r>
      <w:proofErr w:type="spellStart"/>
      <w:r w:rsidRPr="00372B66">
        <w:rPr>
          <w:sz w:val="24"/>
          <w:szCs w:val="24"/>
        </w:rPr>
        <w:t>vitro</w:t>
      </w:r>
      <w:proofErr w:type="spellEnd"/>
      <w:r w:rsidRPr="00372B66">
        <w:rPr>
          <w:sz w:val="24"/>
          <w:szCs w:val="24"/>
        </w:rPr>
        <w:t xml:space="preserve">-forsøg har vist, at der sker udfældning, når øjendråber indeholdende </w:t>
      </w:r>
      <w:proofErr w:type="spellStart"/>
      <w:r w:rsidRPr="00372B66">
        <w:rPr>
          <w:sz w:val="24"/>
          <w:szCs w:val="24"/>
        </w:rPr>
        <w:t>thiomersal</w:t>
      </w:r>
      <w:proofErr w:type="spellEnd"/>
      <w:r w:rsidRPr="00372B66">
        <w:rPr>
          <w:sz w:val="24"/>
          <w:szCs w:val="24"/>
        </w:rPr>
        <w:t xml:space="preserve"> blandes med </w:t>
      </w:r>
      <w:proofErr w:type="spellStart"/>
      <w:r w:rsidRPr="00372B66">
        <w:rPr>
          <w:sz w:val="24"/>
          <w:szCs w:val="24"/>
        </w:rPr>
        <w:t>latanoprost</w:t>
      </w:r>
      <w:proofErr w:type="spellEnd"/>
      <w:r w:rsidRPr="00372B66">
        <w:rPr>
          <w:sz w:val="24"/>
          <w:szCs w:val="24"/>
        </w:rPr>
        <w:t xml:space="preserve"> + </w:t>
      </w:r>
      <w:proofErr w:type="spellStart"/>
      <w:r w:rsidRPr="00372B66">
        <w:rPr>
          <w:sz w:val="24"/>
          <w:szCs w:val="24"/>
        </w:rPr>
        <w:t>timolol</w:t>
      </w:r>
      <w:proofErr w:type="spellEnd"/>
      <w:r w:rsidRPr="00372B66">
        <w:rPr>
          <w:sz w:val="24"/>
          <w:szCs w:val="24"/>
        </w:rPr>
        <w:t xml:space="preserve"> øjendråbeopløsning. Hvis sådanne lægemidler anvendes samtidig med </w:t>
      </w:r>
      <w:proofErr w:type="spellStart"/>
      <w:r w:rsidRPr="00372B66">
        <w:rPr>
          <w:sz w:val="24"/>
          <w:szCs w:val="24"/>
        </w:rPr>
        <w:t>Dualux</w:t>
      </w:r>
      <w:proofErr w:type="spellEnd"/>
      <w:r w:rsidRPr="00372B66">
        <w:rPr>
          <w:sz w:val="24"/>
          <w:szCs w:val="24"/>
        </w:rPr>
        <w:t>, skal øjendråberne indgives med et interval på mindst fem minutter.</w:t>
      </w:r>
    </w:p>
    <w:p w14:paraId="7DE15B70" w14:textId="77777777" w:rsidR="009260DE" w:rsidRPr="00372B66" w:rsidRDefault="009260DE" w:rsidP="009260DE">
      <w:pPr>
        <w:tabs>
          <w:tab w:val="left" w:pos="851"/>
        </w:tabs>
        <w:ind w:left="851"/>
        <w:rPr>
          <w:sz w:val="24"/>
          <w:szCs w:val="24"/>
        </w:rPr>
      </w:pPr>
    </w:p>
    <w:p w14:paraId="497DDBC9" w14:textId="77777777" w:rsidR="009260DE" w:rsidRPr="00372B66" w:rsidRDefault="009260DE" w:rsidP="009260DE">
      <w:pPr>
        <w:tabs>
          <w:tab w:val="left" w:pos="851"/>
        </w:tabs>
        <w:ind w:left="851" w:hanging="851"/>
        <w:rPr>
          <w:b/>
          <w:sz w:val="24"/>
          <w:szCs w:val="24"/>
        </w:rPr>
      </w:pPr>
      <w:r w:rsidRPr="00372B66">
        <w:rPr>
          <w:b/>
          <w:sz w:val="24"/>
          <w:szCs w:val="24"/>
        </w:rPr>
        <w:t>6.3</w:t>
      </w:r>
      <w:r w:rsidRPr="00372B66">
        <w:rPr>
          <w:b/>
          <w:sz w:val="24"/>
          <w:szCs w:val="24"/>
        </w:rPr>
        <w:tab/>
        <w:t>Opbevaringstid</w:t>
      </w:r>
    </w:p>
    <w:p w14:paraId="130925A1" w14:textId="77777777" w:rsidR="00F4025A" w:rsidRPr="00372B66" w:rsidRDefault="00F4025A" w:rsidP="008D55AB">
      <w:pPr>
        <w:ind w:left="851"/>
        <w:rPr>
          <w:sz w:val="24"/>
          <w:szCs w:val="24"/>
        </w:rPr>
      </w:pPr>
      <w:r w:rsidRPr="00372B66">
        <w:rPr>
          <w:sz w:val="24"/>
          <w:szCs w:val="24"/>
        </w:rPr>
        <w:t>2 år</w:t>
      </w:r>
    </w:p>
    <w:p w14:paraId="60F557C5" w14:textId="77777777" w:rsidR="00F4025A" w:rsidRPr="00372B66" w:rsidRDefault="00F4025A" w:rsidP="008D55AB">
      <w:pPr>
        <w:ind w:left="851"/>
        <w:rPr>
          <w:sz w:val="24"/>
          <w:szCs w:val="24"/>
        </w:rPr>
      </w:pPr>
    </w:p>
    <w:p w14:paraId="3F3508F1" w14:textId="77777777" w:rsidR="00F4025A" w:rsidRPr="00372B66" w:rsidRDefault="00F4025A" w:rsidP="008D55AB">
      <w:pPr>
        <w:ind w:left="851"/>
        <w:rPr>
          <w:rFonts w:eastAsiaTheme="minorHAnsi"/>
          <w:sz w:val="24"/>
          <w:szCs w:val="24"/>
        </w:rPr>
      </w:pPr>
      <w:r w:rsidRPr="00372B66">
        <w:rPr>
          <w:sz w:val="24"/>
          <w:szCs w:val="24"/>
        </w:rPr>
        <w:t>Når posen er åbnet, skal enkeltdosisbeholderne bruges inden for 30 dage.</w:t>
      </w:r>
    </w:p>
    <w:p w14:paraId="70A4E05C" w14:textId="77777777" w:rsidR="00F4025A" w:rsidRPr="00372B66" w:rsidRDefault="00F4025A" w:rsidP="008D55AB">
      <w:pPr>
        <w:ind w:left="851"/>
        <w:rPr>
          <w:rFonts w:eastAsiaTheme="minorHAnsi"/>
          <w:sz w:val="24"/>
          <w:szCs w:val="24"/>
        </w:rPr>
      </w:pPr>
    </w:p>
    <w:p w14:paraId="00402F53" w14:textId="77777777" w:rsidR="00F4025A" w:rsidRPr="00372B66" w:rsidRDefault="00F4025A" w:rsidP="008D55AB">
      <w:pPr>
        <w:ind w:left="851"/>
        <w:rPr>
          <w:noProof/>
          <w:sz w:val="24"/>
          <w:szCs w:val="24"/>
        </w:rPr>
      </w:pPr>
      <w:r w:rsidRPr="00372B66">
        <w:rPr>
          <w:sz w:val="24"/>
          <w:szCs w:val="24"/>
        </w:rPr>
        <w:t xml:space="preserve">Kassér den åbnede enkeltdosisbeholder umiddelbart efter brug. </w:t>
      </w:r>
    </w:p>
    <w:p w14:paraId="5F72C513" w14:textId="77777777" w:rsidR="009260DE" w:rsidRPr="00372B66" w:rsidRDefault="009260DE" w:rsidP="009260DE">
      <w:pPr>
        <w:tabs>
          <w:tab w:val="left" w:pos="851"/>
        </w:tabs>
        <w:ind w:left="851"/>
        <w:rPr>
          <w:sz w:val="24"/>
          <w:szCs w:val="24"/>
        </w:rPr>
      </w:pPr>
    </w:p>
    <w:p w14:paraId="50FF47A3" w14:textId="77777777" w:rsidR="009260DE" w:rsidRPr="00372B66" w:rsidRDefault="009260DE" w:rsidP="009260DE">
      <w:pPr>
        <w:tabs>
          <w:tab w:val="left" w:pos="851"/>
        </w:tabs>
        <w:ind w:left="851" w:hanging="851"/>
        <w:rPr>
          <w:b/>
          <w:sz w:val="24"/>
          <w:szCs w:val="24"/>
        </w:rPr>
      </w:pPr>
      <w:r w:rsidRPr="00372B66">
        <w:rPr>
          <w:b/>
          <w:sz w:val="24"/>
          <w:szCs w:val="24"/>
        </w:rPr>
        <w:t>6.4</w:t>
      </w:r>
      <w:r w:rsidRPr="00372B66">
        <w:rPr>
          <w:b/>
          <w:sz w:val="24"/>
          <w:szCs w:val="24"/>
        </w:rPr>
        <w:tab/>
        <w:t>Særlige opbevaringsforhold</w:t>
      </w:r>
    </w:p>
    <w:p w14:paraId="085327A5" w14:textId="77777777" w:rsidR="00F4025A" w:rsidRPr="00372B66" w:rsidRDefault="00F4025A" w:rsidP="008D55AB">
      <w:pPr>
        <w:ind w:left="851"/>
        <w:rPr>
          <w:sz w:val="24"/>
          <w:szCs w:val="24"/>
        </w:rPr>
      </w:pPr>
      <w:bookmarkStart w:id="1" w:name="_Hlk51677314"/>
      <w:r w:rsidRPr="00372B66">
        <w:rPr>
          <w:sz w:val="24"/>
          <w:szCs w:val="24"/>
        </w:rPr>
        <w:t>Dette lægemiddel kræver ingen særlige opbevaringsforhold med hensyn til temperatur.</w:t>
      </w:r>
      <w:bookmarkEnd w:id="1"/>
      <w:r w:rsidRPr="00372B66">
        <w:rPr>
          <w:sz w:val="24"/>
          <w:szCs w:val="24"/>
        </w:rPr>
        <w:t xml:space="preserve"> </w:t>
      </w:r>
    </w:p>
    <w:p w14:paraId="79248DC6" w14:textId="77777777" w:rsidR="00F4025A" w:rsidRPr="00372B66" w:rsidRDefault="00F4025A" w:rsidP="008D55AB">
      <w:pPr>
        <w:ind w:left="851"/>
        <w:rPr>
          <w:sz w:val="24"/>
          <w:szCs w:val="24"/>
        </w:rPr>
      </w:pPr>
    </w:p>
    <w:p w14:paraId="0A5FE4E9" w14:textId="77777777" w:rsidR="00F4025A" w:rsidRPr="00372B66" w:rsidRDefault="00F4025A" w:rsidP="008D55AB">
      <w:pPr>
        <w:ind w:left="851"/>
        <w:rPr>
          <w:color w:val="0D0D0D"/>
          <w:sz w:val="24"/>
          <w:szCs w:val="24"/>
          <w:shd w:val="clear" w:color="auto" w:fill="FFFFFF"/>
        </w:rPr>
      </w:pPr>
      <w:r w:rsidRPr="00372B66">
        <w:rPr>
          <w:sz w:val="24"/>
          <w:szCs w:val="24"/>
        </w:rPr>
        <w:t>Opbevar enkeltdosisbeholderne i de originale aluminiumsfolieposer i papæsken for at beskytte dem mod lys.</w:t>
      </w:r>
    </w:p>
    <w:p w14:paraId="0A53855F" w14:textId="77777777" w:rsidR="009260DE" w:rsidRPr="00372B66" w:rsidRDefault="009260DE" w:rsidP="009260DE">
      <w:pPr>
        <w:tabs>
          <w:tab w:val="left" w:pos="851"/>
        </w:tabs>
        <w:ind w:left="851"/>
        <w:rPr>
          <w:sz w:val="24"/>
          <w:szCs w:val="24"/>
        </w:rPr>
      </w:pPr>
    </w:p>
    <w:p w14:paraId="413048EE" w14:textId="77777777" w:rsidR="009260DE" w:rsidRPr="00372B66" w:rsidRDefault="009260DE" w:rsidP="009260DE">
      <w:pPr>
        <w:tabs>
          <w:tab w:val="left" w:pos="851"/>
        </w:tabs>
        <w:ind w:left="851" w:hanging="851"/>
        <w:rPr>
          <w:b/>
          <w:sz w:val="24"/>
          <w:szCs w:val="24"/>
        </w:rPr>
      </w:pPr>
      <w:r w:rsidRPr="00372B66">
        <w:rPr>
          <w:b/>
          <w:sz w:val="24"/>
          <w:szCs w:val="24"/>
        </w:rPr>
        <w:t>6.5</w:t>
      </w:r>
      <w:r w:rsidRPr="00372B66">
        <w:rPr>
          <w:b/>
          <w:sz w:val="24"/>
          <w:szCs w:val="24"/>
        </w:rPr>
        <w:tab/>
        <w:t>Emballagetype og pakningsstørrelser</w:t>
      </w:r>
    </w:p>
    <w:p w14:paraId="7856D4A4" w14:textId="77777777" w:rsidR="00F4025A" w:rsidRPr="00372B66" w:rsidRDefault="00F4025A" w:rsidP="008D55AB">
      <w:pPr>
        <w:ind w:left="851"/>
        <w:rPr>
          <w:sz w:val="24"/>
          <w:szCs w:val="24"/>
        </w:rPr>
      </w:pPr>
      <w:r w:rsidRPr="00372B66">
        <w:rPr>
          <w:sz w:val="24"/>
          <w:szCs w:val="24"/>
        </w:rPr>
        <w:t xml:space="preserve">Klar og farveløs vandig opløsning leveret i enkeltdosisbeholdere af </w:t>
      </w:r>
      <w:proofErr w:type="spellStart"/>
      <w:r w:rsidRPr="00372B66">
        <w:rPr>
          <w:sz w:val="24"/>
          <w:szCs w:val="24"/>
        </w:rPr>
        <w:t>polyethylen</w:t>
      </w:r>
      <w:proofErr w:type="spellEnd"/>
      <w:r w:rsidRPr="00372B66">
        <w:rPr>
          <w:sz w:val="24"/>
          <w:szCs w:val="24"/>
        </w:rPr>
        <w:t xml:space="preserve"> med lav densitet (LPDE).</w:t>
      </w:r>
    </w:p>
    <w:p w14:paraId="362881FA" w14:textId="77777777" w:rsidR="00F4025A" w:rsidRPr="00372B66" w:rsidRDefault="00F4025A" w:rsidP="008D55AB">
      <w:pPr>
        <w:ind w:left="851"/>
        <w:rPr>
          <w:sz w:val="24"/>
          <w:szCs w:val="24"/>
        </w:rPr>
      </w:pPr>
      <w:r w:rsidRPr="00372B66">
        <w:rPr>
          <w:sz w:val="24"/>
          <w:szCs w:val="24"/>
        </w:rPr>
        <w:t>Hver enkeltdosisbeholder indeholder 0,4 ml opløsning.</w:t>
      </w:r>
    </w:p>
    <w:p w14:paraId="4B0F2AF6" w14:textId="77777777" w:rsidR="00F4025A" w:rsidRPr="00372B66" w:rsidRDefault="00F4025A" w:rsidP="008D55AB">
      <w:pPr>
        <w:ind w:left="851"/>
        <w:rPr>
          <w:sz w:val="24"/>
          <w:szCs w:val="24"/>
        </w:rPr>
      </w:pPr>
    </w:p>
    <w:p w14:paraId="1FF002B9" w14:textId="77777777" w:rsidR="00F4025A" w:rsidRPr="00372B66" w:rsidRDefault="00F4025A" w:rsidP="008D55AB">
      <w:pPr>
        <w:ind w:left="851"/>
        <w:rPr>
          <w:rFonts w:eastAsiaTheme="minorHAnsi"/>
          <w:sz w:val="24"/>
          <w:szCs w:val="24"/>
        </w:rPr>
      </w:pPr>
      <w:r w:rsidRPr="00372B66">
        <w:rPr>
          <w:sz w:val="24"/>
          <w:szCs w:val="24"/>
        </w:rPr>
        <w:t>Hver aluminiumsfoliepose indeholder 10 enkeltdosisbeholdere.</w:t>
      </w:r>
    </w:p>
    <w:p w14:paraId="55A54780" w14:textId="77777777" w:rsidR="00F4025A" w:rsidRPr="00372B66" w:rsidRDefault="00F4025A" w:rsidP="008D55AB">
      <w:pPr>
        <w:ind w:left="851"/>
        <w:rPr>
          <w:sz w:val="24"/>
          <w:szCs w:val="24"/>
        </w:rPr>
      </w:pPr>
    </w:p>
    <w:p w14:paraId="40B4E09A" w14:textId="77777777" w:rsidR="00F4025A" w:rsidRPr="00372B66" w:rsidRDefault="00F4025A" w:rsidP="008D55AB">
      <w:pPr>
        <w:ind w:left="851"/>
        <w:rPr>
          <w:sz w:val="24"/>
          <w:szCs w:val="24"/>
        </w:rPr>
      </w:pPr>
      <w:r w:rsidRPr="00372B66">
        <w:rPr>
          <w:sz w:val="24"/>
          <w:szCs w:val="24"/>
        </w:rPr>
        <w:t xml:space="preserve">Følgende pakningsstørrelser er tilgængelige: </w:t>
      </w:r>
    </w:p>
    <w:p w14:paraId="76194B62" w14:textId="468CAB78" w:rsidR="00F4025A" w:rsidRPr="00372B66" w:rsidRDefault="00F4025A" w:rsidP="008D55AB">
      <w:pPr>
        <w:ind w:left="851"/>
        <w:rPr>
          <w:sz w:val="24"/>
          <w:szCs w:val="24"/>
        </w:rPr>
      </w:pPr>
      <w:r w:rsidRPr="00372B66">
        <w:rPr>
          <w:sz w:val="24"/>
          <w:szCs w:val="24"/>
        </w:rPr>
        <w:t>Karton med 30 (3</w:t>
      </w:r>
      <w:r w:rsidR="00733D19">
        <w:rPr>
          <w:sz w:val="24"/>
          <w:szCs w:val="24"/>
        </w:rPr>
        <w:t>×</w:t>
      </w:r>
      <w:r w:rsidRPr="00372B66">
        <w:rPr>
          <w:sz w:val="24"/>
          <w:szCs w:val="24"/>
        </w:rPr>
        <w:t>10), 60 (6</w:t>
      </w:r>
      <w:r w:rsidR="00733D19">
        <w:rPr>
          <w:sz w:val="24"/>
          <w:szCs w:val="24"/>
        </w:rPr>
        <w:t>×</w:t>
      </w:r>
      <w:r w:rsidRPr="00372B66">
        <w:rPr>
          <w:sz w:val="24"/>
          <w:szCs w:val="24"/>
        </w:rPr>
        <w:t>10) eller 90 (9</w:t>
      </w:r>
      <w:r w:rsidR="00733D19">
        <w:rPr>
          <w:sz w:val="24"/>
          <w:szCs w:val="24"/>
        </w:rPr>
        <w:t>×</w:t>
      </w:r>
      <w:r w:rsidRPr="00372B66">
        <w:rPr>
          <w:sz w:val="24"/>
          <w:szCs w:val="24"/>
        </w:rPr>
        <w:t>10) enkeltdosisbeholdere.</w:t>
      </w:r>
    </w:p>
    <w:p w14:paraId="436DEDD4" w14:textId="77777777" w:rsidR="00F4025A" w:rsidRPr="00372B66" w:rsidRDefault="00F4025A" w:rsidP="008D55AB">
      <w:pPr>
        <w:ind w:left="851"/>
        <w:rPr>
          <w:sz w:val="24"/>
          <w:szCs w:val="24"/>
        </w:rPr>
      </w:pPr>
    </w:p>
    <w:p w14:paraId="6B49C856" w14:textId="77777777" w:rsidR="00F4025A" w:rsidRPr="00372B66" w:rsidRDefault="00F4025A" w:rsidP="008D55AB">
      <w:pPr>
        <w:ind w:left="851"/>
        <w:rPr>
          <w:sz w:val="24"/>
          <w:szCs w:val="24"/>
        </w:rPr>
      </w:pPr>
      <w:r w:rsidRPr="00372B66">
        <w:rPr>
          <w:sz w:val="24"/>
          <w:szCs w:val="24"/>
        </w:rPr>
        <w:t>Ikke alle pakningsstørrelser er nødvendigvis markedsført.</w:t>
      </w:r>
    </w:p>
    <w:p w14:paraId="3B9D34EE" w14:textId="77777777" w:rsidR="009260DE" w:rsidRPr="00372B66" w:rsidRDefault="009260DE" w:rsidP="009260DE">
      <w:pPr>
        <w:tabs>
          <w:tab w:val="left" w:pos="851"/>
        </w:tabs>
        <w:ind w:left="851"/>
        <w:rPr>
          <w:sz w:val="24"/>
          <w:szCs w:val="24"/>
        </w:rPr>
      </w:pPr>
    </w:p>
    <w:p w14:paraId="19045E1D" w14:textId="77777777" w:rsidR="009260DE" w:rsidRPr="00372B66" w:rsidRDefault="009260DE" w:rsidP="009260DE">
      <w:pPr>
        <w:tabs>
          <w:tab w:val="left" w:pos="851"/>
        </w:tabs>
        <w:ind w:left="851" w:hanging="851"/>
        <w:rPr>
          <w:b/>
          <w:sz w:val="24"/>
          <w:szCs w:val="24"/>
        </w:rPr>
      </w:pPr>
      <w:r w:rsidRPr="00372B66">
        <w:rPr>
          <w:b/>
          <w:sz w:val="24"/>
          <w:szCs w:val="24"/>
        </w:rPr>
        <w:t>6.6</w:t>
      </w:r>
      <w:r w:rsidRPr="00372B66">
        <w:rPr>
          <w:b/>
          <w:sz w:val="24"/>
          <w:szCs w:val="24"/>
        </w:rPr>
        <w:tab/>
        <w:t xml:space="preserve">Regler for </w:t>
      </w:r>
      <w:r w:rsidR="00BD7931" w:rsidRPr="00372B66">
        <w:rPr>
          <w:b/>
          <w:sz w:val="24"/>
          <w:szCs w:val="24"/>
        </w:rPr>
        <w:t>bortskaffelse</w:t>
      </w:r>
      <w:r w:rsidRPr="00372B66">
        <w:rPr>
          <w:b/>
          <w:sz w:val="24"/>
          <w:szCs w:val="24"/>
        </w:rPr>
        <w:t xml:space="preserve"> og anden håndtering</w:t>
      </w:r>
    </w:p>
    <w:p w14:paraId="70AA28FC" w14:textId="77777777" w:rsidR="00F4025A" w:rsidRPr="00372B66" w:rsidRDefault="00F4025A" w:rsidP="008D55AB">
      <w:pPr>
        <w:ind w:left="851"/>
        <w:rPr>
          <w:sz w:val="24"/>
          <w:szCs w:val="24"/>
        </w:rPr>
      </w:pPr>
      <w:r w:rsidRPr="00372B66">
        <w:rPr>
          <w:sz w:val="24"/>
          <w:szCs w:val="24"/>
        </w:rPr>
        <w:t>Ingen særlige forholdsregler ved bortskaffelse</w:t>
      </w:r>
    </w:p>
    <w:p w14:paraId="78560933" w14:textId="77777777" w:rsidR="009260DE" w:rsidRPr="00372B66" w:rsidRDefault="009260DE" w:rsidP="000730CA">
      <w:pPr>
        <w:tabs>
          <w:tab w:val="left" w:pos="851"/>
        </w:tabs>
        <w:ind w:left="851"/>
        <w:rPr>
          <w:sz w:val="24"/>
          <w:szCs w:val="24"/>
        </w:rPr>
      </w:pPr>
    </w:p>
    <w:p w14:paraId="17ABD188" w14:textId="77777777" w:rsidR="009260DE" w:rsidRPr="00372B66" w:rsidRDefault="009260DE" w:rsidP="009260DE">
      <w:pPr>
        <w:tabs>
          <w:tab w:val="left" w:pos="851"/>
        </w:tabs>
        <w:ind w:left="851" w:hanging="851"/>
        <w:rPr>
          <w:b/>
          <w:sz w:val="24"/>
          <w:szCs w:val="24"/>
        </w:rPr>
      </w:pPr>
      <w:r w:rsidRPr="00372B66">
        <w:rPr>
          <w:b/>
          <w:sz w:val="24"/>
          <w:szCs w:val="24"/>
        </w:rPr>
        <w:t>7.</w:t>
      </w:r>
      <w:r w:rsidRPr="00372B66">
        <w:rPr>
          <w:b/>
          <w:sz w:val="24"/>
          <w:szCs w:val="24"/>
        </w:rPr>
        <w:tab/>
        <w:t>INDEHAVER AF MARKEDSFØRINGSTILLADELSEN</w:t>
      </w:r>
    </w:p>
    <w:p w14:paraId="25B2295E" w14:textId="77777777" w:rsidR="00F4025A" w:rsidRPr="006661CE" w:rsidRDefault="00F4025A" w:rsidP="008D55AB">
      <w:pPr>
        <w:ind w:left="851"/>
        <w:rPr>
          <w:sz w:val="24"/>
          <w:szCs w:val="24"/>
          <w:lang w:val="en-US"/>
        </w:rPr>
      </w:pPr>
      <w:proofErr w:type="spellStart"/>
      <w:r w:rsidRPr="006661CE">
        <w:rPr>
          <w:sz w:val="24"/>
          <w:szCs w:val="24"/>
          <w:lang w:val="en-US"/>
        </w:rPr>
        <w:t>Laboratorios</w:t>
      </w:r>
      <w:proofErr w:type="spellEnd"/>
      <w:r w:rsidRPr="006661CE">
        <w:rPr>
          <w:sz w:val="24"/>
          <w:szCs w:val="24"/>
          <w:lang w:val="en-US"/>
        </w:rPr>
        <w:t xml:space="preserve"> </w:t>
      </w:r>
      <w:proofErr w:type="spellStart"/>
      <w:r w:rsidRPr="006661CE">
        <w:rPr>
          <w:sz w:val="24"/>
          <w:szCs w:val="24"/>
          <w:lang w:val="en-US"/>
        </w:rPr>
        <w:t>Salvat</w:t>
      </w:r>
      <w:proofErr w:type="spellEnd"/>
      <w:r w:rsidRPr="006661CE">
        <w:rPr>
          <w:sz w:val="24"/>
          <w:szCs w:val="24"/>
          <w:lang w:val="en-US"/>
        </w:rPr>
        <w:t xml:space="preserve"> S.A.</w:t>
      </w:r>
    </w:p>
    <w:p w14:paraId="3EE9B538" w14:textId="77777777" w:rsidR="00F4025A" w:rsidRPr="00372B66" w:rsidRDefault="00F4025A" w:rsidP="008D55AB">
      <w:pPr>
        <w:ind w:left="851"/>
        <w:rPr>
          <w:sz w:val="24"/>
          <w:szCs w:val="24"/>
          <w:lang w:val="en-US"/>
        </w:rPr>
      </w:pPr>
      <w:r w:rsidRPr="00372B66">
        <w:rPr>
          <w:sz w:val="24"/>
          <w:szCs w:val="24"/>
          <w:lang w:val="en-US"/>
        </w:rPr>
        <w:t>Calle Gall 30-36</w:t>
      </w:r>
    </w:p>
    <w:p w14:paraId="26D9F66B" w14:textId="77777777" w:rsidR="00F4025A" w:rsidRPr="006661CE" w:rsidRDefault="00F4025A" w:rsidP="008D55AB">
      <w:pPr>
        <w:ind w:left="851"/>
        <w:rPr>
          <w:sz w:val="24"/>
          <w:szCs w:val="24"/>
        </w:rPr>
      </w:pPr>
      <w:proofErr w:type="spellStart"/>
      <w:r w:rsidRPr="006661CE">
        <w:rPr>
          <w:sz w:val="24"/>
          <w:szCs w:val="24"/>
        </w:rPr>
        <w:t>Poligono</w:t>
      </w:r>
      <w:proofErr w:type="spellEnd"/>
      <w:r w:rsidRPr="006661CE">
        <w:rPr>
          <w:sz w:val="24"/>
          <w:szCs w:val="24"/>
        </w:rPr>
        <w:t xml:space="preserve"> Industrial </w:t>
      </w:r>
      <w:proofErr w:type="spellStart"/>
      <w:r w:rsidRPr="006661CE">
        <w:rPr>
          <w:sz w:val="24"/>
          <w:szCs w:val="24"/>
        </w:rPr>
        <w:t>Esplugues</w:t>
      </w:r>
      <w:proofErr w:type="spellEnd"/>
      <w:r w:rsidRPr="006661CE">
        <w:rPr>
          <w:sz w:val="24"/>
          <w:szCs w:val="24"/>
        </w:rPr>
        <w:t xml:space="preserve"> De </w:t>
      </w:r>
      <w:proofErr w:type="spellStart"/>
      <w:r w:rsidRPr="006661CE">
        <w:rPr>
          <w:sz w:val="24"/>
          <w:szCs w:val="24"/>
        </w:rPr>
        <w:t>Llobregat</w:t>
      </w:r>
      <w:proofErr w:type="spellEnd"/>
    </w:p>
    <w:p w14:paraId="12CF2EE1" w14:textId="77777777" w:rsidR="00F4025A" w:rsidRPr="00372B66" w:rsidRDefault="00F4025A" w:rsidP="008D55AB">
      <w:pPr>
        <w:ind w:left="851"/>
        <w:rPr>
          <w:sz w:val="24"/>
          <w:szCs w:val="24"/>
        </w:rPr>
      </w:pPr>
      <w:r w:rsidRPr="00372B66">
        <w:rPr>
          <w:sz w:val="24"/>
          <w:szCs w:val="24"/>
        </w:rPr>
        <w:t xml:space="preserve">08950 </w:t>
      </w:r>
      <w:proofErr w:type="spellStart"/>
      <w:r w:rsidRPr="00372B66">
        <w:rPr>
          <w:sz w:val="24"/>
          <w:szCs w:val="24"/>
        </w:rPr>
        <w:t>Esplugues</w:t>
      </w:r>
      <w:proofErr w:type="spellEnd"/>
      <w:r w:rsidRPr="00372B66">
        <w:rPr>
          <w:sz w:val="24"/>
          <w:szCs w:val="24"/>
        </w:rPr>
        <w:t xml:space="preserve"> de </w:t>
      </w:r>
      <w:proofErr w:type="spellStart"/>
      <w:r w:rsidRPr="00372B66">
        <w:rPr>
          <w:sz w:val="24"/>
          <w:szCs w:val="24"/>
        </w:rPr>
        <w:t>Llobregat</w:t>
      </w:r>
      <w:proofErr w:type="spellEnd"/>
      <w:r w:rsidRPr="00372B66">
        <w:rPr>
          <w:sz w:val="24"/>
          <w:szCs w:val="24"/>
        </w:rPr>
        <w:t>, Barcelona</w:t>
      </w:r>
    </w:p>
    <w:p w14:paraId="31463692" w14:textId="77777777" w:rsidR="00F4025A" w:rsidRPr="00372B66" w:rsidRDefault="00F4025A" w:rsidP="008D55AB">
      <w:pPr>
        <w:ind w:left="851"/>
        <w:rPr>
          <w:i/>
          <w:iCs/>
          <w:sz w:val="24"/>
          <w:szCs w:val="24"/>
        </w:rPr>
      </w:pPr>
      <w:r w:rsidRPr="00372B66">
        <w:rPr>
          <w:sz w:val="24"/>
          <w:szCs w:val="24"/>
        </w:rPr>
        <w:t>Spanien</w:t>
      </w:r>
    </w:p>
    <w:p w14:paraId="063C4059" w14:textId="77777777" w:rsidR="00641C65" w:rsidRPr="00372B66" w:rsidRDefault="00641C65" w:rsidP="009260DE">
      <w:pPr>
        <w:tabs>
          <w:tab w:val="left" w:pos="851"/>
        </w:tabs>
        <w:ind w:left="851"/>
        <w:rPr>
          <w:sz w:val="24"/>
          <w:szCs w:val="24"/>
        </w:rPr>
      </w:pPr>
    </w:p>
    <w:p w14:paraId="507D599E" w14:textId="77777777" w:rsidR="009260DE" w:rsidRPr="00372B66" w:rsidRDefault="009260DE" w:rsidP="009260DE">
      <w:pPr>
        <w:tabs>
          <w:tab w:val="left" w:pos="851"/>
        </w:tabs>
        <w:ind w:left="851" w:hanging="851"/>
        <w:rPr>
          <w:b/>
          <w:sz w:val="24"/>
          <w:szCs w:val="24"/>
        </w:rPr>
      </w:pPr>
      <w:r w:rsidRPr="00372B66">
        <w:rPr>
          <w:b/>
          <w:sz w:val="24"/>
          <w:szCs w:val="24"/>
        </w:rPr>
        <w:t>8.</w:t>
      </w:r>
      <w:r w:rsidRPr="00372B66">
        <w:rPr>
          <w:b/>
          <w:sz w:val="24"/>
          <w:szCs w:val="24"/>
        </w:rPr>
        <w:tab/>
        <w:t>MARKEDSFØRINGSTILLADELSESNUMMER (</w:t>
      </w:r>
      <w:r w:rsidR="00BF6243" w:rsidRPr="00372B66">
        <w:rPr>
          <w:b/>
          <w:sz w:val="24"/>
          <w:szCs w:val="24"/>
        </w:rPr>
        <w:t>-</w:t>
      </w:r>
      <w:r w:rsidRPr="00372B66">
        <w:rPr>
          <w:b/>
          <w:sz w:val="24"/>
          <w:szCs w:val="24"/>
        </w:rPr>
        <w:t>NUMRE)</w:t>
      </w:r>
    </w:p>
    <w:p w14:paraId="73E3E095" w14:textId="0734ECF0" w:rsidR="009260DE" w:rsidRPr="00372B66" w:rsidRDefault="00F4025A" w:rsidP="009260DE">
      <w:pPr>
        <w:tabs>
          <w:tab w:val="left" w:pos="851"/>
        </w:tabs>
        <w:ind w:left="851"/>
        <w:rPr>
          <w:sz w:val="24"/>
          <w:szCs w:val="24"/>
        </w:rPr>
      </w:pPr>
      <w:r w:rsidRPr="00372B66">
        <w:rPr>
          <w:sz w:val="24"/>
          <w:szCs w:val="24"/>
        </w:rPr>
        <w:t>72134</w:t>
      </w:r>
    </w:p>
    <w:p w14:paraId="082B9A56" w14:textId="77777777" w:rsidR="009260DE" w:rsidRPr="00372B66" w:rsidRDefault="009260DE" w:rsidP="009260DE">
      <w:pPr>
        <w:tabs>
          <w:tab w:val="left" w:pos="851"/>
        </w:tabs>
        <w:ind w:left="851"/>
        <w:jc w:val="both"/>
        <w:rPr>
          <w:sz w:val="24"/>
          <w:szCs w:val="24"/>
        </w:rPr>
      </w:pPr>
    </w:p>
    <w:p w14:paraId="0BCC7F6E" w14:textId="77777777" w:rsidR="009260DE" w:rsidRPr="00372B66" w:rsidRDefault="009260DE" w:rsidP="009260DE">
      <w:pPr>
        <w:tabs>
          <w:tab w:val="left" w:pos="851"/>
        </w:tabs>
        <w:ind w:left="851" w:hanging="851"/>
        <w:rPr>
          <w:b/>
          <w:sz w:val="24"/>
          <w:szCs w:val="24"/>
        </w:rPr>
      </w:pPr>
      <w:r w:rsidRPr="00372B66">
        <w:rPr>
          <w:b/>
          <w:sz w:val="24"/>
          <w:szCs w:val="24"/>
        </w:rPr>
        <w:t>9.</w:t>
      </w:r>
      <w:r w:rsidRPr="00372B66">
        <w:rPr>
          <w:b/>
          <w:sz w:val="24"/>
          <w:szCs w:val="24"/>
        </w:rPr>
        <w:tab/>
        <w:t>DATO FOR FØRSTE MARKEDSFØRINGSTILLADELSE</w:t>
      </w:r>
    </w:p>
    <w:p w14:paraId="3F415C8D" w14:textId="7AFABFCF" w:rsidR="009260DE" w:rsidRPr="00372B66" w:rsidRDefault="006661CE" w:rsidP="009260DE">
      <w:pPr>
        <w:tabs>
          <w:tab w:val="left" w:pos="851"/>
        </w:tabs>
        <w:ind w:left="851"/>
        <w:rPr>
          <w:sz w:val="24"/>
          <w:szCs w:val="24"/>
        </w:rPr>
      </w:pPr>
      <w:r>
        <w:rPr>
          <w:sz w:val="24"/>
          <w:szCs w:val="24"/>
        </w:rPr>
        <w:t>24. september 2025</w:t>
      </w:r>
    </w:p>
    <w:p w14:paraId="498872E6" w14:textId="77777777" w:rsidR="009260DE" w:rsidRPr="00372B66" w:rsidRDefault="009260DE" w:rsidP="009260DE">
      <w:pPr>
        <w:tabs>
          <w:tab w:val="left" w:pos="851"/>
        </w:tabs>
        <w:ind w:left="851"/>
        <w:rPr>
          <w:sz w:val="24"/>
          <w:szCs w:val="24"/>
        </w:rPr>
      </w:pPr>
    </w:p>
    <w:p w14:paraId="12ACCE0E" w14:textId="77777777" w:rsidR="009260DE" w:rsidRPr="00372B66" w:rsidRDefault="009260DE" w:rsidP="009260DE">
      <w:pPr>
        <w:tabs>
          <w:tab w:val="left" w:pos="851"/>
        </w:tabs>
        <w:ind w:left="851" w:hanging="851"/>
        <w:rPr>
          <w:b/>
          <w:sz w:val="24"/>
          <w:szCs w:val="24"/>
        </w:rPr>
      </w:pPr>
      <w:r w:rsidRPr="00372B66">
        <w:rPr>
          <w:b/>
          <w:sz w:val="24"/>
          <w:szCs w:val="24"/>
        </w:rPr>
        <w:t>10.</w:t>
      </w:r>
      <w:r w:rsidRPr="00372B66">
        <w:rPr>
          <w:b/>
          <w:sz w:val="24"/>
          <w:szCs w:val="24"/>
        </w:rPr>
        <w:tab/>
        <w:t>DATO FOR ÆNDRING AF TEKSTEN</w:t>
      </w:r>
    </w:p>
    <w:p w14:paraId="0A69A32A" w14:textId="24196428" w:rsidR="009260DE" w:rsidRPr="00372B66" w:rsidRDefault="00F4025A" w:rsidP="009260DE">
      <w:pPr>
        <w:tabs>
          <w:tab w:val="left" w:pos="851"/>
        </w:tabs>
        <w:ind w:left="851"/>
        <w:rPr>
          <w:sz w:val="24"/>
          <w:szCs w:val="24"/>
        </w:rPr>
      </w:pPr>
      <w:r w:rsidRPr="00372B66">
        <w:rPr>
          <w:sz w:val="24"/>
          <w:szCs w:val="24"/>
        </w:rPr>
        <w:t>-</w:t>
      </w:r>
    </w:p>
    <w:sectPr w:rsidR="009260DE" w:rsidRPr="00372B66"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92182" w14:textId="77777777" w:rsidR="00A74C64" w:rsidRDefault="00A74C64">
      <w:r>
        <w:separator/>
      </w:r>
    </w:p>
  </w:endnote>
  <w:endnote w:type="continuationSeparator" w:id="0">
    <w:p w14:paraId="20ECEEB8" w14:textId="77777777" w:rsidR="00A74C64" w:rsidRDefault="00A7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6ED1" w14:textId="77777777" w:rsidR="000259B9" w:rsidRDefault="000259B9">
    <w:pPr>
      <w:pStyle w:val="Sidefod"/>
      <w:pBdr>
        <w:bottom w:val="single" w:sz="6" w:space="1" w:color="auto"/>
      </w:pBdr>
    </w:pPr>
  </w:p>
  <w:p w14:paraId="0A961F5F" w14:textId="77777777" w:rsidR="000259B9" w:rsidRDefault="000259B9" w:rsidP="00C42586">
    <w:pPr>
      <w:pStyle w:val="Sidefod"/>
      <w:tabs>
        <w:tab w:val="clear" w:pos="4819"/>
        <w:tab w:val="left" w:pos="8505"/>
      </w:tabs>
      <w:rPr>
        <w:i/>
        <w:sz w:val="18"/>
        <w:szCs w:val="18"/>
      </w:rPr>
    </w:pPr>
  </w:p>
  <w:p w14:paraId="3C3E3204" w14:textId="24F0DD7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661CE">
      <w:rPr>
        <w:i/>
        <w:noProof/>
        <w:sz w:val="18"/>
        <w:szCs w:val="18"/>
      </w:rPr>
      <w:t>Dualux, øjendråber, opløsning i enkeltdosisbeholder 50 mikrog-ml+5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4FE8F" w14:textId="77777777" w:rsidR="00A74C64" w:rsidRDefault="00A74C64">
      <w:r>
        <w:separator/>
      </w:r>
    </w:p>
  </w:footnote>
  <w:footnote w:type="continuationSeparator" w:id="0">
    <w:p w14:paraId="589F6E0F" w14:textId="77777777" w:rsidR="00A74C64" w:rsidRDefault="00A74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328"/>
    <w:multiLevelType w:val="hybridMultilevel"/>
    <w:tmpl w:val="3C223F8A"/>
    <w:lvl w:ilvl="0" w:tplc="AD98539E">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DD703A1"/>
    <w:multiLevelType w:val="hybridMultilevel"/>
    <w:tmpl w:val="C5303E0A"/>
    <w:lvl w:ilvl="0" w:tplc="AD98539E">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47819D0"/>
    <w:multiLevelType w:val="multilevel"/>
    <w:tmpl w:val="123AAE54"/>
    <w:lvl w:ilvl="0">
      <w:start w:val="1"/>
      <w:numFmt w:val="decimal"/>
      <w:lvlText w:val="%1."/>
      <w:lvlJc w:val="left"/>
      <w:pPr>
        <w:ind w:left="440" w:hanging="220"/>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605" w:hanging="385"/>
      </w:pPr>
      <w:rPr>
        <w:rFonts w:ascii="Times New Roman" w:eastAsia="Times New Roman" w:hAnsi="Times New Roman" w:cs="Times New Roman" w:hint="default"/>
        <w:b/>
        <w:bCs/>
        <w:i w:val="0"/>
        <w:iCs w:val="0"/>
        <w:w w:val="100"/>
        <w:sz w:val="22"/>
        <w:szCs w:val="22"/>
        <w:lang w:val="en-US" w:eastAsia="en-US" w:bidi="ar-SA"/>
      </w:rPr>
    </w:lvl>
    <w:lvl w:ilvl="2">
      <w:start w:val="1"/>
      <w:numFmt w:val="bullet"/>
      <w:lvlText w:val="-"/>
      <w:lvlJc w:val="left"/>
      <w:pPr>
        <w:ind w:left="580" w:hanging="360"/>
      </w:pPr>
      <w:rPr>
        <w:b w:val="0"/>
        <w:bCs w:val="0"/>
        <w:i w:val="0"/>
        <w:iCs w:val="0"/>
        <w:w w:val="100"/>
        <w:sz w:val="22"/>
        <w:szCs w:val="22"/>
        <w:lang w:val="en-US" w:eastAsia="en-US" w:bidi="ar-SA"/>
      </w:rPr>
    </w:lvl>
    <w:lvl w:ilvl="3">
      <w:numFmt w:val="bullet"/>
      <w:lvlText w:val="•"/>
      <w:lvlJc w:val="left"/>
      <w:pPr>
        <w:ind w:left="1750" w:hanging="360"/>
      </w:pPr>
      <w:rPr>
        <w:lang w:val="en-US" w:eastAsia="en-US" w:bidi="ar-SA"/>
      </w:rPr>
    </w:lvl>
    <w:lvl w:ilvl="4">
      <w:numFmt w:val="bullet"/>
      <w:lvlText w:val="•"/>
      <w:lvlJc w:val="left"/>
      <w:pPr>
        <w:ind w:left="2900" w:hanging="360"/>
      </w:pPr>
      <w:rPr>
        <w:lang w:val="en-US" w:eastAsia="en-US" w:bidi="ar-SA"/>
      </w:rPr>
    </w:lvl>
    <w:lvl w:ilvl="5">
      <w:numFmt w:val="bullet"/>
      <w:lvlText w:val="•"/>
      <w:lvlJc w:val="left"/>
      <w:pPr>
        <w:ind w:left="4050" w:hanging="360"/>
      </w:pPr>
      <w:rPr>
        <w:lang w:val="en-US" w:eastAsia="en-US" w:bidi="ar-SA"/>
      </w:rPr>
    </w:lvl>
    <w:lvl w:ilvl="6">
      <w:numFmt w:val="bullet"/>
      <w:lvlText w:val="•"/>
      <w:lvlJc w:val="left"/>
      <w:pPr>
        <w:ind w:left="5200" w:hanging="360"/>
      </w:pPr>
      <w:rPr>
        <w:lang w:val="en-US" w:eastAsia="en-US" w:bidi="ar-SA"/>
      </w:rPr>
    </w:lvl>
    <w:lvl w:ilvl="7">
      <w:numFmt w:val="bullet"/>
      <w:lvlText w:val="•"/>
      <w:lvlJc w:val="left"/>
      <w:pPr>
        <w:ind w:left="6350" w:hanging="360"/>
      </w:pPr>
      <w:rPr>
        <w:lang w:val="en-US" w:eastAsia="en-US" w:bidi="ar-SA"/>
      </w:rPr>
    </w:lvl>
    <w:lvl w:ilvl="8">
      <w:numFmt w:val="bullet"/>
      <w:lvlText w:val="•"/>
      <w:lvlJc w:val="left"/>
      <w:pPr>
        <w:ind w:left="7500" w:hanging="360"/>
      </w:pPr>
      <w:rPr>
        <w:lang w:val="en-US" w:eastAsia="en-US" w:bidi="ar-SA"/>
      </w:rPr>
    </w:lvl>
  </w:abstractNum>
  <w:abstractNum w:abstractNumId="8" w15:restartNumberingAfterBreak="0">
    <w:nsid w:val="66521375"/>
    <w:multiLevelType w:val="hybridMultilevel"/>
    <w:tmpl w:val="66C053E8"/>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79964B06"/>
    <w:multiLevelType w:val="hybridMultilevel"/>
    <w:tmpl w:val="C3A2D81A"/>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64"/>
    <w:rsid w:val="000259B9"/>
    <w:rsid w:val="00041491"/>
    <w:rsid w:val="00050D16"/>
    <w:rsid w:val="000730CA"/>
    <w:rsid w:val="00074F2A"/>
    <w:rsid w:val="000A1CA8"/>
    <w:rsid w:val="000A466B"/>
    <w:rsid w:val="000B058C"/>
    <w:rsid w:val="000D68B0"/>
    <w:rsid w:val="000E4EE6"/>
    <w:rsid w:val="001454E2"/>
    <w:rsid w:val="00206CE8"/>
    <w:rsid w:val="0021526C"/>
    <w:rsid w:val="002459A6"/>
    <w:rsid w:val="00283A2B"/>
    <w:rsid w:val="002B30AD"/>
    <w:rsid w:val="002C1EC0"/>
    <w:rsid w:val="002C2C01"/>
    <w:rsid w:val="00372B66"/>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661CE"/>
    <w:rsid w:val="006756DD"/>
    <w:rsid w:val="0071241E"/>
    <w:rsid w:val="00733D19"/>
    <w:rsid w:val="00737275"/>
    <w:rsid w:val="00740EEC"/>
    <w:rsid w:val="00750662"/>
    <w:rsid w:val="0078011A"/>
    <w:rsid w:val="00782AF4"/>
    <w:rsid w:val="00790EE7"/>
    <w:rsid w:val="007B10B2"/>
    <w:rsid w:val="007B2111"/>
    <w:rsid w:val="007B6649"/>
    <w:rsid w:val="0082576E"/>
    <w:rsid w:val="0089346F"/>
    <w:rsid w:val="008D55AB"/>
    <w:rsid w:val="00907F75"/>
    <w:rsid w:val="009260DE"/>
    <w:rsid w:val="0093258A"/>
    <w:rsid w:val="009C7BA3"/>
    <w:rsid w:val="009D1F5A"/>
    <w:rsid w:val="00A10294"/>
    <w:rsid w:val="00A74C64"/>
    <w:rsid w:val="00B003BF"/>
    <w:rsid w:val="00B373D7"/>
    <w:rsid w:val="00B54AC2"/>
    <w:rsid w:val="00B55271"/>
    <w:rsid w:val="00BD7931"/>
    <w:rsid w:val="00BF6243"/>
    <w:rsid w:val="00C36276"/>
    <w:rsid w:val="00C42586"/>
    <w:rsid w:val="00C45F6B"/>
    <w:rsid w:val="00C60CCD"/>
    <w:rsid w:val="00C6730B"/>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4025A"/>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4CA88"/>
  <w15:chartTrackingRefBased/>
  <w15:docId w15:val="{6E056C97-915F-4D47-8CB7-BEC09C70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F4025A"/>
    <w:pPr>
      <w:widowControl w:val="0"/>
      <w:autoSpaceDE w:val="0"/>
      <w:autoSpaceDN w:val="0"/>
      <w:ind w:left="605" w:hanging="385"/>
      <w:outlineLvl w:val="1"/>
    </w:pPr>
    <w:rPr>
      <w:b/>
      <w:bCs/>
      <w:sz w:val="22"/>
      <w:szCs w:val="22"/>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F4025A"/>
    <w:pPr>
      <w:widowControl w:val="0"/>
      <w:autoSpaceDE w:val="0"/>
      <w:autoSpaceDN w:val="0"/>
    </w:pPr>
    <w:rPr>
      <w:sz w:val="22"/>
      <w:szCs w:val="22"/>
    </w:rPr>
  </w:style>
  <w:style w:type="character" w:customStyle="1" w:styleId="BrdtekstTegn">
    <w:name w:val="Brødtekst Tegn"/>
    <w:basedOn w:val="Standardskrifttypeiafsnit"/>
    <w:link w:val="Brdtekst"/>
    <w:uiPriority w:val="1"/>
    <w:semiHidden/>
    <w:rsid w:val="00F4025A"/>
    <w:rPr>
      <w:sz w:val="22"/>
      <w:szCs w:val="22"/>
      <w:lang w:eastAsia="en-US"/>
    </w:rPr>
  </w:style>
  <w:style w:type="paragraph" w:styleId="Listeafsnit">
    <w:name w:val="List Paragraph"/>
    <w:basedOn w:val="Normal"/>
    <w:uiPriority w:val="1"/>
    <w:qFormat/>
    <w:rsid w:val="00F4025A"/>
    <w:pPr>
      <w:widowControl w:val="0"/>
      <w:autoSpaceDE w:val="0"/>
      <w:autoSpaceDN w:val="0"/>
      <w:ind w:left="605" w:hanging="385"/>
    </w:pPr>
    <w:rPr>
      <w:sz w:val="22"/>
      <w:szCs w:val="22"/>
    </w:rPr>
  </w:style>
  <w:style w:type="character" w:customStyle="1" w:styleId="Overskrift2Tegn">
    <w:name w:val="Overskrift 2 Tegn"/>
    <w:basedOn w:val="Standardskrifttypeiafsnit"/>
    <w:link w:val="Overskrift2"/>
    <w:uiPriority w:val="9"/>
    <w:semiHidden/>
    <w:rsid w:val="00F4025A"/>
    <w:rPr>
      <w:b/>
      <w:bCs/>
      <w:sz w:val="22"/>
      <w:szCs w:val="22"/>
      <w:lang w:eastAsia="en-US"/>
    </w:rPr>
  </w:style>
  <w:style w:type="character" w:styleId="Hyperlink">
    <w:name w:val="Hyperlink"/>
    <w:uiPriority w:val="99"/>
    <w:semiHidden/>
    <w:unhideWhenUsed/>
    <w:rsid w:val="00F4025A"/>
    <w:rPr>
      <w:color w:val="000000"/>
      <w:u w:val="single"/>
    </w:rPr>
  </w:style>
  <w:style w:type="paragraph" w:styleId="NormalWeb">
    <w:name w:val="Normal (Web)"/>
    <w:basedOn w:val="Normal"/>
    <w:uiPriority w:val="99"/>
    <w:semiHidden/>
    <w:unhideWhenUsed/>
    <w:rsid w:val="00F4025A"/>
    <w:pPr>
      <w:spacing w:before="45" w:after="100" w:afterAutospacing="1"/>
    </w:pPr>
    <w:rPr>
      <w:sz w:val="22"/>
      <w:szCs w:val="22"/>
      <w:lang w:eastAsia="da-DK"/>
    </w:rPr>
  </w:style>
  <w:style w:type="paragraph" w:customStyle="1" w:styleId="TableParagraph">
    <w:name w:val="Table Paragraph"/>
    <w:basedOn w:val="Normal"/>
    <w:uiPriority w:val="1"/>
    <w:semiHidden/>
    <w:qFormat/>
    <w:rsid w:val="00F4025A"/>
    <w:pPr>
      <w:widowControl w:val="0"/>
      <w:autoSpaceDE w:val="0"/>
      <w:autoSpaceDN w:val="0"/>
      <w:ind w:left="108"/>
    </w:pPr>
    <w:rPr>
      <w:sz w:val="22"/>
      <w:szCs w:val="22"/>
    </w:rPr>
  </w:style>
  <w:style w:type="table" w:customStyle="1" w:styleId="TableNormal">
    <w:name w:val="Table Normal"/>
    <w:uiPriority w:val="2"/>
    <w:semiHidden/>
    <w:qFormat/>
    <w:rsid w:val="00F4025A"/>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character" w:styleId="Strk">
    <w:name w:val="Strong"/>
    <w:basedOn w:val="Standardskrifttypeiafsnit"/>
    <w:uiPriority w:val="22"/>
    <w:qFormat/>
    <w:rsid w:val="00F40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357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4001671">
      <w:bodyDiv w:val="1"/>
      <w:marLeft w:val="0"/>
      <w:marRight w:val="0"/>
      <w:marTop w:val="0"/>
      <w:marBottom w:val="0"/>
      <w:divBdr>
        <w:top w:val="none" w:sz="0" w:space="0" w:color="auto"/>
        <w:left w:val="none" w:sz="0" w:space="0" w:color="auto"/>
        <w:bottom w:val="none" w:sz="0" w:space="0" w:color="auto"/>
        <w:right w:val="none" w:sz="0" w:space="0" w:color="auto"/>
      </w:divBdr>
    </w:div>
    <w:div w:id="253520354">
      <w:bodyDiv w:val="1"/>
      <w:marLeft w:val="0"/>
      <w:marRight w:val="0"/>
      <w:marTop w:val="0"/>
      <w:marBottom w:val="0"/>
      <w:divBdr>
        <w:top w:val="none" w:sz="0" w:space="0" w:color="auto"/>
        <w:left w:val="none" w:sz="0" w:space="0" w:color="auto"/>
        <w:bottom w:val="none" w:sz="0" w:space="0" w:color="auto"/>
        <w:right w:val="none" w:sz="0" w:space="0" w:color="auto"/>
      </w:divBdr>
    </w:div>
    <w:div w:id="377434399">
      <w:bodyDiv w:val="1"/>
      <w:marLeft w:val="0"/>
      <w:marRight w:val="0"/>
      <w:marTop w:val="0"/>
      <w:marBottom w:val="0"/>
      <w:divBdr>
        <w:top w:val="none" w:sz="0" w:space="0" w:color="auto"/>
        <w:left w:val="none" w:sz="0" w:space="0" w:color="auto"/>
        <w:bottom w:val="none" w:sz="0" w:space="0" w:color="auto"/>
        <w:right w:val="none" w:sz="0" w:space="0" w:color="auto"/>
      </w:divBdr>
    </w:div>
    <w:div w:id="382945439">
      <w:bodyDiv w:val="1"/>
      <w:marLeft w:val="0"/>
      <w:marRight w:val="0"/>
      <w:marTop w:val="0"/>
      <w:marBottom w:val="0"/>
      <w:divBdr>
        <w:top w:val="none" w:sz="0" w:space="0" w:color="auto"/>
        <w:left w:val="none" w:sz="0" w:space="0" w:color="auto"/>
        <w:bottom w:val="none" w:sz="0" w:space="0" w:color="auto"/>
        <w:right w:val="none" w:sz="0" w:space="0" w:color="auto"/>
      </w:divBdr>
    </w:div>
    <w:div w:id="531311193">
      <w:bodyDiv w:val="1"/>
      <w:marLeft w:val="0"/>
      <w:marRight w:val="0"/>
      <w:marTop w:val="0"/>
      <w:marBottom w:val="0"/>
      <w:divBdr>
        <w:top w:val="none" w:sz="0" w:space="0" w:color="auto"/>
        <w:left w:val="none" w:sz="0" w:space="0" w:color="auto"/>
        <w:bottom w:val="none" w:sz="0" w:space="0" w:color="auto"/>
        <w:right w:val="none" w:sz="0" w:space="0" w:color="auto"/>
      </w:divBdr>
    </w:div>
    <w:div w:id="583492398">
      <w:bodyDiv w:val="1"/>
      <w:marLeft w:val="0"/>
      <w:marRight w:val="0"/>
      <w:marTop w:val="0"/>
      <w:marBottom w:val="0"/>
      <w:divBdr>
        <w:top w:val="none" w:sz="0" w:space="0" w:color="auto"/>
        <w:left w:val="none" w:sz="0" w:space="0" w:color="auto"/>
        <w:bottom w:val="none" w:sz="0" w:space="0" w:color="auto"/>
        <w:right w:val="none" w:sz="0" w:space="0" w:color="auto"/>
      </w:divBdr>
    </w:div>
    <w:div w:id="694428974">
      <w:bodyDiv w:val="1"/>
      <w:marLeft w:val="0"/>
      <w:marRight w:val="0"/>
      <w:marTop w:val="0"/>
      <w:marBottom w:val="0"/>
      <w:divBdr>
        <w:top w:val="none" w:sz="0" w:space="0" w:color="auto"/>
        <w:left w:val="none" w:sz="0" w:space="0" w:color="auto"/>
        <w:bottom w:val="none" w:sz="0" w:space="0" w:color="auto"/>
        <w:right w:val="none" w:sz="0" w:space="0" w:color="auto"/>
      </w:divBdr>
    </w:div>
    <w:div w:id="801121962">
      <w:bodyDiv w:val="1"/>
      <w:marLeft w:val="0"/>
      <w:marRight w:val="0"/>
      <w:marTop w:val="0"/>
      <w:marBottom w:val="0"/>
      <w:divBdr>
        <w:top w:val="none" w:sz="0" w:space="0" w:color="auto"/>
        <w:left w:val="none" w:sz="0" w:space="0" w:color="auto"/>
        <w:bottom w:val="none" w:sz="0" w:space="0" w:color="auto"/>
        <w:right w:val="none" w:sz="0" w:space="0" w:color="auto"/>
      </w:divBdr>
    </w:div>
    <w:div w:id="995449182">
      <w:bodyDiv w:val="1"/>
      <w:marLeft w:val="0"/>
      <w:marRight w:val="0"/>
      <w:marTop w:val="0"/>
      <w:marBottom w:val="0"/>
      <w:divBdr>
        <w:top w:val="none" w:sz="0" w:space="0" w:color="auto"/>
        <w:left w:val="none" w:sz="0" w:space="0" w:color="auto"/>
        <w:bottom w:val="none" w:sz="0" w:space="0" w:color="auto"/>
        <w:right w:val="none" w:sz="0" w:space="0" w:color="auto"/>
      </w:divBdr>
    </w:div>
    <w:div w:id="1028020123">
      <w:bodyDiv w:val="1"/>
      <w:marLeft w:val="0"/>
      <w:marRight w:val="0"/>
      <w:marTop w:val="0"/>
      <w:marBottom w:val="0"/>
      <w:divBdr>
        <w:top w:val="none" w:sz="0" w:space="0" w:color="auto"/>
        <w:left w:val="none" w:sz="0" w:space="0" w:color="auto"/>
        <w:bottom w:val="none" w:sz="0" w:space="0" w:color="auto"/>
        <w:right w:val="none" w:sz="0" w:space="0" w:color="auto"/>
      </w:divBdr>
    </w:div>
    <w:div w:id="1081874332">
      <w:bodyDiv w:val="1"/>
      <w:marLeft w:val="0"/>
      <w:marRight w:val="0"/>
      <w:marTop w:val="0"/>
      <w:marBottom w:val="0"/>
      <w:divBdr>
        <w:top w:val="none" w:sz="0" w:space="0" w:color="auto"/>
        <w:left w:val="none" w:sz="0" w:space="0" w:color="auto"/>
        <w:bottom w:val="none" w:sz="0" w:space="0" w:color="auto"/>
        <w:right w:val="none" w:sz="0" w:space="0" w:color="auto"/>
      </w:divBdr>
    </w:div>
    <w:div w:id="1432436543">
      <w:bodyDiv w:val="1"/>
      <w:marLeft w:val="0"/>
      <w:marRight w:val="0"/>
      <w:marTop w:val="0"/>
      <w:marBottom w:val="0"/>
      <w:divBdr>
        <w:top w:val="none" w:sz="0" w:space="0" w:color="auto"/>
        <w:left w:val="none" w:sz="0" w:space="0" w:color="auto"/>
        <w:bottom w:val="none" w:sz="0" w:space="0" w:color="auto"/>
        <w:right w:val="none" w:sz="0" w:space="0" w:color="auto"/>
      </w:divBdr>
    </w:div>
    <w:div w:id="1599750674">
      <w:bodyDiv w:val="1"/>
      <w:marLeft w:val="0"/>
      <w:marRight w:val="0"/>
      <w:marTop w:val="0"/>
      <w:marBottom w:val="0"/>
      <w:divBdr>
        <w:top w:val="none" w:sz="0" w:space="0" w:color="auto"/>
        <w:left w:val="none" w:sz="0" w:space="0" w:color="auto"/>
        <w:bottom w:val="none" w:sz="0" w:space="0" w:color="auto"/>
        <w:right w:val="none" w:sz="0" w:space="0" w:color="auto"/>
      </w:divBdr>
    </w:div>
    <w:div w:id="1612784628">
      <w:bodyDiv w:val="1"/>
      <w:marLeft w:val="0"/>
      <w:marRight w:val="0"/>
      <w:marTop w:val="0"/>
      <w:marBottom w:val="0"/>
      <w:divBdr>
        <w:top w:val="none" w:sz="0" w:space="0" w:color="auto"/>
        <w:left w:val="none" w:sz="0" w:space="0" w:color="auto"/>
        <w:bottom w:val="none" w:sz="0" w:space="0" w:color="auto"/>
        <w:right w:val="none" w:sz="0" w:space="0" w:color="auto"/>
      </w:divBdr>
    </w:div>
    <w:div w:id="1737119240">
      <w:bodyDiv w:val="1"/>
      <w:marLeft w:val="0"/>
      <w:marRight w:val="0"/>
      <w:marTop w:val="0"/>
      <w:marBottom w:val="0"/>
      <w:divBdr>
        <w:top w:val="none" w:sz="0" w:space="0" w:color="auto"/>
        <w:left w:val="none" w:sz="0" w:space="0" w:color="auto"/>
        <w:bottom w:val="none" w:sz="0" w:space="0" w:color="auto"/>
        <w:right w:val="none" w:sz="0" w:space="0" w:color="auto"/>
      </w:divBdr>
    </w:div>
    <w:div w:id="1793209619">
      <w:bodyDiv w:val="1"/>
      <w:marLeft w:val="0"/>
      <w:marRight w:val="0"/>
      <w:marTop w:val="0"/>
      <w:marBottom w:val="0"/>
      <w:divBdr>
        <w:top w:val="none" w:sz="0" w:space="0" w:color="auto"/>
        <w:left w:val="none" w:sz="0" w:space="0" w:color="auto"/>
        <w:bottom w:val="none" w:sz="0" w:space="0" w:color="auto"/>
        <w:right w:val="none" w:sz="0" w:space="0" w:color="auto"/>
      </w:divBdr>
    </w:div>
    <w:div w:id="1803839655">
      <w:bodyDiv w:val="1"/>
      <w:marLeft w:val="0"/>
      <w:marRight w:val="0"/>
      <w:marTop w:val="0"/>
      <w:marBottom w:val="0"/>
      <w:divBdr>
        <w:top w:val="none" w:sz="0" w:space="0" w:color="auto"/>
        <w:left w:val="none" w:sz="0" w:space="0" w:color="auto"/>
        <w:bottom w:val="none" w:sz="0" w:space="0" w:color="auto"/>
        <w:right w:val="none" w:sz="0" w:space="0" w:color="auto"/>
      </w:divBdr>
    </w:div>
    <w:div w:id="1894465431">
      <w:bodyDiv w:val="1"/>
      <w:marLeft w:val="0"/>
      <w:marRight w:val="0"/>
      <w:marTop w:val="0"/>
      <w:marBottom w:val="0"/>
      <w:divBdr>
        <w:top w:val="none" w:sz="0" w:space="0" w:color="auto"/>
        <w:left w:val="none" w:sz="0" w:space="0" w:color="auto"/>
        <w:bottom w:val="none" w:sz="0" w:space="0" w:color="auto"/>
        <w:right w:val="none" w:sz="0" w:space="0" w:color="auto"/>
      </w:divBdr>
    </w:div>
    <w:div w:id="1917932594">
      <w:bodyDiv w:val="1"/>
      <w:marLeft w:val="0"/>
      <w:marRight w:val="0"/>
      <w:marTop w:val="0"/>
      <w:marBottom w:val="0"/>
      <w:divBdr>
        <w:top w:val="none" w:sz="0" w:space="0" w:color="auto"/>
        <w:left w:val="none" w:sz="0" w:space="0" w:color="auto"/>
        <w:bottom w:val="none" w:sz="0" w:space="0" w:color="auto"/>
        <w:right w:val="none" w:sz="0" w:space="0" w:color="auto"/>
      </w:divBdr>
    </w:div>
    <w:div w:id="2016609054">
      <w:bodyDiv w:val="1"/>
      <w:marLeft w:val="0"/>
      <w:marRight w:val="0"/>
      <w:marTop w:val="0"/>
      <w:marBottom w:val="0"/>
      <w:divBdr>
        <w:top w:val="none" w:sz="0" w:space="0" w:color="auto"/>
        <w:left w:val="none" w:sz="0" w:space="0" w:color="auto"/>
        <w:bottom w:val="none" w:sz="0" w:space="0" w:color="auto"/>
        <w:right w:val="none" w:sz="0" w:space="0" w:color="auto"/>
      </w:divBdr>
    </w:div>
    <w:div w:id="2063096219">
      <w:bodyDiv w:val="1"/>
      <w:marLeft w:val="0"/>
      <w:marRight w:val="0"/>
      <w:marTop w:val="0"/>
      <w:marBottom w:val="0"/>
      <w:divBdr>
        <w:top w:val="none" w:sz="0" w:space="0" w:color="auto"/>
        <w:left w:val="none" w:sz="0" w:space="0" w:color="auto"/>
        <w:bottom w:val="none" w:sz="0" w:space="0" w:color="auto"/>
        <w:right w:val="none" w:sz="0" w:space="0" w:color="auto"/>
      </w:divBdr>
    </w:div>
    <w:div w:id="21335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77</TotalTime>
  <Pages>14</Pages>
  <Words>3659</Words>
  <Characters>25069</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2024072009, MT</dc:description>
  <cp:lastModifiedBy>Gitte Jørgensen</cp:lastModifiedBy>
  <cp:revision>10</cp:revision>
  <cp:lastPrinted>2012-08-22T08:53:00Z</cp:lastPrinted>
  <dcterms:created xsi:type="dcterms:W3CDTF">2025-09-23T08:47:00Z</dcterms:created>
  <dcterms:modified xsi:type="dcterms:W3CDTF">2025-09-24T09:19:00Z</dcterms:modified>
</cp:coreProperties>
</file>