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0E8970" w14:textId="77777777" w:rsidR="009260DE" w:rsidRPr="008F49E1" w:rsidRDefault="0021526C" w:rsidP="009260DE">
      <w:pPr>
        <w:rPr>
          <w:sz w:val="24"/>
          <w:szCs w:val="24"/>
        </w:rPr>
      </w:pPr>
      <w:r w:rsidRPr="009260DE">
        <w:rPr>
          <w:noProof/>
          <w:sz w:val="24"/>
          <w:szCs w:val="24"/>
          <w:lang w:eastAsia="da-DK"/>
        </w:rPr>
        <w:drawing>
          <wp:anchor distT="0" distB="0" distL="114300" distR="114300" simplePos="0" relativeHeight="251658240" behindDoc="0" locked="0" layoutInCell="1" allowOverlap="1" wp14:anchorId="6B4194D5" wp14:editId="4DF7AF48">
            <wp:simplePos x="0" y="0"/>
            <wp:positionH relativeFrom="column">
              <wp:posOffset>0</wp:posOffset>
            </wp:positionH>
            <wp:positionV relativeFrom="paragraph">
              <wp:posOffset>76200</wp:posOffset>
            </wp:positionV>
            <wp:extent cx="2428875" cy="685800"/>
            <wp:effectExtent l="0" t="0" r="9525" b="0"/>
            <wp:wrapSquare wrapText="bothSides"/>
            <wp:docPr id="1" name="Billede 3" descr="C:\Users\marh\AppData\Local\Microsoft\Windows\Temporary Internet Files\Content.Outlook\3DQ1N8R9\LMST_auto_s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3" descr="C:\Users\marh\AppData\Local\Microsoft\Windows\Temporary Internet Files\Content.Outlook\3DQ1N8R9\LMST_auto_stor.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28875" cy="685800"/>
                    </a:xfrm>
                    <a:prstGeom prst="rect">
                      <a:avLst/>
                    </a:prstGeom>
                    <a:noFill/>
                    <a:ln>
                      <a:noFill/>
                    </a:ln>
                  </pic:spPr>
                </pic:pic>
              </a:graphicData>
            </a:graphic>
          </wp:anchor>
        </w:drawing>
      </w:r>
      <w:r w:rsidR="00C60CCD">
        <w:rPr>
          <w:sz w:val="24"/>
          <w:szCs w:val="24"/>
        </w:rPr>
        <w:br w:type="textWrapping" w:clear="all"/>
      </w:r>
    </w:p>
    <w:p w14:paraId="09211E84" w14:textId="5FF5CEEF" w:rsidR="009260DE" w:rsidRPr="00C84483" w:rsidRDefault="009260DE" w:rsidP="009260DE">
      <w:pPr>
        <w:pStyle w:val="Titel"/>
        <w:tabs>
          <w:tab w:val="right" w:pos="9356"/>
        </w:tabs>
        <w:jc w:val="left"/>
        <w:rPr>
          <w:b w:val="0"/>
          <w:szCs w:val="24"/>
          <w:lang w:eastAsia="en-US"/>
        </w:rPr>
      </w:pPr>
      <w:r w:rsidRPr="00C84483">
        <w:rPr>
          <w:b w:val="0"/>
          <w:szCs w:val="24"/>
          <w:lang w:eastAsia="en-US"/>
        </w:rPr>
        <w:tab/>
      </w:r>
      <w:r w:rsidR="00047418">
        <w:rPr>
          <w:szCs w:val="24"/>
        </w:rPr>
        <w:t>15. september 2026</w:t>
      </w:r>
    </w:p>
    <w:p w14:paraId="498EBC68" w14:textId="77777777" w:rsidR="009260DE" w:rsidRPr="00C84483" w:rsidRDefault="009260DE" w:rsidP="009260DE">
      <w:pPr>
        <w:pStyle w:val="Titel"/>
        <w:jc w:val="left"/>
        <w:rPr>
          <w:b w:val="0"/>
          <w:szCs w:val="24"/>
        </w:rPr>
      </w:pPr>
    </w:p>
    <w:p w14:paraId="03DEC238" w14:textId="77777777" w:rsidR="009260DE" w:rsidRPr="00C84483" w:rsidRDefault="009260DE" w:rsidP="009260DE">
      <w:pPr>
        <w:pStyle w:val="Titel"/>
        <w:jc w:val="left"/>
        <w:rPr>
          <w:b w:val="0"/>
          <w:szCs w:val="24"/>
        </w:rPr>
      </w:pPr>
    </w:p>
    <w:p w14:paraId="13CD890E" w14:textId="77777777" w:rsidR="009260DE" w:rsidRPr="00C84483" w:rsidRDefault="009260DE" w:rsidP="009260DE">
      <w:pPr>
        <w:jc w:val="center"/>
        <w:rPr>
          <w:b/>
          <w:sz w:val="24"/>
          <w:szCs w:val="24"/>
        </w:rPr>
      </w:pPr>
      <w:r w:rsidRPr="00C84483">
        <w:rPr>
          <w:b/>
          <w:sz w:val="24"/>
          <w:szCs w:val="24"/>
        </w:rPr>
        <w:t>PRODUKTRESUMÉ</w:t>
      </w:r>
    </w:p>
    <w:p w14:paraId="4F0FA617" w14:textId="77777777" w:rsidR="009260DE" w:rsidRPr="00C84483" w:rsidRDefault="009260DE" w:rsidP="009260DE">
      <w:pPr>
        <w:jc w:val="center"/>
        <w:rPr>
          <w:b/>
          <w:sz w:val="24"/>
          <w:szCs w:val="24"/>
        </w:rPr>
      </w:pPr>
    </w:p>
    <w:p w14:paraId="2663AF8D" w14:textId="77777777" w:rsidR="009260DE" w:rsidRDefault="009260DE" w:rsidP="009260DE">
      <w:pPr>
        <w:jc w:val="center"/>
        <w:rPr>
          <w:b/>
          <w:sz w:val="24"/>
          <w:szCs w:val="24"/>
        </w:rPr>
      </w:pPr>
      <w:r w:rsidRPr="00C84483">
        <w:rPr>
          <w:b/>
          <w:sz w:val="24"/>
          <w:szCs w:val="24"/>
        </w:rPr>
        <w:t>for</w:t>
      </w:r>
    </w:p>
    <w:p w14:paraId="59527CFA" w14:textId="77777777" w:rsidR="000B058C" w:rsidRPr="00C84483" w:rsidRDefault="000B058C" w:rsidP="009260DE">
      <w:pPr>
        <w:jc w:val="center"/>
        <w:rPr>
          <w:b/>
          <w:sz w:val="24"/>
          <w:szCs w:val="24"/>
        </w:rPr>
      </w:pPr>
    </w:p>
    <w:p w14:paraId="4C916AF8" w14:textId="154824D5" w:rsidR="009260DE" w:rsidRPr="00C84483" w:rsidRDefault="002F7AC9" w:rsidP="009260DE">
      <w:pPr>
        <w:jc w:val="center"/>
        <w:rPr>
          <w:b/>
          <w:sz w:val="24"/>
          <w:szCs w:val="24"/>
        </w:rPr>
      </w:pPr>
      <w:r>
        <w:rPr>
          <w:b/>
          <w:sz w:val="24"/>
          <w:szCs w:val="24"/>
        </w:rPr>
        <w:t>D</w:t>
      </w:r>
      <w:r w:rsidR="00FB0369">
        <w:rPr>
          <w:b/>
          <w:sz w:val="24"/>
          <w:szCs w:val="24"/>
        </w:rPr>
        <w:t>u</w:t>
      </w:r>
      <w:r>
        <w:rPr>
          <w:b/>
          <w:sz w:val="24"/>
          <w:szCs w:val="24"/>
        </w:rPr>
        <w:t>l</w:t>
      </w:r>
      <w:r w:rsidR="00FB0369">
        <w:rPr>
          <w:b/>
          <w:sz w:val="24"/>
          <w:szCs w:val="24"/>
        </w:rPr>
        <w:t>o</w:t>
      </w:r>
      <w:r>
        <w:rPr>
          <w:b/>
          <w:sz w:val="24"/>
          <w:szCs w:val="24"/>
        </w:rPr>
        <w:t>xetin "Stada Nordic",</w:t>
      </w:r>
      <w:r w:rsidR="005E36ED">
        <w:rPr>
          <w:b/>
          <w:sz w:val="24"/>
          <w:szCs w:val="24"/>
        </w:rPr>
        <w:t xml:space="preserve"> hårde enterokapsler</w:t>
      </w:r>
    </w:p>
    <w:p w14:paraId="01C1985F" w14:textId="77777777" w:rsidR="009260DE" w:rsidRPr="00C84483" w:rsidRDefault="009260DE" w:rsidP="009260DE">
      <w:pPr>
        <w:jc w:val="both"/>
        <w:rPr>
          <w:sz w:val="24"/>
          <w:szCs w:val="24"/>
        </w:rPr>
      </w:pPr>
    </w:p>
    <w:p w14:paraId="7AFF13AE" w14:textId="77777777" w:rsidR="009260DE" w:rsidRPr="00C84483" w:rsidRDefault="009260DE" w:rsidP="009260DE">
      <w:pPr>
        <w:jc w:val="both"/>
        <w:rPr>
          <w:sz w:val="24"/>
          <w:szCs w:val="24"/>
        </w:rPr>
      </w:pPr>
    </w:p>
    <w:p w14:paraId="26A2E9A2" w14:textId="77777777" w:rsidR="009260DE" w:rsidRPr="00C84483" w:rsidRDefault="009260DE" w:rsidP="009260DE">
      <w:pPr>
        <w:tabs>
          <w:tab w:val="left" w:pos="851"/>
        </w:tabs>
        <w:ind w:left="851" w:hanging="851"/>
        <w:rPr>
          <w:b/>
          <w:sz w:val="24"/>
          <w:szCs w:val="24"/>
        </w:rPr>
      </w:pPr>
      <w:r w:rsidRPr="00C84483">
        <w:rPr>
          <w:b/>
          <w:sz w:val="24"/>
          <w:szCs w:val="24"/>
        </w:rPr>
        <w:t>0.</w:t>
      </w:r>
      <w:r w:rsidRPr="00C84483">
        <w:rPr>
          <w:b/>
          <w:sz w:val="24"/>
          <w:szCs w:val="24"/>
        </w:rPr>
        <w:tab/>
        <w:t>D.SP.NR.</w:t>
      </w:r>
    </w:p>
    <w:p w14:paraId="52E9BA27" w14:textId="4858C284" w:rsidR="009260DE" w:rsidRPr="00C84483" w:rsidRDefault="006E3FB5" w:rsidP="009260DE">
      <w:pPr>
        <w:tabs>
          <w:tab w:val="left" w:pos="851"/>
        </w:tabs>
        <w:ind w:left="851"/>
        <w:rPr>
          <w:sz w:val="24"/>
          <w:szCs w:val="24"/>
        </w:rPr>
      </w:pPr>
      <w:r>
        <w:rPr>
          <w:sz w:val="24"/>
          <w:szCs w:val="24"/>
        </w:rPr>
        <w:t>34747</w:t>
      </w:r>
    </w:p>
    <w:p w14:paraId="6B973CE3" w14:textId="77777777" w:rsidR="009260DE" w:rsidRPr="00C84483" w:rsidRDefault="009260DE" w:rsidP="009260DE">
      <w:pPr>
        <w:tabs>
          <w:tab w:val="left" w:pos="851"/>
        </w:tabs>
        <w:ind w:left="851"/>
        <w:rPr>
          <w:sz w:val="24"/>
          <w:szCs w:val="24"/>
        </w:rPr>
      </w:pPr>
    </w:p>
    <w:p w14:paraId="2407BEB0" w14:textId="77777777" w:rsidR="009260DE" w:rsidRPr="00C84483" w:rsidRDefault="009260DE" w:rsidP="009260DE">
      <w:pPr>
        <w:tabs>
          <w:tab w:val="left" w:pos="851"/>
        </w:tabs>
        <w:ind w:left="851" w:hanging="851"/>
        <w:rPr>
          <w:b/>
          <w:sz w:val="24"/>
          <w:szCs w:val="24"/>
        </w:rPr>
      </w:pPr>
      <w:r w:rsidRPr="00C84483">
        <w:rPr>
          <w:b/>
          <w:sz w:val="24"/>
          <w:szCs w:val="24"/>
        </w:rPr>
        <w:t>1.</w:t>
      </w:r>
      <w:r w:rsidRPr="00C84483">
        <w:rPr>
          <w:b/>
          <w:sz w:val="24"/>
          <w:szCs w:val="24"/>
        </w:rPr>
        <w:tab/>
        <w:t>LÆGEMIDLETS NAVN</w:t>
      </w:r>
    </w:p>
    <w:p w14:paraId="099A3C40" w14:textId="735BE42C" w:rsidR="009260DE" w:rsidRPr="006E3FB5" w:rsidRDefault="006E3FB5" w:rsidP="009260DE">
      <w:pPr>
        <w:tabs>
          <w:tab w:val="left" w:pos="851"/>
        </w:tabs>
        <w:ind w:left="851"/>
        <w:rPr>
          <w:bCs/>
          <w:sz w:val="24"/>
          <w:szCs w:val="24"/>
        </w:rPr>
      </w:pPr>
      <w:r w:rsidRPr="006E3FB5">
        <w:rPr>
          <w:bCs/>
          <w:sz w:val="24"/>
          <w:szCs w:val="24"/>
        </w:rPr>
        <w:t>Duloxetin "Stada Nordic"</w:t>
      </w:r>
    </w:p>
    <w:p w14:paraId="1C685578" w14:textId="77777777" w:rsidR="006E3FB5" w:rsidRPr="00C84483" w:rsidRDefault="006E3FB5" w:rsidP="009260DE">
      <w:pPr>
        <w:tabs>
          <w:tab w:val="left" w:pos="851"/>
        </w:tabs>
        <w:ind w:left="851"/>
        <w:rPr>
          <w:sz w:val="24"/>
          <w:szCs w:val="24"/>
        </w:rPr>
      </w:pPr>
    </w:p>
    <w:p w14:paraId="7D06202A" w14:textId="77777777" w:rsidR="009260DE" w:rsidRPr="00C84483" w:rsidRDefault="009260DE" w:rsidP="009260DE">
      <w:pPr>
        <w:tabs>
          <w:tab w:val="left" w:pos="851"/>
        </w:tabs>
        <w:ind w:left="851" w:hanging="851"/>
        <w:rPr>
          <w:b/>
          <w:sz w:val="24"/>
          <w:szCs w:val="24"/>
        </w:rPr>
      </w:pPr>
      <w:r w:rsidRPr="00C84483">
        <w:rPr>
          <w:b/>
          <w:sz w:val="24"/>
          <w:szCs w:val="24"/>
        </w:rPr>
        <w:t>2.</w:t>
      </w:r>
      <w:r w:rsidRPr="00C84483">
        <w:rPr>
          <w:b/>
          <w:sz w:val="24"/>
          <w:szCs w:val="24"/>
        </w:rPr>
        <w:tab/>
        <w:t>KVALITATIV OG KVANTITATIV SAMMENSÆTNING</w:t>
      </w:r>
    </w:p>
    <w:p w14:paraId="121DB1C1" w14:textId="77777777" w:rsidR="006E3FB5" w:rsidRPr="006E3FB5" w:rsidRDefault="006E3FB5" w:rsidP="006E3FB5">
      <w:pPr>
        <w:tabs>
          <w:tab w:val="left" w:pos="851"/>
        </w:tabs>
        <w:ind w:left="851"/>
        <w:rPr>
          <w:sz w:val="24"/>
          <w:szCs w:val="24"/>
        </w:rPr>
      </w:pPr>
    </w:p>
    <w:p w14:paraId="18390013" w14:textId="77777777" w:rsidR="006E3FB5" w:rsidRPr="006E3FB5" w:rsidRDefault="006E3FB5" w:rsidP="006E3FB5">
      <w:pPr>
        <w:tabs>
          <w:tab w:val="left" w:pos="851"/>
        </w:tabs>
        <w:ind w:left="851"/>
        <w:rPr>
          <w:sz w:val="24"/>
          <w:szCs w:val="24"/>
        </w:rPr>
      </w:pPr>
      <w:r w:rsidRPr="006E3FB5">
        <w:rPr>
          <w:sz w:val="24"/>
          <w:szCs w:val="24"/>
          <w:u w:val="single"/>
        </w:rPr>
        <w:t xml:space="preserve">Duloxetin "Stada Nordic" 30 mg hårde enterokapsler </w:t>
      </w:r>
      <w:r w:rsidRPr="006E3FB5">
        <w:rPr>
          <w:sz w:val="24"/>
          <w:szCs w:val="24"/>
          <w:u w:val="single"/>
        </w:rPr>
        <w:br/>
      </w:r>
      <w:r w:rsidRPr="006E3FB5">
        <w:rPr>
          <w:sz w:val="24"/>
          <w:szCs w:val="24"/>
        </w:rPr>
        <w:t>Hver enterokapsel indeholder duloxetinhydrochlorid svarende til 30 mg duloxetin.</w:t>
      </w:r>
    </w:p>
    <w:p w14:paraId="5DC48CE7" w14:textId="77777777" w:rsidR="006E3FB5" w:rsidRPr="006E3FB5" w:rsidRDefault="006E3FB5" w:rsidP="006E3FB5">
      <w:pPr>
        <w:tabs>
          <w:tab w:val="left" w:pos="851"/>
        </w:tabs>
        <w:ind w:left="851"/>
        <w:rPr>
          <w:sz w:val="24"/>
          <w:szCs w:val="24"/>
        </w:rPr>
      </w:pPr>
    </w:p>
    <w:p w14:paraId="585E5601" w14:textId="1BB6FFA9" w:rsidR="006E3FB5" w:rsidRPr="006E3FB5" w:rsidRDefault="006E3FB5" w:rsidP="006E3FB5">
      <w:pPr>
        <w:tabs>
          <w:tab w:val="left" w:pos="851"/>
        </w:tabs>
        <w:ind w:left="851"/>
        <w:rPr>
          <w:sz w:val="24"/>
          <w:szCs w:val="24"/>
        </w:rPr>
      </w:pPr>
      <w:r w:rsidRPr="006E3FB5">
        <w:rPr>
          <w:i/>
          <w:iCs/>
          <w:sz w:val="24"/>
          <w:szCs w:val="24"/>
        </w:rPr>
        <w:t>Hjælpestof med kendt virkning</w:t>
      </w:r>
      <w:r w:rsidRPr="006E3FB5">
        <w:rPr>
          <w:i/>
          <w:iCs/>
          <w:sz w:val="24"/>
          <w:szCs w:val="24"/>
        </w:rPr>
        <w:br/>
      </w:r>
      <w:r w:rsidRPr="006E3FB5">
        <w:rPr>
          <w:sz w:val="24"/>
          <w:szCs w:val="24"/>
        </w:rPr>
        <w:t xml:space="preserve">Hver </w:t>
      </w:r>
      <w:r>
        <w:rPr>
          <w:sz w:val="24"/>
          <w:szCs w:val="24"/>
        </w:rPr>
        <w:t xml:space="preserve">hård </w:t>
      </w:r>
      <w:r w:rsidRPr="006E3FB5">
        <w:rPr>
          <w:sz w:val="24"/>
          <w:szCs w:val="24"/>
        </w:rPr>
        <w:t>enterokapsel indeholder 50,84 mg saccharose.</w:t>
      </w:r>
    </w:p>
    <w:p w14:paraId="36164745" w14:textId="77777777" w:rsidR="006E3FB5" w:rsidRPr="006E3FB5" w:rsidRDefault="006E3FB5" w:rsidP="006E3FB5">
      <w:pPr>
        <w:tabs>
          <w:tab w:val="left" w:pos="851"/>
        </w:tabs>
        <w:ind w:left="851"/>
        <w:rPr>
          <w:sz w:val="24"/>
          <w:szCs w:val="24"/>
        </w:rPr>
      </w:pPr>
    </w:p>
    <w:p w14:paraId="0FB8F2EB" w14:textId="77777777" w:rsidR="006E3FB5" w:rsidRPr="006E3FB5" w:rsidRDefault="006E3FB5" w:rsidP="006E3FB5">
      <w:pPr>
        <w:tabs>
          <w:tab w:val="left" w:pos="851"/>
        </w:tabs>
        <w:ind w:left="851"/>
        <w:rPr>
          <w:sz w:val="24"/>
          <w:szCs w:val="24"/>
        </w:rPr>
      </w:pPr>
      <w:r w:rsidRPr="006E3FB5">
        <w:rPr>
          <w:sz w:val="24"/>
          <w:szCs w:val="24"/>
          <w:u w:val="single"/>
        </w:rPr>
        <w:t xml:space="preserve">Duloxetin "Stada Nordic" 45 mg hårde enterokapsler </w:t>
      </w:r>
      <w:r w:rsidRPr="006E3FB5">
        <w:rPr>
          <w:sz w:val="24"/>
          <w:szCs w:val="24"/>
          <w:u w:val="single"/>
        </w:rPr>
        <w:br/>
      </w:r>
      <w:r w:rsidRPr="006E3FB5">
        <w:rPr>
          <w:sz w:val="24"/>
          <w:szCs w:val="24"/>
        </w:rPr>
        <w:t>Hver enterokapsel indeholder duloxetinhydrochlorid svarende til 45 mg duloxetin.</w:t>
      </w:r>
    </w:p>
    <w:p w14:paraId="454BD479" w14:textId="77777777" w:rsidR="006E3FB5" w:rsidRPr="006E3FB5" w:rsidRDefault="006E3FB5" w:rsidP="006E3FB5">
      <w:pPr>
        <w:tabs>
          <w:tab w:val="left" w:pos="851"/>
        </w:tabs>
        <w:ind w:left="851"/>
        <w:rPr>
          <w:sz w:val="24"/>
          <w:szCs w:val="24"/>
        </w:rPr>
      </w:pPr>
    </w:p>
    <w:p w14:paraId="0922FB27" w14:textId="6EA394D7" w:rsidR="006E3FB5" w:rsidRPr="006E3FB5" w:rsidRDefault="006E3FB5" w:rsidP="006E3FB5">
      <w:pPr>
        <w:tabs>
          <w:tab w:val="left" w:pos="851"/>
        </w:tabs>
        <w:ind w:left="851"/>
        <w:rPr>
          <w:sz w:val="24"/>
          <w:szCs w:val="24"/>
        </w:rPr>
      </w:pPr>
      <w:r w:rsidRPr="006E3FB5">
        <w:rPr>
          <w:i/>
          <w:iCs/>
          <w:sz w:val="24"/>
          <w:szCs w:val="24"/>
        </w:rPr>
        <w:t>Hjælpestof med kendt virkning</w:t>
      </w:r>
      <w:r w:rsidRPr="006E3FB5">
        <w:rPr>
          <w:i/>
          <w:iCs/>
          <w:sz w:val="24"/>
          <w:szCs w:val="24"/>
        </w:rPr>
        <w:br/>
      </w:r>
      <w:r w:rsidRPr="006E3FB5">
        <w:rPr>
          <w:sz w:val="24"/>
          <w:szCs w:val="24"/>
        </w:rPr>
        <w:t>Hver hård enterokapsel indeholder 76,26 mg saccharose.</w:t>
      </w:r>
    </w:p>
    <w:p w14:paraId="1E09CECD" w14:textId="77777777" w:rsidR="006E3FB5" w:rsidRPr="006E3FB5" w:rsidRDefault="006E3FB5" w:rsidP="006E3FB5">
      <w:pPr>
        <w:tabs>
          <w:tab w:val="left" w:pos="851"/>
        </w:tabs>
        <w:ind w:left="851"/>
        <w:rPr>
          <w:sz w:val="24"/>
          <w:szCs w:val="24"/>
        </w:rPr>
      </w:pPr>
    </w:p>
    <w:p w14:paraId="794F5AD2" w14:textId="77777777" w:rsidR="006E3FB5" w:rsidRPr="006E3FB5" w:rsidRDefault="006E3FB5" w:rsidP="006E3FB5">
      <w:pPr>
        <w:tabs>
          <w:tab w:val="left" w:pos="851"/>
        </w:tabs>
        <w:ind w:left="851"/>
        <w:rPr>
          <w:sz w:val="24"/>
          <w:szCs w:val="24"/>
        </w:rPr>
      </w:pPr>
      <w:r w:rsidRPr="006E3FB5">
        <w:rPr>
          <w:sz w:val="24"/>
          <w:szCs w:val="24"/>
          <w:u w:val="single"/>
        </w:rPr>
        <w:t xml:space="preserve">Duloxetin "Stada Nordic" 60 mg hårde enterokapsler </w:t>
      </w:r>
      <w:r w:rsidRPr="006E3FB5">
        <w:rPr>
          <w:sz w:val="24"/>
          <w:szCs w:val="24"/>
          <w:u w:val="single"/>
        </w:rPr>
        <w:br/>
      </w:r>
      <w:r w:rsidRPr="006E3FB5">
        <w:rPr>
          <w:sz w:val="24"/>
          <w:szCs w:val="24"/>
        </w:rPr>
        <w:t>Hver enterokapsel indeholder duloxetinhydrochlorid svarende til 60 mg duloxetin.</w:t>
      </w:r>
    </w:p>
    <w:p w14:paraId="745C2E03" w14:textId="77777777" w:rsidR="006E3FB5" w:rsidRPr="006E3FB5" w:rsidRDefault="006E3FB5" w:rsidP="006E3FB5">
      <w:pPr>
        <w:tabs>
          <w:tab w:val="left" w:pos="851"/>
        </w:tabs>
        <w:ind w:left="851"/>
        <w:rPr>
          <w:sz w:val="24"/>
          <w:szCs w:val="24"/>
          <w:u w:val="single"/>
        </w:rPr>
      </w:pPr>
    </w:p>
    <w:p w14:paraId="0F5E0F85" w14:textId="1828C7E3" w:rsidR="006E3FB5" w:rsidRPr="006E3FB5" w:rsidRDefault="006E3FB5" w:rsidP="006E3FB5">
      <w:pPr>
        <w:tabs>
          <w:tab w:val="left" w:pos="851"/>
        </w:tabs>
        <w:ind w:left="851"/>
        <w:rPr>
          <w:sz w:val="24"/>
          <w:szCs w:val="24"/>
        </w:rPr>
      </w:pPr>
      <w:r w:rsidRPr="006E3FB5">
        <w:rPr>
          <w:i/>
          <w:iCs/>
          <w:sz w:val="24"/>
          <w:szCs w:val="24"/>
        </w:rPr>
        <w:t>Hjælpestof med kendt virkning</w:t>
      </w:r>
      <w:r w:rsidRPr="006E3FB5">
        <w:rPr>
          <w:i/>
          <w:iCs/>
          <w:sz w:val="24"/>
          <w:szCs w:val="24"/>
        </w:rPr>
        <w:br/>
      </w:r>
      <w:r w:rsidRPr="006E3FB5">
        <w:rPr>
          <w:sz w:val="24"/>
          <w:szCs w:val="24"/>
        </w:rPr>
        <w:t>Hver hård enterokapsel indeholder 101,68 mg saccharose.</w:t>
      </w:r>
    </w:p>
    <w:p w14:paraId="2686207C" w14:textId="77777777" w:rsidR="006E3FB5" w:rsidRPr="006E3FB5" w:rsidRDefault="006E3FB5" w:rsidP="006E3FB5">
      <w:pPr>
        <w:tabs>
          <w:tab w:val="left" w:pos="851"/>
        </w:tabs>
        <w:ind w:left="851"/>
        <w:rPr>
          <w:sz w:val="24"/>
          <w:szCs w:val="24"/>
        </w:rPr>
      </w:pPr>
    </w:p>
    <w:p w14:paraId="0298ED3F" w14:textId="77777777" w:rsidR="006E3FB5" w:rsidRPr="006E3FB5" w:rsidRDefault="006E3FB5" w:rsidP="006E3FB5">
      <w:pPr>
        <w:tabs>
          <w:tab w:val="left" w:pos="851"/>
        </w:tabs>
        <w:ind w:left="851"/>
        <w:rPr>
          <w:sz w:val="24"/>
          <w:szCs w:val="24"/>
        </w:rPr>
      </w:pPr>
      <w:r w:rsidRPr="006E3FB5">
        <w:rPr>
          <w:sz w:val="24"/>
          <w:szCs w:val="24"/>
          <w:u w:val="single"/>
        </w:rPr>
        <w:t xml:space="preserve">Duloxetin "Stada Nordic" 90 mg hårde enterokapsler </w:t>
      </w:r>
      <w:r w:rsidRPr="006E3FB5">
        <w:rPr>
          <w:sz w:val="24"/>
          <w:szCs w:val="24"/>
          <w:u w:val="single"/>
        </w:rPr>
        <w:br/>
      </w:r>
      <w:r w:rsidRPr="006E3FB5">
        <w:rPr>
          <w:sz w:val="24"/>
          <w:szCs w:val="24"/>
        </w:rPr>
        <w:t>Hver enterokapsel indeholder duloxetinhydrochlorid svarende til 90 mg duloxetin.</w:t>
      </w:r>
    </w:p>
    <w:p w14:paraId="3FD24634" w14:textId="77777777" w:rsidR="006E3FB5" w:rsidRPr="006E3FB5" w:rsidRDefault="006E3FB5" w:rsidP="006E3FB5">
      <w:pPr>
        <w:tabs>
          <w:tab w:val="left" w:pos="851"/>
        </w:tabs>
        <w:ind w:left="851"/>
        <w:rPr>
          <w:sz w:val="24"/>
          <w:szCs w:val="24"/>
        </w:rPr>
      </w:pPr>
    </w:p>
    <w:p w14:paraId="00DC1B34" w14:textId="5FDE66B5" w:rsidR="006E3FB5" w:rsidRPr="006E3FB5" w:rsidRDefault="006E3FB5" w:rsidP="006E3FB5">
      <w:pPr>
        <w:tabs>
          <w:tab w:val="left" w:pos="851"/>
        </w:tabs>
        <w:ind w:left="851"/>
        <w:rPr>
          <w:sz w:val="24"/>
          <w:szCs w:val="24"/>
        </w:rPr>
      </w:pPr>
      <w:r w:rsidRPr="006E3FB5">
        <w:rPr>
          <w:i/>
          <w:iCs/>
          <w:sz w:val="24"/>
          <w:szCs w:val="24"/>
        </w:rPr>
        <w:t>Hjælpestof med kendt virkning</w:t>
      </w:r>
      <w:r w:rsidRPr="006E3FB5">
        <w:rPr>
          <w:i/>
          <w:iCs/>
          <w:sz w:val="24"/>
          <w:szCs w:val="24"/>
        </w:rPr>
        <w:br/>
      </w:r>
      <w:r w:rsidRPr="006E3FB5">
        <w:rPr>
          <w:sz w:val="24"/>
          <w:szCs w:val="24"/>
        </w:rPr>
        <w:t>Hver hård enterokapsel indeholder 152,52 mg saccharose.</w:t>
      </w:r>
    </w:p>
    <w:p w14:paraId="170C49FF" w14:textId="77777777" w:rsidR="006E3FB5" w:rsidRPr="006E3FB5" w:rsidRDefault="006E3FB5" w:rsidP="006E3FB5">
      <w:pPr>
        <w:tabs>
          <w:tab w:val="left" w:pos="851"/>
        </w:tabs>
        <w:ind w:left="851"/>
        <w:rPr>
          <w:sz w:val="24"/>
          <w:szCs w:val="24"/>
        </w:rPr>
      </w:pPr>
    </w:p>
    <w:p w14:paraId="4D7F86A4" w14:textId="77777777" w:rsidR="006E3FB5" w:rsidRPr="006E3FB5" w:rsidRDefault="006E3FB5" w:rsidP="006E3FB5">
      <w:pPr>
        <w:tabs>
          <w:tab w:val="left" w:pos="851"/>
        </w:tabs>
        <w:ind w:left="851"/>
        <w:rPr>
          <w:sz w:val="24"/>
          <w:szCs w:val="24"/>
        </w:rPr>
      </w:pPr>
      <w:r w:rsidRPr="006E3FB5">
        <w:rPr>
          <w:sz w:val="24"/>
          <w:szCs w:val="24"/>
          <w:u w:val="single"/>
        </w:rPr>
        <w:t xml:space="preserve">Duloxetin "Stada Nordic" 120 mg hårde enterokapsler </w:t>
      </w:r>
      <w:r w:rsidRPr="006E3FB5">
        <w:rPr>
          <w:sz w:val="24"/>
          <w:szCs w:val="24"/>
          <w:u w:val="single"/>
        </w:rPr>
        <w:br/>
      </w:r>
      <w:r w:rsidRPr="006E3FB5">
        <w:rPr>
          <w:sz w:val="24"/>
          <w:szCs w:val="24"/>
        </w:rPr>
        <w:t>Hver enterokapsel indeholder duloxetinhydrochlorid svarende til 120 mg duloxetin.</w:t>
      </w:r>
    </w:p>
    <w:p w14:paraId="305D201A" w14:textId="77777777" w:rsidR="006E3FB5" w:rsidRPr="006E3FB5" w:rsidRDefault="006E3FB5" w:rsidP="006E3FB5">
      <w:pPr>
        <w:tabs>
          <w:tab w:val="left" w:pos="851"/>
        </w:tabs>
        <w:ind w:left="851"/>
        <w:rPr>
          <w:sz w:val="24"/>
          <w:szCs w:val="24"/>
        </w:rPr>
      </w:pPr>
    </w:p>
    <w:p w14:paraId="7FA5516B" w14:textId="0310D4E3" w:rsidR="006E3FB5" w:rsidRPr="006E3FB5" w:rsidRDefault="006E3FB5" w:rsidP="006E3FB5">
      <w:pPr>
        <w:tabs>
          <w:tab w:val="left" w:pos="851"/>
        </w:tabs>
        <w:ind w:left="851"/>
        <w:rPr>
          <w:sz w:val="24"/>
          <w:szCs w:val="24"/>
        </w:rPr>
      </w:pPr>
      <w:r w:rsidRPr="006E3FB5">
        <w:rPr>
          <w:i/>
          <w:iCs/>
          <w:sz w:val="24"/>
          <w:szCs w:val="24"/>
        </w:rPr>
        <w:lastRenderedPageBreak/>
        <w:t>Hjælpestof med kendt virkning</w:t>
      </w:r>
      <w:r w:rsidRPr="006E3FB5">
        <w:rPr>
          <w:i/>
          <w:iCs/>
          <w:sz w:val="24"/>
          <w:szCs w:val="24"/>
        </w:rPr>
        <w:br/>
      </w:r>
      <w:r w:rsidRPr="006E3FB5">
        <w:rPr>
          <w:sz w:val="24"/>
          <w:szCs w:val="24"/>
        </w:rPr>
        <w:t>Hver hård enterokapsel indeholder 203,36 mg saccharose.</w:t>
      </w:r>
    </w:p>
    <w:p w14:paraId="04317D1F" w14:textId="77777777" w:rsidR="006E3FB5" w:rsidRPr="006E3FB5" w:rsidRDefault="006E3FB5" w:rsidP="006E3FB5">
      <w:pPr>
        <w:tabs>
          <w:tab w:val="left" w:pos="851"/>
        </w:tabs>
        <w:ind w:left="851"/>
        <w:rPr>
          <w:sz w:val="24"/>
          <w:szCs w:val="24"/>
        </w:rPr>
      </w:pPr>
    </w:p>
    <w:p w14:paraId="7999BC7D" w14:textId="77777777" w:rsidR="006E3FB5" w:rsidRPr="006E3FB5" w:rsidRDefault="006E3FB5" w:rsidP="006E3FB5">
      <w:pPr>
        <w:tabs>
          <w:tab w:val="left" w:pos="851"/>
        </w:tabs>
        <w:ind w:left="851"/>
        <w:rPr>
          <w:sz w:val="24"/>
          <w:szCs w:val="24"/>
        </w:rPr>
      </w:pPr>
      <w:r w:rsidRPr="006E3FB5">
        <w:rPr>
          <w:sz w:val="24"/>
          <w:szCs w:val="24"/>
        </w:rPr>
        <w:t>Den fuldstændige liste over hjælpestoffer fremgår af pkt. 6.1.</w:t>
      </w:r>
    </w:p>
    <w:p w14:paraId="5BD1D523" w14:textId="77777777" w:rsidR="009260DE" w:rsidRPr="00C84483" w:rsidRDefault="009260DE" w:rsidP="009260DE">
      <w:pPr>
        <w:tabs>
          <w:tab w:val="left" w:pos="851"/>
        </w:tabs>
        <w:ind w:left="851"/>
        <w:rPr>
          <w:sz w:val="24"/>
          <w:szCs w:val="24"/>
        </w:rPr>
      </w:pPr>
    </w:p>
    <w:p w14:paraId="1BEA76DC" w14:textId="77777777" w:rsidR="009260DE" w:rsidRPr="00C84483" w:rsidRDefault="009260DE" w:rsidP="009260DE">
      <w:pPr>
        <w:tabs>
          <w:tab w:val="left" w:pos="851"/>
        </w:tabs>
        <w:ind w:left="851" w:hanging="851"/>
        <w:rPr>
          <w:b/>
          <w:sz w:val="24"/>
          <w:szCs w:val="24"/>
        </w:rPr>
      </w:pPr>
      <w:r w:rsidRPr="00C84483">
        <w:rPr>
          <w:b/>
          <w:sz w:val="24"/>
          <w:szCs w:val="24"/>
        </w:rPr>
        <w:t>3.</w:t>
      </w:r>
      <w:r w:rsidRPr="00C84483">
        <w:rPr>
          <w:b/>
          <w:sz w:val="24"/>
          <w:szCs w:val="24"/>
        </w:rPr>
        <w:tab/>
        <w:t>LÆGEMIDDELFORM</w:t>
      </w:r>
    </w:p>
    <w:p w14:paraId="0CDE92EB" w14:textId="2D64CC35" w:rsidR="009260DE" w:rsidRPr="00C84483" w:rsidRDefault="006E3FB5" w:rsidP="009260DE">
      <w:pPr>
        <w:tabs>
          <w:tab w:val="left" w:pos="851"/>
        </w:tabs>
        <w:ind w:left="851"/>
        <w:rPr>
          <w:sz w:val="24"/>
          <w:szCs w:val="24"/>
        </w:rPr>
      </w:pPr>
      <w:r>
        <w:rPr>
          <w:sz w:val="24"/>
          <w:szCs w:val="24"/>
        </w:rPr>
        <w:t>Hårde enterokapsler</w:t>
      </w:r>
    </w:p>
    <w:p w14:paraId="120BD615" w14:textId="77777777" w:rsidR="006E3FB5" w:rsidRPr="006E3FB5" w:rsidRDefault="006E3FB5" w:rsidP="006E3FB5">
      <w:pPr>
        <w:tabs>
          <w:tab w:val="left" w:pos="851"/>
        </w:tabs>
        <w:ind w:left="851"/>
        <w:rPr>
          <w:b/>
          <w:bCs/>
          <w:sz w:val="24"/>
          <w:szCs w:val="24"/>
        </w:rPr>
      </w:pPr>
    </w:p>
    <w:p w14:paraId="6B20B17A" w14:textId="77777777" w:rsidR="006E3FB5" w:rsidRPr="006E3FB5" w:rsidRDefault="006E3FB5" w:rsidP="006E3FB5">
      <w:pPr>
        <w:tabs>
          <w:tab w:val="left" w:pos="851"/>
        </w:tabs>
        <w:ind w:left="851"/>
        <w:rPr>
          <w:sz w:val="24"/>
          <w:szCs w:val="24"/>
        </w:rPr>
      </w:pPr>
      <w:r w:rsidRPr="006E3FB5">
        <w:rPr>
          <w:sz w:val="24"/>
          <w:szCs w:val="24"/>
          <w:u w:val="single"/>
        </w:rPr>
        <w:t xml:space="preserve">Duloxetin "Stada Nordic" 30 mg hårde enterokapsler </w:t>
      </w:r>
      <w:r w:rsidRPr="006E3FB5">
        <w:rPr>
          <w:sz w:val="24"/>
          <w:szCs w:val="24"/>
          <w:u w:val="single"/>
        </w:rPr>
        <w:br/>
      </w:r>
      <w:r w:rsidRPr="006E3FB5">
        <w:rPr>
          <w:sz w:val="24"/>
          <w:szCs w:val="24"/>
        </w:rPr>
        <w:t>Uigennemsigtig blå/uigennemsigtig hvid hård gelatinekapsel, størrelse “3” (længde 15,8 mm), med prægning “157” på kroppen med grøn blæk og “A” på låget med grøn blæk, indeholdende hvide til råhvide pellets.</w:t>
      </w:r>
    </w:p>
    <w:p w14:paraId="60458AF5" w14:textId="77777777" w:rsidR="006E3FB5" w:rsidRPr="006E3FB5" w:rsidRDefault="006E3FB5" w:rsidP="006E3FB5">
      <w:pPr>
        <w:tabs>
          <w:tab w:val="left" w:pos="851"/>
        </w:tabs>
        <w:ind w:left="851"/>
        <w:rPr>
          <w:sz w:val="24"/>
          <w:szCs w:val="24"/>
        </w:rPr>
      </w:pPr>
    </w:p>
    <w:p w14:paraId="66F0B9BC" w14:textId="77777777" w:rsidR="006E3FB5" w:rsidRPr="006E3FB5" w:rsidRDefault="006E3FB5" w:rsidP="006E3FB5">
      <w:pPr>
        <w:tabs>
          <w:tab w:val="left" w:pos="851"/>
        </w:tabs>
        <w:ind w:left="851"/>
        <w:rPr>
          <w:sz w:val="24"/>
          <w:szCs w:val="24"/>
        </w:rPr>
      </w:pPr>
      <w:r w:rsidRPr="006E3FB5">
        <w:rPr>
          <w:sz w:val="24"/>
          <w:szCs w:val="24"/>
          <w:u w:val="single"/>
        </w:rPr>
        <w:t xml:space="preserve">Duloxetin "Stada Nordic" 45 mg hårde enterokapsler </w:t>
      </w:r>
      <w:r w:rsidRPr="006E3FB5">
        <w:rPr>
          <w:sz w:val="24"/>
          <w:szCs w:val="24"/>
          <w:u w:val="single"/>
        </w:rPr>
        <w:br/>
      </w:r>
      <w:r w:rsidRPr="006E3FB5">
        <w:rPr>
          <w:sz w:val="24"/>
          <w:szCs w:val="24"/>
        </w:rPr>
        <w:t>Grønt uigennemsigtigt låg/hvid uigennemsigtig krop, hård gelatinekapsel, størrelse “2” (ca. 17,8 mm i længde), med prægning “45 mg” på låget og “F1” på kroppen med sort blæk, indeholdende hvide til råhvide pellets.</w:t>
      </w:r>
    </w:p>
    <w:p w14:paraId="3C124E3E" w14:textId="77777777" w:rsidR="006E3FB5" w:rsidRPr="006E3FB5" w:rsidRDefault="006E3FB5" w:rsidP="006E3FB5">
      <w:pPr>
        <w:tabs>
          <w:tab w:val="left" w:pos="851"/>
        </w:tabs>
        <w:ind w:left="851"/>
        <w:rPr>
          <w:b/>
          <w:bCs/>
          <w:sz w:val="24"/>
          <w:szCs w:val="24"/>
        </w:rPr>
      </w:pPr>
    </w:p>
    <w:p w14:paraId="25507E69" w14:textId="77777777" w:rsidR="006E3FB5" w:rsidRPr="006E3FB5" w:rsidRDefault="006E3FB5" w:rsidP="006E3FB5">
      <w:pPr>
        <w:tabs>
          <w:tab w:val="left" w:pos="851"/>
        </w:tabs>
        <w:ind w:left="851"/>
        <w:rPr>
          <w:sz w:val="24"/>
          <w:szCs w:val="24"/>
        </w:rPr>
      </w:pPr>
      <w:r w:rsidRPr="006E3FB5">
        <w:rPr>
          <w:sz w:val="24"/>
          <w:szCs w:val="24"/>
          <w:u w:val="single"/>
        </w:rPr>
        <w:t xml:space="preserve">Duloxetin "Stada Nordic" 60 mg hårde enterokapsler </w:t>
      </w:r>
      <w:r w:rsidRPr="006E3FB5">
        <w:rPr>
          <w:sz w:val="24"/>
          <w:szCs w:val="24"/>
          <w:u w:val="single"/>
        </w:rPr>
        <w:br/>
      </w:r>
      <w:r w:rsidRPr="006E3FB5">
        <w:rPr>
          <w:sz w:val="24"/>
          <w:szCs w:val="24"/>
        </w:rPr>
        <w:t>Uigennemsigtig blå/uigennemsigtig grøn hård gelatinekapsel, størrelse “1” (længde 19,3 mm), med prægning “158” på kroppen med hvidt blæk og “A” på låget med hvidt blæk, indeholdende hvide til råhvide pellets.</w:t>
      </w:r>
    </w:p>
    <w:p w14:paraId="1C0E4C7A" w14:textId="77777777" w:rsidR="006E3FB5" w:rsidRPr="006E3FB5" w:rsidRDefault="006E3FB5" w:rsidP="006E3FB5">
      <w:pPr>
        <w:tabs>
          <w:tab w:val="left" w:pos="851"/>
        </w:tabs>
        <w:ind w:left="851"/>
        <w:rPr>
          <w:sz w:val="24"/>
          <w:szCs w:val="24"/>
        </w:rPr>
      </w:pPr>
    </w:p>
    <w:p w14:paraId="6B989EFD" w14:textId="77777777" w:rsidR="006E3FB5" w:rsidRPr="006E3FB5" w:rsidRDefault="006E3FB5" w:rsidP="006E3FB5">
      <w:pPr>
        <w:tabs>
          <w:tab w:val="left" w:pos="851"/>
        </w:tabs>
        <w:ind w:left="851"/>
        <w:rPr>
          <w:sz w:val="24"/>
          <w:szCs w:val="24"/>
        </w:rPr>
      </w:pPr>
      <w:r w:rsidRPr="006E3FB5">
        <w:rPr>
          <w:sz w:val="24"/>
          <w:szCs w:val="24"/>
          <w:u w:val="single"/>
        </w:rPr>
        <w:t xml:space="preserve">Duloxetin "Stada Nordic" 90 mg hårde enterokapsler </w:t>
      </w:r>
      <w:r w:rsidRPr="006E3FB5">
        <w:rPr>
          <w:sz w:val="24"/>
          <w:szCs w:val="24"/>
          <w:u w:val="single"/>
        </w:rPr>
        <w:br/>
      </w:r>
      <w:r w:rsidRPr="006E3FB5">
        <w:rPr>
          <w:sz w:val="24"/>
          <w:szCs w:val="24"/>
        </w:rPr>
        <w:t>Grønt uigennemsigtigt låg/hvid uigennemsigtig krop, hård gelatinekapsel, størrelse “0” (ca. 21,4 mm i længde), med prægning “90 mg” på låget og “F2” på kroppen med sort blæk, indeholdende hvide til råhvide pellets.</w:t>
      </w:r>
    </w:p>
    <w:p w14:paraId="5918325D" w14:textId="77777777" w:rsidR="006E3FB5" w:rsidRPr="006E3FB5" w:rsidRDefault="006E3FB5" w:rsidP="006E3FB5">
      <w:pPr>
        <w:tabs>
          <w:tab w:val="left" w:pos="851"/>
        </w:tabs>
        <w:ind w:left="851"/>
        <w:rPr>
          <w:sz w:val="24"/>
          <w:szCs w:val="24"/>
        </w:rPr>
      </w:pPr>
    </w:p>
    <w:p w14:paraId="10510DB4" w14:textId="77777777" w:rsidR="006E3FB5" w:rsidRPr="006E3FB5" w:rsidRDefault="006E3FB5" w:rsidP="006E3FB5">
      <w:pPr>
        <w:tabs>
          <w:tab w:val="left" w:pos="851"/>
        </w:tabs>
        <w:ind w:left="851"/>
        <w:rPr>
          <w:sz w:val="24"/>
          <w:szCs w:val="24"/>
        </w:rPr>
      </w:pPr>
      <w:r w:rsidRPr="006E3FB5">
        <w:rPr>
          <w:sz w:val="24"/>
          <w:szCs w:val="24"/>
          <w:u w:val="single"/>
        </w:rPr>
        <w:t xml:space="preserve">Duloxetin "Stada Nordic" 120 mg hårde enterokapsler </w:t>
      </w:r>
      <w:r w:rsidRPr="006E3FB5">
        <w:rPr>
          <w:sz w:val="24"/>
          <w:szCs w:val="24"/>
          <w:u w:val="single"/>
        </w:rPr>
        <w:br/>
      </w:r>
      <w:r w:rsidRPr="006E3FB5">
        <w:rPr>
          <w:sz w:val="24"/>
          <w:szCs w:val="24"/>
        </w:rPr>
        <w:t>Blåt uigennemsigtigt låg/blå uigennemsigtig krop, hård gelatinekapsel, størrelse “00” (ca. 23,5 mm i længde), med prægning “120 mg” på låget og “F3” på kroppen med hvidt blæk, indeholdende hvide til råhvide pellets.</w:t>
      </w:r>
    </w:p>
    <w:p w14:paraId="6A167181" w14:textId="77777777" w:rsidR="006E3FB5" w:rsidRPr="00C84483" w:rsidRDefault="006E3FB5" w:rsidP="009260DE">
      <w:pPr>
        <w:tabs>
          <w:tab w:val="left" w:pos="851"/>
        </w:tabs>
        <w:ind w:left="851"/>
        <w:rPr>
          <w:sz w:val="24"/>
          <w:szCs w:val="24"/>
        </w:rPr>
      </w:pPr>
    </w:p>
    <w:p w14:paraId="1BCB6459" w14:textId="77777777" w:rsidR="009260DE" w:rsidRPr="00C84483" w:rsidRDefault="009260DE" w:rsidP="009260DE">
      <w:pPr>
        <w:tabs>
          <w:tab w:val="left" w:pos="851"/>
        </w:tabs>
        <w:ind w:left="851" w:hanging="851"/>
        <w:rPr>
          <w:b/>
          <w:sz w:val="24"/>
          <w:szCs w:val="24"/>
        </w:rPr>
      </w:pPr>
      <w:r w:rsidRPr="00C84483">
        <w:rPr>
          <w:b/>
          <w:sz w:val="24"/>
          <w:szCs w:val="24"/>
        </w:rPr>
        <w:t>4.</w:t>
      </w:r>
      <w:r w:rsidRPr="00C84483">
        <w:rPr>
          <w:b/>
          <w:sz w:val="24"/>
          <w:szCs w:val="24"/>
        </w:rPr>
        <w:tab/>
        <w:t>KLINISKE OPLYSNINGER</w:t>
      </w:r>
    </w:p>
    <w:p w14:paraId="64D55CE8" w14:textId="77777777" w:rsidR="009260DE" w:rsidRPr="00C84483" w:rsidRDefault="009260DE" w:rsidP="009260DE">
      <w:pPr>
        <w:tabs>
          <w:tab w:val="left" w:pos="851"/>
        </w:tabs>
        <w:ind w:left="851"/>
        <w:rPr>
          <w:b/>
          <w:sz w:val="24"/>
          <w:szCs w:val="24"/>
        </w:rPr>
      </w:pPr>
    </w:p>
    <w:p w14:paraId="685A216C" w14:textId="77777777" w:rsidR="009260DE" w:rsidRPr="00C84483" w:rsidRDefault="009260DE" w:rsidP="009260DE">
      <w:pPr>
        <w:tabs>
          <w:tab w:val="left" w:pos="851"/>
        </w:tabs>
        <w:ind w:left="851" w:hanging="851"/>
        <w:rPr>
          <w:b/>
          <w:sz w:val="24"/>
          <w:szCs w:val="24"/>
          <w:u w:val="single"/>
        </w:rPr>
      </w:pPr>
      <w:r w:rsidRPr="00C84483">
        <w:rPr>
          <w:b/>
          <w:sz w:val="24"/>
          <w:szCs w:val="24"/>
        </w:rPr>
        <w:t>4.1</w:t>
      </w:r>
      <w:r w:rsidRPr="00C84483">
        <w:rPr>
          <w:b/>
          <w:sz w:val="24"/>
          <w:szCs w:val="24"/>
        </w:rPr>
        <w:tab/>
        <w:t>Terapeutiske indikationer</w:t>
      </w:r>
    </w:p>
    <w:p w14:paraId="7C533CA8" w14:textId="77777777" w:rsidR="006E3FB5" w:rsidRPr="006E3FB5" w:rsidRDefault="006E3FB5" w:rsidP="006E3FB5">
      <w:pPr>
        <w:tabs>
          <w:tab w:val="left" w:pos="851"/>
        </w:tabs>
        <w:ind w:left="851"/>
        <w:rPr>
          <w:sz w:val="24"/>
          <w:szCs w:val="24"/>
        </w:rPr>
      </w:pPr>
      <w:r w:rsidRPr="006E3FB5">
        <w:rPr>
          <w:sz w:val="24"/>
          <w:szCs w:val="24"/>
        </w:rPr>
        <w:t>Behandling af svær depressiv episode. Behandling af diabetisk perifer neuropatisk smerte. Behandling af generaliseret angst.</w:t>
      </w:r>
    </w:p>
    <w:p w14:paraId="204AECF3" w14:textId="77777777" w:rsidR="006E3FB5" w:rsidRPr="006E3FB5" w:rsidRDefault="006E3FB5" w:rsidP="006E3FB5">
      <w:pPr>
        <w:tabs>
          <w:tab w:val="left" w:pos="851"/>
        </w:tabs>
        <w:ind w:left="851"/>
        <w:rPr>
          <w:sz w:val="24"/>
          <w:szCs w:val="24"/>
        </w:rPr>
      </w:pPr>
    </w:p>
    <w:p w14:paraId="7570D9C0" w14:textId="77777777" w:rsidR="006E3FB5" w:rsidRPr="006E3FB5" w:rsidRDefault="006E3FB5" w:rsidP="006E3FB5">
      <w:pPr>
        <w:tabs>
          <w:tab w:val="left" w:pos="851"/>
        </w:tabs>
        <w:ind w:left="851"/>
        <w:rPr>
          <w:sz w:val="24"/>
          <w:szCs w:val="24"/>
        </w:rPr>
      </w:pPr>
      <w:r w:rsidRPr="006E3FB5">
        <w:rPr>
          <w:sz w:val="24"/>
          <w:szCs w:val="24"/>
        </w:rPr>
        <w:t>Duloxetin "Stada Nordic"</w:t>
      </w:r>
      <w:r w:rsidRPr="006E3FB5">
        <w:rPr>
          <w:b/>
          <w:bCs/>
          <w:sz w:val="24"/>
          <w:szCs w:val="24"/>
        </w:rPr>
        <w:t xml:space="preserve"> </w:t>
      </w:r>
      <w:r w:rsidRPr="006E3FB5">
        <w:rPr>
          <w:sz w:val="24"/>
          <w:szCs w:val="24"/>
        </w:rPr>
        <w:t>er indiceret til voksne. Der henvises til pkt. 5.1 for yderligere information.</w:t>
      </w:r>
    </w:p>
    <w:p w14:paraId="055E92CA" w14:textId="77777777" w:rsidR="006E3FB5" w:rsidRPr="006E3FB5" w:rsidRDefault="006E3FB5" w:rsidP="006E3FB5">
      <w:pPr>
        <w:tabs>
          <w:tab w:val="left" w:pos="851"/>
        </w:tabs>
        <w:ind w:left="851"/>
        <w:rPr>
          <w:sz w:val="24"/>
          <w:szCs w:val="24"/>
        </w:rPr>
      </w:pPr>
    </w:p>
    <w:p w14:paraId="051A1545" w14:textId="77777777" w:rsidR="009260DE" w:rsidRPr="00C84483" w:rsidRDefault="009260DE" w:rsidP="009260DE">
      <w:pPr>
        <w:tabs>
          <w:tab w:val="left" w:pos="851"/>
        </w:tabs>
        <w:ind w:left="851" w:hanging="851"/>
        <w:rPr>
          <w:b/>
          <w:sz w:val="24"/>
          <w:szCs w:val="24"/>
        </w:rPr>
      </w:pPr>
      <w:r w:rsidRPr="00C84483">
        <w:rPr>
          <w:b/>
          <w:sz w:val="24"/>
          <w:szCs w:val="24"/>
        </w:rPr>
        <w:t>4.2</w:t>
      </w:r>
      <w:r w:rsidRPr="00C84483">
        <w:rPr>
          <w:b/>
          <w:sz w:val="24"/>
          <w:szCs w:val="24"/>
        </w:rPr>
        <w:tab/>
        <w:t xml:space="preserve">Dosering og </w:t>
      </w:r>
      <w:r w:rsidR="002C1EC0">
        <w:rPr>
          <w:b/>
          <w:sz w:val="24"/>
          <w:szCs w:val="24"/>
        </w:rPr>
        <w:t>administration</w:t>
      </w:r>
    </w:p>
    <w:p w14:paraId="4FBAB9CB" w14:textId="77777777" w:rsidR="006E3FB5" w:rsidRPr="006E3FB5" w:rsidRDefault="006E3FB5" w:rsidP="006E3FB5">
      <w:pPr>
        <w:tabs>
          <w:tab w:val="left" w:pos="851"/>
        </w:tabs>
        <w:ind w:left="851"/>
        <w:rPr>
          <w:sz w:val="24"/>
          <w:szCs w:val="24"/>
        </w:rPr>
      </w:pPr>
    </w:p>
    <w:p w14:paraId="497693C3" w14:textId="77777777" w:rsidR="006E3FB5" w:rsidRPr="006E3FB5" w:rsidRDefault="006E3FB5" w:rsidP="006E3FB5">
      <w:pPr>
        <w:tabs>
          <w:tab w:val="left" w:pos="851"/>
        </w:tabs>
        <w:ind w:left="851"/>
        <w:rPr>
          <w:b/>
          <w:bCs/>
          <w:sz w:val="24"/>
          <w:szCs w:val="24"/>
        </w:rPr>
      </w:pPr>
      <w:r w:rsidRPr="006E3FB5">
        <w:rPr>
          <w:b/>
          <w:bCs/>
          <w:sz w:val="24"/>
          <w:szCs w:val="24"/>
        </w:rPr>
        <w:t>Dosering</w:t>
      </w:r>
    </w:p>
    <w:p w14:paraId="650F72B5" w14:textId="77777777" w:rsidR="006E3FB5" w:rsidRPr="006E3FB5" w:rsidRDefault="006E3FB5" w:rsidP="006E3FB5">
      <w:pPr>
        <w:tabs>
          <w:tab w:val="left" w:pos="851"/>
        </w:tabs>
        <w:ind w:left="851"/>
        <w:rPr>
          <w:sz w:val="24"/>
          <w:szCs w:val="24"/>
        </w:rPr>
      </w:pPr>
    </w:p>
    <w:p w14:paraId="1CB085EA" w14:textId="77777777" w:rsidR="006E3FB5" w:rsidRPr="006E3FB5" w:rsidRDefault="006E3FB5" w:rsidP="006E3FB5">
      <w:pPr>
        <w:tabs>
          <w:tab w:val="left" w:pos="851"/>
        </w:tabs>
        <w:ind w:left="851"/>
        <w:rPr>
          <w:iCs/>
          <w:sz w:val="24"/>
          <w:szCs w:val="24"/>
        </w:rPr>
      </w:pPr>
      <w:r w:rsidRPr="006E3FB5">
        <w:rPr>
          <w:iCs/>
          <w:sz w:val="24"/>
          <w:szCs w:val="24"/>
          <w:u w:val="single"/>
        </w:rPr>
        <w:t>Svær depressiv episode</w:t>
      </w:r>
      <w:r w:rsidRPr="006E3FB5">
        <w:rPr>
          <w:iCs/>
          <w:sz w:val="24"/>
          <w:szCs w:val="24"/>
        </w:rPr>
        <w:br/>
        <w:t xml:space="preserve">Startdosis og anbefalet vedligeholdelsesdosis er 60 mg én gang dagligt med eller uden mad. Doser over 60 mg én gang dagligt, op til en maksimal dosis på 120 mg dagligt, er evalueret med hensyn til sikkerhed i kliniske studier. Der foreligger imidlertid ingen </w:t>
      </w:r>
      <w:r w:rsidRPr="006E3FB5">
        <w:rPr>
          <w:iCs/>
          <w:sz w:val="24"/>
          <w:szCs w:val="24"/>
        </w:rPr>
        <w:lastRenderedPageBreak/>
        <w:t>klinisk evidens for, at patienter, der ikke responderer på den initiale anbefalede dosis, har gavn af dosisoptrapning.</w:t>
      </w:r>
    </w:p>
    <w:p w14:paraId="3B0E14A9" w14:textId="77777777" w:rsidR="006E3FB5" w:rsidRPr="006E3FB5" w:rsidRDefault="006E3FB5" w:rsidP="006E3FB5">
      <w:pPr>
        <w:tabs>
          <w:tab w:val="left" w:pos="851"/>
        </w:tabs>
        <w:ind w:left="851"/>
        <w:rPr>
          <w:iCs/>
          <w:sz w:val="24"/>
          <w:szCs w:val="24"/>
        </w:rPr>
      </w:pPr>
    </w:p>
    <w:p w14:paraId="263B6925" w14:textId="77777777" w:rsidR="006E3FB5" w:rsidRPr="006E3FB5" w:rsidRDefault="006E3FB5" w:rsidP="006E3FB5">
      <w:pPr>
        <w:tabs>
          <w:tab w:val="left" w:pos="851"/>
        </w:tabs>
        <w:ind w:left="851"/>
        <w:rPr>
          <w:iCs/>
          <w:sz w:val="24"/>
          <w:szCs w:val="24"/>
        </w:rPr>
      </w:pPr>
      <w:r w:rsidRPr="006E3FB5">
        <w:rPr>
          <w:iCs/>
          <w:sz w:val="24"/>
          <w:szCs w:val="24"/>
        </w:rPr>
        <w:t>Terapeutisk effekt ses sædvanligvis efter 2</w:t>
      </w:r>
      <w:r w:rsidRPr="006E3FB5">
        <w:rPr>
          <w:iCs/>
          <w:sz w:val="24"/>
          <w:szCs w:val="24"/>
        </w:rPr>
        <w:noBreakHyphen/>
        <w:t>4 ugers behandling.</w:t>
      </w:r>
    </w:p>
    <w:p w14:paraId="503D6A6F" w14:textId="77777777" w:rsidR="006E3FB5" w:rsidRPr="006E3FB5" w:rsidRDefault="006E3FB5" w:rsidP="006E3FB5">
      <w:pPr>
        <w:tabs>
          <w:tab w:val="left" w:pos="851"/>
        </w:tabs>
        <w:ind w:left="851"/>
        <w:rPr>
          <w:iCs/>
          <w:sz w:val="24"/>
          <w:szCs w:val="24"/>
        </w:rPr>
      </w:pPr>
    </w:p>
    <w:p w14:paraId="5F2914CA" w14:textId="77777777" w:rsidR="006E3FB5" w:rsidRPr="006E3FB5" w:rsidRDefault="006E3FB5" w:rsidP="006E3FB5">
      <w:pPr>
        <w:tabs>
          <w:tab w:val="left" w:pos="851"/>
        </w:tabs>
        <w:ind w:left="851"/>
        <w:rPr>
          <w:iCs/>
          <w:sz w:val="24"/>
          <w:szCs w:val="24"/>
        </w:rPr>
      </w:pPr>
      <w:r w:rsidRPr="006E3FB5">
        <w:rPr>
          <w:iCs/>
          <w:sz w:val="24"/>
          <w:szCs w:val="24"/>
        </w:rPr>
        <w:t>Efter opnået antidepressiv respons anbefales det at fortsætte behandlingen i flere måneder for at forebygge tilbagefald. Hos patienter, der responderer på duloxetin og har haft gentagne episoder med depression, kan yderligere langtidsbehandling med en dosis på 60</w:t>
      </w:r>
      <w:r w:rsidRPr="006E3FB5">
        <w:rPr>
          <w:iCs/>
          <w:sz w:val="24"/>
          <w:szCs w:val="24"/>
        </w:rPr>
        <w:noBreakHyphen/>
        <w:t>120 mg/dag overvejes.</w:t>
      </w:r>
    </w:p>
    <w:p w14:paraId="460F7BE0" w14:textId="77777777" w:rsidR="006E3FB5" w:rsidRPr="006E3FB5" w:rsidRDefault="006E3FB5" w:rsidP="006E3FB5">
      <w:pPr>
        <w:tabs>
          <w:tab w:val="left" w:pos="851"/>
        </w:tabs>
        <w:ind w:left="851"/>
        <w:rPr>
          <w:i/>
          <w:sz w:val="24"/>
          <w:szCs w:val="24"/>
        </w:rPr>
      </w:pPr>
    </w:p>
    <w:p w14:paraId="5B1008D4" w14:textId="77777777" w:rsidR="006E3FB5" w:rsidRPr="006E3FB5" w:rsidRDefault="006E3FB5" w:rsidP="006E3FB5">
      <w:pPr>
        <w:tabs>
          <w:tab w:val="left" w:pos="851"/>
        </w:tabs>
        <w:ind w:left="851"/>
        <w:rPr>
          <w:sz w:val="24"/>
          <w:szCs w:val="24"/>
        </w:rPr>
      </w:pPr>
      <w:r w:rsidRPr="006E3FB5">
        <w:rPr>
          <w:sz w:val="24"/>
          <w:szCs w:val="24"/>
          <w:u w:val="single"/>
        </w:rPr>
        <w:t>Generaliseret angst</w:t>
      </w:r>
      <w:r w:rsidRPr="006E3FB5">
        <w:rPr>
          <w:sz w:val="24"/>
          <w:szCs w:val="24"/>
        </w:rPr>
        <w:br/>
        <w:t>Den anbefalede startdosis hos patienter med generaliseret angst er 30 mg én gang dagligt med eller uden mad. Hos patienter med utilstrækkelig respons bør dosis øges til 60 mg, hvilket er den sædvanlige vedligeholdelsesdosis hos de fleste patienter.</w:t>
      </w:r>
    </w:p>
    <w:p w14:paraId="112F9FA9" w14:textId="77777777" w:rsidR="006E3FB5" w:rsidRPr="006E3FB5" w:rsidRDefault="006E3FB5" w:rsidP="006E3FB5">
      <w:pPr>
        <w:tabs>
          <w:tab w:val="left" w:pos="851"/>
        </w:tabs>
        <w:ind w:left="851"/>
        <w:rPr>
          <w:sz w:val="24"/>
          <w:szCs w:val="24"/>
        </w:rPr>
      </w:pPr>
    </w:p>
    <w:p w14:paraId="6B0CC66C" w14:textId="77777777" w:rsidR="006E3FB5" w:rsidRPr="006E3FB5" w:rsidRDefault="006E3FB5" w:rsidP="006E3FB5">
      <w:pPr>
        <w:tabs>
          <w:tab w:val="left" w:pos="851"/>
        </w:tabs>
        <w:ind w:left="851"/>
        <w:rPr>
          <w:sz w:val="24"/>
          <w:szCs w:val="24"/>
        </w:rPr>
      </w:pPr>
      <w:r w:rsidRPr="006E3FB5">
        <w:rPr>
          <w:sz w:val="24"/>
          <w:szCs w:val="24"/>
        </w:rPr>
        <w:t>Hos patienter med samtidig svær depressiv episode er både start</w:t>
      </w:r>
      <w:r w:rsidRPr="006E3FB5">
        <w:rPr>
          <w:sz w:val="24"/>
          <w:szCs w:val="24"/>
        </w:rPr>
        <w:noBreakHyphen/>
        <w:t xml:space="preserve"> og vedligeholdelsesdosen 60 mg én gang dagligt (se også doseringsanbefaling ovenfor).</w:t>
      </w:r>
    </w:p>
    <w:p w14:paraId="642507A1" w14:textId="77777777" w:rsidR="006E3FB5" w:rsidRPr="006E3FB5" w:rsidRDefault="006E3FB5" w:rsidP="006E3FB5">
      <w:pPr>
        <w:tabs>
          <w:tab w:val="left" w:pos="851"/>
        </w:tabs>
        <w:ind w:left="851"/>
        <w:rPr>
          <w:sz w:val="24"/>
          <w:szCs w:val="24"/>
        </w:rPr>
      </w:pPr>
    </w:p>
    <w:p w14:paraId="7BA2A8FD" w14:textId="77777777" w:rsidR="006E3FB5" w:rsidRPr="006E3FB5" w:rsidRDefault="006E3FB5" w:rsidP="006E3FB5">
      <w:pPr>
        <w:tabs>
          <w:tab w:val="left" w:pos="851"/>
        </w:tabs>
        <w:ind w:left="851"/>
        <w:rPr>
          <w:sz w:val="24"/>
          <w:szCs w:val="24"/>
        </w:rPr>
      </w:pPr>
      <w:r w:rsidRPr="006E3FB5">
        <w:rPr>
          <w:sz w:val="24"/>
          <w:szCs w:val="24"/>
        </w:rPr>
        <w:t>Doser op til 120 mg dagligt har vist sig effektive og er evalueret med hensyn til sikkerhed i kliniske studier. Hos patienter med utilstrækkelig respons på 60 mg kan dosis derfor øges til 90 mg eller 120 mg. Dosisøgning bør baseres på klinisk respons og tolerabilitet.</w:t>
      </w:r>
    </w:p>
    <w:p w14:paraId="2A39FBA1" w14:textId="77777777" w:rsidR="006E3FB5" w:rsidRPr="006E3FB5" w:rsidRDefault="006E3FB5" w:rsidP="006E3FB5">
      <w:pPr>
        <w:tabs>
          <w:tab w:val="left" w:pos="851"/>
        </w:tabs>
        <w:ind w:left="851"/>
        <w:rPr>
          <w:sz w:val="24"/>
          <w:szCs w:val="24"/>
        </w:rPr>
      </w:pPr>
    </w:p>
    <w:p w14:paraId="0D7723F0" w14:textId="77777777" w:rsidR="006E3FB5" w:rsidRPr="006E3FB5" w:rsidRDefault="006E3FB5" w:rsidP="006E3FB5">
      <w:pPr>
        <w:tabs>
          <w:tab w:val="left" w:pos="851"/>
        </w:tabs>
        <w:ind w:left="851"/>
        <w:rPr>
          <w:sz w:val="24"/>
          <w:szCs w:val="24"/>
        </w:rPr>
      </w:pPr>
      <w:r w:rsidRPr="006E3FB5">
        <w:rPr>
          <w:sz w:val="24"/>
          <w:szCs w:val="24"/>
        </w:rPr>
        <w:t>Efter opnået respons anbefales det at fortsætte behandlingen i flere måneder for at forebygge tilbagefald.</w:t>
      </w:r>
    </w:p>
    <w:p w14:paraId="2EAA5680" w14:textId="77777777" w:rsidR="006E3FB5" w:rsidRPr="006E3FB5" w:rsidRDefault="006E3FB5" w:rsidP="006E3FB5">
      <w:pPr>
        <w:tabs>
          <w:tab w:val="left" w:pos="851"/>
        </w:tabs>
        <w:ind w:left="851"/>
        <w:rPr>
          <w:sz w:val="24"/>
          <w:szCs w:val="24"/>
        </w:rPr>
      </w:pPr>
    </w:p>
    <w:p w14:paraId="57C53BB3" w14:textId="77777777" w:rsidR="006E3FB5" w:rsidRPr="006E3FB5" w:rsidRDefault="006E3FB5" w:rsidP="006E3FB5">
      <w:pPr>
        <w:tabs>
          <w:tab w:val="left" w:pos="851"/>
        </w:tabs>
        <w:ind w:left="851"/>
        <w:rPr>
          <w:sz w:val="24"/>
          <w:szCs w:val="24"/>
        </w:rPr>
      </w:pPr>
      <w:r w:rsidRPr="006E3FB5">
        <w:rPr>
          <w:sz w:val="24"/>
          <w:szCs w:val="24"/>
          <w:u w:val="single"/>
        </w:rPr>
        <w:t>Diabetisk perifer neuropatisk smerte</w:t>
      </w:r>
      <w:r w:rsidRPr="006E3FB5">
        <w:rPr>
          <w:sz w:val="24"/>
          <w:szCs w:val="24"/>
        </w:rPr>
        <w:br/>
        <w:t>Startdosis og anbefalet vedligeholdelsesdosis er 60 mg dagligt med eller uden mad. Doser over 60 mg én gang dagligt, op til en maksimal dosis på 120 mg dagligt administreret i opdelte doser, er evalueret med hensyn til sikkerhed i kliniske studier. Plasmakoncentrationen af duloxetin varierer betydeligt mellem individer (se pkt. 5.2). Nogle patienter med utilstrækkelig respons på 60 mg kan derfor have gavn af en højere dosis.</w:t>
      </w:r>
    </w:p>
    <w:p w14:paraId="44901BA4" w14:textId="77777777" w:rsidR="006E3FB5" w:rsidRPr="006E3FB5" w:rsidRDefault="006E3FB5" w:rsidP="006E3FB5">
      <w:pPr>
        <w:tabs>
          <w:tab w:val="left" w:pos="851"/>
        </w:tabs>
        <w:ind w:left="851"/>
        <w:rPr>
          <w:sz w:val="24"/>
          <w:szCs w:val="24"/>
        </w:rPr>
      </w:pPr>
    </w:p>
    <w:p w14:paraId="678145B5" w14:textId="77777777" w:rsidR="006E3FB5" w:rsidRPr="006E3FB5" w:rsidRDefault="006E3FB5" w:rsidP="006E3FB5">
      <w:pPr>
        <w:tabs>
          <w:tab w:val="left" w:pos="851"/>
        </w:tabs>
        <w:ind w:left="851"/>
        <w:rPr>
          <w:sz w:val="24"/>
          <w:szCs w:val="24"/>
        </w:rPr>
      </w:pPr>
      <w:r w:rsidRPr="006E3FB5">
        <w:rPr>
          <w:sz w:val="24"/>
          <w:szCs w:val="24"/>
        </w:rPr>
        <w:t>Behandlingsrespons bør vurderes efter 2 måneder. Hos patienter med utilstrækkelig initial respons er yderligere effekt efter dette tidspunkt usandsynlig.</w:t>
      </w:r>
    </w:p>
    <w:p w14:paraId="655C1681" w14:textId="77777777" w:rsidR="006E3FB5" w:rsidRPr="006E3FB5" w:rsidRDefault="006E3FB5" w:rsidP="006E3FB5">
      <w:pPr>
        <w:tabs>
          <w:tab w:val="left" w:pos="851"/>
        </w:tabs>
        <w:ind w:left="851"/>
        <w:rPr>
          <w:sz w:val="24"/>
          <w:szCs w:val="24"/>
        </w:rPr>
      </w:pPr>
    </w:p>
    <w:p w14:paraId="18D84655" w14:textId="77777777" w:rsidR="006E3FB5" w:rsidRPr="006E3FB5" w:rsidRDefault="006E3FB5" w:rsidP="006E3FB5">
      <w:pPr>
        <w:tabs>
          <w:tab w:val="left" w:pos="851"/>
        </w:tabs>
        <w:ind w:left="851"/>
        <w:rPr>
          <w:sz w:val="24"/>
          <w:szCs w:val="24"/>
        </w:rPr>
      </w:pPr>
      <w:r w:rsidRPr="006E3FB5">
        <w:rPr>
          <w:sz w:val="24"/>
          <w:szCs w:val="24"/>
        </w:rPr>
        <w:t>Den terapeutiske effekt bør revurderes regelmæssigt (mindst hver tredje måned) (se pkt. 5.1).</w:t>
      </w:r>
    </w:p>
    <w:p w14:paraId="3C0EDAD5" w14:textId="77777777" w:rsidR="006E3FB5" w:rsidRPr="006E3FB5" w:rsidRDefault="006E3FB5" w:rsidP="006E3FB5">
      <w:pPr>
        <w:tabs>
          <w:tab w:val="left" w:pos="851"/>
        </w:tabs>
        <w:ind w:left="851"/>
        <w:rPr>
          <w:sz w:val="24"/>
          <w:szCs w:val="24"/>
        </w:rPr>
      </w:pPr>
    </w:p>
    <w:p w14:paraId="20EE00D0" w14:textId="77777777" w:rsidR="006E3FB5" w:rsidRPr="006E3FB5" w:rsidRDefault="006E3FB5" w:rsidP="006E3FB5">
      <w:pPr>
        <w:tabs>
          <w:tab w:val="left" w:pos="851"/>
        </w:tabs>
        <w:ind w:left="851"/>
        <w:rPr>
          <w:sz w:val="24"/>
          <w:szCs w:val="24"/>
          <w:u w:val="single"/>
        </w:rPr>
      </w:pPr>
      <w:r w:rsidRPr="006E3FB5">
        <w:rPr>
          <w:sz w:val="24"/>
          <w:szCs w:val="24"/>
          <w:u w:val="single"/>
        </w:rPr>
        <w:t>Særlige populationer</w:t>
      </w:r>
    </w:p>
    <w:p w14:paraId="02C9D4A0" w14:textId="77777777" w:rsidR="006E3FB5" w:rsidRDefault="006E3FB5" w:rsidP="006E3FB5">
      <w:pPr>
        <w:tabs>
          <w:tab w:val="left" w:pos="851"/>
        </w:tabs>
        <w:ind w:left="851"/>
        <w:rPr>
          <w:sz w:val="24"/>
          <w:szCs w:val="24"/>
          <w:u w:val="single"/>
        </w:rPr>
      </w:pPr>
    </w:p>
    <w:p w14:paraId="65A1E076" w14:textId="55A3AA51" w:rsidR="006E3FB5" w:rsidRPr="006E3FB5" w:rsidRDefault="006E3FB5" w:rsidP="006E3FB5">
      <w:pPr>
        <w:tabs>
          <w:tab w:val="left" w:pos="851"/>
        </w:tabs>
        <w:ind w:left="851"/>
        <w:rPr>
          <w:sz w:val="24"/>
          <w:szCs w:val="24"/>
        </w:rPr>
      </w:pPr>
      <w:r w:rsidRPr="006E3FB5">
        <w:rPr>
          <w:i/>
          <w:iCs/>
          <w:sz w:val="24"/>
          <w:szCs w:val="24"/>
        </w:rPr>
        <w:t>Ældre</w:t>
      </w:r>
      <w:r w:rsidRPr="006E3FB5">
        <w:rPr>
          <w:i/>
          <w:iCs/>
          <w:sz w:val="24"/>
          <w:szCs w:val="24"/>
        </w:rPr>
        <w:br/>
      </w:r>
      <w:r w:rsidRPr="006E3FB5">
        <w:rPr>
          <w:sz w:val="24"/>
          <w:szCs w:val="24"/>
        </w:rPr>
        <w:t>Dosisjustering alene på baggrund af alder anbefales ikke. Som ved alle lægemidler bør der imidlertid udvises forsigtighed ved behandling af ældre, især ved duloxetin 120 mg dagligt til behandling af svær depressiv episode eller generaliseret angst, hvor der foreligger begrænsede data (se pkt. 4.4 og 5.2).</w:t>
      </w:r>
    </w:p>
    <w:p w14:paraId="0E2CF1DA" w14:textId="77777777" w:rsidR="006E3FB5" w:rsidRPr="006E3FB5" w:rsidRDefault="006E3FB5" w:rsidP="006E3FB5">
      <w:pPr>
        <w:tabs>
          <w:tab w:val="left" w:pos="851"/>
        </w:tabs>
        <w:ind w:left="851"/>
        <w:rPr>
          <w:b/>
          <w:bCs/>
          <w:sz w:val="24"/>
          <w:szCs w:val="24"/>
        </w:rPr>
      </w:pPr>
    </w:p>
    <w:p w14:paraId="6D46E9A5" w14:textId="77777777" w:rsidR="006E3FB5" w:rsidRPr="006E3FB5" w:rsidRDefault="006E3FB5" w:rsidP="006E3FB5">
      <w:pPr>
        <w:tabs>
          <w:tab w:val="left" w:pos="851"/>
        </w:tabs>
        <w:ind w:left="851"/>
        <w:rPr>
          <w:sz w:val="24"/>
          <w:szCs w:val="24"/>
        </w:rPr>
      </w:pPr>
      <w:r w:rsidRPr="006E3FB5">
        <w:rPr>
          <w:i/>
          <w:iCs/>
          <w:sz w:val="24"/>
          <w:szCs w:val="24"/>
        </w:rPr>
        <w:t>Nedsat leverfunktion</w:t>
      </w:r>
      <w:r w:rsidRPr="006E3FB5">
        <w:rPr>
          <w:i/>
          <w:iCs/>
          <w:sz w:val="24"/>
          <w:szCs w:val="24"/>
        </w:rPr>
        <w:br/>
      </w:r>
      <w:r w:rsidRPr="006E3FB5">
        <w:rPr>
          <w:sz w:val="24"/>
          <w:szCs w:val="24"/>
        </w:rPr>
        <w:t>Duloxetin må ikke anvendes til patienter med leversygdom med nedsat leverfunktion (se pkt. 4.3 og 5.2).</w:t>
      </w:r>
    </w:p>
    <w:p w14:paraId="547E5AA6" w14:textId="77777777" w:rsidR="006E3FB5" w:rsidRPr="006E3FB5" w:rsidRDefault="006E3FB5" w:rsidP="006E3FB5">
      <w:pPr>
        <w:tabs>
          <w:tab w:val="left" w:pos="851"/>
        </w:tabs>
        <w:ind w:left="851"/>
        <w:rPr>
          <w:b/>
          <w:bCs/>
          <w:sz w:val="24"/>
          <w:szCs w:val="24"/>
        </w:rPr>
      </w:pPr>
    </w:p>
    <w:p w14:paraId="0E6867F3" w14:textId="77777777" w:rsidR="006E3FB5" w:rsidRPr="006E3FB5" w:rsidRDefault="006E3FB5" w:rsidP="006E3FB5">
      <w:pPr>
        <w:tabs>
          <w:tab w:val="left" w:pos="851"/>
        </w:tabs>
        <w:ind w:left="851"/>
        <w:rPr>
          <w:sz w:val="24"/>
          <w:szCs w:val="24"/>
        </w:rPr>
      </w:pPr>
      <w:r w:rsidRPr="006E3FB5">
        <w:rPr>
          <w:i/>
          <w:iCs/>
          <w:sz w:val="24"/>
          <w:szCs w:val="24"/>
        </w:rPr>
        <w:lastRenderedPageBreak/>
        <w:t>Nedsat nyrefunktion</w:t>
      </w:r>
      <w:r w:rsidRPr="006E3FB5">
        <w:rPr>
          <w:i/>
          <w:iCs/>
          <w:sz w:val="24"/>
          <w:szCs w:val="24"/>
        </w:rPr>
        <w:br/>
      </w:r>
      <w:r w:rsidRPr="006E3FB5">
        <w:rPr>
          <w:sz w:val="24"/>
          <w:szCs w:val="24"/>
        </w:rPr>
        <w:t>Dosisjustering er ikke nødvendig hos patienter med let til moderat nedsat nyrefunktion (kreatininclearance 30</w:t>
      </w:r>
      <w:r w:rsidRPr="006E3FB5">
        <w:rPr>
          <w:sz w:val="24"/>
          <w:szCs w:val="24"/>
        </w:rPr>
        <w:noBreakHyphen/>
        <w:t>80 ml/min). Duloxetin må ikke anvendes til patienter med svær nedsat nyrefunktion (kreatininclearance &lt; 30 ml/min; se pkt. 4.3).</w:t>
      </w:r>
    </w:p>
    <w:p w14:paraId="5668A05B" w14:textId="77777777" w:rsidR="006E3FB5" w:rsidRPr="006E3FB5" w:rsidRDefault="006E3FB5" w:rsidP="006E3FB5">
      <w:pPr>
        <w:tabs>
          <w:tab w:val="left" w:pos="851"/>
        </w:tabs>
        <w:ind w:left="851"/>
        <w:rPr>
          <w:sz w:val="24"/>
          <w:szCs w:val="24"/>
        </w:rPr>
      </w:pPr>
    </w:p>
    <w:p w14:paraId="06DC9D0D" w14:textId="77777777" w:rsidR="006E3FB5" w:rsidRPr="006E3FB5" w:rsidRDefault="006E3FB5" w:rsidP="006E3FB5">
      <w:pPr>
        <w:tabs>
          <w:tab w:val="left" w:pos="851"/>
        </w:tabs>
        <w:ind w:left="851"/>
        <w:rPr>
          <w:i/>
          <w:iCs/>
          <w:sz w:val="24"/>
          <w:szCs w:val="24"/>
        </w:rPr>
      </w:pPr>
      <w:r w:rsidRPr="006E3FB5">
        <w:rPr>
          <w:i/>
          <w:iCs/>
          <w:sz w:val="24"/>
          <w:szCs w:val="24"/>
        </w:rPr>
        <w:t>Pædiatrisk population</w:t>
      </w:r>
    </w:p>
    <w:p w14:paraId="5881B4F7" w14:textId="77777777" w:rsidR="006E3FB5" w:rsidRPr="006E3FB5" w:rsidRDefault="006E3FB5" w:rsidP="006E3FB5">
      <w:pPr>
        <w:tabs>
          <w:tab w:val="left" w:pos="851"/>
        </w:tabs>
        <w:ind w:left="851"/>
        <w:rPr>
          <w:sz w:val="24"/>
          <w:szCs w:val="24"/>
        </w:rPr>
      </w:pPr>
      <w:r w:rsidRPr="006E3FB5">
        <w:rPr>
          <w:sz w:val="24"/>
          <w:szCs w:val="24"/>
        </w:rPr>
        <w:t>Duloxetin bør ikke anvendes til børn og unge under 18 år til behandling af svær depressiv episode på grund af sikkerheds</w:t>
      </w:r>
      <w:r w:rsidRPr="006E3FB5">
        <w:rPr>
          <w:sz w:val="24"/>
          <w:szCs w:val="24"/>
        </w:rPr>
        <w:noBreakHyphen/>
        <w:t xml:space="preserve"> og effektmæssige forhold (se pkt. 4.4, 4.8 og 5.1).</w:t>
      </w:r>
    </w:p>
    <w:p w14:paraId="03085F3F" w14:textId="77777777" w:rsidR="006E3FB5" w:rsidRPr="006E3FB5" w:rsidRDefault="006E3FB5" w:rsidP="006E3FB5">
      <w:pPr>
        <w:tabs>
          <w:tab w:val="left" w:pos="851"/>
        </w:tabs>
        <w:ind w:left="851"/>
        <w:rPr>
          <w:sz w:val="24"/>
          <w:szCs w:val="24"/>
        </w:rPr>
      </w:pPr>
    </w:p>
    <w:p w14:paraId="733A9C7F" w14:textId="77777777" w:rsidR="006E3FB5" w:rsidRPr="006E3FB5" w:rsidRDefault="006E3FB5" w:rsidP="006E3FB5">
      <w:pPr>
        <w:tabs>
          <w:tab w:val="left" w:pos="851"/>
        </w:tabs>
        <w:ind w:left="851"/>
        <w:rPr>
          <w:sz w:val="24"/>
          <w:szCs w:val="24"/>
        </w:rPr>
      </w:pPr>
      <w:r w:rsidRPr="006E3FB5">
        <w:rPr>
          <w:sz w:val="24"/>
          <w:szCs w:val="24"/>
        </w:rPr>
        <w:t>Sikkerhed og effekt af duloxetin til behandling af generaliseret angst hos pædiatriske patienter i alderen 7</w:t>
      </w:r>
      <w:r w:rsidRPr="006E3FB5">
        <w:rPr>
          <w:sz w:val="24"/>
          <w:szCs w:val="24"/>
        </w:rPr>
        <w:noBreakHyphen/>
        <w:t>17 år er ikke klarlagt. De foreliggende data er beskrevet i pkt. 4.8, 5.1 og 5.2.</w:t>
      </w:r>
    </w:p>
    <w:p w14:paraId="2A929F37" w14:textId="77777777" w:rsidR="006E3FB5" w:rsidRPr="006E3FB5" w:rsidRDefault="006E3FB5" w:rsidP="006E3FB5">
      <w:pPr>
        <w:tabs>
          <w:tab w:val="left" w:pos="851"/>
        </w:tabs>
        <w:ind w:left="851"/>
        <w:rPr>
          <w:sz w:val="24"/>
          <w:szCs w:val="24"/>
        </w:rPr>
      </w:pPr>
    </w:p>
    <w:p w14:paraId="55F2BAC0" w14:textId="77777777" w:rsidR="006E3FB5" w:rsidRPr="006E3FB5" w:rsidRDefault="006E3FB5" w:rsidP="006E3FB5">
      <w:pPr>
        <w:tabs>
          <w:tab w:val="left" w:pos="851"/>
        </w:tabs>
        <w:ind w:left="851"/>
        <w:rPr>
          <w:sz w:val="24"/>
          <w:szCs w:val="24"/>
        </w:rPr>
      </w:pPr>
      <w:r w:rsidRPr="006E3FB5">
        <w:rPr>
          <w:sz w:val="24"/>
          <w:szCs w:val="24"/>
        </w:rPr>
        <w:t>Sikkerhed og effekt af duloxetin til behandling af diabetisk perifer neuropatisk smerte er ikke undersøgt. Der foreligger ingen data</w:t>
      </w:r>
    </w:p>
    <w:p w14:paraId="5BF33350" w14:textId="77777777" w:rsidR="006E3FB5" w:rsidRPr="006E3FB5" w:rsidRDefault="006E3FB5" w:rsidP="006E3FB5">
      <w:pPr>
        <w:tabs>
          <w:tab w:val="left" w:pos="851"/>
        </w:tabs>
        <w:ind w:left="851"/>
        <w:rPr>
          <w:sz w:val="24"/>
          <w:szCs w:val="24"/>
        </w:rPr>
      </w:pPr>
    </w:p>
    <w:p w14:paraId="1C045C8E" w14:textId="77777777" w:rsidR="006E3FB5" w:rsidRPr="006E3FB5" w:rsidRDefault="006E3FB5" w:rsidP="006E3FB5">
      <w:pPr>
        <w:tabs>
          <w:tab w:val="left" w:pos="851"/>
        </w:tabs>
        <w:ind w:left="851"/>
        <w:rPr>
          <w:sz w:val="24"/>
          <w:szCs w:val="24"/>
          <w:u w:val="single"/>
        </w:rPr>
      </w:pPr>
      <w:r w:rsidRPr="006E3FB5">
        <w:rPr>
          <w:sz w:val="24"/>
          <w:szCs w:val="24"/>
          <w:u w:val="single"/>
        </w:rPr>
        <w:t>Seponering af behandling</w:t>
      </w:r>
    </w:p>
    <w:p w14:paraId="6E5F7AEA" w14:textId="77777777" w:rsidR="006E3FB5" w:rsidRPr="006E3FB5" w:rsidRDefault="006E3FB5" w:rsidP="006E3FB5">
      <w:pPr>
        <w:tabs>
          <w:tab w:val="left" w:pos="851"/>
        </w:tabs>
        <w:ind w:left="851"/>
        <w:rPr>
          <w:sz w:val="24"/>
          <w:szCs w:val="24"/>
        </w:rPr>
      </w:pPr>
      <w:r w:rsidRPr="006E3FB5">
        <w:rPr>
          <w:sz w:val="24"/>
          <w:szCs w:val="24"/>
        </w:rPr>
        <w:t>Pludselig seponering bør undgås. Ved ophør af behandling med duloxetin bør dosis nedtrappes gradvist over en periode på mindst 1</w:t>
      </w:r>
      <w:r w:rsidRPr="006E3FB5">
        <w:rPr>
          <w:sz w:val="24"/>
          <w:szCs w:val="24"/>
        </w:rPr>
        <w:noBreakHyphen/>
        <w:t>2 uger for at reducere risikoen for seponeringssymptomer (se pkt. 4.4 og 4.8). Hvis der opstår uacceptable symptomer efter dosisreduktion eller ved ophør, kan det overvejes at genoptage den tidligere ordinerede dosis. Herefter kan lægen fortsætte nedtrapningen, men i et langsommere tempo.</w:t>
      </w:r>
    </w:p>
    <w:p w14:paraId="5FFB6036" w14:textId="77777777" w:rsidR="006E3FB5" w:rsidRPr="006E3FB5" w:rsidRDefault="006E3FB5" w:rsidP="006E3FB5">
      <w:pPr>
        <w:tabs>
          <w:tab w:val="left" w:pos="851"/>
        </w:tabs>
        <w:ind w:left="851"/>
        <w:rPr>
          <w:sz w:val="24"/>
          <w:szCs w:val="24"/>
        </w:rPr>
      </w:pPr>
    </w:p>
    <w:p w14:paraId="49A6E589" w14:textId="77777777" w:rsidR="006E3FB5" w:rsidRPr="006E3FB5" w:rsidRDefault="006E3FB5" w:rsidP="006E3FB5">
      <w:pPr>
        <w:tabs>
          <w:tab w:val="left" w:pos="851"/>
        </w:tabs>
        <w:ind w:left="851"/>
        <w:rPr>
          <w:b/>
          <w:bCs/>
          <w:sz w:val="24"/>
          <w:szCs w:val="24"/>
        </w:rPr>
      </w:pPr>
      <w:r w:rsidRPr="006E3FB5">
        <w:rPr>
          <w:b/>
          <w:bCs/>
          <w:sz w:val="24"/>
          <w:szCs w:val="24"/>
        </w:rPr>
        <w:t>Administration</w:t>
      </w:r>
    </w:p>
    <w:p w14:paraId="53743D6F" w14:textId="77777777" w:rsidR="006E3FB5" w:rsidRPr="006E3FB5" w:rsidRDefault="006E3FB5" w:rsidP="006E3FB5">
      <w:pPr>
        <w:tabs>
          <w:tab w:val="left" w:pos="851"/>
        </w:tabs>
        <w:ind w:left="851"/>
        <w:rPr>
          <w:sz w:val="24"/>
          <w:szCs w:val="24"/>
        </w:rPr>
      </w:pPr>
      <w:r w:rsidRPr="006E3FB5">
        <w:rPr>
          <w:sz w:val="24"/>
          <w:szCs w:val="24"/>
        </w:rPr>
        <w:t>Til oral anvendelse. Kapslerne skal synkes hele. Kapslerne må ikke tygges eller knuses.</w:t>
      </w:r>
    </w:p>
    <w:p w14:paraId="4C735F9B" w14:textId="77777777" w:rsidR="009260DE" w:rsidRPr="00C84483" w:rsidRDefault="009260DE" w:rsidP="009260DE">
      <w:pPr>
        <w:tabs>
          <w:tab w:val="left" w:pos="851"/>
        </w:tabs>
        <w:ind w:left="851"/>
        <w:rPr>
          <w:sz w:val="24"/>
          <w:szCs w:val="24"/>
        </w:rPr>
      </w:pPr>
    </w:p>
    <w:p w14:paraId="0127A550" w14:textId="77777777" w:rsidR="009260DE" w:rsidRPr="00C84483" w:rsidRDefault="009260DE" w:rsidP="009260DE">
      <w:pPr>
        <w:tabs>
          <w:tab w:val="left" w:pos="851"/>
        </w:tabs>
        <w:ind w:left="851" w:hanging="851"/>
        <w:rPr>
          <w:b/>
          <w:sz w:val="24"/>
          <w:szCs w:val="24"/>
        </w:rPr>
      </w:pPr>
      <w:r w:rsidRPr="00C84483">
        <w:rPr>
          <w:b/>
          <w:sz w:val="24"/>
          <w:szCs w:val="24"/>
        </w:rPr>
        <w:t>4.3</w:t>
      </w:r>
      <w:r w:rsidRPr="00C84483">
        <w:rPr>
          <w:b/>
          <w:sz w:val="24"/>
          <w:szCs w:val="24"/>
        </w:rPr>
        <w:tab/>
        <w:t>Kontraindikationer</w:t>
      </w:r>
    </w:p>
    <w:p w14:paraId="650FF77F" w14:textId="77777777" w:rsidR="00DF634A" w:rsidRPr="00DF634A" w:rsidRDefault="00DF634A" w:rsidP="00DF634A">
      <w:pPr>
        <w:tabs>
          <w:tab w:val="left" w:pos="851"/>
        </w:tabs>
        <w:ind w:left="851"/>
        <w:rPr>
          <w:sz w:val="24"/>
          <w:szCs w:val="24"/>
        </w:rPr>
      </w:pPr>
      <w:r w:rsidRPr="00DF634A">
        <w:rPr>
          <w:sz w:val="24"/>
          <w:szCs w:val="24"/>
        </w:rPr>
        <w:t>Overfølsomhed over for det aktive stof eller over for et eller flere af hjælpestofferne anført i pkt. 6.1.</w:t>
      </w:r>
    </w:p>
    <w:p w14:paraId="3096A538" w14:textId="77777777" w:rsidR="00DF634A" w:rsidRPr="00DF634A" w:rsidRDefault="00DF634A" w:rsidP="00DF634A">
      <w:pPr>
        <w:tabs>
          <w:tab w:val="left" w:pos="851"/>
        </w:tabs>
        <w:ind w:left="851"/>
        <w:rPr>
          <w:sz w:val="24"/>
          <w:szCs w:val="24"/>
        </w:rPr>
      </w:pPr>
    </w:p>
    <w:p w14:paraId="1E4D2645" w14:textId="77777777" w:rsidR="00DF634A" w:rsidRPr="00DF634A" w:rsidRDefault="00DF634A" w:rsidP="00DF634A">
      <w:pPr>
        <w:tabs>
          <w:tab w:val="left" w:pos="851"/>
        </w:tabs>
        <w:ind w:left="851"/>
        <w:rPr>
          <w:sz w:val="24"/>
          <w:szCs w:val="24"/>
        </w:rPr>
      </w:pPr>
      <w:r w:rsidRPr="00DF634A">
        <w:rPr>
          <w:sz w:val="24"/>
          <w:szCs w:val="24"/>
        </w:rPr>
        <w:t>Samtidig anvendelse af duloxetin med non-selektive, irreversible monoaminoxidasehæmmere (MAO</w:t>
      </w:r>
      <w:r w:rsidRPr="00DF634A">
        <w:rPr>
          <w:sz w:val="24"/>
          <w:szCs w:val="24"/>
        </w:rPr>
        <w:noBreakHyphen/>
        <w:t>hæmmere) er kontraindiceret (se pkt. 4.5).</w:t>
      </w:r>
    </w:p>
    <w:p w14:paraId="10C1DF24" w14:textId="77777777" w:rsidR="00DF634A" w:rsidRPr="00DF634A" w:rsidRDefault="00DF634A" w:rsidP="00DF634A">
      <w:pPr>
        <w:tabs>
          <w:tab w:val="left" w:pos="851"/>
        </w:tabs>
        <w:ind w:left="851"/>
        <w:rPr>
          <w:sz w:val="24"/>
          <w:szCs w:val="24"/>
        </w:rPr>
      </w:pPr>
    </w:p>
    <w:p w14:paraId="789A12C9" w14:textId="77777777" w:rsidR="00DF634A" w:rsidRPr="00DF634A" w:rsidRDefault="00DF634A" w:rsidP="00DF634A">
      <w:pPr>
        <w:tabs>
          <w:tab w:val="left" w:pos="851"/>
        </w:tabs>
        <w:ind w:left="851"/>
        <w:rPr>
          <w:sz w:val="24"/>
          <w:szCs w:val="24"/>
        </w:rPr>
      </w:pPr>
      <w:r w:rsidRPr="00DF634A">
        <w:rPr>
          <w:sz w:val="24"/>
          <w:szCs w:val="24"/>
        </w:rPr>
        <w:t>Leversygdom med nedsat leverfunktion (se pkt. 5.2).</w:t>
      </w:r>
    </w:p>
    <w:p w14:paraId="49CF9763" w14:textId="77777777" w:rsidR="00DF634A" w:rsidRPr="00DF634A" w:rsidRDefault="00DF634A" w:rsidP="00DF634A">
      <w:pPr>
        <w:tabs>
          <w:tab w:val="left" w:pos="851"/>
        </w:tabs>
        <w:ind w:left="851"/>
        <w:rPr>
          <w:sz w:val="24"/>
          <w:szCs w:val="24"/>
        </w:rPr>
      </w:pPr>
      <w:r w:rsidRPr="00DF634A">
        <w:rPr>
          <w:sz w:val="24"/>
          <w:szCs w:val="24"/>
        </w:rPr>
        <w:t>Duloxetin bør ikke anvendes samtidig med fluvoxamin, ciprofloxacin eller enoxacin (dvs. potente CYP1A2</w:t>
      </w:r>
      <w:r w:rsidRPr="00DF634A">
        <w:rPr>
          <w:sz w:val="24"/>
          <w:szCs w:val="24"/>
        </w:rPr>
        <w:noBreakHyphen/>
        <w:t>hæmmere), da kombinationen medfører forhøjede plasmakoncentrationer af duloxetin (se pkt. 4.5).</w:t>
      </w:r>
    </w:p>
    <w:p w14:paraId="3BEFA03C" w14:textId="77777777" w:rsidR="00DF634A" w:rsidRPr="00DF634A" w:rsidRDefault="00DF634A" w:rsidP="00DF634A">
      <w:pPr>
        <w:tabs>
          <w:tab w:val="left" w:pos="851"/>
        </w:tabs>
        <w:ind w:left="851"/>
        <w:rPr>
          <w:sz w:val="24"/>
          <w:szCs w:val="24"/>
        </w:rPr>
      </w:pPr>
    </w:p>
    <w:p w14:paraId="72E2ED85" w14:textId="77777777" w:rsidR="00DF634A" w:rsidRPr="00DF634A" w:rsidRDefault="00DF634A" w:rsidP="00DF634A">
      <w:pPr>
        <w:tabs>
          <w:tab w:val="left" w:pos="851"/>
        </w:tabs>
        <w:ind w:left="851"/>
        <w:rPr>
          <w:sz w:val="24"/>
          <w:szCs w:val="24"/>
        </w:rPr>
      </w:pPr>
      <w:r w:rsidRPr="00DF634A">
        <w:rPr>
          <w:sz w:val="24"/>
          <w:szCs w:val="24"/>
        </w:rPr>
        <w:t>Svært nedsat nyrefunktion (kreatininclearance &lt; 30 ml/min) (se pkt. 4.4).</w:t>
      </w:r>
    </w:p>
    <w:p w14:paraId="06BEEB59" w14:textId="77777777" w:rsidR="00DF634A" w:rsidRPr="00DF634A" w:rsidRDefault="00DF634A" w:rsidP="00DF634A">
      <w:pPr>
        <w:tabs>
          <w:tab w:val="left" w:pos="851"/>
        </w:tabs>
        <w:ind w:left="851"/>
        <w:rPr>
          <w:sz w:val="24"/>
          <w:szCs w:val="24"/>
        </w:rPr>
      </w:pPr>
    </w:p>
    <w:p w14:paraId="65577BB0" w14:textId="77777777" w:rsidR="00DF634A" w:rsidRPr="00DF634A" w:rsidRDefault="00DF634A" w:rsidP="00DF634A">
      <w:pPr>
        <w:tabs>
          <w:tab w:val="left" w:pos="851"/>
        </w:tabs>
        <w:ind w:left="851"/>
        <w:rPr>
          <w:sz w:val="24"/>
          <w:szCs w:val="24"/>
        </w:rPr>
      </w:pPr>
      <w:r w:rsidRPr="00DF634A">
        <w:rPr>
          <w:sz w:val="24"/>
          <w:szCs w:val="24"/>
        </w:rPr>
        <w:t>Påbegyndelse af behandling med duloxetin er kontraindiceret hos patienter med ukontrolleret hypertension, da dette kan medføre en potentiel risiko for hypertensiv krise (se pkt. 4.4 og 4.8).</w:t>
      </w:r>
    </w:p>
    <w:p w14:paraId="65D7750B" w14:textId="77777777" w:rsidR="009260DE" w:rsidRPr="00C84483" w:rsidRDefault="009260DE" w:rsidP="009260DE">
      <w:pPr>
        <w:tabs>
          <w:tab w:val="left" w:pos="851"/>
        </w:tabs>
        <w:ind w:left="851"/>
        <w:rPr>
          <w:sz w:val="24"/>
          <w:szCs w:val="24"/>
        </w:rPr>
      </w:pPr>
    </w:p>
    <w:p w14:paraId="15B22122" w14:textId="77777777" w:rsidR="009260DE" w:rsidRPr="00C84483" w:rsidRDefault="009260DE" w:rsidP="009260DE">
      <w:pPr>
        <w:tabs>
          <w:tab w:val="left" w:pos="851"/>
        </w:tabs>
        <w:ind w:left="851" w:hanging="851"/>
        <w:rPr>
          <w:b/>
          <w:sz w:val="24"/>
          <w:szCs w:val="24"/>
        </w:rPr>
      </w:pPr>
      <w:r w:rsidRPr="00C84483">
        <w:rPr>
          <w:b/>
          <w:sz w:val="24"/>
          <w:szCs w:val="24"/>
        </w:rPr>
        <w:t>4.4</w:t>
      </w:r>
      <w:r w:rsidRPr="00C84483">
        <w:rPr>
          <w:b/>
          <w:sz w:val="24"/>
          <w:szCs w:val="24"/>
        </w:rPr>
        <w:tab/>
        <w:t>Særlige advarsler og forsigtighedsregler vedrørende brugen</w:t>
      </w:r>
    </w:p>
    <w:p w14:paraId="46F49314" w14:textId="77777777" w:rsidR="00DF634A" w:rsidRPr="00DF634A" w:rsidRDefault="00DF634A" w:rsidP="00DF634A">
      <w:pPr>
        <w:tabs>
          <w:tab w:val="left" w:pos="851"/>
        </w:tabs>
        <w:ind w:left="851"/>
        <w:rPr>
          <w:sz w:val="24"/>
          <w:szCs w:val="24"/>
        </w:rPr>
      </w:pPr>
    </w:p>
    <w:p w14:paraId="2FBB3158" w14:textId="77777777" w:rsidR="00DF634A" w:rsidRPr="00DF634A" w:rsidRDefault="00DF634A" w:rsidP="00DF634A">
      <w:pPr>
        <w:tabs>
          <w:tab w:val="left" w:pos="851"/>
        </w:tabs>
        <w:ind w:left="851"/>
        <w:rPr>
          <w:sz w:val="24"/>
          <w:szCs w:val="24"/>
        </w:rPr>
      </w:pPr>
      <w:r w:rsidRPr="00DF634A">
        <w:rPr>
          <w:sz w:val="24"/>
          <w:szCs w:val="24"/>
          <w:u w:val="single"/>
        </w:rPr>
        <w:t>Mani og krampeanfald</w:t>
      </w:r>
      <w:r w:rsidRPr="00DF634A">
        <w:rPr>
          <w:sz w:val="24"/>
          <w:szCs w:val="24"/>
        </w:rPr>
        <w:br/>
        <w:t>Duloxetin bør anvendes med forsigtighed hos patienter med tidligere mani eller diagnosticeret bipolar affektiv lidelse og/eller kramper.</w:t>
      </w:r>
    </w:p>
    <w:p w14:paraId="3B60D6F5" w14:textId="77777777" w:rsidR="00DF634A" w:rsidRPr="00DF634A" w:rsidRDefault="00DF634A" w:rsidP="00DF634A">
      <w:pPr>
        <w:tabs>
          <w:tab w:val="left" w:pos="851"/>
        </w:tabs>
        <w:ind w:left="851"/>
        <w:rPr>
          <w:sz w:val="24"/>
          <w:szCs w:val="24"/>
        </w:rPr>
      </w:pPr>
    </w:p>
    <w:p w14:paraId="0D23549E" w14:textId="77777777" w:rsidR="00DF634A" w:rsidRPr="00DF634A" w:rsidRDefault="00DF634A" w:rsidP="00DF634A">
      <w:pPr>
        <w:tabs>
          <w:tab w:val="left" w:pos="851"/>
        </w:tabs>
        <w:ind w:left="851"/>
        <w:rPr>
          <w:sz w:val="24"/>
          <w:szCs w:val="24"/>
        </w:rPr>
      </w:pPr>
      <w:r w:rsidRPr="00DF634A">
        <w:rPr>
          <w:sz w:val="24"/>
          <w:szCs w:val="24"/>
          <w:u w:val="single"/>
        </w:rPr>
        <w:lastRenderedPageBreak/>
        <w:t>Mydriasis</w:t>
      </w:r>
      <w:r w:rsidRPr="00DF634A">
        <w:rPr>
          <w:sz w:val="24"/>
          <w:szCs w:val="24"/>
        </w:rPr>
        <w:br/>
        <w:t>Mydriasis er rapporteret i forbindelse med duloxetin. Der bør derfor udvises forsigtighed ved ordination af duloxetin til patienter med forhøjet intraokulært tryk eller patienter med risiko for akut snævervinklet glaukom.</w:t>
      </w:r>
    </w:p>
    <w:p w14:paraId="1F71DC2F" w14:textId="77777777" w:rsidR="00DF634A" w:rsidRPr="00DF634A" w:rsidRDefault="00DF634A" w:rsidP="00DF634A">
      <w:pPr>
        <w:tabs>
          <w:tab w:val="left" w:pos="851"/>
        </w:tabs>
        <w:ind w:left="851"/>
        <w:rPr>
          <w:sz w:val="24"/>
          <w:szCs w:val="24"/>
        </w:rPr>
      </w:pPr>
    </w:p>
    <w:p w14:paraId="6E18C60C" w14:textId="77777777" w:rsidR="00DF634A" w:rsidRPr="00DF634A" w:rsidRDefault="00DF634A" w:rsidP="00DF634A">
      <w:pPr>
        <w:tabs>
          <w:tab w:val="left" w:pos="851"/>
        </w:tabs>
        <w:ind w:left="851"/>
        <w:rPr>
          <w:sz w:val="24"/>
          <w:szCs w:val="24"/>
        </w:rPr>
      </w:pPr>
      <w:r w:rsidRPr="00DF634A">
        <w:rPr>
          <w:sz w:val="24"/>
          <w:szCs w:val="24"/>
          <w:u w:val="single"/>
        </w:rPr>
        <w:t>Blodtryk og hjertefrekvens</w:t>
      </w:r>
      <w:r w:rsidRPr="00DF634A">
        <w:rPr>
          <w:sz w:val="24"/>
          <w:szCs w:val="24"/>
        </w:rPr>
        <w:br/>
        <w:t>Duloxetin er hos nogle patienter blevet forbundet med stigning i blodtryk og klinisk signifikant hypertension. Dette kan skyldes duloxetins noradrenerge virkning. Der er rapporteret tilfælde af hypertensiv krise ved behandling med duloxetin, især hos patienter med forudbestående hypertension.</w:t>
      </w:r>
    </w:p>
    <w:p w14:paraId="4772A56F" w14:textId="77777777" w:rsidR="00DF634A" w:rsidRPr="00DF634A" w:rsidRDefault="00DF634A" w:rsidP="00DF634A">
      <w:pPr>
        <w:tabs>
          <w:tab w:val="left" w:pos="851"/>
        </w:tabs>
        <w:ind w:left="851"/>
        <w:rPr>
          <w:sz w:val="24"/>
          <w:szCs w:val="24"/>
        </w:rPr>
      </w:pPr>
      <w:r w:rsidRPr="00DF634A">
        <w:rPr>
          <w:sz w:val="24"/>
          <w:szCs w:val="24"/>
        </w:rPr>
        <w:t>Hos patienter med kendt hypertension og/eller anden hjertesygdom anbefales det derfor at monitorere blodtrykket, især i den første behandlingsmåned. Duloxetin bør anvendes med forsigtighed hos patienter, hvis tilstand kan forværres ved øget hjertefrekvens eller forhøjet blodtryk. Der bør ligeledes udvises forsigtighed ved samtidig behandling med lægemidler, der kan påvirke duloxetins metabolisme (se pkt. 4.5). Hos patienter, der får vedvarende blodtryksstigning under behandling med duloxetin, bør dosisreduktion eller gradvis seponering overvejes (se pkt. 4.8). Hos patienter med ukontrolleret hypertension bør behandling med duloxetin ikke påbegyndes (se pkt. 4.3).</w:t>
      </w:r>
    </w:p>
    <w:p w14:paraId="14415C88" w14:textId="77777777" w:rsidR="00DF634A" w:rsidRPr="00DF634A" w:rsidRDefault="00DF634A" w:rsidP="00DF634A">
      <w:pPr>
        <w:tabs>
          <w:tab w:val="left" w:pos="851"/>
        </w:tabs>
        <w:ind w:left="851"/>
        <w:rPr>
          <w:sz w:val="24"/>
          <w:szCs w:val="24"/>
          <w:u w:val="single"/>
        </w:rPr>
      </w:pPr>
    </w:p>
    <w:p w14:paraId="2A8792A4" w14:textId="77777777" w:rsidR="00DF634A" w:rsidRPr="00DF634A" w:rsidRDefault="00DF634A" w:rsidP="00DF634A">
      <w:pPr>
        <w:tabs>
          <w:tab w:val="left" w:pos="851"/>
        </w:tabs>
        <w:ind w:left="851"/>
        <w:rPr>
          <w:sz w:val="24"/>
          <w:szCs w:val="24"/>
        </w:rPr>
      </w:pPr>
      <w:r w:rsidRPr="00DF634A">
        <w:rPr>
          <w:sz w:val="24"/>
          <w:szCs w:val="24"/>
          <w:u w:val="single"/>
        </w:rPr>
        <w:t>Nedsat nyrefunktion</w:t>
      </w:r>
      <w:r w:rsidRPr="00DF634A">
        <w:rPr>
          <w:sz w:val="24"/>
          <w:szCs w:val="24"/>
        </w:rPr>
        <w:br/>
        <w:t>Forhøjede plasmakoncentrationer af duloxetin forekommer hos patienter med svært nedsat nyrefunktion i hæmodialyse (kreatininclearance &lt; 30 ml/min). For patienter med svært nedsat nyrefunktion henvises til pkt. 4.3. For patienter med let til moderat nedsat nyrefunktion henvises til pkt. 4.2.</w:t>
      </w:r>
    </w:p>
    <w:p w14:paraId="2E117120" w14:textId="77777777" w:rsidR="00DF634A" w:rsidRPr="00DF634A" w:rsidRDefault="00DF634A" w:rsidP="00DF634A">
      <w:pPr>
        <w:tabs>
          <w:tab w:val="left" w:pos="851"/>
        </w:tabs>
        <w:ind w:left="851"/>
        <w:rPr>
          <w:sz w:val="24"/>
          <w:szCs w:val="24"/>
        </w:rPr>
      </w:pPr>
      <w:r w:rsidRPr="00DF634A">
        <w:rPr>
          <w:sz w:val="24"/>
          <w:szCs w:val="24"/>
        </w:rPr>
        <w:tab/>
      </w:r>
    </w:p>
    <w:p w14:paraId="6E2DA067" w14:textId="77777777" w:rsidR="00DF634A" w:rsidRPr="00DF634A" w:rsidRDefault="00DF634A" w:rsidP="00DF634A">
      <w:pPr>
        <w:tabs>
          <w:tab w:val="left" w:pos="851"/>
        </w:tabs>
        <w:ind w:left="851"/>
        <w:rPr>
          <w:sz w:val="24"/>
          <w:szCs w:val="24"/>
        </w:rPr>
      </w:pPr>
      <w:r w:rsidRPr="00DF634A">
        <w:rPr>
          <w:b/>
          <w:bCs/>
          <w:sz w:val="24"/>
          <w:szCs w:val="24"/>
        </w:rPr>
        <w:t>Serotoninsyndrom/neuroleptisk malignt syndrom</w:t>
      </w:r>
      <w:r w:rsidRPr="00DF634A">
        <w:rPr>
          <w:sz w:val="24"/>
          <w:szCs w:val="24"/>
        </w:rPr>
        <w:br/>
        <w:t>Som ved andre serotonerge lægemidler kan serotoninsyndrom eller neuroleptisk malignt syndrom (NMS), som er potentielt livstruende tilstande, forekomme ved behandling med duloxetin, især ved samtidig anvendelse af andre serotonerge lægemidler (herunder SSRI’er, SNRI’er, tricykliske antidepressiva eller triptaner), lægemidler, der hæmmer serotoninmetabolismen såsom MAO</w:t>
      </w:r>
      <w:r w:rsidRPr="00DF634A">
        <w:rPr>
          <w:sz w:val="24"/>
          <w:szCs w:val="24"/>
        </w:rPr>
        <w:noBreakHyphen/>
        <w:t>hæmmere, eller antipsykotika og andre dopaminantagonister, som kan påvirke de serotonerge neurotransmittersystemer (se pkt. 4.3 og 4.5).</w:t>
      </w:r>
    </w:p>
    <w:p w14:paraId="676F9011" w14:textId="77777777" w:rsidR="00DF634A" w:rsidRPr="00DF634A" w:rsidRDefault="00DF634A" w:rsidP="00DF634A">
      <w:pPr>
        <w:tabs>
          <w:tab w:val="left" w:pos="851"/>
        </w:tabs>
        <w:ind w:left="851"/>
        <w:rPr>
          <w:sz w:val="24"/>
          <w:szCs w:val="24"/>
        </w:rPr>
      </w:pPr>
    </w:p>
    <w:p w14:paraId="3DF6D7BC" w14:textId="77777777" w:rsidR="00DF634A" w:rsidRPr="00DF634A" w:rsidRDefault="00DF634A" w:rsidP="00DF634A">
      <w:pPr>
        <w:tabs>
          <w:tab w:val="left" w:pos="851"/>
        </w:tabs>
        <w:ind w:left="851"/>
        <w:rPr>
          <w:sz w:val="24"/>
          <w:szCs w:val="24"/>
        </w:rPr>
      </w:pPr>
      <w:r w:rsidRPr="00DF634A">
        <w:rPr>
          <w:sz w:val="24"/>
          <w:szCs w:val="24"/>
        </w:rPr>
        <w:t>Symptomer på serotoninsyndrom kan omfatte ændringer i mental tilstand (f.eks. agitation, hallucinationer, koma), autonom instabilitet (f.eks. takykardi, labilt blodtryk, hypertermi), neuromuskulære forstyrrelser (f.eks. hyperrefleksi, inkoordination) og/eller gastrointestinale symptomer (f.eks. kvalme, opkastning, diarré).</w:t>
      </w:r>
    </w:p>
    <w:p w14:paraId="41BF0EEE" w14:textId="77777777" w:rsidR="00DF634A" w:rsidRPr="00DF634A" w:rsidRDefault="00DF634A" w:rsidP="00DF634A">
      <w:pPr>
        <w:tabs>
          <w:tab w:val="left" w:pos="851"/>
        </w:tabs>
        <w:ind w:left="851"/>
        <w:rPr>
          <w:sz w:val="24"/>
          <w:szCs w:val="24"/>
        </w:rPr>
      </w:pPr>
    </w:p>
    <w:p w14:paraId="59AC8CD0" w14:textId="77777777" w:rsidR="00DF634A" w:rsidRPr="00DF634A" w:rsidRDefault="00DF634A" w:rsidP="00DF634A">
      <w:pPr>
        <w:tabs>
          <w:tab w:val="left" w:pos="851"/>
        </w:tabs>
        <w:ind w:left="851"/>
        <w:rPr>
          <w:sz w:val="24"/>
          <w:szCs w:val="24"/>
        </w:rPr>
      </w:pPr>
      <w:r w:rsidRPr="00DF634A">
        <w:rPr>
          <w:sz w:val="24"/>
          <w:szCs w:val="24"/>
        </w:rPr>
        <w:t>I svære tilfælde kan serotoninsyndrom ligne NMS, som omfatter hypertermi, muskelrigiditet, forhøjede serum</w:t>
      </w:r>
      <w:r w:rsidRPr="00DF634A">
        <w:rPr>
          <w:sz w:val="24"/>
          <w:szCs w:val="24"/>
        </w:rPr>
        <w:noBreakHyphen/>
        <w:t>kreatinkinaseværdier, autonom ustabilitet med mulige hurtige udsving i vitalparametre og ændringer i mental tilstand.</w:t>
      </w:r>
    </w:p>
    <w:p w14:paraId="4BA2E4EC" w14:textId="77777777" w:rsidR="00DF634A" w:rsidRPr="00DF634A" w:rsidRDefault="00DF634A" w:rsidP="00DF634A">
      <w:pPr>
        <w:tabs>
          <w:tab w:val="left" w:pos="851"/>
        </w:tabs>
        <w:ind w:left="851"/>
        <w:rPr>
          <w:sz w:val="24"/>
          <w:szCs w:val="24"/>
        </w:rPr>
      </w:pPr>
      <w:r w:rsidRPr="00DF634A">
        <w:rPr>
          <w:sz w:val="24"/>
          <w:szCs w:val="24"/>
        </w:rPr>
        <w:t>Hvis samtidig behandling med duloxetin og andre serotonerge eller neuroleptiske lægemidler, som kan påvirke det serotonerge og/eller dopaminerge neutrotransmittersystem, anses for klinisk nødvendig, anbefales nøje overvågning af patienten, især ved behandlingsstart og dosisøgning.</w:t>
      </w:r>
    </w:p>
    <w:p w14:paraId="43351803" w14:textId="77777777" w:rsidR="00DF634A" w:rsidRPr="00DF634A" w:rsidRDefault="00DF634A" w:rsidP="00DF634A">
      <w:pPr>
        <w:tabs>
          <w:tab w:val="left" w:pos="851"/>
        </w:tabs>
        <w:ind w:left="851"/>
        <w:rPr>
          <w:sz w:val="24"/>
          <w:szCs w:val="24"/>
        </w:rPr>
      </w:pPr>
    </w:p>
    <w:p w14:paraId="66E7029B" w14:textId="77777777" w:rsidR="00DF634A" w:rsidRPr="00DF634A" w:rsidRDefault="00DF634A" w:rsidP="00DF634A">
      <w:pPr>
        <w:tabs>
          <w:tab w:val="left" w:pos="851"/>
        </w:tabs>
        <w:ind w:left="851"/>
        <w:rPr>
          <w:sz w:val="24"/>
          <w:szCs w:val="24"/>
        </w:rPr>
      </w:pPr>
      <w:r w:rsidRPr="00DF634A">
        <w:rPr>
          <w:sz w:val="24"/>
          <w:szCs w:val="24"/>
          <w:u w:val="single"/>
        </w:rPr>
        <w:t>Perikon (Hypericum perforatum)</w:t>
      </w:r>
      <w:r w:rsidRPr="00DF634A">
        <w:rPr>
          <w:sz w:val="24"/>
          <w:szCs w:val="24"/>
        </w:rPr>
        <w:br/>
        <w:t>Bivirkninger kan forekomme hyppigere ved samtidig anvendelse af duloxetin og naturlægemidler indeholdende perikon.</w:t>
      </w:r>
    </w:p>
    <w:p w14:paraId="475BD424" w14:textId="77777777" w:rsidR="00DF634A" w:rsidRPr="00DF634A" w:rsidRDefault="00DF634A" w:rsidP="00DF634A">
      <w:pPr>
        <w:tabs>
          <w:tab w:val="left" w:pos="851"/>
        </w:tabs>
        <w:ind w:left="851"/>
        <w:rPr>
          <w:sz w:val="24"/>
          <w:szCs w:val="24"/>
        </w:rPr>
      </w:pPr>
    </w:p>
    <w:p w14:paraId="7C28F3CA" w14:textId="77777777" w:rsidR="00DF634A" w:rsidRDefault="00DF634A" w:rsidP="00DF634A">
      <w:pPr>
        <w:tabs>
          <w:tab w:val="left" w:pos="851"/>
        </w:tabs>
        <w:ind w:left="851"/>
        <w:rPr>
          <w:i/>
          <w:iCs/>
          <w:sz w:val="24"/>
          <w:szCs w:val="24"/>
        </w:rPr>
      </w:pPr>
      <w:r w:rsidRPr="00DF634A">
        <w:rPr>
          <w:sz w:val="24"/>
          <w:szCs w:val="24"/>
          <w:u w:val="single"/>
        </w:rPr>
        <w:lastRenderedPageBreak/>
        <w:t>Selvmord</w:t>
      </w:r>
      <w:r w:rsidRPr="00DF634A">
        <w:rPr>
          <w:sz w:val="24"/>
          <w:szCs w:val="24"/>
        </w:rPr>
        <w:br/>
      </w:r>
    </w:p>
    <w:p w14:paraId="28E64F22" w14:textId="4A1D7F8C" w:rsidR="00DF634A" w:rsidRPr="00DF634A" w:rsidRDefault="00DF634A" w:rsidP="00DF634A">
      <w:pPr>
        <w:tabs>
          <w:tab w:val="left" w:pos="851"/>
        </w:tabs>
        <w:ind w:left="851"/>
        <w:rPr>
          <w:sz w:val="24"/>
          <w:szCs w:val="24"/>
        </w:rPr>
      </w:pPr>
      <w:r w:rsidRPr="00DF634A">
        <w:rPr>
          <w:i/>
          <w:iCs/>
          <w:sz w:val="24"/>
          <w:szCs w:val="24"/>
        </w:rPr>
        <w:t>Svær depressiv episode og generaliseret angst</w:t>
      </w:r>
      <w:r w:rsidRPr="00DF634A">
        <w:rPr>
          <w:sz w:val="24"/>
          <w:szCs w:val="24"/>
        </w:rPr>
        <w:br/>
        <w:t>Depression er forbundet med øget risiko for selvmordstanker, selvskade og selvmord (selvmordsrelaterede hændelser). Risikoen vedvarer, indtil der indtræder væsentlig remission.</w:t>
      </w:r>
    </w:p>
    <w:p w14:paraId="26768DF7" w14:textId="77777777" w:rsidR="00DF634A" w:rsidRPr="00DF634A" w:rsidRDefault="00DF634A" w:rsidP="00DF634A">
      <w:pPr>
        <w:tabs>
          <w:tab w:val="left" w:pos="851"/>
        </w:tabs>
        <w:ind w:left="851"/>
        <w:rPr>
          <w:sz w:val="24"/>
          <w:szCs w:val="24"/>
        </w:rPr>
      </w:pPr>
      <w:r w:rsidRPr="00DF634A">
        <w:rPr>
          <w:sz w:val="24"/>
          <w:szCs w:val="24"/>
        </w:rPr>
        <w:t>Da der muligvis ikke ses forbedring i de første uger eller mere af behandlingen, bør patienterne monitoreres nøje indtil forbedring indtræder. Klinisk erfaring viser, at risikoen for selvmord kan øges i de tidlige stadier af bedring.</w:t>
      </w:r>
    </w:p>
    <w:p w14:paraId="2D310291" w14:textId="77777777" w:rsidR="00DF634A" w:rsidRPr="00DF634A" w:rsidRDefault="00DF634A" w:rsidP="00DF634A">
      <w:pPr>
        <w:tabs>
          <w:tab w:val="left" w:pos="851"/>
        </w:tabs>
        <w:ind w:left="851"/>
        <w:rPr>
          <w:sz w:val="24"/>
          <w:szCs w:val="24"/>
        </w:rPr>
      </w:pPr>
    </w:p>
    <w:p w14:paraId="4C3C333E" w14:textId="77777777" w:rsidR="00DF634A" w:rsidRPr="00DF634A" w:rsidRDefault="00DF634A" w:rsidP="00DF634A">
      <w:pPr>
        <w:tabs>
          <w:tab w:val="left" w:pos="851"/>
        </w:tabs>
        <w:ind w:left="851"/>
        <w:rPr>
          <w:sz w:val="24"/>
          <w:szCs w:val="24"/>
        </w:rPr>
      </w:pPr>
      <w:r w:rsidRPr="00DF634A">
        <w:rPr>
          <w:sz w:val="24"/>
          <w:szCs w:val="24"/>
        </w:rPr>
        <w:t>Andre psykiatriske lidelser, hvor duloxetin ordineres, kan også være forbundet med øget risiko for selvmordsrelaterede hændelser. Disse tilstande kan forekomme samtidig med svær depressiv episode. De samme forholdsregler, som iagttages ved behandling af patienter med svære depressioner, bør derfor foretages ved behandling af patienter med andre psykiske sygdomme. .</w:t>
      </w:r>
    </w:p>
    <w:p w14:paraId="3C869EB3" w14:textId="77777777" w:rsidR="00DF634A" w:rsidRPr="00DF634A" w:rsidRDefault="00DF634A" w:rsidP="00DF634A">
      <w:pPr>
        <w:tabs>
          <w:tab w:val="left" w:pos="851"/>
        </w:tabs>
        <w:ind w:left="851"/>
        <w:rPr>
          <w:sz w:val="24"/>
          <w:szCs w:val="24"/>
        </w:rPr>
      </w:pPr>
      <w:r w:rsidRPr="00DF634A">
        <w:rPr>
          <w:sz w:val="24"/>
          <w:szCs w:val="24"/>
        </w:rPr>
        <w:t>Patienter med tidligere selvmordsrelaterede hændelser eller udtalte selvmordstanker før behandlingsstart har øget risiko for selvmordstanker eller selvmordsadfærd og bør monitoreres nøje under behandlingen.</w:t>
      </w:r>
    </w:p>
    <w:p w14:paraId="13831651" w14:textId="77777777" w:rsidR="00DF634A" w:rsidRPr="00DF634A" w:rsidRDefault="00DF634A" w:rsidP="00DF634A">
      <w:pPr>
        <w:tabs>
          <w:tab w:val="left" w:pos="851"/>
        </w:tabs>
        <w:ind w:left="851"/>
        <w:rPr>
          <w:sz w:val="24"/>
          <w:szCs w:val="24"/>
        </w:rPr>
      </w:pPr>
      <w:r w:rsidRPr="00DF634A">
        <w:rPr>
          <w:sz w:val="24"/>
          <w:szCs w:val="24"/>
        </w:rPr>
        <w:t>En meta</w:t>
      </w:r>
      <w:r w:rsidRPr="00DF634A">
        <w:rPr>
          <w:sz w:val="24"/>
          <w:szCs w:val="24"/>
        </w:rPr>
        <w:noBreakHyphen/>
        <w:t>analyse af placebokontrollerede kliniske studier af antidepressiva lægemidler til behandling af pysikiske lidelser har vist øget risiko for selvmordsrelateret adfærd hos patienter under 25 år behandlet med antidepressiva sammenlignet med placebo.</w:t>
      </w:r>
    </w:p>
    <w:p w14:paraId="26FBDA60" w14:textId="77777777" w:rsidR="00DF634A" w:rsidRPr="00DF634A" w:rsidRDefault="00DF634A" w:rsidP="00DF634A">
      <w:pPr>
        <w:tabs>
          <w:tab w:val="left" w:pos="851"/>
        </w:tabs>
        <w:ind w:left="851"/>
        <w:rPr>
          <w:sz w:val="24"/>
          <w:szCs w:val="24"/>
        </w:rPr>
      </w:pPr>
    </w:p>
    <w:p w14:paraId="26F54A27" w14:textId="77777777" w:rsidR="00DF634A" w:rsidRPr="00DF634A" w:rsidRDefault="00DF634A" w:rsidP="00DF634A">
      <w:pPr>
        <w:tabs>
          <w:tab w:val="left" w:pos="851"/>
        </w:tabs>
        <w:ind w:left="851"/>
        <w:rPr>
          <w:sz w:val="24"/>
          <w:szCs w:val="24"/>
        </w:rPr>
      </w:pPr>
      <w:r w:rsidRPr="00DF634A">
        <w:rPr>
          <w:sz w:val="24"/>
          <w:szCs w:val="24"/>
        </w:rPr>
        <w:t>Selvmordstanker og selvmordsadfærd er rapporteret under behandling med duloxetin eller kort efter behandlingsophør (se pkt. 4.8).</w:t>
      </w:r>
    </w:p>
    <w:p w14:paraId="2B2A7344" w14:textId="77777777" w:rsidR="00DF634A" w:rsidRPr="00DF634A" w:rsidRDefault="00DF634A" w:rsidP="00DF634A">
      <w:pPr>
        <w:tabs>
          <w:tab w:val="left" w:pos="851"/>
        </w:tabs>
        <w:ind w:left="851"/>
        <w:rPr>
          <w:sz w:val="24"/>
          <w:szCs w:val="24"/>
        </w:rPr>
      </w:pPr>
    </w:p>
    <w:p w14:paraId="1694BAEB" w14:textId="77777777" w:rsidR="00DF634A" w:rsidRPr="00DF634A" w:rsidRDefault="00DF634A" w:rsidP="00DF634A">
      <w:pPr>
        <w:tabs>
          <w:tab w:val="left" w:pos="851"/>
        </w:tabs>
        <w:ind w:left="851"/>
        <w:rPr>
          <w:sz w:val="24"/>
          <w:szCs w:val="24"/>
        </w:rPr>
      </w:pPr>
      <w:r w:rsidRPr="00DF634A">
        <w:rPr>
          <w:sz w:val="24"/>
          <w:szCs w:val="24"/>
        </w:rPr>
        <w:t>Patienter, især højrisikopatienter, bør følges tæt, især i starten af behandlingen og efter dosisændringer. Patienter (og pårørende) bør informeres om behovet for at være opmærksomme på klinisk forværring, selvmordsadfærd eller tanker samt usædvanlige adfærdsændringer og straks søge lægehjælp, hvis sådanne symptomer opstår.</w:t>
      </w:r>
    </w:p>
    <w:p w14:paraId="62D37A39" w14:textId="77777777" w:rsidR="00DF634A" w:rsidRPr="00DF634A" w:rsidRDefault="00DF634A" w:rsidP="00DF634A">
      <w:pPr>
        <w:tabs>
          <w:tab w:val="left" w:pos="851"/>
        </w:tabs>
        <w:ind w:left="851"/>
        <w:rPr>
          <w:sz w:val="24"/>
          <w:szCs w:val="24"/>
        </w:rPr>
      </w:pPr>
    </w:p>
    <w:p w14:paraId="6604C707" w14:textId="77777777" w:rsidR="00DF634A" w:rsidRPr="00DF634A" w:rsidRDefault="00DF634A" w:rsidP="00DF634A">
      <w:pPr>
        <w:tabs>
          <w:tab w:val="left" w:pos="851"/>
        </w:tabs>
        <w:ind w:left="851"/>
        <w:rPr>
          <w:sz w:val="24"/>
          <w:szCs w:val="24"/>
        </w:rPr>
      </w:pPr>
      <w:r w:rsidRPr="00DF634A">
        <w:rPr>
          <w:sz w:val="24"/>
          <w:szCs w:val="24"/>
          <w:u w:val="single"/>
        </w:rPr>
        <w:t>Diabetisk perifer neuropatisk smerte</w:t>
      </w:r>
      <w:r w:rsidRPr="00DF634A">
        <w:rPr>
          <w:sz w:val="24"/>
          <w:szCs w:val="24"/>
        </w:rPr>
        <w:br/>
        <w:t xml:space="preserve">Som ved andre lægemidler med lignende virkning (antidepressiva) er der rapporteret enkelttilfælde af selvmordstanker og selvmordsadfærd under behandling med duloxetin eller tidligt efter behandlingsophør. For risikofaktorer, se ovenfor. Læger bør opfordre patienter til at rapportere alle bekymrende tanker eller følelser, de måtte have på et hvilket som helst tidspunkt. </w:t>
      </w:r>
    </w:p>
    <w:p w14:paraId="60544E14" w14:textId="77777777" w:rsidR="00DF634A" w:rsidRPr="00DF634A" w:rsidRDefault="00DF634A" w:rsidP="00DF634A">
      <w:pPr>
        <w:tabs>
          <w:tab w:val="left" w:pos="851"/>
        </w:tabs>
        <w:ind w:left="851"/>
        <w:rPr>
          <w:sz w:val="24"/>
          <w:szCs w:val="24"/>
        </w:rPr>
      </w:pPr>
    </w:p>
    <w:p w14:paraId="1D443CBE" w14:textId="77777777" w:rsidR="00DF634A" w:rsidRPr="00DF634A" w:rsidRDefault="00DF634A" w:rsidP="00DF634A">
      <w:pPr>
        <w:tabs>
          <w:tab w:val="left" w:pos="851"/>
        </w:tabs>
        <w:ind w:left="851"/>
        <w:rPr>
          <w:sz w:val="24"/>
          <w:szCs w:val="24"/>
        </w:rPr>
      </w:pPr>
      <w:r w:rsidRPr="00DF634A">
        <w:rPr>
          <w:sz w:val="24"/>
          <w:szCs w:val="24"/>
          <w:u w:val="single"/>
        </w:rPr>
        <w:t>Anvendelse til børn og unge under 18 år</w:t>
      </w:r>
      <w:r w:rsidRPr="00DF634A">
        <w:rPr>
          <w:sz w:val="24"/>
          <w:szCs w:val="24"/>
        </w:rPr>
        <w:br/>
        <w:t>Duloxetin "Stada Nordic" bør ikke anvendes til behandling af børn og unge under 18 år. Selvmordsrelateret adfærd og fjendtlighed (overvejende aggression, oppositionel adfærd og vrede) er hyppigere observeret i kliniske studier hos børn og unge behandlet med antidepressiva sammenlignet med placebo. Hvis behandling besluttes ud fra klinisk behov, bør patienten monitoreres nøje for selvmordssymptomer (se pkt. 5.1).</w:t>
      </w:r>
    </w:p>
    <w:p w14:paraId="5DDB18F1" w14:textId="77777777" w:rsidR="00DF634A" w:rsidRPr="00DF634A" w:rsidRDefault="00DF634A" w:rsidP="00DF634A">
      <w:pPr>
        <w:tabs>
          <w:tab w:val="left" w:pos="851"/>
        </w:tabs>
        <w:ind w:left="851"/>
        <w:rPr>
          <w:sz w:val="24"/>
          <w:szCs w:val="24"/>
        </w:rPr>
      </w:pPr>
      <w:r w:rsidRPr="00DF634A">
        <w:rPr>
          <w:sz w:val="24"/>
          <w:szCs w:val="24"/>
        </w:rPr>
        <w:t>Langtidsdata vedrørende sikkerhed hos børn og unge vedrørende vækst, modning samt kognitiv og adfærdsmæssig udvikling mangler (se pkt. 4.8).</w:t>
      </w:r>
    </w:p>
    <w:p w14:paraId="3958C02D" w14:textId="77777777" w:rsidR="00DF634A" w:rsidRPr="00DF634A" w:rsidRDefault="00DF634A" w:rsidP="00DF634A">
      <w:pPr>
        <w:tabs>
          <w:tab w:val="left" w:pos="851"/>
        </w:tabs>
        <w:ind w:left="851"/>
        <w:rPr>
          <w:sz w:val="24"/>
          <w:szCs w:val="24"/>
        </w:rPr>
      </w:pPr>
    </w:p>
    <w:p w14:paraId="1CD14409" w14:textId="77777777" w:rsidR="00DF634A" w:rsidRPr="00DF634A" w:rsidRDefault="00DF634A" w:rsidP="00DF634A">
      <w:pPr>
        <w:tabs>
          <w:tab w:val="left" w:pos="851"/>
        </w:tabs>
        <w:ind w:left="851"/>
        <w:rPr>
          <w:sz w:val="24"/>
          <w:szCs w:val="24"/>
        </w:rPr>
      </w:pPr>
      <w:r w:rsidRPr="00DF634A">
        <w:rPr>
          <w:sz w:val="24"/>
          <w:szCs w:val="24"/>
          <w:u w:val="single"/>
        </w:rPr>
        <w:t>Blødning</w:t>
      </w:r>
      <w:r w:rsidRPr="00DF634A">
        <w:rPr>
          <w:sz w:val="24"/>
          <w:szCs w:val="24"/>
        </w:rPr>
        <w:br/>
        <w:t>Der er rapporteret tilfælde af blødningsforstyrrelser såsom ekkymoser, purpura og gastrointestinal blødning ved behandling med SSRI’er og SNRI’er, herunder duloxetin. Duloxetin kan øge risikoen for postpartum blødning (se pkt. 4.6).</w:t>
      </w:r>
    </w:p>
    <w:p w14:paraId="232BBDE6" w14:textId="77777777" w:rsidR="00DF634A" w:rsidRPr="00DF634A" w:rsidRDefault="00DF634A" w:rsidP="00DF634A">
      <w:pPr>
        <w:tabs>
          <w:tab w:val="left" w:pos="851"/>
        </w:tabs>
        <w:ind w:left="851"/>
        <w:rPr>
          <w:sz w:val="24"/>
          <w:szCs w:val="24"/>
        </w:rPr>
      </w:pPr>
      <w:r w:rsidRPr="00DF634A">
        <w:rPr>
          <w:sz w:val="24"/>
          <w:szCs w:val="24"/>
        </w:rPr>
        <w:lastRenderedPageBreak/>
        <w:t>Forsigtighed tilrådes hos patienter, der behandles med antikoagulantia og/eller lægemidler, der påvirker trombocytfunktionen (f.eks. NSAID’er eller acetylsalicylsyre), samt hos patienter med kendt blødningstendens.</w:t>
      </w:r>
    </w:p>
    <w:p w14:paraId="6020F5F9" w14:textId="77777777" w:rsidR="00DF634A" w:rsidRPr="00DF634A" w:rsidRDefault="00DF634A" w:rsidP="00DF634A">
      <w:pPr>
        <w:tabs>
          <w:tab w:val="left" w:pos="851"/>
        </w:tabs>
        <w:ind w:left="851"/>
        <w:rPr>
          <w:sz w:val="24"/>
          <w:szCs w:val="24"/>
        </w:rPr>
      </w:pPr>
    </w:p>
    <w:p w14:paraId="6B892DFE" w14:textId="77777777" w:rsidR="00DF634A" w:rsidRPr="00DF634A" w:rsidRDefault="00DF634A" w:rsidP="00DF634A">
      <w:pPr>
        <w:tabs>
          <w:tab w:val="left" w:pos="851"/>
        </w:tabs>
        <w:ind w:left="851"/>
        <w:rPr>
          <w:sz w:val="24"/>
          <w:szCs w:val="24"/>
        </w:rPr>
      </w:pPr>
      <w:r w:rsidRPr="00DF634A">
        <w:rPr>
          <w:sz w:val="24"/>
          <w:szCs w:val="24"/>
          <w:u w:val="single"/>
        </w:rPr>
        <w:t>Hyponatriæmi</w:t>
      </w:r>
      <w:r w:rsidRPr="00DF634A">
        <w:rPr>
          <w:sz w:val="24"/>
          <w:szCs w:val="24"/>
        </w:rPr>
        <w:br/>
        <w:t>Hyponatriæmi er rapporteret ved behandling med duloxetin, herunder tilfælde med serum</w:t>
      </w:r>
      <w:r w:rsidRPr="00DF634A">
        <w:rPr>
          <w:sz w:val="24"/>
          <w:szCs w:val="24"/>
        </w:rPr>
        <w:noBreakHyphen/>
        <w:t>natrium under 110 mmol/l. Hyponatriæmi kan skyldes et syndrom med uhensigtsmæssig sekretion af anti-diuretisk hormon (inadækvat ADH</w:t>
      </w:r>
      <w:r w:rsidRPr="00DF634A">
        <w:rPr>
          <w:sz w:val="24"/>
          <w:szCs w:val="24"/>
        </w:rPr>
        <w:noBreakHyphen/>
        <w:t>sekretion).</w:t>
      </w:r>
    </w:p>
    <w:p w14:paraId="08B64FA1" w14:textId="77777777" w:rsidR="00DF634A" w:rsidRPr="00DF634A" w:rsidRDefault="00DF634A" w:rsidP="00DF634A">
      <w:pPr>
        <w:tabs>
          <w:tab w:val="left" w:pos="851"/>
        </w:tabs>
        <w:ind w:left="851"/>
        <w:rPr>
          <w:sz w:val="24"/>
          <w:szCs w:val="24"/>
        </w:rPr>
      </w:pPr>
      <w:r w:rsidRPr="00DF634A">
        <w:rPr>
          <w:sz w:val="24"/>
          <w:szCs w:val="24"/>
        </w:rPr>
        <w:t xml:space="preserve">De fleste tilfælde er rapporteret hos ældre patienter, især i kombination med nylig ændring i væskebalance eller med tilstande, som disponerer for dette. Der skal udvises forsigtighed ved behandling af patienter med øget risiko for hyponatriæmi, såsom ældre, cirrotiske eller dehydrerede patienter samt patienter i behandling med diuretika.  </w:t>
      </w:r>
    </w:p>
    <w:p w14:paraId="35E3938B" w14:textId="77777777" w:rsidR="00DF634A" w:rsidRDefault="00DF634A" w:rsidP="00DF634A">
      <w:pPr>
        <w:tabs>
          <w:tab w:val="left" w:pos="851"/>
        </w:tabs>
        <w:ind w:left="851"/>
        <w:rPr>
          <w:sz w:val="24"/>
          <w:szCs w:val="24"/>
          <w:u w:val="single"/>
        </w:rPr>
      </w:pPr>
    </w:p>
    <w:p w14:paraId="55198BC2" w14:textId="68B2FEBD" w:rsidR="00DF634A" w:rsidRPr="00DF634A" w:rsidRDefault="00DF634A" w:rsidP="00DF634A">
      <w:pPr>
        <w:tabs>
          <w:tab w:val="left" w:pos="851"/>
        </w:tabs>
        <w:ind w:left="851"/>
        <w:rPr>
          <w:sz w:val="24"/>
          <w:szCs w:val="24"/>
        </w:rPr>
      </w:pPr>
      <w:r w:rsidRPr="00DF634A">
        <w:rPr>
          <w:sz w:val="24"/>
          <w:szCs w:val="24"/>
          <w:u w:val="single"/>
        </w:rPr>
        <w:t>Seponering af behandling</w:t>
      </w:r>
      <w:r w:rsidRPr="00DF634A">
        <w:rPr>
          <w:sz w:val="24"/>
          <w:szCs w:val="24"/>
        </w:rPr>
        <w:br/>
        <w:t xml:space="preserve">Der kan opstå seponeringssymptomer ved behandlingsophør, især hvis behandlingen stoppes pludseligt (se pkt. 4.8). I kliniske studier er der observeret utilsigtede hændelser ved pludselig afbrydelse af behandlingen hos ca. 45% af patienterne behandlet med duloxetin og 23% af patienterne behandlet med placebo.  </w:t>
      </w:r>
    </w:p>
    <w:p w14:paraId="50137B20" w14:textId="77777777" w:rsidR="00DF634A" w:rsidRPr="00DF634A" w:rsidRDefault="00DF634A" w:rsidP="00DF634A">
      <w:pPr>
        <w:tabs>
          <w:tab w:val="left" w:pos="851"/>
        </w:tabs>
        <w:ind w:left="851"/>
        <w:rPr>
          <w:sz w:val="24"/>
          <w:szCs w:val="24"/>
        </w:rPr>
      </w:pPr>
      <w:r w:rsidRPr="00DF634A">
        <w:rPr>
          <w:sz w:val="24"/>
          <w:szCs w:val="24"/>
        </w:rPr>
        <w:t xml:space="preserve">Risikoen for seponeringssymptomer set for SSRI og SNRI kan afhænge af flere faktorer blandt andet behandlingsvarigheden, dosis og hvor hurtigt dosis reduceres. De mest almindelige bivirkninger er anført under punkt 4.8. Disse symptomer er generelt lette til moderate, for nogle patienter kan de dog være svære i intensitet. Symptomerne vil sædvanligvis opstå inden for de første fem dage efter behandlingsophør. Der har dog været sjældne rapporter af tilfælde med disse symptomer hos patienter, der af vanvare har glemt en dosis. Generelt er disse symptomer selvbegrænsende og forsvinder sædvanligvis inden for 2 uger, selvom de i nogle tilfælde kan vare ved i længere tid (2-3 måneder eller flere). Ved afbrydelse af behandling anbefales det derfor, at duloxetin gradvis nedtrappes over en periode på ikke mindre end 2 uger i henhold til patientens behov (se pkt. 4.2).  </w:t>
      </w:r>
    </w:p>
    <w:p w14:paraId="166758D0" w14:textId="77777777" w:rsidR="00DF634A" w:rsidRPr="00DF634A" w:rsidRDefault="00DF634A" w:rsidP="00DF634A">
      <w:pPr>
        <w:tabs>
          <w:tab w:val="left" w:pos="851"/>
        </w:tabs>
        <w:ind w:left="851"/>
        <w:rPr>
          <w:sz w:val="24"/>
          <w:szCs w:val="24"/>
        </w:rPr>
      </w:pPr>
    </w:p>
    <w:p w14:paraId="15C6E368" w14:textId="77777777" w:rsidR="00DF634A" w:rsidRPr="00DF634A" w:rsidRDefault="00DF634A" w:rsidP="00DF634A">
      <w:pPr>
        <w:tabs>
          <w:tab w:val="left" w:pos="851"/>
        </w:tabs>
        <w:ind w:left="851"/>
        <w:rPr>
          <w:sz w:val="24"/>
          <w:szCs w:val="24"/>
        </w:rPr>
      </w:pPr>
      <w:r w:rsidRPr="00DF634A">
        <w:rPr>
          <w:sz w:val="24"/>
          <w:szCs w:val="24"/>
          <w:u w:val="single"/>
        </w:rPr>
        <w:t>Ældre</w:t>
      </w:r>
      <w:r w:rsidRPr="00DF634A">
        <w:rPr>
          <w:sz w:val="24"/>
          <w:szCs w:val="24"/>
        </w:rPr>
        <w:br/>
        <w:t>Data for anvendelse af duloxetin 120 mg hos ældre med svær depressiv episode eller generaliseret angst er begrænsede. Forsigtighed bør udvises ved behandling med maksimaldosis (se pkt. 4.2 og 5.2).</w:t>
      </w:r>
    </w:p>
    <w:p w14:paraId="0A0EB6F8" w14:textId="77777777" w:rsidR="00DF634A" w:rsidRPr="00DF634A" w:rsidRDefault="00DF634A" w:rsidP="00DF634A">
      <w:pPr>
        <w:tabs>
          <w:tab w:val="left" w:pos="851"/>
        </w:tabs>
        <w:ind w:left="851"/>
        <w:rPr>
          <w:sz w:val="24"/>
          <w:szCs w:val="24"/>
        </w:rPr>
      </w:pPr>
    </w:p>
    <w:p w14:paraId="718E05AF" w14:textId="77777777" w:rsidR="00DF634A" w:rsidRPr="00DF634A" w:rsidRDefault="00DF634A" w:rsidP="00DF634A">
      <w:pPr>
        <w:tabs>
          <w:tab w:val="left" w:pos="851"/>
        </w:tabs>
        <w:ind w:left="851"/>
        <w:rPr>
          <w:sz w:val="24"/>
          <w:szCs w:val="24"/>
        </w:rPr>
      </w:pPr>
      <w:r w:rsidRPr="00DF634A">
        <w:rPr>
          <w:sz w:val="24"/>
          <w:szCs w:val="24"/>
          <w:u w:val="single"/>
        </w:rPr>
        <w:t>Akatisi/psykomotorisk uro</w:t>
      </w:r>
      <w:r w:rsidRPr="00DF634A">
        <w:rPr>
          <w:sz w:val="24"/>
          <w:szCs w:val="24"/>
        </w:rPr>
        <w:br/>
        <w:t>Anvendelse af duloxetin er forbundet med udvikling af akatisi, karakteriseret ved en subjektivt ubehagelig rastløshed og behov for bevægelse ofte i følgeskab med manglende evne til at sidde eller stå sille. Dette forekommer hyppigst i de første behandlingsuger. Hos patienter med disse symptomer kan dosisøgning være skadelig.</w:t>
      </w:r>
    </w:p>
    <w:p w14:paraId="707CF040" w14:textId="77777777" w:rsidR="00DF634A" w:rsidRPr="00DF634A" w:rsidRDefault="00DF634A" w:rsidP="00DF634A">
      <w:pPr>
        <w:tabs>
          <w:tab w:val="left" w:pos="851"/>
        </w:tabs>
        <w:ind w:left="851"/>
        <w:rPr>
          <w:sz w:val="24"/>
          <w:szCs w:val="24"/>
        </w:rPr>
      </w:pPr>
    </w:p>
    <w:p w14:paraId="0419B3D3" w14:textId="77777777" w:rsidR="00DF634A" w:rsidRPr="00DF634A" w:rsidRDefault="00DF634A" w:rsidP="00DF634A">
      <w:pPr>
        <w:tabs>
          <w:tab w:val="left" w:pos="851"/>
        </w:tabs>
        <w:ind w:left="851"/>
        <w:rPr>
          <w:sz w:val="24"/>
          <w:szCs w:val="24"/>
        </w:rPr>
      </w:pPr>
      <w:r w:rsidRPr="00DF634A">
        <w:rPr>
          <w:sz w:val="24"/>
          <w:szCs w:val="24"/>
          <w:u w:val="single"/>
        </w:rPr>
        <w:t>Lægemidler indeholdende duloxetin</w:t>
      </w:r>
      <w:r w:rsidRPr="00DF634A">
        <w:rPr>
          <w:sz w:val="24"/>
          <w:szCs w:val="24"/>
        </w:rPr>
        <w:br/>
        <w:t>Duloxetin markedsføres under forskellige handelsnavne og indikationer (behandling af diabetiske neuropatiske smerter, svære depressioner, generaliseret angst og stress-inkontinens). Samtidig anvendelse af flere produkter indeholdende duloxetin bør undgås.</w:t>
      </w:r>
    </w:p>
    <w:p w14:paraId="691460C5" w14:textId="77777777" w:rsidR="00DF634A" w:rsidRPr="00DF634A" w:rsidRDefault="00DF634A" w:rsidP="00DF634A">
      <w:pPr>
        <w:tabs>
          <w:tab w:val="left" w:pos="851"/>
        </w:tabs>
        <w:ind w:left="851"/>
        <w:rPr>
          <w:sz w:val="24"/>
          <w:szCs w:val="24"/>
        </w:rPr>
      </w:pPr>
    </w:p>
    <w:p w14:paraId="4DD14B78" w14:textId="77777777" w:rsidR="00DF634A" w:rsidRPr="00DF634A" w:rsidRDefault="00DF634A" w:rsidP="00DF634A">
      <w:pPr>
        <w:tabs>
          <w:tab w:val="left" w:pos="851"/>
        </w:tabs>
        <w:ind w:left="851"/>
        <w:rPr>
          <w:sz w:val="24"/>
          <w:szCs w:val="24"/>
        </w:rPr>
      </w:pPr>
      <w:r w:rsidRPr="00DF634A">
        <w:rPr>
          <w:sz w:val="24"/>
          <w:szCs w:val="24"/>
          <w:u w:val="single"/>
        </w:rPr>
        <w:t>Hepatitis/forhøjede leverenzymer</w:t>
      </w:r>
      <w:r w:rsidRPr="00DF634A">
        <w:rPr>
          <w:sz w:val="24"/>
          <w:szCs w:val="24"/>
        </w:rPr>
        <w:br/>
        <w:t>Der er rapporteret tilfælde af leverskade, herunder markant forhøjede leverenzymer (&gt; 10 gange øvre normalgrænse), hepatitis og gulsot ved behandling med duloxetin (se pkt. 4.8). De fleste skete inden for de første måneder af behandlingen. Det mønster, der tegner sig for leverskade, er overvejende hepatocellulært. Duloxetin bør anvendes med forsigtighed hos patienter, der behandles med andre lægemidler med potentiel leverpåvirkning.</w:t>
      </w:r>
    </w:p>
    <w:p w14:paraId="714915A1" w14:textId="77777777" w:rsidR="00DF634A" w:rsidRPr="00DF634A" w:rsidRDefault="00DF634A" w:rsidP="00DF634A">
      <w:pPr>
        <w:tabs>
          <w:tab w:val="left" w:pos="851"/>
        </w:tabs>
        <w:ind w:left="851"/>
        <w:rPr>
          <w:sz w:val="24"/>
          <w:szCs w:val="24"/>
        </w:rPr>
      </w:pPr>
    </w:p>
    <w:p w14:paraId="1BCFB5EE" w14:textId="77777777" w:rsidR="00DF634A" w:rsidRPr="00DF634A" w:rsidRDefault="00DF634A" w:rsidP="00DF634A">
      <w:pPr>
        <w:tabs>
          <w:tab w:val="left" w:pos="851"/>
        </w:tabs>
        <w:ind w:left="851"/>
        <w:rPr>
          <w:sz w:val="24"/>
          <w:szCs w:val="24"/>
        </w:rPr>
      </w:pPr>
      <w:r w:rsidRPr="00DF634A">
        <w:rPr>
          <w:sz w:val="24"/>
          <w:szCs w:val="24"/>
          <w:u w:val="single"/>
        </w:rPr>
        <w:t>Seksuel dysfunktion</w:t>
      </w:r>
      <w:r w:rsidRPr="00DF634A">
        <w:rPr>
          <w:sz w:val="24"/>
          <w:szCs w:val="24"/>
        </w:rPr>
        <w:br/>
        <w:t>Selektive serotoningenoptagelseshæmmere (SSRI)/serotonin- og noradrenalingenoptagelseshæmmere (SNRI) kan forårsage seksuel dysfunktion (se pkt. 4.8). Der er rapporteret om vedvarende seksuel dysfunktion, hvor symptomerne fortsætter trods behandlingsophør af af SSRI/SNRI.</w:t>
      </w:r>
    </w:p>
    <w:p w14:paraId="0A83296E" w14:textId="77777777" w:rsidR="00DF634A" w:rsidRPr="00DF634A" w:rsidRDefault="00DF634A" w:rsidP="00DF634A">
      <w:pPr>
        <w:tabs>
          <w:tab w:val="left" w:pos="851"/>
        </w:tabs>
        <w:ind w:left="851"/>
        <w:rPr>
          <w:sz w:val="24"/>
          <w:szCs w:val="24"/>
        </w:rPr>
      </w:pPr>
    </w:p>
    <w:p w14:paraId="64D91CC0" w14:textId="77777777" w:rsidR="00DF634A" w:rsidRPr="00DF634A" w:rsidRDefault="00DF634A" w:rsidP="00DF634A">
      <w:pPr>
        <w:tabs>
          <w:tab w:val="left" w:pos="851"/>
        </w:tabs>
        <w:ind w:left="851"/>
        <w:rPr>
          <w:sz w:val="24"/>
          <w:szCs w:val="24"/>
        </w:rPr>
      </w:pPr>
      <w:r w:rsidRPr="00DF634A">
        <w:rPr>
          <w:sz w:val="24"/>
          <w:szCs w:val="24"/>
          <w:u w:val="single"/>
        </w:rPr>
        <w:t>Duloxetin "Stada Nordic" indeholder saccharose</w:t>
      </w:r>
      <w:r w:rsidRPr="00DF634A">
        <w:rPr>
          <w:sz w:val="24"/>
          <w:szCs w:val="24"/>
        </w:rPr>
        <w:br/>
        <w:t xml:space="preserve">Produktresumé, forslag: Bør ikke anvendes til patienter med hereditær fructoseintolerans, glucose/galactosemalabsorption og sucrase-isomaltasemangel. </w:t>
      </w:r>
    </w:p>
    <w:p w14:paraId="7830F000" w14:textId="77777777" w:rsidR="00DF634A" w:rsidRPr="00DF634A" w:rsidRDefault="00DF634A" w:rsidP="00DF634A">
      <w:pPr>
        <w:tabs>
          <w:tab w:val="left" w:pos="851"/>
        </w:tabs>
        <w:ind w:left="851"/>
        <w:rPr>
          <w:sz w:val="24"/>
          <w:szCs w:val="24"/>
        </w:rPr>
      </w:pPr>
    </w:p>
    <w:p w14:paraId="087432AE" w14:textId="77777777" w:rsidR="00DF634A" w:rsidRPr="00DF634A" w:rsidRDefault="00DF634A" w:rsidP="00DF634A">
      <w:pPr>
        <w:tabs>
          <w:tab w:val="left" w:pos="851"/>
        </w:tabs>
        <w:ind w:left="851"/>
        <w:rPr>
          <w:sz w:val="24"/>
          <w:szCs w:val="24"/>
        </w:rPr>
      </w:pPr>
      <w:r w:rsidRPr="00DF634A">
        <w:rPr>
          <w:sz w:val="24"/>
          <w:szCs w:val="24"/>
          <w:u w:val="single"/>
        </w:rPr>
        <w:t>Duloxetin "Stada Nordic" indeholder natrium</w:t>
      </w:r>
      <w:r w:rsidRPr="00DF634A">
        <w:rPr>
          <w:sz w:val="24"/>
          <w:szCs w:val="24"/>
        </w:rPr>
        <w:br/>
        <w:t>Dette lægemiddel indeholder mindre end 1 mmol natrium (23 mg) pr. kapsel, dvs. det er i det væsentlige natriumfrit.</w:t>
      </w:r>
    </w:p>
    <w:p w14:paraId="3F6B79C6" w14:textId="77777777" w:rsidR="009260DE" w:rsidRPr="00C84483" w:rsidRDefault="009260DE" w:rsidP="009260DE">
      <w:pPr>
        <w:tabs>
          <w:tab w:val="left" w:pos="851"/>
        </w:tabs>
        <w:ind w:left="851"/>
        <w:rPr>
          <w:sz w:val="24"/>
          <w:szCs w:val="24"/>
        </w:rPr>
      </w:pPr>
    </w:p>
    <w:p w14:paraId="192B772D" w14:textId="77777777" w:rsidR="009260DE" w:rsidRPr="00C84483" w:rsidRDefault="009260DE" w:rsidP="009260DE">
      <w:pPr>
        <w:tabs>
          <w:tab w:val="left" w:pos="851"/>
        </w:tabs>
        <w:ind w:left="851" w:hanging="851"/>
        <w:rPr>
          <w:b/>
          <w:sz w:val="24"/>
          <w:szCs w:val="24"/>
        </w:rPr>
      </w:pPr>
      <w:r w:rsidRPr="00C84483">
        <w:rPr>
          <w:b/>
          <w:sz w:val="24"/>
          <w:szCs w:val="24"/>
        </w:rPr>
        <w:t>4.5</w:t>
      </w:r>
      <w:r w:rsidRPr="00C84483">
        <w:rPr>
          <w:b/>
          <w:sz w:val="24"/>
          <w:szCs w:val="24"/>
        </w:rPr>
        <w:tab/>
        <w:t>Interaktion med andre lægemidler og andre former for interaktion</w:t>
      </w:r>
    </w:p>
    <w:p w14:paraId="50111442" w14:textId="77777777" w:rsidR="00DF634A" w:rsidRPr="00DF634A" w:rsidRDefault="00DF634A" w:rsidP="00DF634A">
      <w:pPr>
        <w:tabs>
          <w:tab w:val="left" w:pos="851"/>
        </w:tabs>
        <w:ind w:left="851"/>
        <w:rPr>
          <w:sz w:val="24"/>
          <w:szCs w:val="24"/>
        </w:rPr>
      </w:pPr>
    </w:p>
    <w:p w14:paraId="3A430FE7" w14:textId="77777777" w:rsidR="00DF634A" w:rsidRPr="00DF634A" w:rsidRDefault="00DF634A" w:rsidP="00DF634A">
      <w:pPr>
        <w:tabs>
          <w:tab w:val="left" w:pos="851"/>
        </w:tabs>
        <w:ind w:left="851"/>
        <w:rPr>
          <w:sz w:val="24"/>
          <w:szCs w:val="24"/>
        </w:rPr>
      </w:pPr>
      <w:r w:rsidRPr="00DF634A">
        <w:rPr>
          <w:sz w:val="24"/>
          <w:szCs w:val="24"/>
          <w:u w:val="single"/>
        </w:rPr>
        <w:t>Monoaminoxidasehæmmere (MAO</w:t>
      </w:r>
      <w:r w:rsidRPr="00DF634A">
        <w:rPr>
          <w:sz w:val="24"/>
          <w:szCs w:val="24"/>
          <w:u w:val="single"/>
        </w:rPr>
        <w:noBreakHyphen/>
        <w:t>hæmmere)</w:t>
      </w:r>
      <w:r w:rsidRPr="00DF634A">
        <w:rPr>
          <w:sz w:val="24"/>
          <w:szCs w:val="24"/>
        </w:rPr>
        <w:br/>
        <w:t>På grund af risikoen for serotoninsyndrom bør duloxetin ikke anvendes samtidig med non</w:t>
      </w:r>
      <w:r w:rsidRPr="00DF634A">
        <w:rPr>
          <w:sz w:val="24"/>
          <w:szCs w:val="24"/>
        </w:rPr>
        <w:noBreakHyphen/>
        <w:t>selektive, irreversible monoaminoxidasehæmmere (MAO</w:t>
      </w:r>
      <w:r w:rsidRPr="00DF634A">
        <w:rPr>
          <w:sz w:val="24"/>
          <w:szCs w:val="24"/>
        </w:rPr>
        <w:noBreakHyphen/>
        <w:t>hæmmere) eller inden for mindst 14 dage efter ophør af behandling med en MAO</w:t>
      </w:r>
      <w:r w:rsidRPr="00DF634A">
        <w:rPr>
          <w:sz w:val="24"/>
          <w:szCs w:val="24"/>
        </w:rPr>
        <w:noBreakHyphen/>
        <w:t>hæmmer. På baggrund af duloxetins halveringstid bør der gå mindst 5 dage efter ophør med Duloxetin "Stada Nordic", før behandling med en MAO</w:t>
      </w:r>
      <w:r w:rsidRPr="00DF634A">
        <w:rPr>
          <w:sz w:val="24"/>
          <w:szCs w:val="24"/>
        </w:rPr>
        <w:noBreakHyphen/>
        <w:t>hæmmer påbegyndes (se pkt. 4.3).</w:t>
      </w:r>
    </w:p>
    <w:p w14:paraId="39C5E849" w14:textId="77777777" w:rsidR="00DF634A" w:rsidRPr="00DF634A" w:rsidRDefault="00DF634A" w:rsidP="00DF634A">
      <w:pPr>
        <w:tabs>
          <w:tab w:val="left" w:pos="851"/>
        </w:tabs>
        <w:ind w:left="851"/>
        <w:rPr>
          <w:sz w:val="24"/>
          <w:szCs w:val="24"/>
        </w:rPr>
      </w:pPr>
    </w:p>
    <w:p w14:paraId="786D0A6A" w14:textId="77777777" w:rsidR="00DF634A" w:rsidRPr="00DF634A" w:rsidRDefault="00DF634A" w:rsidP="00DF634A">
      <w:pPr>
        <w:tabs>
          <w:tab w:val="left" w:pos="851"/>
        </w:tabs>
        <w:ind w:left="851"/>
        <w:rPr>
          <w:sz w:val="24"/>
          <w:szCs w:val="24"/>
        </w:rPr>
      </w:pPr>
      <w:r w:rsidRPr="00DF634A">
        <w:rPr>
          <w:sz w:val="24"/>
          <w:szCs w:val="24"/>
        </w:rPr>
        <w:t>Samtidig anvendelse af duloxetin med selektive, reversible MAO</w:t>
      </w:r>
      <w:r w:rsidRPr="00DF634A">
        <w:rPr>
          <w:sz w:val="24"/>
          <w:szCs w:val="24"/>
        </w:rPr>
        <w:noBreakHyphen/>
        <w:t>hæmmere, såsom moclobemid, anbefales ikke (se pkt. 4.4). Antibiotikaet linezolid er en reversibel non</w:t>
      </w:r>
      <w:r w:rsidRPr="00DF634A">
        <w:rPr>
          <w:sz w:val="24"/>
          <w:szCs w:val="24"/>
        </w:rPr>
        <w:noBreakHyphen/>
        <w:t>selektiv MAO</w:t>
      </w:r>
      <w:r w:rsidRPr="00DF634A">
        <w:rPr>
          <w:sz w:val="24"/>
          <w:szCs w:val="24"/>
        </w:rPr>
        <w:noBreakHyphen/>
        <w:t>hæmmer og bør ikke anvendes til patienter, der behandles med duloxetin (se pkt. 4.4).</w:t>
      </w:r>
    </w:p>
    <w:p w14:paraId="0A3572CE" w14:textId="77777777" w:rsidR="00DF634A" w:rsidRPr="00DF634A" w:rsidRDefault="00DF634A" w:rsidP="00DF634A">
      <w:pPr>
        <w:tabs>
          <w:tab w:val="left" w:pos="851"/>
        </w:tabs>
        <w:ind w:left="851"/>
        <w:rPr>
          <w:sz w:val="24"/>
          <w:szCs w:val="24"/>
        </w:rPr>
      </w:pPr>
    </w:p>
    <w:p w14:paraId="3F820AB3" w14:textId="77777777" w:rsidR="00DF634A" w:rsidRPr="00DF634A" w:rsidRDefault="00DF634A" w:rsidP="00DF634A">
      <w:pPr>
        <w:tabs>
          <w:tab w:val="left" w:pos="851"/>
        </w:tabs>
        <w:ind w:left="851"/>
        <w:rPr>
          <w:sz w:val="24"/>
          <w:szCs w:val="24"/>
        </w:rPr>
      </w:pPr>
      <w:r w:rsidRPr="00DF634A">
        <w:rPr>
          <w:sz w:val="24"/>
          <w:szCs w:val="24"/>
          <w:u w:val="single"/>
        </w:rPr>
        <w:t>CYP1A2</w:t>
      </w:r>
      <w:r w:rsidRPr="00DF634A">
        <w:rPr>
          <w:sz w:val="24"/>
          <w:szCs w:val="24"/>
          <w:u w:val="single"/>
        </w:rPr>
        <w:noBreakHyphen/>
        <w:t>hæmmere</w:t>
      </w:r>
      <w:r w:rsidRPr="00DF634A">
        <w:rPr>
          <w:sz w:val="24"/>
          <w:szCs w:val="24"/>
        </w:rPr>
        <w:br/>
        <w:t>Da CYP1A2 er involveret i metabolismen af duloxetin, vil samtidig anvendelse af duloxetin med potente hæmmere af CYP1A2 sandsynligvis medføre højere koncentrationer af duloxetin. Fluvoxamin (100 mg én gang dagligt), en potent hæmmer af CYP1A2, reducerede den tilsyneladende plasmaclearance af duloxetin med ca. 77 % og øgede AUC₀</w:t>
      </w:r>
      <w:r w:rsidRPr="00DF634A">
        <w:rPr>
          <w:sz w:val="24"/>
          <w:szCs w:val="24"/>
        </w:rPr>
        <w:noBreakHyphen/>
        <w:t>t 6</w:t>
      </w:r>
      <w:r w:rsidRPr="00DF634A">
        <w:rPr>
          <w:sz w:val="24"/>
          <w:szCs w:val="24"/>
        </w:rPr>
        <w:noBreakHyphen/>
        <w:t>fold. Duloxetin bør derfor ikke anvendes samtidig med potente hæmmere af CYP1A2 såsom fluvoxamin (se pkt. 4.3).</w:t>
      </w:r>
    </w:p>
    <w:p w14:paraId="7AE141E7" w14:textId="77777777" w:rsidR="00DF634A" w:rsidRPr="00DF634A" w:rsidRDefault="00DF634A" w:rsidP="00DF634A">
      <w:pPr>
        <w:tabs>
          <w:tab w:val="left" w:pos="851"/>
        </w:tabs>
        <w:ind w:left="851"/>
        <w:rPr>
          <w:sz w:val="24"/>
          <w:szCs w:val="24"/>
        </w:rPr>
      </w:pPr>
    </w:p>
    <w:p w14:paraId="2EAA22B2" w14:textId="77777777" w:rsidR="00DF634A" w:rsidRPr="00DF634A" w:rsidRDefault="00DF634A" w:rsidP="00DF634A">
      <w:pPr>
        <w:tabs>
          <w:tab w:val="left" w:pos="851"/>
        </w:tabs>
        <w:ind w:left="851"/>
        <w:rPr>
          <w:sz w:val="24"/>
          <w:szCs w:val="24"/>
        </w:rPr>
      </w:pPr>
      <w:r w:rsidRPr="00DF634A">
        <w:rPr>
          <w:sz w:val="24"/>
          <w:szCs w:val="24"/>
          <w:u w:val="single"/>
        </w:rPr>
        <w:t>CNS</w:t>
      </w:r>
      <w:r w:rsidRPr="00DF634A">
        <w:rPr>
          <w:sz w:val="24"/>
          <w:szCs w:val="24"/>
          <w:u w:val="single"/>
        </w:rPr>
        <w:noBreakHyphen/>
        <w:t>aktive lægemidler</w:t>
      </w:r>
      <w:r w:rsidRPr="00DF634A">
        <w:rPr>
          <w:sz w:val="24"/>
          <w:szCs w:val="24"/>
        </w:rPr>
        <w:br/>
        <w:t>Risikoen ved anvendelse af duloxetin i kombination med andre CNS</w:t>
      </w:r>
      <w:r w:rsidRPr="00DF634A">
        <w:rPr>
          <w:sz w:val="24"/>
          <w:szCs w:val="24"/>
        </w:rPr>
        <w:noBreakHyphen/>
        <w:t>aktive lægemidler er ikke systematisk undersøgt, bortset fra i de tilfælde, der er beskrevet i dette afsnit. Der bør derfor udvises forsigtighed, når duloxetin anvendes samtidig med andre centralt virkende lægemidler eller stoffer, herunder alkohol og sederende lægemidler (f.eks. benzodiazepiner, morfinlignende analgetika, antipsykotika, phenobarbital og sederende antihistaminer).</w:t>
      </w:r>
    </w:p>
    <w:p w14:paraId="5001D02B" w14:textId="77777777" w:rsidR="00DF634A" w:rsidRPr="00DF634A" w:rsidRDefault="00DF634A" w:rsidP="00DF634A">
      <w:pPr>
        <w:tabs>
          <w:tab w:val="left" w:pos="851"/>
        </w:tabs>
        <w:ind w:left="851"/>
        <w:rPr>
          <w:sz w:val="24"/>
          <w:szCs w:val="24"/>
        </w:rPr>
      </w:pPr>
    </w:p>
    <w:p w14:paraId="709BE2BA" w14:textId="77777777" w:rsidR="00DF634A" w:rsidRPr="00DF634A" w:rsidRDefault="00DF634A" w:rsidP="00DF634A">
      <w:pPr>
        <w:tabs>
          <w:tab w:val="left" w:pos="851"/>
        </w:tabs>
        <w:ind w:left="851"/>
        <w:rPr>
          <w:sz w:val="24"/>
          <w:szCs w:val="24"/>
        </w:rPr>
      </w:pPr>
      <w:r w:rsidRPr="00DF634A">
        <w:rPr>
          <w:sz w:val="24"/>
          <w:szCs w:val="24"/>
          <w:u w:val="single"/>
        </w:rPr>
        <w:t>Serotonerge lægemidler</w:t>
      </w:r>
      <w:r w:rsidRPr="00DF634A">
        <w:rPr>
          <w:sz w:val="24"/>
          <w:szCs w:val="24"/>
        </w:rPr>
        <w:br/>
        <w:t>I sjældne tilfælde er serotoninsyndrom rapporteret hos patienter, der anvender SSRI’er/SNRI’er samtidig med serotonerge lægemidler. Der bør udvises forsigtighed, hvis duloxetin anvendes sammen med serotonerge lægemidler som SSRI’er, SNRI’er, tricykliske antidepressiva såsom clomipramin eller amitriptylin, MAO</w:t>
      </w:r>
      <w:r w:rsidRPr="00DF634A">
        <w:rPr>
          <w:sz w:val="24"/>
          <w:szCs w:val="24"/>
        </w:rPr>
        <w:noBreakHyphen/>
        <w:t xml:space="preserve">hæmmere såsom </w:t>
      </w:r>
      <w:r w:rsidRPr="00DF634A">
        <w:rPr>
          <w:sz w:val="24"/>
          <w:szCs w:val="24"/>
        </w:rPr>
        <w:lastRenderedPageBreak/>
        <w:t>moclobemid eller linezolid, perikon (Hypericum perforatum) eller triptaner, tramadol, buprenorphin, pethidin og tryptofan (se pkt. 4.4).</w:t>
      </w:r>
    </w:p>
    <w:p w14:paraId="2755E2FF" w14:textId="77777777" w:rsidR="00DF634A" w:rsidRPr="00DF634A" w:rsidRDefault="00DF634A" w:rsidP="00DF634A">
      <w:pPr>
        <w:tabs>
          <w:tab w:val="left" w:pos="851"/>
        </w:tabs>
        <w:ind w:left="851"/>
        <w:rPr>
          <w:sz w:val="24"/>
          <w:szCs w:val="24"/>
        </w:rPr>
      </w:pPr>
    </w:p>
    <w:p w14:paraId="24F219FE" w14:textId="77777777" w:rsidR="00DF634A" w:rsidRPr="00DF634A" w:rsidRDefault="00DF634A" w:rsidP="00DF634A">
      <w:pPr>
        <w:tabs>
          <w:tab w:val="left" w:pos="851"/>
        </w:tabs>
        <w:ind w:left="851"/>
        <w:rPr>
          <w:b/>
          <w:bCs/>
          <w:sz w:val="24"/>
          <w:szCs w:val="24"/>
        </w:rPr>
      </w:pPr>
      <w:r w:rsidRPr="00DF634A">
        <w:rPr>
          <w:b/>
          <w:bCs/>
          <w:sz w:val="24"/>
          <w:szCs w:val="24"/>
        </w:rPr>
        <w:t>Virkning af duloxetin på andre lægemidler</w:t>
      </w:r>
    </w:p>
    <w:p w14:paraId="203B63B4" w14:textId="77777777" w:rsidR="00DF634A" w:rsidRDefault="00DF634A" w:rsidP="00DF634A">
      <w:pPr>
        <w:tabs>
          <w:tab w:val="left" w:pos="851"/>
        </w:tabs>
        <w:ind w:left="851"/>
        <w:rPr>
          <w:sz w:val="24"/>
          <w:szCs w:val="24"/>
          <w:u w:val="single"/>
        </w:rPr>
      </w:pPr>
    </w:p>
    <w:p w14:paraId="76DBF871" w14:textId="39C39BC3" w:rsidR="00DF634A" w:rsidRPr="00DF634A" w:rsidRDefault="00DF634A" w:rsidP="00DF634A">
      <w:pPr>
        <w:tabs>
          <w:tab w:val="left" w:pos="851"/>
        </w:tabs>
        <w:ind w:left="851"/>
        <w:rPr>
          <w:sz w:val="24"/>
          <w:szCs w:val="24"/>
        </w:rPr>
      </w:pPr>
      <w:r w:rsidRPr="00DF634A">
        <w:rPr>
          <w:sz w:val="24"/>
          <w:szCs w:val="24"/>
          <w:u w:val="single"/>
        </w:rPr>
        <w:t>Lægemidler metaboliseret af CYP1A2</w:t>
      </w:r>
      <w:r w:rsidRPr="00DF634A">
        <w:rPr>
          <w:sz w:val="24"/>
          <w:szCs w:val="24"/>
        </w:rPr>
        <w:br/>
        <w:t>Farmakokinetikken af theophyllin, et CYP1A2</w:t>
      </w:r>
      <w:r w:rsidRPr="00DF634A">
        <w:rPr>
          <w:sz w:val="24"/>
          <w:szCs w:val="24"/>
        </w:rPr>
        <w:noBreakHyphen/>
        <w:t>substrat, blev ikke signifikant påvirket ved samtidig administration med duloxetin (60 mg to gange dagligt).</w:t>
      </w:r>
    </w:p>
    <w:p w14:paraId="6FD6F8B7" w14:textId="77777777" w:rsidR="00DF634A" w:rsidRPr="00DF634A" w:rsidRDefault="00DF634A" w:rsidP="00DF634A">
      <w:pPr>
        <w:tabs>
          <w:tab w:val="left" w:pos="851"/>
        </w:tabs>
        <w:ind w:left="851"/>
        <w:rPr>
          <w:sz w:val="24"/>
          <w:szCs w:val="24"/>
        </w:rPr>
      </w:pPr>
    </w:p>
    <w:p w14:paraId="25107374" w14:textId="77777777" w:rsidR="00DF634A" w:rsidRPr="00DF634A" w:rsidRDefault="00DF634A" w:rsidP="00DF634A">
      <w:pPr>
        <w:tabs>
          <w:tab w:val="left" w:pos="851"/>
        </w:tabs>
        <w:ind w:left="851"/>
        <w:rPr>
          <w:sz w:val="24"/>
          <w:szCs w:val="24"/>
        </w:rPr>
      </w:pPr>
      <w:r w:rsidRPr="00DF634A">
        <w:rPr>
          <w:sz w:val="24"/>
          <w:szCs w:val="24"/>
          <w:u w:val="single"/>
        </w:rPr>
        <w:t>Lægemidler metaboliseret af CYP2D6</w:t>
      </w:r>
      <w:r w:rsidRPr="00DF634A">
        <w:rPr>
          <w:sz w:val="24"/>
          <w:szCs w:val="24"/>
        </w:rPr>
        <w:br/>
        <w:t>Duloxetin er en moderat hæmmer af CYP2D6. Når duloxetin blev administreret i en dosis på 60 mg to gange dagligt sammen med en enkeltdosis desipramin, et CYP2D6</w:t>
      </w:r>
      <w:r w:rsidRPr="00DF634A">
        <w:rPr>
          <w:sz w:val="24"/>
          <w:szCs w:val="24"/>
        </w:rPr>
        <w:noBreakHyphen/>
        <w:t>substrat, steg AUC for desipramin 3</w:t>
      </w:r>
      <w:r w:rsidRPr="00DF634A">
        <w:rPr>
          <w:sz w:val="24"/>
          <w:szCs w:val="24"/>
        </w:rPr>
        <w:noBreakHyphen/>
        <w:t>fold. Samtidig administration af duloxetin (40 mg to gange dagligt) øger steady state</w:t>
      </w:r>
      <w:r w:rsidRPr="00DF634A">
        <w:rPr>
          <w:sz w:val="24"/>
          <w:szCs w:val="24"/>
        </w:rPr>
        <w:noBreakHyphen/>
        <w:t>AUC af tolterodin (2 mg to gange dagligt) med 71 %, men påvirker ikke farmakokinetikken af dets aktive 5</w:t>
      </w:r>
      <w:r w:rsidRPr="00DF634A">
        <w:rPr>
          <w:sz w:val="24"/>
          <w:szCs w:val="24"/>
        </w:rPr>
        <w:noBreakHyphen/>
        <w:t>hydroxymetabolit, og dosisjustering anbefales ikke.</w:t>
      </w:r>
    </w:p>
    <w:p w14:paraId="0329DD12" w14:textId="77777777" w:rsidR="00DF634A" w:rsidRPr="00DF634A" w:rsidRDefault="00DF634A" w:rsidP="00DF634A">
      <w:pPr>
        <w:tabs>
          <w:tab w:val="left" w:pos="851"/>
        </w:tabs>
        <w:ind w:left="851"/>
        <w:rPr>
          <w:sz w:val="24"/>
          <w:szCs w:val="24"/>
        </w:rPr>
      </w:pPr>
      <w:r w:rsidRPr="00DF634A">
        <w:rPr>
          <w:sz w:val="24"/>
          <w:szCs w:val="24"/>
        </w:rPr>
        <w:t>Der bør udvises forsigtighed, hvis duloxetin anvendes sammen med lægemidler, der primært metaboliseres via CYP2D6 (risperidon, tricykliske antidepressiva [TCA’er] såsom nortriptylin, amitriptylin og imipramin), især hvis de har et snævert terapeutisk indeks (såsom flecainid, propafenon og metoprolol).</w:t>
      </w:r>
    </w:p>
    <w:p w14:paraId="7812AA4B" w14:textId="77777777" w:rsidR="00DF634A" w:rsidRPr="00DF634A" w:rsidRDefault="00DF634A" w:rsidP="00DF634A">
      <w:pPr>
        <w:tabs>
          <w:tab w:val="left" w:pos="851"/>
        </w:tabs>
        <w:ind w:left="851"/>
        <w:rPr>
          <w:sz w:val="24"/>
          <w:szCs w:val="24"/>
        </w:rPr>
      </w:pPr>
    </w:p>
    <w:p w14:paraId="7F1BE645" w14:textId="77777777" w:rsidR="00DF634A" w:rsidRPr="00DF634A" w:rsidRDefault="00DF634A" w:rsidP="00DF634A">
      <w:pPr>
        <w:tabs>
          <w:tab w:val="left" w:pos="851"/>
        </w:tabs>
        <w:ind w:left="851"/>
        <w:rPr>
          <w:sz w:val="24"/>
          <w:szCs w:val="24"/>
        </w:rPr>
      </w:pPr>
      <w:r w:rsidRPr="00DF634A">
        <w:rPr>
          <w:sz w:val="24"/>
          <w:szCs w:val="24"/>
          <w:u w:val="single"/>
        </w:rPr>
        <w:t>Orale kontraceptiva og andre steroidhormoner</w:t>
      </w:r>
      <w:r w:rsidRPr="00DF634A">
        <w:rPr>
          <w:sz w:val="24"/>
          <w:szCs w:val="24"/>
        </w:rPr>
        <w:br/>
        <w:t>In vitro</w:t>
      </w:r>
      <w:r w:rsidRPr="00DF634A">
        <w:rPr>
          <w:sz w:val="24"/>
          <w:szCs w:val="24"/>
        </w:rPr>
        <w:noBreakHyphen/>
        <w:t>studier viser, at duloxetin ikke inducerer den katalytiske aktivitet af CYP3A. Specifikke in vivo</w:t>
      </w:r>
      <w:r w:rsidRPr="00DF634A">
        <w:rPr>
          <w:sz w:val="24"/>
          <w:szCs w:val="24"/>
        </w:rPr>
        <w:noBreakHyphen/>
        <w:t>interaktionsstudier er ikke udført.</w:t>
      </w:r>
    </w:p>
    <w:p w14:paraId="6C5DF2E7" w14:textId="77777777" w:rsidR="00DF634A" w:rsidRPr="00DF634A" w:rsidRDefault="00DF634A" w:rsidP="00DF634A">
      <w:pPr>
        <w:tabs>
          <w:tab w:val="left" w:pos="851"/>
        </w:tabs>
        <w:ind w:left="851"/>
        <w:rPr>
          <w:sz w:val="24"/>
          <w:szCs w:val="24"/>
        </w:rPr>
      </w:pPr>
    </w:p>
    <w:p w14:paraId="6B3C8246" w14:textId="77777777" w:rsidR="00DF634A" w:rsidRPr="00DF634A" w:rsidRDefault="00DF634A" w:rsidP="00DF634A">
      <w:pPr>
        <w:tabs>
          <w:tab w:val="left" w:pos="851"/>
        </w:tabs>
        <w:ind w:left="851"/>
        <w:rPr>
          <w:sz w:val="24"/>
          <w:szCs w:val="24"/>
        </w:rPr>
      </w:pPr>
      <w:r w:rsidRPr="00DF634A">
        <w:rPr>
          <w:sz w:val="24"/>
          <w:szCs w:val="24"/>
          <w:u w:val="single"/>
        </w:rPr>
        <w:t>Antikoagulantia og trombocythæmmere</w:t>
      </w:r>
      <w:r w:rsidRPr="00DF634A">
        <w:rPr>
          <w:sz w:val="24"/>
          <w:szCs w:val="24"/>
        </w:rPr>
        <w:br/>
        <w:t>Der bør udvises forsigtighed ved samtidig anvendelse af duloxetin og orale antikoagulantia eller trombocythæmmende lægemidler på grund af en mulig øget risiko for blødning som følge af en farmakodynamisk interaktion.</w:t>
      </w:r>
    </w:p>
    <w:p w14:paraId="0B5EA919" w14:textId="77777777" w:rsidR="00DF634A" w:rsidRPr="00DF634A" w:rsidRDefault="00DF634A" w:rsidP="00DF634A">
      <w:pPr>
        <w:tabs>
          <w:tab w:val="left" w:pos="851"/>
        </w:tabs>
        <w:ind w:left="851"/>
        <w:rPr>
          <w:sz w:val="24"/>
          <w:szCs w:val="24"/>
        </w:rPr>
      </w:pPr>
      <w:r w:rsidRPr="00DF634A">
        <w:rPr>
          <w:sz w:val="24"/>
          <w:szCs w:val="24"/>
        </w:rPr>
        <w:t>Der er desuden rapporteret stigninger i INR</w:t>
      </w:r>
      <w:r w:rsidRPr="00DF634A">
        <w:rPr>
          <w:sz w:val="24"/>
          <w:szCs w:val="24"/>
        </w:rPr>
        <w:noBreakHyphen/>
        <w:t>værdier ved samtidig administration af duloxetin til patienter i behandling med warfarin. Samtidig administration af duloxetin og warfarin under steady state</w:t>
      </w:r>
      <w:r w:rsidRPr="00DF634A">
        <w:rPr>
          <w:sz w:val="24"/>
          <w:szCs w:val="24"/>
        </w:rPr>
        <w:noBreakHyphen/>
        <w:t>forhold hos raske frivillige resulterede dog ikke i klinisk signifikante ændringer i INR eller i farmakokinetikken af R</w:t>
      </w:r>
      <w:r w:rsidRPr="00DF634A">
        <w:rPr>
          <w:sz w:val="24"/>
          <w:szCs w:val="24"/>
        </w:rPr>
        <w:noBreakHyphen/>
        <w:t xml:space="preserve"> eller S</w:t>
      </w:r>
      <w:r w:rsidRPr="00DF634A">
        <w:rPr>
          <w:sz w:val="24"/>
          <w:szCs w:val="24"/>
        </w:rPr>
        <w:noBreakHyphen/>
        <w:t>warfarin.</w:t>
      </w:r>
    </w:p>
    <w:p w14:paraId="4989ECB0" w14:textId="77777777" w:rsidR="00DF634A" w:rsidRPr="00DF634A" w:rsidRDefault="00DF634A" w:rsidP="00DF634A">
      <w:pPr>
        <w:tabs>
          <w:tab w:val="left" w:pos="851"/>
        </w:tabs>
        <w:ind w:left="851"/>
        <w:rPr>
          <w:sz w:val="24"/>
          <w:szCs w:val="24"/>
        </w:rPr>
      </w:pPr>
    </w:p>
    <w:p w14:paraId="4B49F627" w14:textId="77777777" w:rsidR="00DF634A" w:rsidRPr="00DF634A" w:rsidRDefault="00DF634A" w:rsidP="00DF634A">
      <w:pPr>
        <w:tabs>
          <w:tab w:val="left" w:pos="851"/>
        </w:tabs>
        <w:ind w:left="851"/>
        <w:rPr>
          <w:b/>
          <w:bCs/>
          <w:sz w:val="24"/>
          <w:szCs w:val="24"/>
        </w:rPr>
      </w:pPr>
      <w:r w:rsidRPr="00DF634A">
        <w:rPr>
          <w:b/>
          <w:bCs/>
          <w:sz w:val="24"/>
          <w:szCs w:val="24"/>
        </w:rPr>
        <w:t>Virkning af andre lægemidler på duloxetin</w:t>
      </w:r>
    </w:p>
    <w:p w14:paraId="63D0DF89" w14:textId="77777777" w:rsidR="00DF634A" w:rsidRDefault="00DF634A" w:rsidP="00DF634A">
      <w:pPr>
        <w:tabs>
          <w:tab w:val="left" w:pos="851"/>
        </w:tabs>
        <w:ind w:left="851"/>
        <w:rPr>
          <w:sz w:val="24"/>
          <w:szCs w:val="24"/>
          <w:u w:val="single"/>
        </w:rPr>
      </w:pPr>
    </w:p>
    <w:p w14:paraId="6F750451" w14:textId="216CBE65" w:rsidR="00DF634A" w:rsidRPr="00DF634A" w:rsidRDefault="00DF634A" w:rsidP="00DF634A">
      <w:pPr>
        <w:tabs>
          <w:tab w:val="left" w:pos="851"/>
        </w:tabs>
        <w:ind w:left="851"/>
        <w:rPr>
          <w:sz w:val="24"/>
          <w:szCs w:val="24"/>
        </w:rPr>
      </w:pPr>
      <w:r w:rsidRPr="00DF634A">
        <w:rPr>
          <w:sz w:val="24"/>
          <w:szCs w:val="24"/>
          <w:u w:val="single"/>
        </w:rPr>
        <w:t>Antacida og H2</w:t>
      </w:r>
      <w:r w:rsidRPr="00DF634A">
        <w:rPr>
          <w:sz w:val="24"/>
          <w:szCs w:val="24"/>
          <w:u w:val="single"/>
        </w:rPr>
        <w:noBreakHyphen/>
        <w:t>antagonister</w:t>
      </w:r>
      <w:r w:rsidRPr="00DF634A">
        <w:rPr>
          <w:sz w:val="24"/>
          <w:szCs w:val="24"/>
        </w:rPr>
        <w:br/>
        <w:t>Samtidig administration af duloxetin med aluminium</w:t>
      </w:r>
      <w:r w:rsidRPr="00DF634A">
        <w:rPr>
          <w:sz w:val="24"/>
          <w:szCs w:val="24"/>
        </w:rPr>
        <w:noBreakHyphen/>
        <w:t xml:space="preserve"> og magnesiumholdige antacida eller med famotidin havde ingen signifikant effekt på hastigheden eller omfanget af duloxetinabsorption efter en oral dosis på 40 mg.</w:t>
      </w:r>
    </w:p>
    <w:p w14:paraId="77338292" w14:textId="77777777" w:rsidR="00DF634A" w:rsidRPr="00DF634A" w:rsidRDefault="00DF634A" w:rsidP="00DF634A">
      <w:pPr>
        <w:tabs>
          <w:tab w:val="left" w:pos="851"/>
        </w:tabs>
        <w:ind w:left="851"/>
        <w:rPr>
          <w:sz w:val="24"/>
          <w:szCs w:val="24"/>
        </w:rPr>
      </w:pPr>
    </w:p>
    <w:p w14:paraId="0E2511A7" w14:textId="77777777" w:rsidR="00DF634A" w:rsidRPr="00DF634A" w:rsidRDefault="00DF634A" w:rsidP="00DF634A">
      <w:pPr>
        <w:tabs>
          <w:tab w:val="left" w:pos="851"/>
        </w:tabs>
        <w:ind w:left="851"/>
        <w:rPr>
          <w:sz w:val="24"/>
          <w:szCs w:val="24"/>
        </w:rPr>
      </w:pPr>
      <w:r w:rsidRPr="00DF634A">
        <w:rPr>
          <w:sz w:val="24"/>
          <w:szCs w:val="24"/>
          <w:u w:val="single"/>
        </w:rPr>
        <w:t>CYP1A2</w:t>
      </w:r>
      <w:r w:rsidRPr="00DF634A">
        <w:rPr>
          <w:sz w:val="24"/>
          <w:szCs w:val="24"/>
          <w:u w:val="single"/>
        </w:rPr>
        <w:noBreakHyphen/>
        <w:t>induktorer</w:t>
      </w:r>
      <w:r w:rsidRPr="00DF634A">
        <w:rPr>
          <w:sz w:val="24"/>
          <w:szCs w:val="24"/>
        </w:rPr>
        <w:br/>
        <w:t>Populationsfarmakokinetiske analyser har vist, at rygere har næsten 50 % lavere plasmakoncentrationer af duloxetin sammenlignet med ikke</w:t>
      </w:r>
      <w:r w:rsidRPr="00DF634A">
        <w:rPr>
          <w:sz w:val="24"/>
          <w:szCs w:val="24"/>
        </w:rPr>
        <w:noBreakHyphen/>
        <w:t>rygere.</w:t>
      </w:r>
    </w:p>
    <w:p w14:paraId="776287CB" w14:textId="77777777" w:rsidR="009260DE" w:rsidRPr="00C84483" w:rsidRDefault="009260DE" w:rsidP="009260DE">
      <w:pPr>
        <w:tabs>
          <w:tab w:val="left" w:pos="851"/>
        </w:tabs>
        <w:ind w:left="851"/>
        <w:rPr>
          <w:sz w:val="24"/>
          <w:szCs w:val="24"/>
        </w:rPr>
      </w:pPr>
    </w:p>
    <w:p w14:paraId="1A007FB8" w14:textId="77777777" w:rsidR="009260DE" w:rsidRPr="00C84483" w:rsidRDefault="009260DE" w:rsidP="009260DE">
      <w:pPr>
        <w:tabs>
          <w:tab w:val="left" w:pos="851"/>
        </w:tabs>
        <w:ind w:left="851" w:hanging="851"/>
        <w:rPr>
          <w:b/>
          <w:sz w:val="24"/>
          <w:szCs w:val="24"/>
        </w:rPr>
      </w:pPr>
      <w:r w:rsidRPr="00C84483">
        <w:rPr>
          <w:b/>
          <w:sz w:val="24"/>
          <w:szCs w:val="24"/>
        </w:rPr>
        <w:t>4.6</w:t>
      </w:r>
      <w:r w:rsidRPr="00C84483">
        <w:rPr>
          <w:b/>
          <w:sz w:val="24"/>
          <w:szCs w:val="24"/>
        </w:rPr>
        <w:tab/>
      </w:r>
      <w:r w:rsidR="0071241E">
        <w:rPr>
          <w:b/>
          <w:sz w:val="24"/>
          <w:szCs w:val="24"/>
        </w:rPr>
        <w:t>Fertilitet, g</w:t>
      </w:r>
      <w:r w:rsidRPr="00C84483">
        <w:rPr>
          <w:b/>
          <w:sz w:val="24"/>
          <w:szCs w:val="24"/>
        </w:rPr>
        <w:t>raviditet og amning</w:t>
      </w:r>
    </w:p>
    <w:p w14:paraId="183439CB" w14:textId="77777777" w:rsidR="00DF634A" w:rsidRPr="00DF634A" w:rsidRDefault="00DF634A" w:rsidP="00DF634A">
      <w:pPr>
        <w:tabs>
          <w:tab w:val="left" w:pos="851"/>
        </w:tabs>
        <w:ind w:left="851"/>
        <w:rPr>
          <w:sz w:val="24"/>
          <w:szCs w:val="24"/>
        </w:rPr>
      </w:pPr>
    </w:p>
    <w:p w14:paraId="2699EADA" w14:textId="77777777" w:rsidR="00DF634A" w:rsidRPr="00DF634A" w:rsidRDefault="00DF634A" w:rsidP="00DF634A">
      <w:pPr>
        <w:tabs>
          <w:tab w:val="left" w:pos="851"/>
        </w:tabs>
        <w:ind w:left="851"/>
        <w:rPr>
          <w:sz w:val="24"/>
          <w:szCs w:val="24"/>
          <w:u w:val="single"/>
        </w:rPr>
      </w:pPr>
      <w:r w:rsidRPr="00DF634A">
        <w:rPr>
          <w:sz w:val="24"/>
          <w:szCs w:val="24"/>
          <w:u w:val="single"/>
        </w:rPr>
        <w:t>Graviditet</w:t>
      </w:r>
    </w:p>
    <w:p w14:paraId="79D37952" w14:textId="77777777" w:rsidR="00DF634A" w:rsidRPr="00DF634A" w:rsidRDefault="00DF634A" w:rsidP="00DF634A">
      <w:pPr>
        <w:tabs>
          <w:tab w:val="left" w:pos="851"/>
        </w:tabs>
        <w:ind w:left="851"/>
        <w:rPr>
          <w:sz w:val="24"/>
          <w:szCs w:val="24"/>
        </w:rPr>
      </w:pPr>
      <w:r w:rsidRPr="00DF634A">
        <w:rPr>
          <w:sz w:val="24"/>
          <w:szCs w:val="24"/>
        </w:rPr>
        <w:t>Dyreforsøg har vist reproduktionstoksicitet ved systemiske eksponeringsniveauer (AUC) for duloxetin, der er lavere end den maksimale kliniske eksponering (se pkt. 5.3).</w:t>
      </w:r>
    </w:p>
    <w:p w14:paraId="40E22D9C" w14:textId="77777777" w:rsidR="00DF634A" w:rsidRPr="00DF634A" w:rsidRDefault="00DF634A" w:rsidP="00DF634A">
      <w:pPr>
        <w:tabs>
          <w:tab w:val="left" w:pos="851"/>
        </w:tabs>
        <w:ind w:left="851"/>
        <w:rPr>
          <w:sz w:val="24"/>
          <w:szCs w:val="24"/>
        </w:rPr>
      </w:pPr>
    </w:p>
    <w:p w14:paraId="3FFC8606" w14:textId="77777777" w:rsidR="00DF634A" w:rsidRPr="00DF634A" w:rsidRDefault="00DF634A" w:rsidP="00DF634A">
      <w:pPr>
        <w:tabs>
          <w:tab w:val="left" w:pos="851"/>
        </w:tabs>
        <w:ind w:left="851"/>
        <w:rPr>
          <w:sz w:val="24"/>
          <w:szCs w:val="24"/>
        </w:rPr>
      </w:pPr>
      <w:r w:rsidRPr="00DF634A">
        <w:rPr>
          <w:sz w:val="24"/>
          <w:szCs w:val="24"/>
        </w:rPr>
        <w:lastRenderedPageBreak/>
        <w:t>To store observationsstudier tyder ikke på en samlet øget risiko for større medfødte misdannelser (ét fra USA med ca. 2.500 kvinder eksponeret for duloxetin i første trimester og ét fra EU med ca. 1.500 kvinder eksponeret for duloxetin i første trimester). Analysen af specifikke misdannelser, herunder hjertemisdannelser, har givet inkonklusive resultater.</w:t>
      </w:r>
    </w:p>
    <w:p w14:paraId="55AE718A" w14:textId="77777777" w:rsidR="00DF634A" w:rsidRPr="00DF634A" w:rsidRDefault="00DF634A" w:rsidP="00DF634A">
      <w:pPr>
        <w:tabs>
          <w:tab w:val="left" w:pos="851"/>
        </w:tabs>
        <w:ind w:left="851"/>
        <w:rPr>
          <w:sz w:val="24"/>
          <w:szCs w:val="24"/>
        </w:rPr>
      </w:pPr>
    </w:p>
    <w:p w14:paraId="2046A16A" w14:textId="77777777" w:rsidR="00DF634A" w:rsidRPr="00DF634A" w:rsidRDefault="00DF634A" w:rsidP="00DF634A">
      <w:pPr>
        <w:tabs>
          <w:tab w:val="left" w:pos="851"/>
        </w:tabs>
        <w:ind w:left="851"/>
        <w:rPr>
          <w:sz w:val="24"/>
          <w:szCs w:val="24"/>
        </w:rPr>
      </w:pPr>
      <w:r w:rsidRPr="00DF634A">
        <w:rPr>
          <w:sz w:val="24"/>
          <w:szCs w:val="24"/>
        </w:rPr>
        <w:t>I EU</w:t>
      </w:r>
      <w:r w:rsidRPr="00DF634A">
        <w:rPr>
          <w:sz w:val="24"/>
          <w:szCs w:val="24"/>
        </w:rPr>
        <w:noBreakHyphen/>
        <w:t>studiet var maternelt brug af duloxetin i sen graviditet (fra uge 20 til fødslen) associeret med en øget risiko for for tidlig fødsel (mindre end 2</w:t>
      </w:r>
      <w:r w:rsidRPr="00DF634A">
        <w:rPr>
          <w:sz w:val="24"/>
          <w:szCs w:val="24"/>
        </w:rPr>
        <w:noBreakHyphen/>
        <w:t>fold, svarende til ca. 6 ekstra præmature fødsler pr. 100 kvinder behandlet sent i graviditeten). De fleste tilfælde opstod mellem graviditetsuge 35 og 36. Denne sammenhæng blev ikke observeret i det amerikanske studie.</w:t>
      </w:r>
    </w:p>
    <w:p w14:paraId="50AB10A9" w14:textId="77777777" w:rsidR="00DF634A" w:rsidRPr="00DF634A" w:rsidRDefault="00DF634A" w:rsidP="00DF634A">
      <w:pPr>
        <w:tabs>
          <w:tab w:val="left" w:pos="851"/>
        </w:tabs>
        <w:ind w:left="851"/>
        <w:rPr>
          <w:sz w:val="24"/>
          <w:szCs w:val="24"/>
        </w:rPr>
      </w:pPr>
    </w:p>
    <w:p w14:paraId="4DAB033A" w14:textId="77777777" w:rsidR="00DF634A" w:rsidRPr="00DF634A" w:rsidRDefault="00DF634A" w:rsidP="00DF634A">
      <w:pPr>
        <w:tabs>
          <w:tab w:val="left" w:pos="851"/>
        </w:tabs>
        <w:ind w:left="851"/>
        <w:rPr>
          <w:sz w:val="24"/>
          <w:szCs w:val="24"/>
        </w:rPr>
      </w:pPr>
      <w:r w:rsidRPr="00DF634A">
        <w:rPr>
          <w:sz w:val="24"/>
          <w:szCs w:val="24"/>
        </w:rPr>
        <w:t>Data fra USA har vist en øget risiko (mindre end 2</w:t>
      </w:r>
      <w:r w:rsidRPr="00DF634A">
        <w:rPr>
          <w:sz w:val="24"/>
          <w:szCs w:val="24"/>
        </w:rPr>
        <w:noBreakHyphen/>
        <w:t>fold) for postpartum blødning ved eksponering for duloxetin inden for måneden før fødslen.</w:t>
      </w:r>
    </w:p>
    <w:p w14:paraId="34A7AE20" w14:textId="77777777" w:rsidR="00DF634A" w:rsidRPr="00DF634A" w:rsidRDefault="00DF634A" w:rsidP="00DF634A">
      <w:pPr>
        <w:tabs>
          <w:tab w:val="left" w:pos="851"/>
        </w:tabs>
        <w:ind w:left="851"/>
        <w:rPr>
          <w:sz w:val="24"/>
          <w:szCs w:val="24"/>
        </w:rPr>
      </w:pPr>
    </w:p>
    <w:p w14:paraId="1FCFC43D" w14:textId="77777777" w:rsidR="00DF634A" w:rsidRPr="00DF634A" w:rsidRDefault="00DF634A" w:rsidP="00DF634A">
      <w:pPr>
        <w:tabs>
          <w:tab w:val="left" w:pos="851"/>
        </w:tabs>
        <w:ind w:left="851"/>
        <w:rPr>
          <w:sz w:val="24"/>
          <w:szCs w:val="24"/>
        </w:rPr>
      </w:pPr>
      <w:r w:rsidRPr="00DF634A">
        <w:rPr>
          <w:sz w:val="24"/>
          <w:szCs w:val="24"/>
        </w:rPr>
        <w:t>Epidemiologiske data tyder på, at anvendelse af SSRI’er under graviditet, især sent i graviditeten, kan øge risikoen for persisterende pulmonal hypertension hos nyfødte (PPHN). Selvom der ikke er udført studier, der undersøger sammenhængen mellem PPHN og behandling med SNRI’er, kan denne potentielle risiko ikke udelukkes for duloxetin under hensyntagen til virkningsmekanismen (hæmning af genoptagelsen af serotonin).</w:t>
      </w:r>
    </w:p>
    <w:p w14:paraId="00A81DFF" w14:textId="77777777" w:rsidR="00DF634A" w:rsidRPr="00DF634A" w:rsidRDefault="00DF634A" w:rsidP="00DF634A">
      <w:pPr>
        <w:tabs>
          <w:tab w:val="left" w:pos="851"/>
        </w:tabs>
        <w:ind w:left="851"/>
        <w:rPr>
          <w:sz w:val="24"/>
          <w:szCs w:val="24"/>
        </w:rPr>
      </w:pPr>
    </w:p>
    <w:p w14:paraId="4C937E34" w14:textId="77777777" w:rsidR="00DF634A" w:rsidRPr="00DF634A" w:rsidRDefault="00DF634A" w:rsidP="00DF634A">
      <w:pPr>
        <w:tabs>
          <w:tab w:val="left" w:pos="851"/>
        </w:tabs>
        <w:ind w:left="851"/>
        <w:rPr>
          <w:sz w:val="24"/>
          <w:szCs w:val="24"/>
        </w:rPr>
      </w:pPr>
      <w:r w:rsidRPr="00DF634A">
        <w:rPr>
          <w:sz w:val="24"/>
          <w:szCs w:val="24"/>
        </w:rPr>
        <w:t>Som ved andre serotonerge lægemidler kan der opstå seponeringssymptomer hos det nyfødte barn efter moderens anvendelse af duloxetin tæt på termin. Seponeringssymptomer kan omfatte hypotoni, tremor, irritabilitet, ernæringsvanskeligheder, respirationsbesvær og kramper. De fleste tilfælde er opstået ved fødslen eller inden for få dage efter fødslen.</w:t>
      </w:r>
    </w:p>
    <w:p w14:paraId="515D5E11" w14:textId="77777777" w:rsidR="00DF634A" w:rsidRPr="00DF634A" w:rsidRDefault="00DF634A" w:rsidP="00DF634A">
      <w:pPr>
        <w:tabs>
          <w:tab w:val="left" w:pos="851"/>
        </w:tabs>
        <w:ind w:left="851"/>
        <w:rPr>
          <w:sz w:val="24"/>
          <w:szCs w:val="24"/>
        </w:rPr>
      </w:pPr>
    </w:p>
    <w:p w14:paraId="05EE9AEE" w14:textId="77777777" w:rsidR="00DF634A" w:rsidRPr="00DF634A" w:rsidRDefault="00DF634A" w:rsidP="00DF634A">
      <w:pPr>
        <w:tabs>
          <w:tab w:val="left" w:pos="851"/>
        </w:tabs>
        <w:ind w:left="851"/>
        <w:rPr>
          <w:sz w:val="24"/>
          <w:szCs w:val="24"/>
        </w:rPr>
      </w:pPr>
      <w:r w:rsidRPr="00DF634A">
        <w:rPr>
          <w:sz w:val="24"/>
          <w:szCs w:val="24"/>
        </w:rPr>
        <w:t>Duloxetin bør kun anvendes under graviditet, hvis den potentielle fordel opvejer den potentielle risiko for fosteret. Kvinder bør rådes til at kontakte læge, hvis de bliver gravide eller planlægger graviditet under behandlingen.</w:t>
      </w:r>
    </w:p>
    <w:p w14:paraId="2DBA4D64" w14:textId="77777777" w:rsidR="00DF634A" w:rsidRPr="00DF634A" w:rsidRDefault="00DF634A" w:rsidP="00DF634A">
      <w:pPr>
        <w:tabs>
          <w:tab w:val="left" w:pos="851"/>
        </w:tabs>
        <w:ind w:left="851"/>
        <w:rPr>
          <w:sz w:val="24"/>
          <w:szCs w:val="24"/>
          <w:u w:val="single"/>
        </w:rPr>
      </w:pPr>
    </w:p>
    <w:p w14:paraId="5F37C041" w14:textId="77777777" w:rsidR="00DF634A" w:rsidRPr="00DF634A" w:rsidRDefault="00DF634A" w:rsidP="00DF634A">
      <w:pPr>
        <w:tabs>
          <w:tab w:val="left" w:pos="851"/>
        </w:tabs>
        <w:ind w:left="851"/>
        <w:rPr>
          <w:sz w:val="24"/>
          <w:szCs w:val="24"/>
          <w:u w:val="single"/>
        </w:rPr>
      </w:pPr>
      <w:r w:rsidRPr="00DF634A">
        <w:rPr>
          <w:sz w:val="24"/>
          <w:szCs w:val="24"/>
          <w:u w:val="single"/>
        </w:rPr>
        <w:t>Amning</w:t>
      </w:r>
    </w:p>
    <w:p w14:paraId="78D77007" w14:textId="77777777" w:rsidR="00DF634A" w:rsidRPr="00DF634A" w:rsidRDefault="00DF634A" w:rsidP="00DF634A">
      <w:pPr>
        <w:tabs>
          <w:tab w:val="left" w:pos="851"/>
        </w:tabs>
        <w:ind w:left="851"/>
        <w:rPr>
          <w:sz w:val="24"/>
          <w:szCs w:val="24"/>
        </w:rPr>
      </w:pPr>
      <w:r w:rsidRPr="00DF634A">
        <w:rPr>
          <w:sz w:val="24"/>
          <w:szCs w:val="24"/>
        </w:rPr>
        <w:t>Duloxetin udskilles i meget begrænset omfang i human modermælk, baseret på et studie med 6 ammende kvinder, som ikke ammede deres børn. Den estimerede daglige dosis til spædbarnet, beregnet pr. kg legemsvægt, er ca. 0,14 % af moderens dosis (se pkt. 5.2).</w:t>
      </w:r>
    </w:p>
    <w:p w14:paraId="7BF1A464" w14:textId="77777777" w:rsidR="00DF634A" w:rsidRPr="00DF634A" w:rsidRDefault="00DF634A" w:rsidP="00DF634A">
      <w:pPr>
        <w:tabs>
          <w:tab w:val="left" w:pos="851"/>
        </w:tabs>
        <w:ind w:left="851"/>
        <w:rPr>
          <w:sz w:val="24"/>
          <w:szCs w:val="24"/>
        </w:rPr>
      </w:pPr>
    </w:p>
    <w:p w14:paraId="003C873E" w14:textId="77777777" w:rsidR="00DF634A" w:rsidRPr="00DF634A" w:rsidRDefault="00DF634A" w:rsidP="00DF634A">
      <w:pPr>
        <w:tabs>
          <w:tab w:val="left" w:pos="851"/>
        </w:tabs>
        <w:ind w:left="851"/>
        <w:rPr>
          <w:sz w:val="24"/>
          <w:szCs w:val="24"/>
        </w:rPr>
      </w:pPr>
      <w:r w:rsidRPr="00DF634A">
        <w:rPr>
          <w:sz w:val="24"/>
          <w:szCs w:val="24"/>
        </w:rPr>
        <w:t>Da sikkerheden af duloxetin hos spædbørn ikke er kendt, anbefales det ikke at anvende duloxetin under amning.</w:t>
      </w:r>
    </w:p>
    <w:p w14:paraId="2D1D1331" w14:textId="77777777" w:rsidR="00DF634A" w:rsidRPr="00DF634A" w:rsidRDefault="00DF634A" w:rsidP="00DF634A">
      <w:pPr>
        <w:tabs>
          <w:tab w:val="left" w:pos="851"/>
        </w:tabs>
        <w:ind w:left="851"/>
        <w:rPr>
          <w:sz w:val="24"/>
          <w:szCs w:val="24"/>
          <w:u w:val="single"/>
        </w:rPr>
      </w:pPr>
    </w:p>
    <w:p w14:paraId="4F760516" w14:textId="77777777" w:rsidR="00DF634A" w:rsidRPr="00DF634A" w:rsidRDefault="00DF634A" w:rsidP="00DF634A">
      <w:pPr>
        <w:tabs>
          <w:tab w:val="left" w:pos="851"/>
        </w:tabs>
        <w:ind w:left="851"/>
        <w:rPr>
          <w:sz w:val="24"/>
          <w:szCs w:val="24"/>
          <w:u w:val="single"/>
        </w:rPr>
      </w:pPr>
      <w:r w:rsidRPr="00DF634A">
        <w:rPr>
          <w:sz w:val="24"/>
          <w:szCs w:val="24"/>
          <w:u w:val="single"/>
        </w:rPr>
        <w:t>Fertilitet</w:t>
      </w:r>
    </w:p>
    <w:p w14:paraId="7DADED63" w14:textId="77777777" w:rsidR="00DF634A" w:rsidRPr="00DF634A" w:rsidRDefault="00DF634A" w:rsidP="00DF634A">
      <w:pPr>
        <w:tabs>
          <w:tab w:val="left" w:pos="851"/>
        </w:tabs>
        <w:ind w:left="851"/>
        <w:rPr>
          <w:sz w:val="24"/>
          <w:szCs w:val="24"/>
        </w:rPr>
      </w:pPr>
      <w:r w:rsidRPr="00DF634A">
        <w:rPr>
          <w:sz w:val="24"/>
          <w:szCs w:val="24"/>
        </w:rPr>
        <w:t>I dyreforsøg havde duloxetin ingen effekt på fertiliteten hos hanner, og effekter hos hunner blev kun observeret ved doser, der medførte maternel toksicitet.</w:t>
      </w:r>
    </w:p>
    <w:p w14:paraId="1478EB59" w14:textId="77777777" w:rsidR="00DF634A" w:rsidRPr="00DF634A" w:rsidRDefault="00DF634A" w:rsidP="00DF634A">
      <w:pPr>
        <w:tabs>
          <w:tab w:val="left" w:pos="851"/>
        </w:tabs>
        <w:ind w:left="851"/>
        <w:rPr>
          <w:sz w:val="24"/>
          <w:szCs w:val="24"/>
        </w:rPr>
      </w:pPr>
    </w:p>
    <w:p w14:paraId="25470E12" w14:textId="77777777" w:rsidR="009260DE" w:rsidRPr="00C84483" w:rsidRDefault="009260DE" w:rsidP="009260DE">
      <w:pPr>
        <w:tabs>
          <w:tab w:val="left" w:pos="851"/>
        </w:tabs>
        <w:ind w:left="851" w:hanging="851"/>
        <w:rPr>
          <w:b/>
          <w:sz w:val="24"/>
          <w:szCs w:val="24"/>
        </w:rPr>
      </w:pPr>
      <w:r w:rsidRPr="00C84483">
        <w:rPr>
          <w:b/>
          <w:sz w:val="24"/>
          <w:szCs w:val="24"/>
        </w:rPr>
        <w:t>4.7</w:t>
      </w:r>
      <w:r w:rsidRPr="00C84483">
        <w:rPr>
          <w:b/>
          <w:sz w:val="24"/>
          <w:szCs w:val="24"/>
        </w:rPr>
        <w:tab/>
        <w:t xml:space="preserve">Virkning på evnen til at føre motorkøretøj </w:t>
      </w:r>
      <w:r w:rsidR="0071241E">
        <w:rPr>
          <w:b/>
          <w:sz w:val="24"/>
          <w:szCs w:val="24"/>
        </w:rPr>
        <w:t>og</w:t>
      </w:r>
      <w:r w:rsidRPr="00C84483">
        <w:rPr>
          <w:b/>
          <w:sz w:val="24"/>
          <w:szCs w:val="24"/>
        </w:rPr>
        <w:t xml:space="preserve"> betjene maskiner</w:t>
      </w:r>
    </w:p>
    <w:p w14:paraId="1466A4D1" w14:textId="77777777" w:rsidR="009C1463" w:rsidRPr="009C1463" w:rsidRDefault="009C1463" w:rsidP="009C1463">
      <w:pPr>
        <w:tabs>
          <w:tab w:val="left" w:pos="851"/>
        </w:tabs>
        <w:ind w:left="851"/>
        <w:rPr>
          <w:sz w:val="24"/>
          <w:szCs w:val="24"/>
        </w:rPr>
      </w:pPr>
      <w:r w:rsidRPr="009C1463">
        <w:rPr>
          <w:sz w:val="24"/>
          <w:szCs w:val="24"/>
        </w:rPr>
        <w:t>Der er ikke udført studier af virkningen på evnen til at føre motorkøretøj og betjene maskiner.</w:t>
      </w:r>
    </w:p>
    <w:p w14:paraId="40CDA70A" w14:textId="77777777" w:rsidR="009C1463" w:rsidRPr="009C1463" w:rsidRDefault="009C1463" w:rsidP="009C1463">
      <w:pPr>
        <w:tabs>
          <w:tab w:val="left" w:pos="851"/>
        </w:tabs>
        <w:ind w:left="851"/>
        <w:rPr>
          <w:sz w:val="24"/>
          <w:szCs w:val="24"/>
        </w:rPr>
      </w:pPr>
      <w:r w:rsidRPr="009C1463">
        <w:rPr>
          <w:sz w:val="24"/>
          <w:szCs w:val="24"/>
        </w:rPr>
        <w:t>Duloxetin kan være forbundet med sedation og svimmelhed. Patienter bør informeres om, at de skal undgå potentielt risikofyldte aktiviteter såsom at føre motorkøretøj eller betjene maskiner, hvis de oplever sedation eller svimmelhed.</w:t>
      </w:r>
    </w:p>
    <w:p w14:paraId="40EBE834" w14:textId="37689287" w:rsidR="00B3782D" w:rsidRDefault="00B3782D">
      <w:pPr>
        <w:rPr>
          <w:sz w:val="24"/>
          <w:szCs w:val="24"/>
        </w:rPr>
      </w:pPr>
      <w:r>
        <w:rPr>
          <w:sz w:val="24"/>
          <w:szCs w:val="24"/>
        </w:rPr>
        <w:br w:type="page"/>
      </w:r>
    </w:p>
    <w:p w14:paraId="41CA0EB3" w14:textId="77777777" w:rsidR="009260DE" w:rsidRPr="00C84483" w:rsidRDefault="009260DE" w:rsidP="009260DE">
      <w:pPr>
        <w:tabs>
          <w:tab w:val="left" w:pos="851"/>
        </w:tabs>
        <w:ind w:left="851"/>
        <w:rPr>
          <w:sz w:val="24"/>
          <w:szCs w:val="24"/>
        </w:rPr>
      </w:pPr>
    </w:p>
    <w:p w14:paraId="358551F0" w14:textId="77777777" w:rsidR="009260DE" w:rsidRPr="00C84483" w:rsidRDefault="009260DE" w:rsidP="009260DE">
      <w:pPr>
        <w:tabs>
          <w:tab w:val="left" w:pos="851"/>
        </w:tabs>
        <w:ind w:left="851" w:hanging="851"/>
        <w:rPr>
          <w:b/>
          <w:sz w:val="24"/>
          <w:szCs w:val="24"/>
        </w:rPr>
      </w:pPr>
      <w:r w:rsidRPr="00C84483">
        <w:rPr>
          <w:b/>
          <w:sz w:val="24"/>
          <w:szCs w:val="24"/>
        </w:rPr>
        <w:t>4.8</w:t>
      </w:r>
      <w:r w:rsidRPr="00C84483">
        <w:rPr>
          <w:b/>
          <w:sz w:val="24"/>
          <w:szCs w:val="24"/>
        </w:rPr>
        <w:tab/>
        <w:t>Bivirkninger</w:t>
      </w:r>
    </w:p>
    <w:p w14:paraId="1E4F7503" w14:textId="77777777" w:rsidR="009C1463" w:rsidRPr="009C1463" w:rsidRDefault="009C1463" w:rsidP="009C1463">
      <w:pPr>
        <w:tabs>
          <w:tab w:val="left" w:pos="851"/>
        </w:tabs>
        <w:ind w:left="851"/>
        <w:rPr>
          <w:sz w:val="24"/>
          <w:szCs w:val="24"/>
        </w:rPr>
      </w:pPr>
    </w:p>
    <w:p w14:paraId="6948A8C3" w14:textId="77777777" w:rsidR="009C1463" w:rsidRPr="009C1463" w:rsidRDefault="009C1463" w:rsidP="009C1463">
      <w:pPr>
        <w:tabs>
          <w:tab w:val="left" w:pos="851"/>
        </w:tabs>
        <w:ind w:left="851"/>
        <w:rPr>
          <w:sz w:val="24"/>
          <w:szCs w:val="24"/>
        </w:rPr>
      </w:pPr>
      <w:r w:rsidRPr="009C1463">
        <w:rPr>
          <w:sz w:val="24"/>
          <w:szCs w:val="24"/>
          <w:u w:val="single"/>
        </w:rPr>
        <w:t>Resumé af sikkerhedsprofilen</w:t>
      </w:r>
      <w:r w:rsidRPr="009C1463">
        <w:rPr>
          <w:sz w:val="24"/>
          <w:szCs w:val="24"/>
          <w:u w:val="single"/>
        </w:rPr>
        <w:br/>
      </w:r>
      <w:r w:rsidRPr="009C1463">
        <w:rPr>
          <w:sz w:val="24"/>
          <w:szCs w:val="24"/>
        </w:rPr>
        <w:t>De hyppigst rapporterede bivirkninger hos patienter behandlet med duloxetin var kvalme, hovedpine, mundtørhed, somnolens og svimmelhed.</w:t>
      </w:r>
    </w:p>
    <w:p w14:paraId="237F3548" w14:textId="77777777" w:rsidR="009C1463" w:rsidRPr="009C1463" w:rsidRDefault="009C1463" w:rsidP="009C1463">
      <w:pPr>
        <w:tabs>
          <w:tab w:val="left" w:pos="851"/>
        </w:tabs>
        <w:ind w:left="851"/>
        <w:rPr>
          <w:sz w:val="24"/>
          <w:szCs w:val="24"/>
        </w:rPr>
      </w:pPr>
      <w:r w:rsidRPr="009C1463">
        <w:rPr>
          <w:sz w:val="24"/>
          <w:szCs w:val="24"/>
        </w:rPr>
        <w:t>Størstedelen af de almindelige bivirkninger var imidlertid milde til moderate, de opstod sædvanligvis tidligt i behandlingsforløbet, og de fleste aftog, selv ved fortsat behandling.</w:t>
      </w:r>
    </w:p>
    <w:p w14:paraId="622BC8F8" w14:textId="77777777" w:rsidR="009C1463" w:rsidRPr="009C1463" w:rsidRDefault="009C1463" w:rsidP="009C1463">
      <w:pPr>
        <w:tabs>
          <w:tab w:val="left" w:pos="851"/>
        </w:tabs>
        <w:ind w:left="851"/>
        <w:rPr>
          <w:sz w:val="24"/>
          <w:szCs w:val="24"/>
        </w:rPr>
      </w:pPr>
    </w:p>
    <w:p w14:paraId="44C9CCAD" w14:textId="77777777" w:rsidR="009C1463" w:rsidRPr="009C1463" w:rsidRDefault="009C1463" w:rsidP="009C1463">
      <w:pPr>
        <w:tabs>
          <w:tab w:val="left" w:pos="851"/>
        </w:tabs>
        <w:ind w:left="851"/>
        <w:rPr>
          <w:sz w:val="24"/>
          <w:szCs w:val="24"/>
        </w:rPr>
      </w:pPr>
      <w:r w:rsidRPr="009C1463">
        <w:rPr>
          <w:sz w:val="24"/>
          <w:szCs w:val="24"/>
          <w:u w:val="single"/>
        </w:rPr>
        <w:t>Tabel over bivirkninger</w:t>
      </w:r>
      <w:r w:rsidRPr="009C1463">
        <w:rPr>
          <w:sz w:val="24"/>
          <w:szCs w:val="24"/>
          <w:u w:val="single"/>
        </w:rPr>
        <w:br/>
      </w:r>
      <w:r w:rsidRPr="009C1463">
        <w:rPr>
          <w:sz w:val="24"/>
          <w:szCs w:val="24"/>
        </w:rPr>
        <w:t>Tabel 1 indeholder bivirkninger observeret fra spontan indberetning og i placebokontrollerede kliniske studier.</w:t>
      </w:r>
    </w:p>
    <w:p w14:paraId="0CBDE8FC" w14:textId="77777777" w:rsidR="009C1463" w:rsidRPr="009C1463" w:rsidRDefault="009C1463" w:rsidP="009C1463">
      <w:pPr>
        <w:tabs>
          <w:tab w:val="left" w:pos="851"/>
        </w:tabs>
        <w:ind w:left="851"/>
        <w:rPr>
          <w:sz w:val="24"/>
          <w:szCs w:val="24"/>
        </w:rPr>
      </w:pPr>
    </w:p>
    <w:p w14:paraId="6C9FC0BE" w14:textId="77777777" w:rsidR="009C1463" w:rsidRPr="009C1463" w:rsidRDefault="009C1463" w:rsidP="009C1463">
      <w:pPr>
        <w:tabs>
          <w:tab w:val="left" w:pos="851"/>
        </w:tabs>
        <w:ind w:left="851"/>
        <w:rPr>
          <w:sz w:val="24"/>
          <w:szCs w:val="24"/>
        </w:rPr>
      </w:pPr>
      <w:r w:rsidRPr="009C1463">
        <w:rPr>
          <w:i/>
          <w:iCs/>
          <w:sz w:val="24"/>
          <w:szCs w:val="24"/>
        </w:rPr>
        <w:t>Tabel 1: Bivirkninger</w:t>
      </w:r>
      <w:r w:rsidRPr="009C1463">
        <w:rPr>
          <w:i/>
          <w:iCs/>
          <w:sz w:val="24"/>
          <w:szCs w:val="24"/>
        </w:rPr>
        <w:br/>
      </w:r>
      <w:r w:rsidRPr="009C1463">
        <w:rPr>
          <w:sz w:val="24"/>
          <w:szCs w:val="24"/>
        </w:rPr>
        <w:t>Frekvensangivelse: Meget almindelig (≥ 1/10), almindelig (≥ 1/100 til &lt; 1/10), ikke almindelig (≥ 1/1.000 til &lt; 1/100), sjælden (≥ 1/10.000 til &lt; 1/1.000), meget sjælden (&lt; 1/10.000), ikke kendt (kan ikke estimeres ud fra de tilgængelige data).</w:t>
      </w:r>
    </w:p>
    <w:p w14:paraId="47B237E0" w14:textId="77777777" w:rsidR="009C1463" w:rsidRPr="009C1463" w:rsidRDefault="009C1463" w:rsidP="009C1463">
      <w:pPr>
        <w:tabs>
          <w:tab w:val="left" w:pos="851"/>
        </w:tabs>
        <w:ind w:left="851"/>
        <w:rPr>
          <w:sz w:val="24"/>
          <w:szCs w:val="24"/>
        </w:rPr>
      </w:pPr>
    </w:p>
    <w:p w14:paraId="1B167A26" w14:textId="77777777" w:rsidR="009C1463" w:rsidRDefault="009C1463" w:rsidP="009C1463">
      <w:pPr>
        <w:tabs>
          <w:tab w:val="left" w:pos="851"/>
        </w:tabs>
        <w:ind w:left="851"/>
        <w:rPr>
          <w:sz w:val="24"/>
          <w:szCs w:val="24"/>
        </w:rPr>
      </w:pPr>
      <w:r w:rsidRPr="009C1463">
        <w:rPr>
          <w:sz w:val="24"/>
          <w:szCs w:val="24"/>
        </w:rPr>
        <w:t>Inden for hver frekvensgruppe præsenteres bivirkningerne efter faldende alvorlighedsgrad.</w:t>
      </w:r>
    </w:p>
    <w:p w14:paraId="018E5C44" w14:textId="77777777" w:rsidR="009C1463" w:rsidRDefault="009C1463" w:rsidP="009C1463">
      <w:pPr>
        <w:tabs>
          <w:tab w:val="left" w:pos="851"/>
        </w:tabs>
        <w:ind w:left="851"/>
        <w:rPr>
          <w:sz w:val="24"/>
          <w:szCs w:val="24"/>
        </w:rPr>
      </w:pPr>
    </w:p>
    <w:tbl>
      <w:tblPr>
        <w:tblStyle w:val="Tabel-Gitter"/>
        <w:tblW w:w="0" w:type="auto"/>
        <w:tblInd w:w="0" w:type="dxa"/>
        <w:tblLayout w:type="fixed"/>
        <w:tblLook w:val="04A0" w:firstRow="1" w:lastRow="0" w:firstColumn="1" w:lastColumn="0" w:noHBand="0" w:noVBand="1"/>
      </w:tblPr>
      <w:tblGrid>
        <w:gridCol w:w="1504"/>
        <w:gridCol w:w="1551"/>
        <w:gridCol w:w="1831"/>
        <w:gridCol w:w="2055"/>
        <w:gridCol w:w="992"/>
        <w:gridCol w:w="1122"/>
      </w:tblGrid>
      <w:tr w:rsidR="009C1463" w:rsidRPr="009C1463" w14:paraId="6FCEB3B5" w14:textId="77777777" w:rsidTr="009C1463">
        <w:tc>
          <w:tcPr>
            <w:tcW w:w="1504" w:type="dxa"/>
            <w:tcBorders>
              <w:top w:val="single" w:sz="4" w:space="0" w:color="auto"/>
              <w:left w:val="single" w:sz="4" w:space="0" w:color="auto"/>
              <w:bottom w:val="single" w:sz="4" w:space="0" w:color="auto"/>
              <w:right w:val="single" w:sz="4" w:space="0" w:color="auto"/>
            </w:tcBorders>
            <w:hideMark/>
          </w:tcPr>
          <w:p w14:paraId="2A30D875" w14:textId="77777777" w:rsidR="009C1463" w:rsidRPr="009C1463" w:rsidRDefault="009C1463" w:rsidP="0065751F">
            <w:pPr>
              <w:autoSpaceDE w:val="0"/>
              <w:autoSpaceDN w:val="0"/>
              <w:adjustRightInd w:val="0"/>
              <w:rPr>
                <w:b/>
                <w:bCs/>
                <w:noProof/>
                <w:sz w:val="22"/>
                <w:szCs w:val="22"/>
              </w:rPr>
            </w:pPr>
            <w:r w:rsidRPr="009C1463">
              <w:rPr>
                <w:b/>
                <w:bCs/>
                <w:noProof/>
                <w:sz w:val="22"/>
                <w:szCs w:val="22"/>
              </w:rPr>
              <w:t>Meget almindelig</w:t>
            </w:r>
          </w:p>
        </w:tc>
        <w:tc>
          <w:tcPr>
            <w:tcW w:w="1551" w:type="dxa"/>
            <w:tcBorders>
              <w:top w:val="single" w:sz="4" w:space="0" w:color="auto"/>
              <w:left w:val="single" w:sz="4" w:space="0" w:color="auto"/>
              <w:bottom w:val="single" w:sz="4" w:space="0" w:color="auto"/>
              <w:right w:val="single" w:sz="4" w:space="0" w:color="auto"/>
            </w:tcBorders>
            <w:hideMark/>
          </w:tcPr>
          <w:p w14:paraId="2EECBC86" w14:textId="77777777" w:rsidR="009C1463" w:rsidRPr="009C1463" w:rsidRDefault="009C1463" w:rsidP="009C1463">
            <w:pPr>
              <w:autoSpaceDE w:val="0"/>
              <w:autoSpaceDN w:val="0"/>
              <w:adjustRightInd w:val="0"/>
              <w:rPr>
                <w:b/>
                <w:bCs/>
                <w:noProof/>
                <w:sz w:val="22"/>
                <w:szCs w:val="22"/>
              </w:rPr>
            </w:pPr>
            <w:r w:rsidRPr="009C1463">
              <w:rPr>
                <w:b/>
                <w:bCs/>
                <w:noProof/>
                <w:sz w:val="22"/>
                <w:szCs w:val="22"/>
              </w:rPr>
              <w:t>Almindelig</w:t>
            </w:r>
          </w:p>
        </w:tc>
        <w:tc>
          <w:tcPr>
            <w:tcW w:w="1831" w:type="dxa"/>
            <w:tcBorders>
              <w:top w:val="single" w:sz="4" w:space="0" w:color="auto"/>
              <w:left w:val="single" w:sz="4" w:space="0" w:color="auto"/>
              <w:bottom w:val="single" w:sz="4" w:space="0" w:color="auto"/>
              <w:right w:val="single" w:sz="4" w:space="0" w:color="auto"/>
            </w:tcBorders>
            <w:hideMark/>
          </w:tcPr>
          <w:p w14:paraId="4B09271D" w14:textId="77777777" w:rsidR="009C1463" w:rsidRPr="009C1463" w:rsidRDefault="009C1463" w:rsidP="009C1463">
            <w:pPr>
              <w:autoSpaceDE w:val="0"/>
              <w:autoSpaceDN w:val="0"/>
              <w:adjustRightInd w:val="0"/>
              <w:rPr>
                <w:b/>
                <w:bCs/>
                <w:noProof/>
                <w:sz w:val="22"/>
                <w:szCs w:val="22"/>
              </w:rPr>
            </w:pPr>
            <w:r w:rsidRPr="009C1463">
              <w:rPr>
                <w:b/>
                <w:bCs/>
                <w:noProof/>
                <w:sz w:val="22"/>
                <w:szCs w:val="22"/>
              </w:rPr>
              <w:t>Ikke almindelig</w:t>
            </w:r>
          </w:p>
        </w:tc>
        <w:tc>
          <w:tcPr>
            <w:tcW w:w="2055" w:type="dxa"/>
            <w:tcBorders>
              <w:top w:val="single" w:sz="4" w:space="0" w:color="auto"/>
              <w:left w:val="single" w:sz="4" w:space="0" w:color="auto"/>
              <w:bottom w:val="single" w:sz="4" w:space="0" w:color="auto"/>
              <w:right w:val="single" w:sz="4" w:space="0" w:color="auto"/>
            </w:tcBorders>
            <w:hideMark/>
          </w:tcPr>
          <w:p w14:paraId="392E537C" w14:textId="77777777" w:rsidR="009C1463" w:rsidRPr="009C1463" w:rsidRDefault="009C1463" w:rsidP="009C1463">
            <w:pPr>
              <w:autoSpaceDE w:val="0"/>
              <w:autoSpaceDN w:val="0"/>
              <w:adjustRightInd w:val="0"/>
              <w:rPr>
                <w:b/>
                <w:bCs/>
                <w:noProof/>
                <w:sz w:val="22"/>
                <w:szCs w:val="22"/>
              </w:rPr>
            </w:pPr>
            <w:r w:rsidRPr="009C1463">
              <w:rPr>
                <w:b/>
                <w:bCs/>
                <w:noProof/>
                <w:sz w:val="22"/>
                <w:szCs w:val="22"/>
              </w:rPr>
              <w:t>Sjælden</w:t>
            </w:r>
          </w:p>
        </w:tc>
        <w:tc>
          <w:tcPr>
            <w:tcW w:w="992" w:type="dxa"/>
            <w:tcBorders>
              <w:top w:val="single" w:sz="4" w:space="0" w:color="auto"/>
              <w:left w:val="single" w:sz="4" w:space="0" w:color="auto"/>
              <w:bottom w:val="single" w:sz="4" w:space="0" w:color="auto"/>
              <w:right w:val="single" w:sz="4" w:space="0" w:color="auto"/>
            </w:tcBorders>
            <w:hideMark/>
          </w:tcPr>
          <w:p w14:paraId="41458E9E" w14:textId="77777777" w:rsidR="009C1463" w:rsidRPr="009C1463" w:rsidRDefault="009C1463" w:rsidP="009C1463">
            <w:pPr>
              <w:autoSpaceDE w:val="0"/>
              <w:autoSpaceDN w:val="0"/>
              <w:adjustRightInd w:val="0"/>
              <w:rPr>
                <w:b/>
                <w:bCs/>
                <w:noProof/>
                <w:sz w:val="22"/>
                <w:szCs w:val="22"/>
              </w:rPr>
            </w:pPr>
            <w:r w:rsidRPr="009C1463">
              <w:rPr>
                <w:b/>
                <w:bCs/>
                <w:noProof/>
                <w:sz w:val="22"/>
                <w:szCs w:val="22"/>
              </w:rPr>
              <w:t>Meget sjælden</w:t>
            </w:r>
          </w:p>
        </w:tc>
        <w:tc>
          <w:tcPr>
            <w:tcW w:w="1122" w:type="dxa"/>
            <w:tcBorders>
              <w:top w:val="single" w:sz="4" w:space="0" w:color="auto"/>
              <w:left w:val="single" w:sz="4" w:space="0" w:color="auto"/>
              <w:bottom w:val="single" w:sz="4" w:space="0" w:color="auto"/>
              <w:right w:val="single" w:sz="4" w:space="0" w:color="auto"/>
            </w:tcBorders>
            <w:hideMark/>
          </w:tcPr>
          <w:p w14:paraId="247D23AF" w14:textId="77777777" w:rsidR="009C1463" w:rsidRPr="009C1463" w:rsidRDefault="009C1463" w:rsidP="009C1463">
            <w:pPr>
              <w:autoSpaceDE w:val="0"/>
              <w:autoSpaceDN w:val="0"/>
              <w:adjustRightInd w:val="0"/>
              <w:rPr>
                <w:b/>
                <w:bCs/>
                <w:noProof/>
                <w:sz w:val="22"/>
                <w:szCs w:val="22"/>
              </w:rPr>
            </w:pPr>
            <w:r w:rsidRPr="009C1463">
              <w:rPr>
                <w:b/>
                <w:bCs/>
                <w:noProof/>
                <w:sz w:val="22"/>
                <w:szCs w:val="22"/>
              </w:rPr>
              <w:t>Ikke kendt</w:t>
            </w:r>
          </w:p>
        </w:tc>
      </w:tr>
      <w:tr w:rsidR="009C1463" w:rsidRPr="009C1463" w14:paraId="5C60674E" w14:textId="77777777" w:rsidTr="009C1463">
        <w:tc>
          <w:tcPr>
            <w:tcW w:w="9055" w:type="dxa"/>
            <w:gridSpan w:val="6"/>
            <w:tcBorders>
              <w:top w:val="single" w:sz="4" w:space="0" w:color="auto"/>
              <w:left w:val="single" w:sz="4" w:space="0" w:color="auto"/>
              <w:bottom w:val="single" w:sz="4" w:space="0" w:color="auto"/>
              <w:right w:val="single" w:sz="4" w:space="0" w:color="auto"/>
            </w:tcBorders>
            <w:hideMark/>
          </w:tcPr>
          <w:p w14:paraId="67D11D5D" w14:textId="77777777" w:rsidR="009C1463" w:rsidRPr="009C1463" w:rsidRDefault="009C1463" w:rsidP="0065751F">
            <w:pPr>
              <w:autoSpaceDE w:val="0"/>
              <w:autoSpaceDN w:val="0"/>
              <w:adjustRightInd w:val="0"/>
              <w:rPr>
                <w:i/>
                <w:iCs/>
                <w:noProof/>
                <w:sz w:val="22"/>
                <w:szCs w:val="22"/>
              </w:rPr>
            </w:pPr>
            <w:r w:rsidRPr="009C1463">
              <w:rPr>
                <w:i/>
                <w:iCs/>
                <w:noProof/>
                <w:sz w:val="22"/>
                <w:szCs w:val="22"/>
              </w:rPr>
              <w:t>Infektioner og infestationer</w:t>
            </w:r>
          </w:p>
        </w:tc>
      </w:tr>
      <w:tr w:rsidR="009C1463" w:rsidRPr="009C1463" w14:paraId="0ADD9AAE" w14:textId="77777777" w:rsidTr="009C1463">
        <w:tc>
          <w:tcPr>
            <w:tcW w:w="1504" w:type="dxa"/>
            <w:tcBorders>
              <w:top w:val="single" w:sz="4" w:space="0" w:color="auto"/>
              <w:left w:val="single" w:sz="4" w:space="0" w:color="auto"/>
              <w:bottom w:val="single" w:sz="4" w:space="0" w:color="auto"/>
              <w:right w:val="single" w:sz="4" w:space="0" w:color="auto"/>
            </w:tcBorders>
          </w:tcPr>
          <w:p w14:paraId="7967F21A" w14:textId="77777777" w:rsidR="009C1463" w:rsidRPr="009C1463" w:rsidRDefault="009C1463" w:rsidP="0065751F">
            <w:pPr>
              <w:autoSpaceDE w:val="0"/>
              <w:autoSpaceDN w:val="0"/>
              <w:adjustRightInd w:val="0"/>
              <w:rPr>
                <w:noProof/>
                <w:sz w:val="22"/>
                <w:szCs w:val="22"/>
              </w:rPr>
            </w:pPr>
          </w:p>
        </w:tc>
        <w:tc>
          <w:tcPr>
            <w:tcW w:w="1551" w:type="dxa"/>
            <w:tcBorders>
              <w:top w:val="single" w:sz="4" w:space="0" w:color="auto"/>
              <w:left w:val="single" w:sz="4" w:space="0" w:color="auto"/>
              <w:bottom w:val="single" w:sz="4" w:space="0" w:color="auto"/>
              <w:right w:val="single" w:sz="4" w:space="0" w:color="auto"/>
            </w:tcBorders>
          </w:tcPr>
          <w:p w14:paraId="23BFB653" w14:textId="77777777" w:rsidR="009C1463" w:rsidRPr="009C1463" w:rsidRDefault="009C1463" w:rsidP="009C1463">
            <w:pPr>
              <w:autoSpaceDE w:val="0"/>
              <w:autoSpaceDN w:val="0"/>
              <w:adjustRightInd w:val="0"/>
              <w:rPr>
                <w:noProof/>
                <w:sz w:val="22"/>
                <w:szCs w:val="22"/>
              </w:rPr>
            </w:pPr>
          </w:p>
        </w:tc>
        <w:tc>
          <w:tcPr>
            <w:tcW w:w="1831" w:type="dxa"/>
            <w:tcBorders>
              <w:top w:val="single" w:sz="4" w:space="0" w:color="auto"/>
              <w:left w:val="single" w:sz="4" w:space="0" w:color="auto"/>
              <w:bottom w:val="single" w:sz="4" w:space="0" w:color="auto"/>
              <w:right w:val="single" w:sz="4" w:space="0" w:color="auto"/>
            </w:tcBorders>
            <w:hideMark/>
          </w:tcPr>
          <w:p w14:paraId="0CC250C4" w14:textId="77777777" w:rsidR="009C1463" w:rsidRPr="009C1463" w:rsidRDefault="009C1463" w:rsidP="009C1463">
            <w:pPr>
              <w:autoSpaceDE w:val="0"/>
              <w:autoSpaceDN w:val="0"/>
              <w:adjustRightInd w:val="0"/>
              <w:rPr>
                <w:noProof/>
                <w:sz w:val="22"/>
                <w:szCs w:val="22"/>
              </w:rPr>
            </w:pPr>
            <w:r w:rsidRPr="009C1463">
              <w:rPr>
                <w:noProof/>
                <w:sz w:val="22"/>
                <w:szCs w:val="22"/>
              </w:rPr>
              <w:t>Laryngitis</w:t>
            </w:r>
          </w:p>
        </w:tc>
        <w:tc>
          <w:tcPr>
            <w:tcW w:w="2055" w:type="dxa"/>
            <w:tcBorders>
              <w:top w:val="single" w:sz="4" w:space="0" w:color="auto"/>
              <w:left w:val="single" w:sz="4" w:space="0" w:color="auto"/>
              <w:bottom w:val="single" w:sz="4" w:space="0" w:color="auto"/>
              <w:right w:val="single" w:sz="4" w:space="0" w:color="auto"/>
            </w:tcBorders>
          </w:tcPr>
          <w:p w14:paraId="15A1350A" w14:textId="77777777" w:rsidR="009C1463" w:rsidRPr="009C1463" w:rsidRDefault="009C1463" w:rsidP="009C1463">
            <w:pPr>
              <w:autoSpaceDE w:val="0"/>
              <w:autoSpaceDN w:val="0"/>
              <w:adjustRightInd w:val="0"/>
              <w:rPr>
                <w:noProof/>
                <w:sz w:val="22"/>
                <w:szCs w:val="22"/>
              </w:rPr>
            </w:pPr>
          </w:p>
        </w:tc>
        <w:tc>
          <w:tcPr>
            <w:tcW w:w="992" w:type="dxa"/>
            <w:tcBorders>
              <w:top w:val="single" w:sz="4" w:space="0" w:color="auto"/>
              <w:left w:val="single" w:sz="4" w:space="0" w:color="auto"/>
              <w:bottom w:val="single" w:sz="4" w:space="0" w:color="auto"/>
              <w:right w:val="single" w:sz="4" w:space="0" w:color="auto"/>
            </w:tcBorders>
          </w:tcPr>
          <w:p w14:paraId="647C7F32" w14:textId="77777777" w:rsidR="009C1463" w:rsidRPr="009C1463" w:rsidRDefault="009C1463" w:rsidP="009C1463">
            <w:pPr>
              <w:autoSpaceDE w:val="0"/>
              <w:autoSpaceDN w:val="0"/>
              <w:adjustRightInd w:val="0"/>
              <w:rPr>
                <w:noProof/>
                <w:sz w:val="22"/>
                <w:szCs w:val="22"/>
              </w:rPr>
            </w:pPr>
          </w:p>
        </w:tc>
        <w:tc>
          <w:tcPr>
            <w:tcW w:w="1122" w:type="dxa"/>
            <w:tcBorders>
              <w:top w:val="single" w:sz="4" w:space="0" w:color="auto"/>
              <w:left w:val="single" w:sz="4" w:space="0" w:color="auto"/>
              <w:bottom w:val="single" w:sz="4" w:space="0" w:color="auto"/>
              <w:right w:val="single" w:sz="4" w:space="0" w:color="auto"/>
            </w:tcBorders>
          </w:tcPr>
          <w:p w14:paraId="172894B5" w14:textId="77777777" w:rsidR="009C1463" w:rsidRPr="009C1463" w:rsidRDefault="009C1463" w:rsidP="009C1463">
            <w:pPr>
              <w:autoSpaceDE w:val="0"/>
              <w:autoSpaceDN w:val="0"/>
              <w:adjustRightInd w:val="0"/>
              <w:rPr>
                <w:noProof/>
                <w:sz w:val="22"/>
                <w:szCs w:val="22"/>
              </w:rPr>
            </w:pPr>
          </w:p>
        </w:tc>
      </w:tr>
      <w:tr w:rsidR="009C1463" w:rsidRPr="009C1463" w14:paraId="4322E02B" w14:textId="77777777" w:rsidTr="009C1463">
        <w:tc>
          <w:tcPr>
            <w:tcW w:w="9055" w:type="dxa"/>
            <w:gridSpan w:val="6"/>
            <w:tcBorders>
              <w:top w:val="single" w:sz="4" w:space="0" w:color="auto"/>
              <w:left w:val="single" w:sz="4" w:space="0" w:color="auto"/>
              <w:bottom w:val="single" w:sz="4" w:space="0" w:color="auto"/>
              <w:right w:val="single" w:sz="4" w:space="0" w:color="auto"/>
            </w:tcBorders>
            <w:hideMark/>
          </w:tcPr>
          <w:p w14:paraId="7283BE27" w14:textId="77777777" w:rsidR="009C1463" w:rsidRPr="009C1463" w:rsidRDefault="009C1463" w:rsidP="0065751F">
            <w:pPr>
              <w:autoSpaceDE w:val="0"/>
              <w:autoSpaceDN w:val="0"/>
              <w:adjustRightInd w:val="0"/>
              <w:rPr>
                <w:i/>
                <w:iCs/>
                <w:noProof/>
                <w:sz w:val="22"/>
                <w:szCs w:val="22"/>
              </w:rPr>
            </w:pPr>
            <w:r w:rsidRPr="009C1463">
              <w:rPr>
                <w:i/>
                <w:iCs/>
                <w:noProof/>
                <w:sz w:val="22"/>
                <w:szCs w:val="22"/>
              </w:rPr>
              <w:t>Immunsystemet</w:t>
            </w:r>
          </w:p>
        </w:tc>
      </w:tr>
      <w:tr w:rsidR="009C1463" w:rsidRPr="009C1463" w14:paraId="64AB6821" w14:textId="77777777" w:rsidTr="009C1463">
        <w:tc>
          <w:tcPr>
            <w:tcW w:w="1504" w:type="dxa"/>
            <w:tcBorders>
              <w:top w:val="single" w:sz="4" w:space="0" w:color="auto"/>
              <w:left w:val="single" w:sz="4" w:space="0" w:color="auto"/>
              <w:bottom w:val="single" w:sz="4" w:space="0" w:color="auto"/>
              <w:right w:val="single" w:sz="4" w:space="0" w:color="auto"/>
            </w:tcBorders>
          </w:tcPr>
          <w:p w14:paraId="2BFEB128" w14:textId="77777777" w:rsidR="009C1463" w:rsidRPr="009C1463" w:rsidRDefault="009C1463" w:rsidP="0065751F">
            <w:pPr>
              <w:autoSpaceDE w:val="0"/>
              <w:autoSpaceDN w:val="0"/>
              <w:adjustRightInd w:val="0"/>
              <w:rPr>
                <w:noProof/>
                <w:sz w:val="22"/>
                <w:szCs w:val="22"/>
              </w:rPr>
            </w:pPr>
          </w:p>
        </w:tc>
        <w:tc>
          <w:tcPr>
            <w:tcW w:w="1551" w:type="dxa"/>
            <w:tcBorders>
              <w:top w:val="single" w:sz="4" w:space="0" w:color="auto"/>
              <w:left w:val="single" w:sz="4" w:space="0" w:color="auto"/>
              <w:bottom w:val="single" w:sz="4" w:space="0" w:color="auto"/>
              <w:right w:val="single" w:sz="4" w:space="0" w:color="auto"/>
            </w:tcBorders>
          </w:tcPr>
          <w:p w14:paraId="64DF15B5" w14:textId="77777777" w:rsidR="009C1463" w:rsidRPr="009C1463" w:rsidRDefault="009C1463" w:rsidP="009C1463">
            <w:pPr>
              <w:autoSpaceDE w:val="0"/>
              <w:autoSpaceDN w:val="0"/>
              <w:adjustRightInd w:val="0"/>
              <w:rPr>
                <w:noProof/>
                <w:sz w:val="22"/>
                <w:szCs w:val="22"/>
              </w:rPr>
            </w:pPr>
          </w:p>
        </w:tc>
        <w:tc>
          <w:tcPr>
            <w:tcW w:w="1831" w:type="dxa"/>
            <w:tcBorders>
              <w:top w:val="single" w:sz="4" w:space="0" w:color="auto"/>
              <w:left w:val="single" w:sz="4" w:space="0" w:color="auto"/>
              <w:bottom w:val="single" w:sz="4" w:space="0" w:color="auto"/>
              <w:right w:val="single" w:sz="4" w:space="0" w:color="auto"/>
            </w:tcBorders>
          </w:tcPr>
          <w:p w14:paraId="5D50BA36" w14:textId="77777777" w:rsidR="009C1463" w:rsidRPr="009C1463" w:rsidRDefault="009C1463" w:rsidP="009C1463">
            <w:pPr>
              <w:autoSpaceDE w:val="0"/>
              <w:autoSpaceDN w:val="0"/>
              <w:adjustRightInd w:val="0"/>
              <w:rPr>
                <w:noProof/>
                <w:sz w:val="22"/>
                <w:szCs w:val="22"/>
              </w:rPr>
            </w:pPr>
          </w:p>
        </w:tc>
        <w:tc>
          <w:tcPr>
            <w:tcW w:w="2055" w:type="dxa"/>
            <w:tcBorders>
              <w:top w:val="single" w:sz="4" w:space="0" w:color="auto"/>
              <w:left w:val="single" w:sz="4" w:space="0" w:color="auto"/>
              <w:bottom w:val="single" w:sz="4" w:space="0" w:color="auto"/>
              <w:right w:val="single" w:sz="4" w:space="0" w:color="auto"/>
            </w:tcBorders>
            <w:hideMark/>
          </w:tcPr>
          <w:p w14:paraId="7D049450" w14:textId="77777777" w:rsidR="009C1463" w:rsidRPr="009C1463" w:rsidRDefault="009C1463" w:rsidP="009C1463">
            <w:pPr>
              <w:autoSpaceDE w:val="0"/>
              <w:autoSpaceDN w:val="0"/>
              <w:adjustRightInd w:val="0"/>
              <w:rPr>
                <w:noProof/>
                <w:sz w:val="22"/>
                <w:szCs w:val="22"/>
              </w:rPr>
            </w:pPr>
            <w:r w:rsidRPr="009C1463">
              <w:rPr>
                <w:noProof/>
                <w:sz w:val="22"/>
                <w:szCs w:val="22"/>
              </w:rPr>
              <w:t>Anafylaktisk reaktion</w:t>
            </w:r>
          </w:p>
          <w:p w14:paraId="33BAB414" w14:textId="6E918025" w:rsidR="009C1463" w:rsidRPr="009C1463" w:rsidRDefault="009C1463" w:rsidP="009C1463">
            <w:pPr>
              <w:autoSpaceDE w:val="0"/>
              <w:autoSpaceDN w:val="0"/>
              <w:adjustRightInd w:val="0"/>
              <w:rPr>
                <w:noProof/>
                <w:sz w:val="22"/>
                <w:szCs w:val="22"/>
              </w:rPr>
            </w:pPr>
            <w:r w:rsidRPr="009C1463">
              <w:rPr>
                <w:noProof/>
                <w:sz w:val="22"/>
                <w:szCs w:val="22"/>
              </w:rPr>
              <w:t>Overfølsomhedsre</w:t>
            </w:r>
            <w:r>
              <w:rPr>
                <w:noProof/>
                <w:sz w:val="22"/>
                <w:szCs w:val="22"/>
              </w:rPr>
              <w:t>-</w:t>
            </w:r>
            <w:r w:rsidRPr="009C1463">
              <w:rPr>
                <w:noProof/>
                <w:sz w:val="22"/>
                <w:szCs w:val="22"/>
              </w:rPr>
              <w:t>aktion</w:t>
            </w:r>
          </w:p>
        </w:tc>
        <w:tc>
          <w:tcPr>
            <w:tcW w:w="992" w:type="dxa"/>
            <w:tcBorders>
              <w:top w:val="single" w:sz="4" w:space="0" w:color="auto"/>
              <w:left w:val="single" w:sz="4" w:space="0" w:color="auto"/>
              <w:bottom w:val="single" w:sz="4" w:space="0" w:color="auto"/>
              <w:right w:val="single" w:sz="4" w:space="0" w:color="auto"/>
            </w:tcBorders>
          </w:tcPr>
          <w:p w14:paraId="1C9B3637" w14:textId="77777777" w:rsidR="009C1463" w:rsidRPr="009C1463" w:rsidRDefault="009C1463" w:rsidP="009C1463">
            <w:pPr>
              <w:autoSpaceDE w:val="0"/>
              <w:autoSpaceDN w:val="0"/>
              <w:adjustRightInd w:val="0"/>
              <w:rPr>
                <w:noProof/>
                <w:sz w:val="22"/>
                <w:szCs w:val="22"/>
              </w:rPr>
            </w:pPr>
          </w:p>
        </w:tc>
        <w:tc>
          <w:tcPr>
            <w:tcW w:w="1122" w:type="dxa"/>
            <w:tcBorders>
              <w:top w:val="single" w:sz="4" w:space="0" w:color="auto"/>
              <w:left w:val="single" w:sz="4" w:space="0" w:color="auto"/>
              <w:bottom w:val="single" w:sz="4" w:space="0" w:color="auto"/>
              <w:right w:val="single" w:sz="4" w:space="0" w:color="auto"/>
            </w:tcBorders>
          </w:tcPr>
          <w:p w14:paraId="097B9262" w14:textId="77777777" w:rsidR="009C1463" w:rsidRPr="009C1463" w:rsidRDefault="009C1463" w:rsidP="009C1463">
            <w:pPr>
              <w:autoSpaceDE w:val="0"/>
              <w:autoSpaceDN w:val="0"/>
              <w:adjustRightInd w:val="0"/>
              <w:rPr>
                <w:noProof/>
                <w:sz w:val="22"/>
                <w:szCs w:val="22"/>
              </w:rPr>
            </w:pPr>
          </w:p>
        </w:tc>
      </w:tr>
      <w:tr w:rsidR="009C1463" w:rsidRPr="009C1463" w14:paraId="47B9A8CB" w14:textId="77777777" w:rsidTr="009C1463">
        <w:tc>
          <w:tcPr>
            <w:tcW w:w="9055" w:type="dxa"/>
            <w:gridSpan w:val="6"/>
            <w:tcBorders>
              <w:top w:val="single" w:sz="4" w:space="0" w:color="auto"/>
              <w:left w:val="single" w:sz="4" w:space="0" w:color="auto"/>
              <w:bottom w:val="single" w:sz="4" w:space="0" w:color="auto"/>
              <w:right w:val="single" w:sz="4" w:space="0" w:color="auto"/>
            </w:tcBorders>
            <w:hideMark/>
          </w:tcPr>
          <w:p w14:paraId="1EC6B27A" w14:textId="77777777" w:rsidR="009C1463" w:rsidRPr="009C1463" w:rsidRDefault="009C1463" w:rsidP="0065751F">
            <w:pPr>
              <w:autoSpaceDE w:val="0"/>
              <w:autoSpaceDN w:val="0"/>
              <w:adjustRightInd w:val="0"/>
              <w:rPr>
                <w:i/>
                <w:iCs/>
                <w:noProof/>
                <w:sz w:val="22"/>
                <w:szCs w:val="22"/>
              </w:rPr>
            </w:pPr>
            <w:r w:rsidRPr="009C1463">
              <w:rPr>
                <w:i/>
                <w:iCs/>
                <w:noProof/>
                <w:sz w:val="22"/>
                <w:szCs w:val="22"/>
              </w:rPr>
              <w:t>Endokrine sygdomme</w:t>
            </w:r>
          </w:p>
        </w:tc>
      </w:tr>
      <w:tr w:rsidR="009C1463" w:rsidRPr="009C1463" w14:paraId="5480FC40" w14:textId="77777777" w:rsidTr="009C1463">
        <w:tc>
          <w:tcPr>
            <w:tcW w:w="1504" w:type="dxa"/>
            <w:tcBorders>
              <w:top w:val="single" w:sz="4" w:space="0" w:color="auto"/>
              <w:left w:val="single" w:sz="4" w:space="0" w:color="auto"/>
              <w:bottom w:val="single" w:sz="4" w:space="0" w:color="auto"/>
              <w:right w:val="single" w:sz="4" w:space="0" w:color="auto"/>
            </w:tcBorders>
          </w:tcPr>
          <w:p w14:paraId="388D4F9C" w14:textId="77777777" w:rsidR="009C1463" w:rsidRPr="009C1463" w:rsidRDefault="009C1463" w:rsidP="0065751F">
            <w:pPr>
              <w:autoSpaceDE w:val="0"/>
              <w:autoSpaceDN w:val="0"/>
              <w:adjustRightInd w:val="0"/>
              <w:rPr>
                <w:noProof/>
                <w:sz w:val="22"/>
                <w:szCs w:val="22"/>
              </w:rPr>
            </w:pPr>
          </w:p>
        </w:tc>
        <w:tc>
          <w:tcPr>
            <w:tcW w:w="1551" w:type="dxa"/>
            <w:tcBorders>
              <w:top w:val="single" w:sz="4" w:space="0" w:color="auto"/>
              <w:left w:val="single" w:sz="4" w:space="0" w:color="auto"/>
              <w:bottom w:val="single" w:sz="4" w:space="0" w:color="auto"/>
              <w:right w:val="single" w:sz="4" w:space="0" w:color="auto"/>
            </w:tcBorders>
          </w:tcPr>
          <w:p w14:paraId="2033E1AD" w14:textId="77777777" w:rsidR="009C1463" w:rsidRPr="009C1463" w:rsidRDefault="009C1463" w:rsidP="009C1463">
            <w:pPr>
              <w:autoSpaceDE w:val="0"/>
              <w:autoSpaceDN w:val="0"/>
              <w:adjustRightInd w:val="0"/>
              <w:rPr>
                <w:noProof/>
                <w:sz w:val="22"/>
                <w:szCs w:val="22"/>
              </w:rPr>
            </w:pPr>
          </w:p>
        </w:tc>
        <w:tc>
          <w:tcPr>
            <w:tcW w:w="1831" w:type="dxa"/>
            <w:tcBorders>
              <w:top w:val="single" w:sz="4" w:space="0" w:color="auto"/>
              <w:left w:val="single" w:sz="4" w:space="0" w:color="auto"/>
              <w:bottom w:val="single" w:sz="4" w:space="0" w:color="auto"/>
              <w:right w:val="single" w:sz="4" w:space="0" w:color="auto"/>
            </w:tcBorders>
          </w:tcPr>
          <w:p w14:paraId="016560B3" w14:textId="77777777" w:rsidR="009C1463" w:rsidRPr="009C1463" w:rsidRDefault="009C1463" w:rsidP="009C1463">
            <w:pPr>
              <w:autoSpaceDE w:val="0"/>
              <w:autoSpaceDN w:val="0"/>
              <w:adjustRightInd w:val="0"/>
              <w:rPr>
                <w:noProof/>
                <w:sz w:val="22"/>
                <w:szCs w:val="22"/>
              </w:rPr>
            </w:pPr>
          </w:p>
        </w:tc>
        <w:tc>
          <w:tcPr>
            <w:tcW w:w="2055" w:type="dxa"/>
            <w:tcBorders>
              <w:top w:val="single" w:sz="4" w:space="0" w:color="auto"/>
              <w:left w:val="single" w:sz="4" w:space="0" w:color="auto"/>
              <w:bottom w:val="single" w:sz="4" w:space="0" w:color="auto"/>
              <w:right w:val="single" w:sz="4" w:space="0" w:color="auto"/>
            </w:tcBorders>
            <w:hideMark/>
          </w:tcPr>
          <w:p w14:paraId="293B6502" w14:textId="77777777" w:rsidR="009C1463" w:rsidRPr="009C1463" w:rsidRDefault="009C1463" w:rsidP="009C1463">
            <w:pPr>
              <w:autoSpaceDE w:val="0"/>
              <w:autoSpaceDN w:val="0"/>
              <w:adjustRightInd w:val="0"/>
              <w:rPr>
                <w:noProof/>
                <w:sz w:val="22"/>
                <w:szCs w:val="22"/>
              </w:rPr>
            </w:pPr>
            <w:r w:rsidRPr="009C1463">
              <w:rPr>
                <w:noProof/>
                <w:sz w:val="22"/>
                <w:szCs w:val="22"/>
              </w:rPr>
              <w:t>Hypothyreoidisme</w:t>
            </w:r>
          </w:p>
        </w:tc>
        <w:tc>
          <w:tcPr>
            <w:tcW w:w="992" w:type="dxa"/>
            <w:tcBorders>
              <w:top w:val="single" w:sz="4" w:space="0" w:color="auto"/>
              <w:left w:val="single" w:sz="4" w:space="0" w:color="auto"/>
              <w:bottom w:val="single" w:sz="4" w:space="0" w:color="auto"/>
              <w:right w:val="single" w:sz="4" w:space="0" w:color="auto"/>
            </w:tcBorders>
          </w:tcPr>
          <w:p w14:paraId="669EB71F" w14:textId="77777777" w:rsidR="009C1463" w:rsidRPr="009C1463" w:rsidRDefault="009C1463" w:rsidP="009C1463">
            <w:pPr>
              <w:autoSpaceDE w:val="0"/>
              <w:autoSpaceDN w:val="0"/>
              <w:adjustRightInd w:val="0"/>
              <w:rPr>
                <w:noProof/>
                <w:sz w:val="22"/>
                <w:szCs w:val="22"/>
              </w:rPr>
            </w:pPr>
          </w:p>
        </w:tc>
        <w:tc>
          <w:tcPr>
            <w:tcW w:w="1122" w:type="dxa"/>
            <w:tcBorders>
              <w:top w:val="single" w:sz="4" w:space="0" w:color="auto"/>
              <w:left w:val="single" w:sz="4" w:space="0" w:color="auto"/>
              <w:bottom w:val="single" w:sz="4" w:space="0" w:color="auto"/>
              <w:right w:val="single" w:sz="4" w:space="0" w:color="auto"/>
            </w:tcBorders>
          </w:tcPr>
          <w:p w14:paraId="71E40AD8" w14:textId="77777777" w:rsidR="009C1463" w:rsidRPr="009C1463" w:rsidRDefault="009C1463" w:rsidP="009C1463">
            <w:pPr>
              <w:autoSpaceDE w:val="0"/>
              <w:autoSpaceDN w:val="0"/>
              <w:adjustRightInd w:val="0"/>
              <w:rPr>
                <w:noProof/>
                <w:sz w:val="22"/>
                <w:szCs w:val="22"/>
              </w:rPr>
            </w:pPr>
          </w:p>
        </w:tc>
      </w:tr>
      <w:tr w:rsidR="009C1463" w:rsidRPr="009C1463" w14:paraId="5EB6A85F" w14:textId="77777777" w:rsidTr="009C1463">
        <w:tc>
          <w:tcPr>
            <w:tcW w:w="9055" w:type="dxa"/>
            <w:gridSpan w:val="6"/>
            <w:tcBorders>
              <w:top w:val="single" w:sz="4" w:space="0" w:color="auto"/>
              <w:left w:val="single" w:sz="4" w:space="0" w:color="auto"/>
              <w:bottom w:val="single" w:sz="4" w:space="0" w:color="auto"/>
              <w:right w:val="single" w:sz="4" w:space="0" w:color="auto"/>
            </w:tcBorders>
            <w:hideMark/>
          </w:tcPr>
          <w:p w14:paraId="7359FFC9" w14:textId="77777777" w:rsidR="009C1463" w:rsidRPr="009C1463" w:rsidRDefault="009C1463" w:rsidP="0065751F">
            <w:pPr>
              <w:autoSpaceDE w:val="0"/>
              <w:autoSpaceDN w:val="0"/>
              <w:adjustRightInd w:val="0"/>
              <w:rPr>
                <w:i/>
                <w:iCs/>
                <w:noProof/>
                <w:sz w:val="22"/>
                <w:szCs w:val="22"/>
              </w:rPr>
            </w:pPr>
            <w:r w:rsidRPr="009C1463">
              <w:rPr>
                <w:i/>
                <w:iCs/>
                <w:noProof/>
                <w:sz w:val="22"/>
                <w:szCs w:val="22"/>
              </w:rPr>
              <w:t>Metabolisme og ernæring</w:t>
            </w:r>
          </w:p>
        </w:tc>
      </w:tr>
      <w:tr w:rsidR="009C1463" w:rsidRPr="009C1463" w14:paraId="22981EF1" w14:textId="77777777" w:rsidTr="009C1463">
        <w:tc>
          <w:tcPr>
            <w:tcW w:w="1504" w:type="dxa"/>
            <w:tcBorders>
              <w:top w:val="single" w:sz="4" w:space="0" w:color="auto"/>
              <w:left w:val="single" w:sz="4" w:space="0" w:color="auto"/>
              <w:bottom w:val="single" w:sz="4" w:space="0" w:color="auto"/>
              <w:right w:val="single" w:sz="4" w:space="0" w:color="auto"/>
            </w:tcBorders>
          </w:tcPr>
          <w:p w14:paraId="20662326" w14:textId="77777777" w:rsidR="009C1463" w:rsidRPr="009C1463" w:rsidRDefault="009C1463" w:rsidP="0065751F">
            <w:pPr>
              <w:autoSpaceDE w:val="0"/>
              <w:autoSpaceDN w:val="0"/>
              <w:adjustRightInd w:val="0"/>
              <w:rPr>
                <w:b/>
                <w:bCs/>
                <w:noProof/>
                <w:sz w:val="22"/>
                <w:szCs w:val="22"/>
              </w:rPr>
            </w:pPr>
          </w:p>
        </w:tc>
        <w:tc>
          <w:tcPr>
            <w:tcW w:w="1551" w:type="dxa"/>
            <w:tcBorders>
              <w:top w:val="single" w:sz="4" w:space="0" w:color="auto"/>
              <w:left w:val="single" w:sz="4" w:space="0" w:color="auto"/>
              <w:bottom w:val="single" w:sz="4" w:space="0" w:color="auto"/>
              <w:right w:val="single" w:sz="4" w:space="0" w:color="auto"/>
            </w:tcBorders>
            <w:hideMark/>
          </w:tcPr>
          <w:p w14:paraId="095F2C18" w14:textId="77777777" w:rsidR="009C1463" w:rsidRPr="009C1463" w:rsidRDefault="009C1463" w:rsidP="009C1463">
            <w:pPr>
              <w:autoSpaceDE w:val="0"/>
              <w:autoSpaceDN w:val="0"/>
              <w:adjustRightInd w:val="0"/>
              <w:rPr>
                <w:noProof/>
                <w:sz w:val="22"/>
                <w:szCs w:val="22"/>
              </w:rPr>
            </w:pPr>
            <w:r w:rsidRPr="009C1463">
              <w:rPr>
                <w:noProof/>
                <w:sz w:val="22"/>
                <w:szCs w:val="22"/>
              </w:rPr>
              <w:t>Nedsat appetit</w:t>
            </w:r>
          </w:p>
        </w:tc>
        <w:tc>
          <w:tcPr>
            <w:tcW w:w="1831" w:type="dxa"/>
            <w:tcBorders>
              <w:top w:val="single" w:sz="4" w:space="0" w:color="auto"/>
              <w:left w:val="single" w:sz="4" w:space="0" w:color="auto"/>
              <w:bottom w:val="single" w:sz="4" w:space="0" w:color="auto"/>
              <w:right w:val="single" w:sz="4" w:space="0" w:color="auto"/>
            </w:tcBorders>
          </w:tcPr>
          <w:p w14:paraId="232B4C8B" w14:textId="77777777" w:rsidR="009C1463" w:rsidRPr="009C1463" w:rsidRDefault="009C1463" w:rsidP="009C1463">
            <w:pPr>
              <w:autoSpaceDE w:val="0"/>
              <w:autoSpaceDN w:val="0"/>
              <w:adjustRightInd w:val="0"/>
              <w:rPr>
                <w:noProof/>
                <w:sz w:val="22"/>
                <w:szCs w:val="22"/>
                <w:lang w:val="da-DK"/>
              </w:rPr>
            </w:pPr>
            <w:r w:rsidRPr="009C1463">
              <w:rPr>
                <w:noProof/>
                <w:sz w:val="22"/>
                <w:szCs w:val="22"/>
                <w:lang w:val="da-DK"/>
              </w:rPr>
              <w:t>Hyperglykæmi (rapporteret især hos patienter med diabetes)</w:t>
            </w:r>
          </w:p>
          <w:p w14:paraId="4F243056" w14:textId="77777777" w:rsidR="009C1463" w:rsidRPr="009C1463" w:rsidRDefault="009C1463" w:rsidP="009C1463">
            <w:pPr>
              <w:autoSpaceDE w:val="0"/>
              <w:autoSpaceDN w:val="0"/>
              <w:adjustRightInd w:val="0"/>
              <w:rPr>
                <w:noProof/>
                <w:sz w:val="22"/>
                <w:szCs w:val="22"/>
                <w:lang w:val="da-DK"/>
              </w:rPr>
            </w:pPr>
          </w:p>
        </w:tc>
        <w:tc>
          <w:tcPr>
            <w:tcW w:w="2055" w:type="dxa"/>
            <w:tcBorders>
              <w:top w:val="single" w:sz="4" w:space="0" w:color="auto"/>
              <w:left w:val="single" w:sz="4" w:space="0" w:color="auto"/>
              <w:bottom w:val="single" w:sz="4" w:space="0" w:color="auto"/>
              <w:right w:val="single" w:sz="4" w:space="0" w:color="auto"/>
            </w:tcBorders>
            <w:hideMark/>
          </w:tcPr>
          <w:p w14:paraId="3A5F23CA" w14:textId="77777777" w:rsidR="009C1463" w:rsidRPr="009C1463" w:rsidRDefault="009C1463" w:rsidP="009C1463">
            <w:pPr>
              <w:autoSpaceDE w:val="0"/>
              <w:autoSpaceDN w:val="0"/>
              <w:adjustRightInd w:val="0"/>
              <w:rPr>
                <w:noProof/>
                <w:sz w:val="22"/>
                <w:szCs w:val="22"/>
              </w:rPr>
            </w:pPr>
            <w:r w:rsidRPr="009C1463">
              <w:rPr>
                <w:noProof/>
                <w:sz w:val="22"/>
                <w:szCs w:val="22"/>
              </w:rPr>
              <w:t>Dehydrering</w:t>
            </w:r>
          </w:p>
          <w:p w14:paraId="6EECE056" w14:textId="77777777" w:rsidR="009C1463" w:rsidRPr="009C1463" w:rsidRDefault="009C1463" w:rsidP="009C1463">
            <w:pPr>
              <w:autoSpaceDE w:val="0"/>
              <w:autoSpaceDN w:val="0"/>
              <w:adjustRightInd w:val="0"/>
              <w:rPr>
                <w:noProof/>
                <w:sz w:val="22"/>
                <w:szCs w:val="22"/>
              </w:rPr>
            </w:pPr>
            <w:r w:rsidRPr="009C1463">
              <w:rPr>
                <w:noProof/>
                <w:sz w:val="22"/>
                <w:szCs w:val="22"/>
              </w:rPr>
              <w:t>Hyponatriæmi</w:t>
            </w:r>
          </w:p>
          <w:p w14:paraId="106728EC" w14:textId="77777777" w:rsidR="009C1463" w:rsidRPr="009C1463" w:rsidRDefault="009C1463" w:rsidP="009C1463">
            <w:pPr>
              <w:autoSpaceDE w:val="0"/>
              <w:autoSpaceDN w:val="0"/>
              <w:adjustRightInd w:val="0"/>
              <w:rPr>
                <w:noProof/>
                <w:sz w:val="22"/>
                <w:szCs w:val="22"/>
              </w:rPr>
            </w:pPr>
            <w:r w:rsidRPr="009C1463">
              <w:rPr>
                <w:noProof/>
                <w:sz w:val="22"/>
                <w:szCs w:val="22"/>
              </w:rPr>
              <w:t>SIADH⁶</w:t>
            </w:r>
          </w:p>
        </w:tc>
        <w:tc>
          <w:tcPr>
            <w:tcW w:w="992" w:type="dxa"/>
            <w:tcBorders>
              <w:top w:val="single" w:sz="4" w:space="0" w:color="auto"/>
              <w:left w:val="single" w:sz="4" w:space="0" w:color="auto"/>
              <w:bottom w:val="single" w:sz="4" w:space="0" w:color="auto"/>
              <w:right w:val="single" w:sz="4" w:space="0" w:color="auto"/>
            </w:tcBorders>
          </w:tcPr>
          <w:p w14:paraId="6099ABF1" w14:textId="77777777" w:rsidR="009C1463" w:rsidRPr="009C1463" w:rsidRDefault="009C1463" w:rsidP="009C1463">
            <w:pPr>
              <w:autoSpaceDE w:val="0"/>
              <w:autoSpaceDN w:val="0"/>
              <w:adjustRightInd w:val="0"/>
              <w:rPr>
                <w:noProof/>
                <w:sz w:val="22"/>
                <w:szCs w:val="22"/>
              </w:rPr>
            </w:pPr>
          </w:p>
        </w:tc>
        <w:tc>
          <w:tcPr>
            <w:tcW w:w="1122" w:type="dxa"/>
            <w:tcBorders>
              <w:top w:val="single" w:sz="4" w:space="0" w:color="auto"/>
              <w:left w:val="single" w:sz="4" w:space="0" w:color="auto"/>
              <w:bottom w:val="single" w:sz="4" w:space="0" w:color="auto"/>
              <w:right w:val="single" w:sz="4" w:space="0" w:color="auto"/>
            </w:tcBorders>
          </w:tcPr>
          <w:p w14:paraId="02661DF6" w14:textId="77777777" w:rsidR="009C1463" w:rsidRPr="009C1463" w:rsidRDefault="009C1463" w:rsidP="009C1463">
            <w:pPr>
              <w:autoSpaceDE w:val="0"/>
              <w:autoSpaceDN w:val="0"/>
              <w:adjustRightInd w:val="0"/>
              <w:rPr>
                <w:noProof/>
                <w:sz w:val="22"/>
                <w:szCs w:val="22"/>
              </w:rPr>
            </w:pPr>
          </w:p>
        </w:tc>
      </w:tr>
      <w:tr w:rsidR="009C1463" w:rsidRPr="009C1463" w14:paraId="1531870A" w14:textId="77777777" w:rsidTr="009C1463">
        <w:tc>
          <w:tcPr>
            <w:tcW w:w="9055" w:type="dxa"/>
            <w:gridSpan w:val="6"/>
            <w:tcBorders>
              <w:top w:val="single" w:sz="4" w:space="0" w:color="auto"/>
              <w:left w:val="single" w:sz="4" w:space="0" w:color="auto"/>
              <w:bottom w:val="single" w:sz="4" w:space="0" w:color="auto"/>
              <w:right w:val="single" w:sz="4" w:space="0" w:color="auto"/>
            </w:tcBorders>
            <w:hideMark/>
          </w:tcPr>
          <w:p w14:paraId="40E7BC59" w14:textId="77777777" w:rsidR="009C1463" w:rsidRPr="009C1463" w:rsidRDefault="009C1463" w:rsidP="0065751F">
            <w:pPr>
              <w:autoSpaceDE w:val="0"/>
              <w:autoSpaceDN w:val="0"/>
              <w:adjustRightInd w:val="0"/>
              <w:rPr>
                <w:i/>
                <w:iCs/>
                <w:noProof/>
                <w:sz w:val="22"/>
                <w:szCs w:val="22"/>
              </w:rPr>
            </w:pPr>
            <w:r w:rsidRPr="009C1463">
              <w:rPr>
                <w:i/>
                <w:iCs/>
                <w:noProof/>
                <w:sz w:val="22"/>
                <w:szCs w:val="22"/>
              </w:rPr>
              <w:t>Psykiske forstyrrelser</w:t>
            </w:r>
          </w:p>
        </w:tc>
      </w:tr>
      <w:tr w:rsidR="009C1463" w:rsidRPr="009C1463" w14:paraId="641726ED" w14:textId="77777777" w:rsidTr="009C1463">
        <w:tc>
          <w:tcPr>
            <w:tcW w:w="1504" w:type="dxa"/>
            <w:tcBorders>
              <w:top w:val="single" w:sz="4" w:space="0" w:color="auto"/>
              <w:left w:val="single" w:sz="4" w:space="0" w:color="auto"/>
              <w:bottom w:val="single" w:sz="4" w:space="0" w:color="auto"/>
              <w:right w:val="single" w:sz="4" w:space="0" w:color="auto"/>
            </w:tcBorders>
          </w:tcPr>
          <w:p w14:paraId="281642E8" w14:textId="77777777" w:rsidR="009C1463" w:rsidRPr="009C1463" w:rsidRDefault="009C1463" w:rsidP="0065751F">
            <w:pPr>
              <w:autoSpaceDE w:val="0"/>
              <w:autoSpaceDN w:val="0"/>
              <w:adjustRightInd w:val="0"/>
              <w:rPr>
                <w:b/>
                <w:bCs/>
                <w:noProof/>
                <w:sz w:val="22"/>
                <w:szCs w:val="22"/>
              </w:rPr>
            </w:pPr>
          </w:p>
        </w:tc>
        <w:tc>
          <w:tcPr>
            <w:tcW w:w="1551" w:type="dxa"/>
            <w:tcBorders>
              <w:top w:val="single" w:sz="4" w:space="0" w:color="auto"/>
              <w:left w:val="single" w:sz="4" w:space="0" w:color="auto"/>
              <w:bottom w:val="single" w:sz="4" w:space="0" w:color="auto"/>
              <w:right w:val="single" w:sz="4" w:space="0" w:color="auto"/>
            </w:tcBorders>
          </w:tcPr>
          <w:p w14:paraId="79118190" w14:textId="77777777" w:rsidR="009C1463" w:rsidRPr="009C1463" w:rsidRDefault="009C1463" w:rsidP="009C1463">
            <w:pPr>
              <w:autoSpaceDE w:val="0"/>
              <w:autoSpaceDN w:val="0"/>
              <w:adjustRightInd w:val="0"/>
              <w:rPr>
                <w:noProof/>
                <w:sz w:val="22"/>
                <w:szCs w:val="22"/>
                <w:lang w:val="da-DK"/>
              </w:rPr>
            </w:pPr>
            <w:r w:rsidRPr="009C1463">
              <w:rPr>
                <w:noProof/>
                <w:sz w:val="22"/>
                <w:szCs w:val="22"/>
                <w:lang w:val="da-DK"/>
              </w:rPr>
              <w:t>Insomni</w:t>
            </w:r>
            <w:r w:rsidRPr="009C1463">
              <w:rPr>
                <w:noProof/>
                <w:sz w:val="22"/>
                <w:szCs w:val="22"/>
                <w:lang w:val="da-DK"/>
              </w:rPr>
              <w:br/>
              <w:t>Agitation</w:t>
            </w:r>
            <w:r w:rsidRPr="009C1463">
              <w:rPr>
                <w:noProof/>
                <w:sz w:val="22"/>
                <w:szCs w:val="22"/>
                <w:lang w:val="da-DK"/>
              </w:rPr>
              <w:br/>
              <w:t>Nedsat libido</w:t>
            </w:r>
            <w:r w:rsidRPr="009C1463">
              <w:rPr>
                <w:noProof/>
                <w:sz w:val="22"/>
                <w:szCs w:val="22"/>
                <w:lang w:val="da-DK"/>
              </w:rPr>
              <w:br/>
              <w:t>Angst</w:t>
            </w:r>
            <w:r w:rsidRPr="009C1463">
              <w:rPr>
                <w:noProof/>
                <w:sz w:val="22"/>
                <w:szCs w:val="22"/>
                <w:lang w:val="da-DK"/>
              </w:rPr>
              <w:br/>
              <w:t>Unormal orgasme</w:t>
            </w:r>
            <w:r w:rsidRPr="009C1463">
              <w:rPr>
                <w:noProof/>
                <w:sz w:val="22"/>
                <w:szCs w:val="22"/>
                <w:lang w:val="da-DK"/>
              </w:rPr>
              <w:br/>
              <w:t>Unormale drømme</w:t>
            </w:r>
          </w:p>
          <w:p w14:paraId="2FA475DD" w14:textId="77777777" w:rsidR="009C1463" w:rsidRPr="009C1463" w:rsidRDefault="009C1463" w:rsidP="009C1463">
            <w:pPr>
              <w:autoSpaceDE w:val="0"/>
              <w:autoSpaceDN w:val="0"/>
              <w:adjustRightInd w:val="0"/>
              <w:rPr>
                <w:noProof/>
                <w:sz w:val="22"/>
                <w:szCs w:val="22"/>
                <w:lang w:val="da-DK"/>
              </w:rPr>
            </w:pPr>
          </w:p>
        </w:tc>
        <w:tc>
          <w:tcPr>
            <w:tcW w:w="1831" w:type="dxa"/>
            <w:tcBorders>
              <w:top w:val="single" w:sz="4" w:space="0" w:color="auto"/>
              <w:left w:val="single" w:sz="4" w:space="0" w:color="auto"/>
              <w:bottom w:val="single" w:sz="4" w:space="0" w:color="auto"/>
              <w:right w:val="single" w:sz="4" w:space="0" w:color="auto"/>
            </w:tcBorders>
          </w:tcPr>
          <w:p w14:paraId="534A5F33" w14:textId="77777777" w:rsidR="009C1463" w:rsidRPr="009C1463" w:rsidRDefault="009C1463" w:rsidP="009C1463">
            <w:pPr>
              <w:autoSpaceDE w:val="0"/>
              <w:autoSpaceDN w:val="0"/>
              <w:adjustRightInd w:val="0"/>
              <w:rPr>
                <w:noProof/>
                <w:sz w:val="22"/>
                <w:szCs w:val="22"/>
                <w:lang w:val="da-DK"/>
              </w:rPr>
            </w:pPr>
            <w:r w:rsidRPr="009C1463">
              <w:rPr>
                <w:noProof/>
                <w:sz w:val="22"/>
                <w:szCs w:val="22"/>
                <w:lang w:val="da-DK"/>
              </w:rPr>
              <w:t>Selvmordstanker⁵˒⁷</w:t>
            </w:r>
            <w:r w:rsidRPr="009C1463">
              <w:rPr>
                <w:noProof/>
                <w:sz w:val="22"/>
                <w:szCs w:val="22"/>
                <w:lang w:val="da-DK"/>
              </w:rPr>
              <w:br/>
              <w:t>Søvnforstyrrelse</w:t>
            </w:r>
            <w:r w:rsidRPr="009C1463">
              <w:rPr>
                <w:noProof/>
                <w:sz w:val="22"/>
                <w:szCs w:val="22"/>
                <w:lang w:val="da-DK"/>
              </w:rPr>
              <w:br/>
              <w:t>Bruksisme</w:t>
            </w:r>
            <w:r w:rsidRPr="009C1463">
              <w:rPr>
                <w:noProof/>
                <w:sz w:val="22"/>
                <w:szCs w:val="22"/>
                <w:lang w:val="da-DK"/>
              </w:rPr>
              <w:br/>
              <w:t>Desorientering</w:t>
            </w:r>
            <w:r w:rsidRPr="009C1463">
              <w:rPr>
                <w:noProof/>
                <w:sz w:val="22"/>
                <w:szCs w:val="22"/>
                <w:lang w:val="da-DK"/>
              </w:rPr>
              <w:br/>
              <w:t>Apati</w:t>
            </w:r>
          </w:p>
          <w:p w14:paraId="6732FF0B" w14:textId="77777777" w:rsidR="009C1463" w:rsidRPr="009C1463" w:rsidRDefault="009C1463" w:rsidP="009C1463">
            <w:pPr>
              <w:autoSpaceDE w:val="0"/>
              <w:autoSpaceDN w:val="0"/>
              <w:adjustRightInd w:val="0"/>
              <w:rPr>
                <w:noProof/>
                <w:sz w:val="22"/>
                <w:szCs w:val="22"/>
                <w:lang w:val="da-DK"/>
              </w:rPr>
            </w:pPr>
          </w:p>
        </w:tc>
        <w:tc>
          <w:tcPr>
            <w:tcW w:w="2055" w:type="dxa"/>
            <w:tcBorders>
              <w:top w:val="single" w:sz="4" w:space="0" w:color="auto"/>
              <w:left w:val="single" w:sz="4" w:space="0" w:color="auto"/>
              <w:bottom w:val="single" w:sz="4" w:space="0" w:color="auto"/>
              <w:right w:val="single" w:sz="4" w:space="0" w:color="auto"/>
            </w:tcBorders>
          </w:tcPr>
          <w:p w14:paraId="2A6F28D5" w14:textId="77777777" w:rsidR="009C1463" w:rsidRPr="009C1463" w:rsidRDefault="009C1463" w:rsidP="009C1463">
            <w:pPr>
              <w:autoSpaceDE w:val="0"/>
              <w:autoSpaceDN w:val="0"/>
              <w:adjustRightInd w:val="0"/>
              <w:rPr>
                <w:noProof/>
                <w:sz w:val="22"/>
                <w:szCs w:val="22"/>
                <w:lang w:val="da-DK"/>
              </w:rPr>
            </w:pPr>
            <w:r w:rsidRPr="009C1463">
              <w:rPr>
                <w:noProof/>
                <w:sz w:val="22"/>
                <w:szCs w:val="22"/>
                <w:lang w:val="da-DK"/>
              </w:rPr>
              <w:t>Selvmordsadfærd⁵˒⁷</w:t>
            </w:r>
            <w:r w:rsidRPr="009C1463">
              <w:rPr>
                <w:noProof/>
                <w:sz w:val="22"/>
                <w:szCs w:val="22"/>
                <w:lang w:val="da-DK"/>
              </w:rPr>
              <w:br/>
              <w:t>Mani</w:t>
            </w:r>
            <w:r w:rsidRPr="009C1463">
              <w:rPr>
                <w:noProof/>
                <w:sz w:val="22"/>
                <w:szCs w:val="22"/>
                <w:lang w:val="da-DK"/>
              </w:rPr>
              <w:br/>
              <w:t>Hallucinationer</w:t>
            </w:r>
            <w:r w:rsidRPr="009C1463">
              <w:rPr>
                <w:noProof/>
                <w:sz w:val="22"/>
                <w:szCs w:val="22"/>
                <w:lang w:val="da-DK"/>
              </w:rPr>
              <w:br/>
              <w:t>Aggression og vrede⁴</w:t>
            </w:r>
          </w:p>
          <w:p w14:paraId="057E3312" w14:textId="77777777" w:rsidR="009C1463" w:rsidRPr="009C1463" w:rsidRDefault="009C1463" w:rsidP="009C1463">
            <w:pPr>
              <w:autoSpaceDE w:val="0"/>
              <w:autoSpaceDN w:val="0"/>
              <w:adjustRightInd w:val="0"/>
              <w:rPr>
                <w:noProof/>
                <w:sz w:val="22"/>
                <w:szCs w:val="22"/>
                <w:lang w:val="da-DK"/>
              </w:rPr>
            </w:pPr>
          </w:p>
        </w:tc>
        <w:tc>
          <w:tcPr>
            <w:tcW w:w="992" w:type="dxa"/>
            <w:tcBorders>
              <w:top w:val="single" w:sz="4" w:space="0" w:color="auto"/>
              <w:left w:val="single" w:sz="4" w:space="0" w:color="auto"/>
              <w:bottom w:val="single" w:sz="4" w:space="0" w:color="auto"/>
              <w:right w:val="single" w:sz="4" w:space="0" w:color="auto"/>
            </w:tcBorders>
          </w:tcPr>
          <w:p w14:paraId="5579FC26" w14:textId="77777777" w:rsidR="009C1463" w:rsidRPr="009C1463" w:rsidRDefault="009C1463" w:rsidP="009C1463">
            <w:pPr>
              <w:autoSpaceDE w:val="0"/>
              <w:autoSpaceDN w:val="0"/>
              <w:adjustRightInd w:val="0"/>
              <w:rPr>
                <w:noProof/>
                <w:sz w:val="22"/>
                <w:szCs w:val="22"/>
                <w:lang w:val="da-DK"/>
              </w:rPr>
            </w:pPr>
          </w:p>
        </w:tc>
        <w:tc>
          <w:tcPr>
            <w:tcW w:w="1122" w:type="dxa"/>
            <w:tcBorders>
              <w:top w:val="single" w:sz="4" w:space="0" w:color="auto"/>
              <w:left w:val="single" w:sz="4" w:space="0" w:color="auto"/>
              <w:bottom w:val="single" w:sz="4" w:space="0" w:color="auto"/>
              <w:right w:val="single" w:sz="4" w:space="0" w:color="auto"/>
            </w:tcBorders>
          </w:tcPr>
          <w:p w14:paraId="43CB2A00" w14:textId="77777777" w:rsidR="009C1463" w:rsidRPr="009C1463" w:rsidRDefault="009C1463" w:rsidP="009C1463">
            <w:pPr>
              <w:autoSpaceDE w:val="0"/>
              <w:autoSpaceDN w:val="0"/>
              <w:adjustRightInd w:val="0"/>
              <w:rPr>
                <w:noProof/>
                <w:sz w:val="22"/>
                <w:szCs w:val="22"/>
                <w:lang w:val="da-DK"/>
              </w:rPr>
            </w:pPr>
          </w:p>
        </w:tc>
      </w:tr>
      <w:tr w:rsidR="009C1463" w:rsidRPr="009C1463" w14:paraId="34A55B80" w14:textId="77777777" w:rsidTr="009C1463">
        <w:tc>
          <w:tcPr>
            <w:tcW w:w="9055" w:type="dxa"/>
            <w:gridSpan w:val="6"/>
            <w:tcBorders>
              <w:top w:val="single" w:sz="4" w:space="0" w:color="auto"/>
              <w:left w:val="single" w:sz="4" w:space="0" w:color="auto"/>
              <w:bottom w:val="single" w:sz="4" w:space="0" w:color="auto"/>
              <w:right w:val="single" w:sz="4" w:space="0" w:color="auto"/>
            </w:tcBorders>
            <w:hideMark/>
          </w:tcPr>
          <w:p w14:paraId="673D45A3" w14:textId="77777777" w:rsidR="009C1463" w:rsidRPr="009C1463" w:rsidRDefault="009C1463" w:rsidP="0065751F">
            <w:pPr>
              <w:autoSpaceDE w:val="0"/>
              <w:autoSpaceDN w:val="0"/>
              <w:adjustRightInd w:val="0"/>
              <w:rPr>
                <w:i/>
                <w:iCs/>
                <w:noProof/>
                <w:sz w:val="22"/>
                <w:szCs w:val="22"/>
              </w:rPr>
            </w:pPr>
            <w:r w:rsidRPr="009C1463">
              <w:rPr>
                <w:i/>
                <w:iCs/>
                <w:noProof/>
                <w:sz w:val="22"/>
                <w:szCs w:val="22"/>
              </w:rPr>
              <w:t>Nervesystemet</w:t>
            </w:r>
          </w:p>
        </w:tc>
      </w:tr>
      <w:tr w:rsidR="009C1463" w:rsidRPr="009C1463" w14:paraId="6C227F1E" w14:textId="77777777" w:rsidTr="009C1463">
        <w:tc>
          <w:tcPr>
            <w:tcW w:w="1504" w:type="dxa"/>
            <w:tcBorders>
              <w:top w:val="single" w:sz="4" w:space="0" w:color="auto"/>
              <w:left w:val="single" w:sz="4" w:space="0" w:color="auto"/>
              <w:bottom w:val="single" w:sz="4" w:space="0" w:color="auto"/>
              <w:right w:val="single" w:sz="4" w:space="0" w:color="auto"/>
            </w:tcBorders>
          </w:tcPr>
          <w:p w14:paraId="46B41CCF" w14:textId="77777777" w:rsidR="009C1463" w:rsidRPr="009C1463" w:rsidRDefault="009C1463" w:rsidP="0065751F">
            <w:pPr>
              <w:autoSpaceDE w:val="0"/>
              <w:autoSpaceDN w:val="0"/>
              <w:adjustRightInd w:val="0"/>
              <w:rPr>
                <w:noProof/>
                <w:sz w:val="22"/>
                <w:szCs w:val="22"/>
              </w:rPr>
            </w:pPr>
            <w:r w:rsidRPr="009C1463">
              <w:rPr>
                <w:noProof/>
                <w:sz w:val="22"/>
                <w:szCs w:val="22"/>
              </w:rPr>
              <w:t>Hovedpine</w:t>
            </w:r>
            <w:r w:rsidRPr="009C1463">
              <w:rPr>
                <w:noProof/>
                <w:sz w:val="22"/>
                <w:szCs w:val="22"/>
              </w:rPr>
              <w:br/>
              <w:t>Somnolens</w:t>
            </w:r>
          </w:p>
          <w:p w14:paraId="06C20CD7" w14:textId="77777777" w:rsidR="009C1463" w:rsidRPr="009C1463" w:rsidRDefault="009C1463" w:rsidP="0065751F">
            <w:pPr>
              <w:autoSpaceDE w:val="0"/>
              <w:autoSpaceDN w:val="0"/>
              <w:adjustRightInd w:val="0"/>
              <w:rPr>
                <w:b/>
                <w:bCs/>
                <w:noProof/>
                <w:sz w:val="22"/>
                <w:szCs w:val="22"/>
              </w:rPr>
            </w:pPr>
          </w:p>
        </w:tc>
        <w:tc>
          <w:tcPr>
            <w:tcW w:w="1551" w:type="dxa"/>
            <w:tcBorders>
              <w:top w:val="single" w:sz="4" w:space="0" w:color="auto"/>
              <w:left w:val="single" w:sz="4" w:space="0" w:color="auto"/>
              <w:bottom w:val="single" w:sz="4" w:space="0" w:color="auto"/>
              <w:right w:val="single" w:sz="4" w:space="0" w:color="auto"/>
            </w:tcBorders>
          </w:tcPr>
          <w:p w14:paraId="5D734D33" w14:textId="77777777" w:rsidR="009C1463" w:rsidRPr="009C1463" w:rsidRDefault="009C1463" w:rsidP="009C1463">
            <w:pPr>
              <w:autoSpaceDE w:val="0"/>
              <w:autoSpaceDN w:val="0"/>
              <w:adjustRightInd w:val="0"/>
              <w:rPr>
                <w:noProof/>
                <w:sz w:val="22"/>
                <w:szCs w:val="22"/>
              </w:rPr>
            </w:pPr>
            <w:r w:rsidRPr="009C1463">
              <w:rPr>
                <w:noProof/>
                <w:sz w:val="22"/>
                <w:szCs w:val="22"/>
              </w:rPr>
              <w:t>Svimmelhed</w:t>
            </w:r>
            <w:r w:rsidRPr="009C1463">
              <w:rPr>
                <w:noProof/>
                <w:sz w:val="22"/>
                <w:szCs w:val="22"/>
              </w:rPr>
              <w:br/>
              <w:t>Sløvhed</w:t>
            </w:r>
            <w:r w:rsidRPr="009C1463">
              <w:rPr>
                <w:noProof/>
                <w:sz w:val="22"/>
                <w:szCs w:val="22"/>
              </w:rPr>
              <w:br/>
              <w:t>Tremor</w:t>
            </w:r>
            <w:r w:rsidRPr="009C1463">
              <w:rPr>
                <w:noProof/>
                <w:sz w:val="22"/>
                <w:szCs w:val="22"/>
              </w:rPr>
              <w:br/>
              <w:t>Paræstesi</w:t>
            </w:r>
          </w:p>
          <w:p w14:paraId="2B65871A" w14:textId="77777777" w:rsidR="009C1463" w:rsidRPr="009C1463" w:rsidRDefault="009C1463" w:rsidP="009C1463">
            <w:pPr>
              <w:autoSpaceDE w:val="0"/>
              <w:autoSpaceDN w:val="0"/>
              <w:adjustRightInd w:val="0"/>
              <w:rPr>
                <w:noProof/>
                <w:sz w:val="22"/>
                <w:szCs w:val="22"/>
              </w:rPr>
            </w:pPr>
          </w:p>
        </w:tc>
        <w:tc>
          <w:tcPr>
            <w:tcW w:w="1831" w:type="dxa"/>
            <w:tcBorders>
              <w:top w:val="single" w:sz="4" w:space="0" w:color="auto"/>
              <w:left w:val="single" w:sz="4" w:space="0" w:color="auto"/>
              <w:bottom w:val="single" w:sz="4" w:space="0" w:color="auto"/>
              <w:right w:val="single" w:sz="4" w:space="0" w:color="auto"/>
            </w:tcBorders>
          </w:tcPr>
          <w:p w14:paraId="2C8488B8" w14:textId="64F7FE3E" w:rsidR="009C1463" w:rsidRPr="009C1463" w:rsidRDefault="009C1463" w:rsidP="009C1463">
            <w:pPr>
              <w:autoSpaceDE w:val="0"/>
              <w:autoSpaceDN w:val="0"/>
              <w:adjustRightInd w:val="0"/>
              <w:rPr>
                <w:noProof/>
                <w:sz w:val="22"/>
                <w:szCs w:val="22"/>
                <w:lang w:val="da-DK"/>
              </w:rPr>
            </w:pPr>
            <w:r w:rsidRPr="009C1463">
              <w:rPr>
                <w:noProof/>
                <w:sz w:val="22"/>
                <w:szCs w:val="22"/>
                <w:lang w:val="da-DK"/>
              </w:rPr>
              <w:t>Myoklonus</w:t>
            </w:r>
            <w:r w:rsidRPr="009C1463">
              <w:rPr>
                <w:noProof/>
                <w:sz w:val="22"/>
                <w:szCs w:val="22"/>
                <w:lang w:val="da-DK"/>
              </w:rPr>
              <w:br/>
              <w:t>Akatisi⁷</w:t>
            </w:r>
            <w:r w:rsidRPr="009C1463">
              <w:rPr>
                <w:noProof/>
                <w:sz w:val="22"/>
                <w:szCs w:val="22"/>
                <w:lang w:val="da-DK"/>
              </w:rPr>
              <w:br/>
              <w:t>Nervøsitet</w:t>
            </w:r>
            <w:r w:rsidRPr="009C1463">
              <w:rPr>
                <w:noProof/>
                <w:sz w:val="22"/>
                <w:szCs w:val="22"/>
                <w:lang w:val="da-DK"/>
              </w:rPr>
              <w:br/>
              <w:t>Opmærksomhedsforstyrrelse</w:t>
            </w:r>
            <w:r w:rsidRPr="009C1463">
              <w:rPr>
                <w:noProof/>
                <w:sz w:val="22"/>
                <w:szCs w:val="22"/>
                <w:lang w:val="da-DK"/>
              </w:rPr>
              <w:br/>
              <w:t>Dysgeusi</w:t>
            </w:r>
            <w:r w:rsidRPr="009C1463">
              <w:rPr>
                <w:noProof/>
                <w:sz w:val="22"/>
                <w:szCs w:val="22"/>
                <w:lang w:val="da-DK"/>
              </w:rPr>
              <w:br/>
            </w:r>
            <w:r w:rsidRPr="009C1463">
              <w:rPr>
                <w:noProof/>
                <w:sz w:val="22"/>
                <w:szCs w:val="22"/>
                <w:lang w:val="da-DK"/>
              </w:rPr>
              <w:lastRenderedPageBreak/>
              <w:t>Dyskinesi</w:t>
            </w:r>
            <w:r w:rsidRPr="009C1463">
              <w:rPr>
                <w:noProof/>
                <w:sz w:val="22"/>
                <w:szCs w:val="22"/>
                <w:lang w:val="da-DK"/>
              </w:rPr>
              <w:br/>
              <w:t>Restless legs</w:t>
            </w:r>
            <w:r w:rsidRPr="009C1463">
              <w:rPr>
                <w:noProof/>
                <w:sz w:val="22"/>
                <w:szCs w:val="22"/>
                <w:lang w:val="da-DK"/>
              </w:rPr>
              <w:noBreakHyphen/>
              <w:t>syndrom</w:t>
            </w:r>
            <w:r w:rsidRPr="009C1463">
              <w:rPr>
                <w:noProof/>
                <w:sz w:val="22"/>
                <w:szCs w:val="22"/>
                <w:lang w:val="da-DK"/>
              </w:rPr>
              <w:br/>
              <w:t>Urolig søvn</w:t>
            </w:r>
          </w:p>
        </w:tc>
        <w:tc>
          <w:tcPr>
            <w:tcW w:w="2055" w:type="dxa"/>
            <w:tcBorders>
              <w:top w:val="single" w:sz="4" w:space="0" w:color="auto"/>
              <w:left w:val="single" w:sz="4" w:space="0" w:color="auto"/>
              <w:bottom w:val="single" w:sz="4" w:space="0" w:color="auto"/>
              <w:right w:val="single" w:sz="4" w:space="0" w:color="auto"/>
            </w:tcBorders>
          </w:tcPr>
          <w:p w14:paraId="737DCB17" w14:textId="77777777" w:rsidR="009C1463" w:rsidRPr="009C1463" w:rsidRDefault="009C1463" w:rsidP="009C1463">
            <w:pPr>
              <w:autoSpaceDE w:val="0"/>
              <w:autoSpaceDN w:val="0"/>
              <w:adjustRightInd w:val="0"/>
              <w:rPr>
                <w:noProof/>
                <w:sz w:val="22"/>
                <w:szCs w:val="22"/>
                <w:lang w:val="da-DK"/>
              </w:rPr>
            </w:pPr>
            <w:r w:rsidRPr="009C1463">
              <w:rPr>
                <w:noProof/>
                <w:sz w:val="22"/>
                <w:szCs w:val="22"/>
                <w:lang w:val="da-DK"/>
              </w:rPr>
              <w:lastRenderedPageBreak/>
              <w:t>Serotoninsyndrom⁶</w:t>
            </w:r>
            <w:r w:rsidRPr="009C1463">
              <w:rPr>
                <w:noProof/>
                <w:sz w:val="22"/>
                <w:szCs w:val="22"/>
                <w:lang w:val="da-DK"/>
              </w:rPr>
              <w:br/>
              <w:t>Kramper¹</w:t>
            </w:r>
            <w:r w:rsidRPr="009C1463">
              <w:rPr>
                <w:noProof/>
                <w:sz w:val="22"/>
                <w:szCs w:val="22"/>
                <w:lang w:val="da-DK"/>
              </w:rPr>
              <w:br/>
              <w:t>Psykomotorisk uro⁶</w:t>
            </w:r>
            <w:r w:rsidRPr="009C1463">
              <w:rPr>
                <w:noProof/>
                <w:sz w:val="22"/>
                <w:szCs w:val="22"/>
                <w:lang w:val="da-DK"/>
              </w:rPr>
              <w:br/>
              <w:t>Ekstrapyramidale symptomer⁶</w:t>
            </w:r>
          </w:p>
          <w:p w14:paraId="3BE51FCD" w14:textId="77777777" w:rsidR="009C1463" w:rsidRPr="009C1463" w:rsidRDefault="009C1463" w:rsidP="009C1463">
            <w:pPr>
              <w:autoSpaceDE w:val="0"/>
              <w:autoSpaceDN w:val="0"/>
              <w:adjustRightInd w:val="0"/>
              <w:rPr>
                <w:noProof/>
                <w:sz w:val="22"/>
                <w:szCs w:val="22"/>
                <w:lang w:val="da-DK"/>
              </w:rPr>
            </w:pPr>
          </w:p>
        </w:tc>
        <w:tc>
          <w:tcPr>
            <w:tcW w:w="992" w:type="dxa"/>
            <w:tcBorders>
              <w:top w:val="single" w:sz="4" w:space="0" w:color="auto"/>
              <w:left w:val="single" w:sz="4" w:space="0" w:color="auto"/>
              <w:bottom w:val="single" w:sz="4" w:space="0" w:color="auto"/>
              <w:right w:val="single" w:sz="4" w:space="0" w:color="auto"/>
            </w:tcBorders>
          </w:tcPr>
          <w:p w14:paraId="6001CB6B" w14:textId="77777777" w:rsidR="009C1463" w:rsidRPr="009C1463" w:rsidRDefault="009C1463" w:rsidP="009C1463">
            <w:pPr>
              <w:autoSpaceDE w:val="0"/>
              <w:autoSpaceDN w:val="0"/>
              <w:adjustRightInd w:val="0"/>
              <w:rPr>
                <w:noProof/>
                <w:sz w:val="22"/>
                <w:szCs w:val="22"/>
                <w:lang w:val="da-DK"/>
              </w:rPr>
            </w:pPr>
          </w:p>
        </w:tc>
        <w:tc>
          <w:tcPr>
            <w:tcW w:w="1122" w:type="dxa"/>
            <w:tcBorders>
              <w:top w:val="single" w:sz="4" w:space="0" w:color="auto"/>
              <w:left w:val="single" w:sz="4" w:space="0" w:color="auto"/>
              <w:bottom w:val="single" w:sz="4" w:space="0" w:color="auto"/>
              <w:right w:val="single" w:sz="4" w:space="0" w:color="auto"/>
            </w:tcBorders>
          </w:tcPr>
          <w:p w14:paraId="3FE5C0CE" w14:textId="77777777" w:rsidR="009C1463" w:rsidRPr="009C1463" w:rsidRDefault="009C1463" w:rsidP="009C1463">
            <w:pPr>
              <w:autoSpaceDE w:val="0"/>
              <w:autoSpaceDN w:val="0"/>
              <w:adjustRightInd w:val="0"/>
              <w:rPr>
                <w:noProof/>
                <w:sz w:val="22"/>
                <w:szCs w:val="22"/>
                <w:lang w:val="da-DK"/>
              </w:rPr>
            </w:pPr>
          </w:p>
        </w:tc>
      </w:tr>
      <w:tr w:rsidR="009C1463" w:rsidRPr="009C1463" w14:paraId="25B7984E" w14:textId="77777777" w:rsidTr="009C1463">
        <w:tc>
          <w:tcPr>
            <w:tcW w:w="9055" w:type="dxa"/>
            <w:gridSpan w:val="6"/>
            <w:tcBorders>
              <w:top w:val="single" w:sz="4" w:space="0" w:color="auto"/>
              <w:left w:val="single" w:sz="4" w:space="0" w:color="auto"/>
              <w:bottom w:val="single" w:sz="4" w:space="0" w:color="auto"/>
              <w:right w:val="single" w:sz="4" w:space="0" w:color="auto"/>
            </w:tcBorders>
            <w:hideMark/>
          </w:tcPr>
          <w:p w14:paraId="02738B67" w14:textId="77777777" w:rsidR="009C1463" w:rsidRPr="009C1463" w:rsidRDefault="009C1463" w:rsidP="0065751F">
            <w:pPr>
              <w:autoSpaceDE w:val="0"/>
              <w:autoSpaceDN w:val="0"/>
              <w:adjustRightInd w:val="0"/>
              <w:rPr>
                <w:i/>
                <w:iCs/>
                <w:noProof/>
                <w:sz w:val="22"/>
                <w:szCs w:val="22"/>
              </w:rPr>
            </w:pPr>
            <w:r w:rsidRPr="009C1463">
              <w:rPr>
                <w:i/>
                <w:iCs/>
                <w:noProof/>
                <w:sz w:val="22"/>
                <w:szCs w:val="22"/>
              </w:rPr>
              <w:t>Øjensygdomme</w:t>
            </w:r>
          </w:p>
        </w:tc>
      </w:tr>
      <w:tr w:rsidR="009C1463" w:rsidRPr="009C1463" w14:paraId="062D56BE" w14:textId="77777777" w:rsidTr="009C1463">
        <w:tc>
          <w:tcPr>
            <w:tcW w:w="1504" w:type="dxa"/>
            <w:tcBorders>
              <w:top w:val="single" w:sz="4" w:space="0" w:color="auto"/>
              <w:left w:val="single" w:sz="4" w:space="0" w:color="auto"/>
              <w:bottom w:val="single" w:sz="4" w:space="0" w:color="auto"/>
              <w:right w:val="single" w:sz="4" w:space="0" w:color="auto"/>
            </w:tcBorders>
          </w:tcPr>
          <w:p w14:paraId="0F5AB06C" w14:textId="77777777" w:rsidR="009C1463" w:rsidRPr="009C1463" w:rsidRDefault="009C1463" w:rsidP="0065751F">
            <w:pPr>
              <w:autoSpaceDE w:val="0"/>
              <w:autoSpaceDN w:val="0"/>
              <w:adjustRightInd w:val="0"/>
              <w:rPr>
                <w:b/>
                <w:bCs/>
                <w:noProof/>
                <w:sz w:val="22"/>
                <w:szCs w:val="22"/>
              </w:rPr>
            </w:pPr>
          </w:p>
        </w:tc>
        <w:tc>
          <w:tcPr>
            <w:tcW w:w="1551" w:type="dxa"/>
            <w:tcBorders>
              <w:top w:val="single" w:sz="4" w:space="0" w:color="auto"/>
              <w:left w:val="single" w:sz="4" w:space="0" w:color="auto"/>
              <w:bottom w:val="single" w:sz="4" w:space="0" w:color="auto"/>
              <w:right w:val="single" w:sz="4" w:space="0" w:color="auto"/>
            </w:tcBorders>
            <w:hideMark/>
          </w:tcPr>
          <w:p w14:paraId="252EDFAD" w14:textId="77777777" w:rsidR="009C1463" w:rsidRPr="009C1463" w:rsidRDefault="009C1463" w:rsidP="009C1463">
            <w:pPr>
              <w:autoSpaceDE w:val="0"/>
              <w:autoSpaceDN w:val="0"/>
              <w:adjustRightInd w:val="0"/>
              <w:rPr>
                <w:noProof/>
                <w:sz w:val="22"/>
                <w:szCs w:val="22"/>
              </w:rPr>
            </w:pPr>
            <w:r w:rsidRPr="009C1463">
              <w:rPr>
                <w:noProof/>
                <w:sz w:val="22"/>
                <w:szCs w:val="22"/>
              </w:rPr>
              <w:t>Sløret syn</w:t>
            </w:r>
          </w:p>
        </w:tc>
        <w:tc>
          <w:tcPr>
            <w:tcW w:w="1831" w:type="dxa"/>
            <w:tcBorders>
              <w:top w:val="single" w:sz="4" w:space="0" w:color="auto"/>
              <w:left w:val="single" w:sz="4" w:space="0" w:color="auto"/>
              <w:bottom w:val="single" w:sz="4" w:space="0" w:color="auto"/>
              <w:right w:val="single" w:sz="4" w:space="0" w:color="auto"/>
            </w:tcBorders>
            <w:hideMark/>
          </w:tcPr>
          <w:p w14:paraId="1247AB6B" w14:textId="77777777" w:rsidR="009C1463" w:rsidRPr="009C1463" w:rsidRDefault="009C1463" w:rsidP="009C1463">
            <w:pPr>
              <w:autoSpaceDE w:val="0"/>
              <w:autoSpaceDN w:val="0"/>
              <w:adjustRightInd w:val="0"/>
              <w:rPr>
                <w:noProof/>
                <w:sz w:val="22"/>
                <w:szCs w:val="22"/>
              </w:rPr>
            </w:pPr>
            <w:r w:rsidRPr="009C1463">
              <w:rPr>
                <w:noProof/>
                <w:sz w:val="22"/>
                <w:szCs w:val="22"/>
              </w:rPr>
              <w:t>Mydriasis</w:t>
            </w:r>
            <w:r w:rsidRPr="009C1463">
              <w:rPr>
                <w:noProof/>
                <w:sz w:val="22"/>
                <w:szCs w:val="22"/>
              </w:rPr>
              <w:br/>
              <w:t>Synsnedsættelse</w:t>
            </w:r>
          </w:p>
        </w:tc>
        <w:tc>
          <w:tcPr>
            <w:tcW w:w="2055" w:type="dxa"/>
            <w:tcBorders>
              <w:top w:val="single" w:sz="4" w:space="0" w:color="auto"/>
              <w:left w:val="single" w:sz="4" w:space="0" w:color="auto"/>
              <w:bottom w:val="single" w:sz="4" w:space="0" w:color="auto"/>
              <w:right w:val="single" w:sz="4" w:space="0" w:color="auto"/>
            </w:tcBorders>
          </w:tcPr>
          <w:p w14:paraId="6287EADB" w14:textId="77777777" w:rsidR="009C1463" w:rsidRPr="009C1463" w:rsidRDefault="009C1463" w:rsidP="009C1463">
            <w:pPr>
              <w:autoSpaceDE w:val="0"/>
              <w:autoSpaceDN w:val="0"/>
              <w:adjustRightInd w:val="0"/>
              <w:rPr>
                <w:noProof/>
                <w:sz w:val="22"/>
                <w:szCs w:val="22"/>
              </w:rPr>
            </w:pPr>
            <w:r w:rsidRPr="009C1463">
              <w:rPr>
                <w:noProof/>
                <w:sz w:val="22"/>
                <w:szCs w:val="22"/>
              </w:rPr>
              <w:t>Glaukom</w:t>
            </w:r>
          </w:p>
          <w:p w14:paraId="1349BC3D" w14:textId="77777777" w:rsidR="009C1463" w:rsidRPr="009C1463" w:rsidRDefault="009C1463" w:rsidP="009C1463">
            <w:pPr>
              <w:autoSpaceDE w:val="0"/>
              <w:autoSpaceDN w:val="0"/>
              <w:adjustRightInd w:val="0"/>
              <w:rPr>
                <w:noProof/>
                <w:sz w:val="22"/>
                <w:szCs w:val="22"/>
              </w:rPr>
            </w:pPr>
          </w:p>
        </w:tc>
        <w:tc>
          <w:tcPr>
            <w:tcW w:w="992" w:type="dxa"/>
            <w:tcBorders>
              <w:top w:val="single" w:sz="4" w:space="0" w:color="auto"/>
              <w:left w:val="single" w:sz="4" w:space="0" w:color="auto"/>
              <w:bottom w:val="single" w:sz="4" w:space="0" w:color="auto"/>
              <w:right w:val="single" w:sz="4" w:space="0" w:color="auto"/>
            </w:tcBorders>
          </w:tcPr>
          <w:p w14:paraId="0EC71A20" w14:textId="77777777" w:rsidR="009C1463" w:rsidRPr="009C1463" w:rsidRDefault="009C1463" w:rsidP="009C1463">
            <w:pPr>
              <w:autoSpaceDE w:val="0"/>
              <w:autoSpaceDN w:val="0"/>
              <w:adjustRightInd w:val="0"/>
              <w:rPr>
                <w:noProof/>
                <w:sz w:val="22"/>
                <w:szCs w:val="22"/>
              </w:rPr>
            </w:pPr>
          </w:p>
        </w:tc>
        <w:tc>
          <w:tcPr>
            <w:tcW w:w="1122" w:type="dxa"/>
            <w:tcBorders>
              <w:top w:val="single" w:sz="4" w:space="0" w:color="auto"/>
              <w:left w:val="single" w:sz="4" w:space="0" w:color="auto"/>
              <w:bottom w:val="single" w:sz="4" w:space="0" w:color="auto"/>
              <w:right w:val="single" w:sz="4" w:space="0" w:color="auto"/>
            </w:tcBorders>
          </w:tcPr>
          <w:p w14:paraId="0741E651" w14:textId="77777777" w:rsidR="009C1463" w:rsidRPr="009C1463" w:rsidRDefault="009C1463" w:rsidP="009C1463">
            <w:pPr>
              <w:autoSpaceDE w:val="0"/>
              <w:autoSpaceDN w:val="0"/>
              <w:adjustRightInd w:val="0"/>
              <w:rPr>
                <w:noProof/>
                <w:sz w:val="22"/>
                <w:szCs w:val="22"/>
              </w:rPr>
            </w:pPr>
          </w:p>
        </w:tc>
      </w:tr>
      <w:tr w:rsidR="009C1463" w:rsidRPr="009C1463" w14:paraId="145423EA" w14:textId="77777777" w:rsidTr="009C1463">
        <w:tc>
          <w:tcPr>
            <w:tcW w:w="9055" w:type="dxa"/>
            <w:gridSpan w:val="6"/>
            <w:tcBorders>
              <w:top w:val="single" w:sz="4" w:space="0" w:color="auto"/>
              <w:left w:val="single" w:sz="4" w:space="0" w:color="auto"/>
              <w:bottom w:val="single" w:sz="4" w:space="0" w:color="auto"/>
              <w:right w:val="single" w:sz="4" w:space="0" w:color="auto"/>
            </w:tcBorders>
            <w:hideMark/>
          </w:tcPr>
          <w:p w14:paraId="14657C09" w14:textId="77777777" w:rsidR="009C1463" w:rsidRPr="009C1463" w:rsidRDefault="009C1463" w:rsidP="0065751F">
            <w:pPr>
              <w:autoSpaceDE w:val="0"/>
              <w:autoSpaceDN w:val="0"/>
              <w:adjustRightInd w:val="0"/>
              <w:rPr>
                <w:i/>
                <w:iCs/>
                <w:noProof/>
                <w:sz w:val="22"/>
                <w:szCs w:val="22"/>
              </w:rPr>
            </w:pPr>
            <w:r w:rsidRPr="009C1463">
              <w:rPr>
                <w:i/>
                <w:iCs/>
                <w:noProof/>
                <w:sz w:val="22"/>
                <w:szCs w:val="22"/>
              </w:rPr>
              <w:t>Øre og labyrintsygdomme</w:t>
            </w:r>
          </w:p>
        </w:tc>
      </w:tr>
      <w:tr w:rsidR="009C1463" w:rsidRPr="009C1463" w14:paraId="2C5A7A5B" w14:textId="77777777" w:rsidTr="009C1463">
        <w:tc>
          <w:tcPr>
            <w:tcW w:w="1504" w:type="dxa"/>
            <w:tcBorders>
              <w:top w:val="single" w:sz="4" w:space="0" w:color="auto"/>
              <w:left w:val="single" w:sz="4" w:space="0" w:color="auto"/>
              <w:bottom w:val="single" w:sz="4" w:space="0" w:color="auto"/>
              <w:right w:val="single" w:sz="4" w:space="0" w:color="auto"/>
            </w:tcBorders>
          </w:tcPr>
          <w:p w14:paraId="7AF275C9" w14:textId="77777777" w:rsidR="009C1463" w:rsidRPr="009C1463" w:rsidRDefault="009C1463" w:rsidP="0065751F">
            <w:pPr>
              <w:autoSpaceDE w:val="0"/>
              <w:autoSpaceDN w:val="0"/>
              <w:adjustRightInd w:val="0"/>
              <w:rPr>
                <w:b/>
                <w:bCs/>
                <w:noProof/>
                <w:sz w:val="22"/>
                <w:szCs w:val="22"/>
              </w:rPr>
            </w:pPr>
          </w:p>
        </w:tc>
        <w:tc>
          <w:tcPr>
            <w:tcW w:w="1551" w:type="dxa"/>
            <w:tcBorders>
              <w:top w:val="single" w:sz="4" w:space="0" w:color="auto"/>
              <w:left w:val="single" w:sz="4" w:space="0" w:color="auto"/>
              <w:bottom w:val="single" w:sz="4" w:space="0" w:color="auto"/>
              <w:right w:val="single" w:sz="4" w:space="0" w:color="auto"/>
            </w:tcBorders>
            <w:hideMark/>
          </w:tcPr>
          <w:p w14:paraId="429D9F8C" w14:textId="77777777" w:rsidR="009C1463" w:rsidRPr="009C1463" w:rsidRDefault="009C1463" w:rsidP="009C1463">
            <w:pPr>
              <w:autoSpaceDE w:val="0"/>
              <w:autoSpaceDN w:val="0"/>
              <w:adjustRightInd w:val="0"/>
              <w:rPr>
                <w:noProof/>
                <w:sz w:val="22"/>
                <w:szCs w:val="22"/>
              </w:rPr>
            </w:pPr>
            <w:r w:rsidRPr="009C1463">
              <w:rPr>
                <w:noProof/>
                <w:sz w:val="22"/>
                <w:szCs w:val="22"/>
              </w:rPr>
              <w:t>Tinnitus¹</w:t>
            </w:r>
          </w:p>
        </w:tc>
        <w:tc>
          <w:tcPr>
            <w:tcW w:w="1831" w:type="dxa"/>
            <w:tcBorders>
              <w:top w:val="single" w:sz="4" w:space="0" w:color="auto"/>
              <w:left w:val="single" w:sz="4" w:space="0" w:color="auto"/>
              <w:bottom w:val="single" w:sz="4" w:space="0" w:color="auto"/>
              <w:right w:val="single" w:sz="4" w:space="0" w:color="auto"/>
            </w:tcBorders>
            <w:hideMark/>
          </w:tcPr>
          <w:p w14:paraId="33FE9DB2" w14:textId="77777777" w:rsidR="009C1463" w:rsidRPr="009C1463" w:rsidRDefault="009C1463" w:rsidP="009C1463">
            <w:pPr>
              <w:autoSpaceDE w:val="0"/>
              <w:autoSpaceDN w:val="0"/>
              <w:adjustRightInd w:val="0"/>
              <w:rPr>
                <w:noProof/>
                <w:sz w:val="22"/>
                <w:szCs w:val="22"/>
              </w:rPr>
            </w:pPr>
            <w:r w:rsidRPr="009C1463">
              <w:rPr>
                <w:noProof/>
                <w:sz w:val="22"/>
                <w:szCs w:val="22"/>
              </w:rPr>
              <w:t>Vertigo</w:t>
            </w:r>
            <w:r w:rsidRPr="009C1463">
              <w:rPr>
                <w:noProof/>
                <w:sz w:val="22"/>
                <w:szCs w:val="22"/>
              </w:rPr>
              <w:br/>
              <w:t>Øresmerter</w:t>
            </w:r>
          </w:p>
        </w:tc>
        <w:tc>
          <w:tcPr>
            <w:tcW w:w="2055" w:type="dxa"/>
            <w:tcBorders>
              <w:top w:val="single" w:sz="4" w:space="0" w:color="auto"/>
              <w:left w:val="single" w:sz="4" w:space="0" w:color="auto"/>
              <w:bottom w:val="single" w:sz="4" w:space="0" w:color="auto"/>
              <w:right w:val="single" w:sz="4" w:space="0" w:color="auto"/>
            </w:tcBorders>
          </w:tcPr>
          <w:p w14:paraId="49F4755A" w14:textId="77777777" w:rsidR="009C1463" w:rsidRPr="009C1463" w:rsidRDefault="009C1463" w:rsidP="009C1463">
            <w:pPr>
              <w:autoSpaceDE w:val="0"/>
              <w:autoSpaceDN w:val="0"/>
              <w:adjustRightInd w:val="0"/>
              <w:rPr>
                <w:noProof/>
                <w:sz w:val="22"/>
                <w:szCs w:val="22"/>
              </w:rPr>
            </w:pPr>
          </w:p>
        </w:tc>
        <w:tc>
          <w:tcPr>
            <w:tcW w:w="992" w:type="dxa"/>
            <w:tcBorders>
              <w:top w:val="single" w:sz="4" w:space="0" w:color="auto"/>
              <w:left w:val="single" w:sz="4" w:space="0" w:color="auto"/>
              <w:bottom w:val="single" w:sz="4" w:space="0" w:color="auto"/>
              <w:right w:val="single" w:sz="4" w:space="0" w:color="auto"/>
            </w:tcBorders>
          </w:tcPr>
          <w:p w14:paraId="4246E6AC" w14:textId="77777777" w:rsidR="009C1463" w:rsidRPr="009C1463" w:rsidRDefault="009C1463" w:rsidP="009C1463">
            <w:pPr>
              <w:autoSpaceDE w:val="0"/>
              <w:autoSpaceDN w:val="0"/>
              <w:adjustRightInd w:val="0"/>
              <w:rPr>
                <w:noProof/>
                <w:sz w:val="22"/>
                <w:szCs w:val="22"/>
              </w:rPr>
            </w:pPr>
          </w:p>
        </w:tc>
        <w:tc>
          <w:tcPr>
            <w:tcW w:w="1122" w:type="dxa"/>
            <w:tcBorders>
              <w:top w:val="single" w:sz="4" w:space="0" w:color="auto"/>
              <w:left w:val="single" w:sz="4" w:space="0" w:color="auto"/>
              <w:bottom w:val="single" w:sz="4" w:space="0" w:color="auto"/>
              <w:right w:val="single" w:sz="4" w:space="0" w:color="auto"/>
            </w:tcBorders>
          </w:tcPr>
          <w:p w14:paraId="350C1A52" w14:textId="77777777" w:rsidR="009C1463" w:rsidRPr="009C1463" w:rsidRDefault="009C1463" w:rsidP="009C1463">
            <w:pPr>
              <w:autoSpaceDE w:val="0"/>
              <w:autoSpaceDN w:val="0"/>
              <w:adjustRightInd w:val="0"/>
              <w:rPr>
                <w:noProof/>
                <w:sz w:val="22"/>
                <w:szCs w:val="22"/>
              </w:rPr>
            </w:pPr>
          </w:p>
        </w:tc>
      </w:tr>
      <w:tr w:rsidR="009C1463" w:rsidRPr="009C1463" w14:paraId="056C5516" w14:textId="77777777" w:rsidTr="009C1463">
        <w:tc>
          <w:tcPr>
            <w:tcW w:w="9055" w:type="dxa"/>
            <w:gridSpan w:val="6"/>
            <w:tcBorders>
              <w:top w:val="single" w:sz="4" w:space="0" w:color="auto"/>
              <w:left w:val="single" w:sz="4" w:space="0" w:color="auto"/>
              <w:bottom w:val="single" w:sz="4" w:space="0" w:color="auto"/>
              <w:right w:val="single" w:sz="4" w:space="0" w:color="auto"/>
            </w:tcBorders>
            <w:hideMark/>
          </w:tcPr>
          <w:p w14:paraId="2614C23D" w14:textId="77777777" w:rsidR="009C1463" w:rsidRPr="009C1463" w:rsidRDefault="009C1463" w:rsidP="0065751F">
            <w:pPr>
              <w:autoSpaceDE w:val="0"/>
              <w:autoSpaceDN w:val="0"/>
              <w:adjustRightInd w:val="0"/>
              <w:rPr>
                <w:i/>
                <w:iCs/>
                <w:noProof/>
                <w:sz w:val="22"/>
                <w:szCs w:val="22"/>
              </w:rPr>
            </w:pPr>
            <w:r w:rsidRPr="009C1463">
              <w:rPr>
                <w:i/>
                <w:iCs/>
                <w:noProof/>
                <w:sz w:val="22"/>
                <w:szCs w:val="22"/>
              </w:rPr>
              <w:t>Hjertesygdomme</w:t>
            </w:r>
          </w:p>
        </w:tc>
      </w:tr>
      <w:tr w:rsidR="009C1463" w:rsidRPr="009C1463" w14:paraId="72BCE873" w14:textId="77777777" w:rsidTr="009C1463">
        <w:tc>
          <w:tcPr>
            <w:tcW w:w="1504" w:type="dxa"/>
            <w:tcBorders>
              <w:top w:val="single" w:sz="4" w:space="0" w:color="auto"/>
              <w:left w:val="single" w:sz="4" w:space="0" w:color="auto"/>
              <w:bottom w:val="single" w:sz="4" w:space="0" w:color="auto"/>
              <w:right w:val="single" w:sz="4" w:space="0" w:color="auto"/>
            </w:tcBorders>
          </w:tcPr>
          <w:p w14:paraId="2808E5F1" w14:textId="77777777" w:rsidR="009C1463" w:rsidRPr="009C1463" w:rsidRDefault="009C1463" w:rsidP="0065751F">
            <w:pPr>
              <w:autoSpaceDE w:val="0"/>
              <w:autoSpaceDN w:val="0"/>
              <w:adjustRightInd w:val="0"/>
              <w:rPr>
                <w:b/>
                <w:bCs/>
                <w:noProof/>
                <w:sz w:val="22"/>
                <w:szCs w:val="22"/>
              </w:rPr>
            </w:pPr>
          </w:p>
        </w:tc>
        <w:tc>
          <w:tcPr>
            <w:tcW w:w="1551" w:type="dxa"/>
            <w:tcBorders>
              <w:top w:val="single" w:sz="4" w:space="0" w:color="auto"/>
              <w:left w:val="single" w:sz="4" w:space="0" w:color="auto"/>
              <w:bottom w:val="single" w:sz="4" w:space="0" w:color="auto"/>
              <w:right w:val="single" w:sz="4" w:space="0" w:color="auto"/>
            </w:tcBorders>
            <w:hideMark/>
          </w:tcPr>
          <w:p w14:paraId="786A03D2" w14:textId="77777777" w:rsidR="009C1463" w:rsidRPr="009C1463" w:rsidRDefault="009C1463" w:rsidP="009C1463">
            <w:pPr>
              <w:autoSpaceDE w:val="0"/>
              <w:autoSpaceDN w:val="0"/>
              <w:adjustRightInd w:val="0"/>
              <w:rPr>
                <w:noProof/>
                <w:sz w:val="22"/>
                <w:szCs w:val="22"/>
              </w:rPr>
            </w:pPr>
            <w:r w:rsidRPr="009C1463">
              <w:rPr>
                <w:noProof/>
                <w:sz w:val="22"/>
                <w:szCs w:val="22"/>
              </w:rPr>
              <w:t>Palpitationer</w:t>
            </w:r>
          </w:p>
        </w:tc>
        <w:tc>
          <w:tcPr>
            <w:tcW w:w="1831" w:type="dxa"/>
            <w:tcBorders>
              <w:top w:val="single" w:sz="4" w:space="0" w:color="auto"/>
              <w:left w:val="single" w:sz="4" w:space="0" w:color="auto"/>
              <w:bottom w:val="single" w:sz="4" w:space="0" w:color="auto"/>
              <w:right w:val="single" w:sz="4" w:space="0" w:color="auto"/>
            </w:tcBorders>
          </w:tcPr>
          <w:p w14:paraId="1621951D" w14:textId="77777777" w:rsidR="009C1463" w:rsidRPr="009C1463" w:rsidRDefault="009C1463" w:rsidP="009C1463">
            <w:pPr>
              <w:autoSpaceDE w:val="0"/>
              <w:autoSpaceDN w:val="0"/>
              <w:adjustRightInd w:val="0"/>
              <w:rPr>
                <w:noProof/>
                <w:sz w:val="22"/>
                <w:szCs w:val="22"/>
                <w:lang w:val="da-DK"/>
              </w:rPr>
            </w:pPr>
            <w:r w:rsidRPr="009C1463">
              <w:rPr>
                <w:noProof/>
                <w:sz w:val="22"/>
                <w:szCs w:val="22"/>
                <w:lang w:val="da-DK"/>
              </w:rPr>
              <w:t>Takykardi</w:t>
            </w:r>
          </w:p>
          <w:p w14:paraId="21623CE6" w14:textId="77777777" w:rsidR="009C1463" w:rsidRPr="009C1463" w:rsidRDefault="009C1463" w:rsidP="009C1463">
            <w:pPr>
              <w:autoSpaceDE w:val="0"/>
              <w:autoSpaceDN w:val="0"/>
              <w:adjustRightInd w:val="0"/>
              <w:rPr>
                <w:noProof/>
                <w:sz w:val="22"/>
                <w:szCs w:val="22"/>
                <w:lang w:val="da-DK"/>
              </w:rPr>
            </w:pPr>
            <w:r w:rsidRPr="009C1463">
              <w:rPr>
                <w:noProof/>
                <w:sz w:val="22"/>
                <w:szCs w:val="22"/>
                <w:lang w:val="da-DK"/>
              </w:rPr>
              <w:t>Supraventrikulær arytmi (overvejende atrieflimren)</w:t>
            </w:r>
          </w:p>
          <w:p w14:paraId="50C70258" w14:textId="77777777" w:rsidR="009C1463" w:rsidRPr="009C1463" w:rsidRDefault="009C1463" w:rsidP="009C1463">
            <w:pPr>
              <w:autoSpaceDE w:val="0"/>
              <w:autoSpaceDN w:val="0"/>
              <w:adjustRightInd w:val="0"/>
              <w:rPr>
                <w:noProof/>
                <w:sz w:val="22"/>
                <w:szCs w:val="22"/>
                <w:lang w:val="da-DK"/>
              </w:rPr>
            </w:pPr>
          </w:p>
          <w:p w14:paraId="7DB1CC0C" w14:textId="77777777" w:rsidR="009C1463" w:rsidRPr="009C1463" w:rsidRDefault="009C1463" w:rsidP="009C1463">
            <w:pPr>
              <w:autoSpaceDE w:val="0"/>
              <w:autoSpaceDN w:val="0"/>
              <w:adjustRightInd w:val="0"/>
              <w:rPr>
                <w:noProof/>
                <w:sz w:val="22"/>
                <w:szCs w:val="22"/>
                <w:lang w:val="da-DK"/>
              </w:rPr>
            </w:pPr>
          </w:p>
        </w:tc>
        <w:tc>
          <w:tcPr>
            <w:tcW w:w="2055" w:type="dxa"/>
            <w:tcBorders>
              <w:top w:val="single" w:sz="4" w:space="0" w:color="auto"/>
              <w:left w:val="single" w:sz="4" w:space="0" w:color="auto"/>
              <w:bottom w:val="single" w:sz="4" w:space="0" w:color="auto"/>
              <w:right w:val="single" w:sz="4" w:space="0" w:color="auto"/>
            </w:tcBorders>
          </w:tcPr>
          <w:p w14:paraId="28EDDFA6" w14:textId="77777777" w:rsidR="009C1463" w:rsidRPr="009C1463" w:rsidRDefault="009C1463" w:rsidP="009C1463">
            <w:pPr>
              <w:autoSpaceDE w:val="0"/>
              <w:autoSpaceDN w:val="0"/>
              <w:adjustRightInd w:val="0"/>
              <w:rPr>
                <w:noProof/>
                <w:sz w:val="22"/>
                <w:szCs w:val="22"/>
                <w:lang w:val="da-DK"/>
              </w:rPr>
            </w:pPr>
          </w:p>
        </w:tc>
        <w:tc>
          <w:tcPr>
            <w:tcW w:w="992" w:type="dxa"/>
            <w:tcBorders>
              <w:top w:val="single" w:sz="4" w:space="0" w:color="auto"/>
              <w:left w:val="single" w:sz="4" w:space="0" w:color="auto"/>
              <w:bottom w:val="single" w:sz="4" w:space="0" w:color="auto"/>
              <w:right w:val="single" w:sz="4" w:space="0" w:color="auto"/>
            </w:tcBorders>
          </w:tcPr>
          <w:p w14:paraId="48A99D60" w14:textId="77777777" w:rsidR="009C1463" w:rsidRPr="009C1463" w:rsidRDefault="009C1463" w:rsidP="009C1463">
            <w:pPr>
              <w:autoSpaceDE w:val="0"/>
              <w:autoSpaceDN w:val="0"/>
              <w:adjustRightInd w:val="0"/>
              <w:rPr>
                <w:noProof/>
                <w:sz w:val="22"/>
                <w:szCs w:val="22"/>
                <w:lang w:val="da-DK"/>
              </w:rPr>
            </w:pPr>
          </w:p>
        </w:tc>
        <w:tc>
          <w:tcPr>
            <w:tcW w:w="1122" w:type="dxa"/>
            <w:tcBorders>
              <w:top w:val="single" w:sz="4" w:space="0" w:color="auto"/>
              <w:left w:val="single" w:sz="4" w:space="0" w:color="auto"/>
              <w:bottom w:val="single" w:sz="4" w:space="0" w:color="auto"/>
              <w:right w:val="single" w:sz="4" w:space="0" w:color="auto"/>
            </w:tcBorders>
          </w:tcPr>
          <w:p w14:paraId="2E073CF3" w14:textId="77777777" w:rsidR="009C1463" w:rsidRPr="009C1463" w:rsidRDefault="009C1463" w:rsidP="009C1463">
            <w:pPr>
              <w:autoSpaceDE w:val="0"/>
              <w:autoSpaceDN w:val="0"/>
              <w:adjustRightInd w:val="0"/>
              <w:rPr>
                <w:noProof/>
                <w:sz w:val="22"/>
                <w:szCs w:val="22"/>
              </w:rPr>
            </w:pPr>
            <w:r w:rsidRPr="009C1463">
              <w:rPr>
                <w:noProof/>
                <w:sz w:val="22"/>
                <w:szCs w:val="22"/>
              </w:rPr>
              <w:t>Stress</w:t>
            </w:r>
          </w:p>
          <w:p w14:paraId="66B9FE48" w14:textId="165E8493" w:rsidR="009C1463" w:rsidRPr="009C1463" w:rsidRDefault="009C1463" w:rsidP="009C1463">
            <w:pPr>
              <w:autoSpaceDE w:val="0"/>
              <w:autoSpaceDN w:val="0"/>
              <w:adjustRightInd w:val="0"/>
              <w:rPr>
                <w:noProof/>
                <w:sz w:val="22"/>
                <w:szCs w:val="22"/>
              </w:rPr>
            </w:pPr>
            <w:r w:rsidRPr="009C1463">
              <w:rPr>
                <w:noProof/>
                <w:sz w:val="22"/>
                <w:szCs w:val="22"/>
              </w:rPr>
              <w:t>Kardio</w:t>
            </w:r>
            <w:r>
              <w:rPr>
                <w:noProof/>
                <w:sz w:val="22"/>
                <w:szCs w:val="22"/>
              </w:rPr>
              <w:t>-</w:t>
            </w:r>
            <w:r w:rsidRPr="009C1463">
              <w:rPr>
                <w:noProof/>
                <w:sz w:val="22"/>
                <w:szCs w:val="22"/>
              </w:rPr>
              <w:t>myopati (Takotsu</w:t>
            </w:r>
            <w:r>
              <w:rPr>
                <w:noProof/>
                <w:sz w:val="22"/>
                <w:szCs w:val="22"/>
              </w:rPr>
              <w:t>-</w:t>
            </w:r>
            <w:r w:rsidRPr="009C1463">
              <w:rPr>
                <w:noProof/>
                <w:sz w:val="22"/>
                <w:szCs w:val="22"/>
              </w:rPr>
              <w:t>bo</w:t>
            </w:r>
            <w:r w:rsidRPr="009C1463">
              <w:rPr>
                <w:noProof/>
                <w:sz w:val="22"/>
                <w:szCs w:val="22"/>
              </w:rPr>
              <w:noBreakHyphen/>
              <w:t>kardiomyopati)</w:t>
            </w:r>
          </w:p>
          <w:p w14:paraId="085CFF5B" w14:textId="77777777" w:rsidR="009C1463" w:rsidRPr="009C1463" w:rsidRDefault="009C1463" w:rsidP="009C1463">
            <w:pPr>
              <w:autoSpaceDE w:val="0"/>
              <w:autoSpaceDN w:val="0"/>
              <w:adjustRightInd w:val="0"/>
              <w:rPr>
                <w:noProof/>
                <w:sz w:val="22"/>
                <w:szCs w:val="22"/>
              </w:rPr>
            </w:pPr>
          </w:p>
        </w:tc>
      </w:tr>
      <w:tr w:rsidR="009C1463" w:rsidRPr="009C1463" w14:paraId="13EF4F86" w14:textId="77777777" w:rsidTr="009C1463">
        <w:tc>
          <w:tcPr>
            <w:tcW w:w="9055" w:type="dxa"/>
            <w:gridSpan w:val="6"/>
            <w:tcBorders>
              <w:top w:val="single" w:sz="4" w:space="0" w:color="auto"/>
              <w:left w:val="single" w:sz="4" w:space="0" w:color="auto"/>
              <w:bottom w:val="single" w:sz="4" w:space="0" w:color="auto"/>
              <w:right w:val="single" w:sz="4" w:space="0" w:color="auto"/>
            </w:tcBorders>
            <w:hideMark/>
          </w:tcPr>
          <w:p w14:paraId="542E6BED" w14:textId="77777777" w:rsidR="009C1463" w:rsidRPr="009C1463" w:rsidRDefault="009C1463" w:rsidP="0065751F">
            <w:pPr>
              <w:autoSpaceDE w:val="0"/>
              <w:autoSpaceDN w:val="0"/>
              <w:adjustRightInd w:val="0"/>
              <w:rPr>
                <w:i/>
                <w:iCs/>
                <w:noProof/>
                <w:sz w:val="22"/>
                <w:szCs w:val="22"/>
              </w:rPr>
            </w:pPr>
            <w:r w:rsidRPr="009C1463">
              <w:rPr>
                <w:i/>
                <w:iCs/>
                <w:noProof/>
                <w:sz w:val="22"/>
                <w:szCs w:val="22"/>
              </w:rPr>
              <w:t>Karsygdomme</w:t>
            </w:r>
          </w:p>
        </w:tc>
      </w:tr>
      <w:tr w:rsidR="009C1463" w:rsidRPr="009C1463" w14:paraId="2C5940BA" w14:textId="77777777" w:rsidTr="009C1463">
        <w:tc>
          <w:tcPr>
            <w:tcW w:w="1504" w:type="dxa"/>
            <w:tcBorders>
              <w:top w:val="single" w:sz="4" w:space="0" w:color="auto"/>
              <w:left w:val="single" w:sz="4" w:space="0" w:color="auto"/>
              <w:bottom w:val="single" w:sz="4" w:space="0" w:color="auto"/>
              <w:right w:val="single" w:sz="4" w:space="0" w:color="auto"/>
            </w:tcBorders>
          </w:tcPr>
          <w:p w14:paraId="5ECA74C9" w14:textId="77777777" w:rsidR="009C1463" w:rsidRPr="009C1463" w:rsidRDefault="009C1463" w:rsidP="0065751F">
            <w:pPr>
              <w:autoSpaceDE w:val="0"/>
              <w:autoSpaceDN w:val="0"/>
              <w:adjustRightInd w:val="0"/>
              <w:rPr>
                <w:b/>
                <w:bCs/>
                <w:noProof/>
                <w:sz w:val="22"/>
                <w:szCs w:val="22"/>
              </w:rPr>
            </w:pPr>
          </w:p>
        </w:tc>
        <w:tc>
          <w:tcPr>
            <w:tcW w:w="1551" w:type="dxa"/>
            <w:tcBorders>
              <w:top w:val="single" w:sz="4" w:space="0" w:color="auto"/>
              <w:left w:val="single" w:sz="4" w:space="0" w:color="auto"/>
              <w:bottom w:val="single" w:sz="4" w:space="0" w:color="auto"/>
              <w:right w:val="single" w:sz="4" w:space="0" w:color="auto"/>
            </w:tcBorders>
            <w:hideMark/>
          </w:tcPr>
          <w:p w14:paraId="17EF2A33" w14:textId="4310A789" w:rsidR="009C1463" w:rsidRPr="009C1463" w:rsidRDefault="009C1463" w:rsidP="009C1463">
            <w:pPr>
              <w:autoSpaceDE w:val="0"/>
              <w:autoSpaceDN w:val="0"/>
              <w:adjustRightInd w:val="0"/>
              <w:rPr>
                <w:noProof/>
                <w:sz w:val="22"/>
                <w:szCs w:val="22"/>
              </w:rPr>
            </w:pPr>
            <w:r w:rsidRPr="009C1463">
              <w:rPr>
                <w:noProof/>
                <w:sz w:val="22"/>
                <w:szCs w:val="22"/>
              </w:rPr>
              <w:t>Blodtryksstig</w:t>
            </w:r>
            <w:r>
              <w:rPr>
                <w:noProof/>
                <w:sz w:val="22"/>
                <w:szCs w:val="22"/>
              </w:rPr>
              <w:t>-</w:t>
            </w:r>
            <w:r w:rsidRPr="009C1463">
              <w:rPr>
                <w:noProof/>
                <w:sz w:val="22"/>
                <w:szCs w:val="22"/>
              </w:rPr>
              <w:t>ning³</w:t>
            </w:r>
            <w:r w:rsidRPr="009C1463">
              <w:rPr>
                <w:noProof/>
                <w:sz w:val="22"/>
                <w:szCs w:val="22"/>
              </w:rPr>
              <w:br/>
              <w:t>Rødme (flushing)</w:t>
            </w:r>
          </w:p>
        </w:tc>
        <w:tc>
          <w:tcPr>
            <w:tcW w:w="1831" w:type="dxa"/>
            <w:tcBorders>
              <w:top w:val="single" w:sz="4" w:space="0" w:color="auto"/>
              <w:left w:val="single" w:sz="4" w:space="0" w:color="auto"/>
              <w:bottom w:val="single" w:sz="4" w:space="0" w:color="auto"/>
              <w:right w:val="single" w:sz="4" w:space="0" w:color="auto"/>
            </w:tcBorders>
            <w:hideMark/>
          </w:tcPr>
          <w:p w14:paraId="4D329E93" w14:textId="77777777" w:rsidR="009C1463" w:rsidRPr="009C1463" w:rsidRDefault="009C1463" w:rsidP="009C1463">
            <w:pPr>
              <w:autoSpaceDE w:val="0"/>
              <w:autoSpaceDN w:val="0"/>
              <w:adjustRightInd w:val="0"/>
              <w:rPr>
                <w:noProof/>
                <w:sz w:val="22"/>
                <w:szCs w:val="22"/>
                <w:lang w:val="da-DK"/>
              </w:rPr>
            </w:pPr>
            <w:r w:rsidRPr="009C1463">
              <w:rPr>
                <w:noProof/>
                <w:sz w:val="22"/>
                <w:szCs w:val="22"/>
                <w:lang w:val="da-DK"/>
              </w:rPr>
              <w:t>Synkope²</w:t>
            </w:r>
            <w:r w:rsidRPr="009C1463">
              <w:rPr>
                <w:noProof/>
                <w:sz w:val="22"/>
                <w:szCs w:val="22"/>
                <w:lang w:val="da-DK"/>
              </w:rPr>
              <w:br/>
              <w:t>Hypertension³˒⁷</w:t>
            </w:r>
            <w:r w:rsidRPr="009C1463">
              <w:rPr>
                <w:noProof/>
                <w:sz w:val="22"/>
                <w:szCs w:val="22"/>
                <w:lang w:val="da-DK"/>
              </w:rPr>
              <w:br/>
              <w:t>Ortostatisk hypotension²</w:t>
            </w:r>
            <w:r w:rsidRPr="009C1463">
              <w:rPr>
                <w:noProof/>
                <w:sz w:val="22"/>
                <w:szCs w:val="22"/>
                <w:lang w:val="da-DK"/>
              </w:rPr>
              <w:br/>
              <w:t>Kulde i perifere ekstremiteter</w:t>
            </w:r>
          </w:p>
        </w:tc>
        <w:tc>
          <w:tcPr>
            <w:tcW w:w="2055" w:type="dxa"/>
            <w:tcBorders>
              <w:top w:val="single" w:sz="4" w:space="0" w:color="auto"/>
              <w:left w:val="single" w:sz="4" w:space="0" w:color="auto"/>
              <w:bottom w:val="single" w:sz="4" w:space="0" w:color="auto"/>
              <w:right w:val="single" w:sz="4" w:space="0" w:color="auto"/>
            </w:tcBorders>
          </w:tcPr>
          <w:p w14:paraId="29FA4226" w14:textId="77777777" w:rsidR="009C1463" w:rsidRPr="009C1463" w:rsidRDefault="009C1463" w:rsidP="009C1463">
            <w:pPr>
              <w:autoSpaceDE w:val="0"/>
              <w:autoSpaceDN w:val="0"/>
              <w:adjustRightInd w:val="0"/>
              <w:rPr>
                <w:noProof/>
                <w:sz w:val="22"/>
                <w:szCs w:val="22"/>
              </w:rPr>
            </w:pPr>
            <w:r w:rsidRPr="009C1463">
              <w:rPr>
                <w:noProof/>
                <w:sz w:val="22"/>
                <w:szCs w:val="22"/>
              </w:rPr>
              <w:t>Hypertensiv krise³˒⁶</w:t>
            </w:r>
          </w:p>
          <w:p w14:paraId="00C86FFE" w14:textId="77777777" w:rsidR="009C1463" w:rsidRPr="009C1463" w:rsidRDefault="009C1463" w:rsidP="009C1463">
            <w:pPr>
              <w:autoSpaceDE w:val="0"/>
              <w:autoSpaceDN w:val="0"/>
              <w:adjustRightInd w:val="0"/>
              <w:rPr>
                <w:noProof/>
                <w:sz w:val="22"/>
                <w:szCs w:val="22"/>
              </w:rPr>
            </w:pPr>
          </w:p>
        </w:tc>
        <w:tc>
          <w:tcPr>
            <w:tcW w:w="992" w:type="dxa"/>
            <w:tcBorders>
              <w:top w:val="single" w:sz="4" w:space="0" w:color="auto"/>
              <w:left w:val="single" w:sz="4" w:space="0" w:color="auto"/>
              <w:bottom w:val="single" w:sz="4" w:space="0" w:color="auto"/>
              <w:right w:val="single" w:sz="4" w:space="0" w:color="auto"/>
            </w:tcBorders>
          </w:tcPr>
          <w:p w14:paraId="247D21FE" w14:textId="77777777" w:rsidR="009C1463" w:rsidRPr="009C1463" w:rsidRDefault="009C1463" w:rsidP="009C1463">
            <w:pPr>
              <w:autoSpaceDE w:val="0"/>
              <w:autoSpaceDN w:val="0"/>
              <w:adjustRightInd w:val="0"/>
              <w:rPr>
                <w:noProof/>
                <w:sz w:val="22"/>
                <w:szCs w:val="22"/>
              </w:rPr>
            </w:pPr>
          </w:p>
        </w:tc>
        <w:tc>
          <w:tcPr>
            <w:tcW w:w="1122" w:type="dxa"/>
            <w:tcBorders>
              <w:top w:val="single" w:sz="4" w:space="0" w:color="auto"/>
              <w:left w:val="single" w:sz="4" w:space="0" w:color="auto"/>
              <w:bottom w:val="single" w:sz="4" w:space="0" w:color="auto"/>
              <w:right w:val="single" w:sz="4" w:space="0" w:color="auto"/>
            </w:tcBorders>
          </w:tcPr>
          <w:p w14:paraId="6F8DC206" w14:textId="77777777" w:rsidR="009C1463" w:rsidRPr="009C1463" w:rsidRDefault="009C1463" w:rsidP="009C1463">
            <w:pPr>
              <w:autoSpaceDE w:val="0"/>
              <w:autoSpaceDN w:val="0"/>
              <w:adjustRightInd w:val="0"/>
              <w:rPr>
                <w:noProof/>
                <w:sz w:val="22"/>
                <w:szCs w:val="22"/>
              </w:rPr>
            </w:pPr>
          </w:p>
        </w:tc>
      </w:tr>
      <w:tr w:rsidR="009C1463" w:rsidRPr="009C1463" w14:paraId="781620D1" w14:textId="77777777" w:rsidTr="009C1463">
        <w:tc>
          <w:tcPr>
            <w:tcW w:w="9055" w:type="dxa"/>
            <w:gridSpan w:val="6"/>
            <w:tcBorders>
              <w:top w:val="single" w:sz="4" w:space="0" w:color="auto"/>
              <w:left w:val="single" w:sz="4" w:space="0" w:color="auto"/>
              <w:bottom w:val="single" w:sz="4" w:space="0" w:color="auto"/>
              <w:right w:val="single" w:sz="4" w:space="0" w:color="auto"/>
            </w:tcBorders>
            <w:hideMark/>
          </w:tcPr>
          <w:p w14:paraId="7714E806" w14:textId="77777777" w:rsidR="009C1463" w:rsidRPr="009C1463" w:rsidRDefault="009C1463" w:rsidP="0065751F">
            <w:pPr>
              <w:autoSpaceDE w:val="0"/>
              <w:autoSpaceDN w:val="0"/>
              <w:adjustRightInd w:val="0"/>
              <w:rPr>
                <w:i/>
                <w:iCs/>
                <w:noProof/>
                <w:sz w:val="22"/>
                <w:szCs w:val="22"/>
              </w:rPr>
            </w:pPr>
            <w:r w:rsidRPr="009C1463">
              <w:rPr>
                <w:i/>
                <w:iCs/>
                <w:noProof/>
                <w:sz w:val="22"/>
                <w:szCs w:val="22"/>
              </w:rPr>
              <w:t>Respirationsveje, thorax og mediastinum</w:t>
            </w:r>
          </w:p>
        </w:tc>
      </w:tr>
      <w:tr w:rsidR="009C1463" w:rsidRPr="009C1463" w14:paraId="27A56075" w14:textId="77777777" w:rsidTr="009C1463">
        <w:tc>
          <w:tcPr>
            <w:tcW w:w="1504" w:type="dxa"/>
            <w:tcBorders>
              <w:top w:val="single" w:sz="4" w:space="0" w:color="auto"/>
              <w:left w:val="single" w:sz="4" w:space="0" w:color="auto"/>
              <w:bottom w:val="single" w:sz="4" w:space="0" w:color="auto"/>
              <w:right w:val="single" w:sz="4" w:space="0" w:color="auto"/>
            </w:tcBorders>
          </w:tcPr>
          <w:p w14:paraId="03F5EED6" w14:textId="77777777" w:rsidR="009C1463" w:rsidRPr="009C1463" w:rsidRDefault="009C1463" w:rsidP="0065751F">
            <w:pPr>
              <w:autoSpaceDE w:val="0"/>
              <w:autoSpaceDN w:val="0"/>
              <w:adjustRightInd w:val="0"/>
              <w:rPr>
                <w:b/>
                <w:bCs/>
                <w:noProof/>
                <w:sz w:val="22"/>
                <w:szCs w:val="22"/>
              </w:rPr>
            </w:pPr>
          </w:p>
        </w:tc>
        <w:tc>
          <w:tcPr>
            <w:tcW w:w="1551" w:type="dxa"/>
            <w:tcBorders>
              <w:top w:val="single" w:sz="4" w:space="0" w:color="auto"/>
              <w:left w:val="single" w:sz="4" w:space="0" w:color="auto"/>
              <w:bottom w:val="single" w:sz="4" w:space="0" w:color="auto"/>
              <w:right w:val="single" w:sz="4" w:space="0" w:color="auto"/>
            </w:tcBorders>
            <w:hideMark/>
          </w:tcPr>
          <w:p w14:paraId="5D39B277" w14:textId="47B8A9B6" w:rsidR="009C1463" w:rsidRPr="009C1463" w:rsidRDefault="009C1463" w:rsidP="009C1463">
            <w:pPr>
              <w:tabs>
                <w:tab w:val="left" w:pos="634"/>
              </w:tabs>
              <w:autoSpaceDE w:val="0"/>
              <w:autoSpaceDN w:val="0"/>
              <w:adjustRightInd w:val="0"/>
              <w:rPr>
                <w:noProof/>
                <w:sz w:val="22"/>
                <w:szCs w:val="22"/>
              </w:rPr>
            </w:pPr>
            <w:r w:rsidRPr="009C1463">
              <w:rPr>
                <w:noProof/>
                <w:sz w:val="22"/>
                <w:szCs w:val="22"/>
              </w:rPr>
              <w:t>Gab</w:t>
            </w:r>
            <w:r>
              <w:rPr>
                <w:noProof/>
                <w:sz w:val="22"/>
                <w:szCs w:val="22"/>
              </w:rPr>
              <w:t>en</w:t>
            </w:r>
          </w:p>
        </w:tc>
        <w:tc>
          <w:tcPr>
            <w:tcW w:w="1831" w:type="dxa"/>
            <w:tcBorders>
              <w:top w:val="single" w:sz="4" w:space="0" w:color="auto"/>
              <w:left w:val="single" w:sz="4" w:space="0" w:color="auto"/>
              <w:bottom w:val="single" w:sz="4" w:space="0" w:color="auto"/>
              <w:right w:val="single" w:sz="4" w:space="0" w:color="auto"/>
            </w:tcBorders>
          </w:tcPr>
          <w:p w14:paraId="09805F38" w14:textId="77777777" w:rsidR="009C1463" w:rsidRPr="009C1463" w:rsidRDefault="009C1463" w:rsidP="009C1463">
            <w:pPr>
              <w:autoSpaceDE w:val="0"/>
              <w:autoSpaceDN w:val="0"/>
              <w:adjustRightInd w:val="0"/>
              <w:rPr>
                <w:noProof/>
                <w:sz w:val="22"/>
                <w:szCs w:val="22"/>
              </w:rPr>
            </w:pPr>
            <w:r w:rsidRPr="009C1463">
              <w:rPr>
                <w:noProof/>
                <w:sz w:val="22"/>
                <w:szCs w:val="22"/>
              </w:rPr>
              <w:t>Stramhed i halsen</w:t>
            </w:r>
          </w:p>
          <w:p w14:paraId="1CD18E9C" w14:textId="77777777" w:rsidR="009C1463" w:rsidRPr="009C1463" w:rsidRDefault="009C1463" w:rsidP="009C1463">
            <w:pPr>
              <w:autoSpaceDE w:val="0"/>
              <w:autoSpaceDN w:val="0"/>
              <w:adjustRightInd w:val="0"/>
              <w:rPr>
                <w:noProof/>
                <w:sz w:val="22"/>
                <w:szCs w:val="22"/>
              </w:rPr>
            </w:pPr>
            <w:r w:rsidRPr="009C1463">
              <w:rPr>
                <w:noProof/>
                <w:sz w:val="22"/>
                <w:szCs w:val="22"/>
              </w:rPr>
              <w:t>Næseblødning</w:t>
            </w:r>
          </w:p>
          <w:p w14:paraId="2E58B10B" w14:textId="77777777" w:rsidR="009C1463" w:rsidRPr="009C1463" w:rsidRDefault="009C1463" w:rsidP="009C1463">
            <w:pPr>
              <w:autoSpaceDE w:val="0"/>
              <w:autoSpaceDN w:val="0"/>
              <w:adjustRightInd w:val="0"/>
              <w:rPr>
                <w:noProof/>
                <w:sz w:val="22"/>
                <w:szCs w:val="22"/>
              </w:rPr>
            </w:pPr>
          </w:p>
          <w:p w14:paraId="1B8CB995" w14:textId="77777777" w:rsidR="009C1463" w:rsidRPr="009C1463" w:rsidRDefault="009C1463" w:rsidP="009C1463">
            <w:pPr>
              <w:autoSpaceDE w:val="0"/>
              <w:autoSpaceDN w:val="0"/>
              <w:adjustRightInd w:val="0"/>
              <w:rPr>
                <w:noProof/>
                <w:sz w:val="22"/>
                <w:szCs w:val="22"/>
              </w:rPr>
            </w:pPr>
          </w:p>
        </w:tc>
        <w:tc>
          <w:tcPr>
            <w:tcW w:w="2055" w:type="dxa"/>
            <w:tcBorders>
              <w:top w:val="single" w:sz="4" w:space="0" w:color="auto"/>
              <w:left w:val="single" w:sz="4" w:space="0" w:color="auto"/>
              <w:bottom w:val="single" w:sz="4" w:space="0" w:color="auto"/>
              <w:right w:val="single" w:sz="4" w:space="0" w:color="auto"/>
            </w:tcBorders>
          </w:tcPr>
          <w:p w14:paraId="00B840A8" w14:textId="77777777" w:rsidR="009C1463" w:rsidRPr="009C1463" w:rsidRDefault="009C1463" w:rsidP="009C1463">
            <w:pPr>
              <w:autoSpaceDE w:val="0"/>
              <w:autoSpaceDN w:val="0"/>
              <w:adjustRightInd w:val="0"/>
              <w:rPr>
                <w:noProof/>
                <w:sz w:val="22"/>
                <w:szCs w:val="22"/>
              </w:rPr>
            </w:pPr>
            <w:r w:rsidRPr="009C1463">
              <w:rPr>
                <w:noProof/>
                <w:sz w:val="22"/>
                <w:szCs w:val="22"/>
              </w:rPr>
              <w:t>Interstitiel lungesygdom¹⁰</w:t>
            </w:r>
            <w:r w:rsidRPr="009C1463">
              <w:rPr>
                <w:noProof/>
                <w:sz w:val="22"/>
                <w:szCs w:val="22"/>
              </w:rPr>
              <w:br/>
              <w:t>Eosinofil pneumoni⁶</w:t>
            </w:r>
          </w:p>
          <w:p w14:paraId="379510FF" w14:textId="77777777" w:rsidR="009C1463" w:rsidRPr="009C1463" w:rsidRDefault="009C1463" w:rsidP="009C1463">
            <w:pPr>
              <w:autoSpaceDE w:val="0"/>
              <w:autoSpaceDN w:val="0"/>
              <w:adjustRightInd w:val="0"/>
              <w:rPr>
                <w:noProof/>
                <w:sz w:val="22"/>
                <w:szCs w:val="22"/>
              </w:rPr>
            </w:pPr>
          </w:p>
        </w:tc>
        <w:tc>
          <w:tcPr>
            <w:tcW w:w="992" w:type="dxa"/>
            <w:tcBorders>
              <w:top w:val="single" w:sz="4" w:space="0" w:color="auto"/>
              <w:left w:val="single" w:sz="4" w:space="0" w:color="auto"/>
              <w:bottom w:val="single" w:sz="4" w:space="0" w:color="auto"/>
              <w:right w:val="single" w:sz="4" w:space="0" w:color="auto"/>
            </w:tcBorders>
          </w:tcPr>
          <w:p w14:paraId="6CB9E7AB" w14:textId="77777777" w:rsidR="009C1463" w:rsidRPr="009C1463" w:rsidRDefault="009C1463" w:rsidP="009C1463">
            <w:pPr>
              <w:autoSpaceDE w:val="0"/>
              <w:autoSpaceDN w:val="0"/>
              <w:adjustRightInd w:val="0"/>
              <w:rPr>
                <w:noProof/>
                <w:sz w:val="22"/>
                <w:szCs w:val="22"/>
              </w:rPr>
            </w:pPr>
          </w:p>
        </w:tc>
        <w:tc>
          <w:tcPr>
            <w:tcW w:w="1122" w:type="dxa"/>
            <w:tcBorders>
              <w:top w:val="single" w:sz="4" w:space="0" w:color="auto"/>
              <w:left w:val="single" w:sz="4" w:space="0" w:color="auto"/>
              <w:bottom w:val="single" w:sz="4" w:space="0" w:color="auto"/>
              <w:right w:val="single" w:sz="4" w:space="0" w:color="auto"/>
            </w:tcBorders>
          </w:tcPr>
          <w:p w14:paraId="32F9790B" w14:textId="77777777" w:rsidR="009C1463" w:rsidRPr="009C1463" w:rsidRDefault="009C1463" w:rsidP="009C1463">
            <w:pPr>
              <w:autoSpaceDE w:val="0"/>
              <w:autoSpaceDN w:val="0"/>
              <w:adjustRightInd w:val="0"/>
              <w:rPr>
                <w:noProof/>
                <w:sz w:val="22"/>
                <w:szCs w:val="22"/>
              </w:rPr>
            </w:pPr>
          </w:p>
        </w:tc>
      </w:tr>
      <w:tr w:rsidR="009C1463" w:rsidRPr="009C1463" w14:paraId="4CD8C4A3" w14:textId="77777777" w:rsidTr="009C1463">
        <w:tc>
          <w:tcPr>
            <w:tcW w:w="9055" w:type="dxa"/>
            <w:gridSpan w:val="6"/>
            <w:tcBorders>
              <w:top w:val="single" w:sz="4" w:space="0" w:color="auto"/>
              <w:left w:val="single" w:sz="4" w:space="0" w:color="auto"/>
              <w:bottom w:val="single" w:sz="4" w:space="0" w:color="auto"/>
              <w:right w:val="single" w:sz="4" w:space="0" w:color="auto"/>
            </w:tcBorders>
            <w:hideMark/>
          </w:tcPr>
          <w:p w14:paraId="0E722A98" w14:textId="6BF23802" w:rsidR="009C1463" w:rsidRPr="009C1463" w:rsidRDefault="009C1463" w:rsidP="0065751F">
            <w:pPr>
              <w:autoSpaceDE w:val="0"/>
              <w:autoSpaceDN w:val="0"/>
              <w:adjustRightInd w:val="0"/>
              <w:rPr>
                <w:i/>
                <w:iCs/>
                <w:noProof/>
                <w:sz w:val="22"/>
                <w:szCs w:val="22"/>
              </w:rPr>
            </w:pPr>
            <w:r w:rsidRPr="009C1463">
              <w:rPr>
                <w:i/>
                <w:iCs/>
                <w:noProof/>
                <w:sz w:val="22"/>
                <w:szCs w:val="22"/>
              </w:rPr>
              <w:t>Mave-tarm</w:t>
            </w:r>
            <w:r w:rsidR="0065751F">
              <w:rPr>
                <w:i/>
                <w:iCs/>
                <w:noProof/>
                <w:sz w:val="22"/>
                <w:szCs w:val="22"/>
              </w:rPr>
              <w:t>-</w:t>
            </w:r>
            <w:r w:rsidRPr="009C1463">
              <w:rPr>
                <w:i/>
                <w:iCs/>
                <w:noProof/>
                <w:sz w:val="22"/>
                <w:szCs w:val="22"/>
              </w:rPr>
              <w:t>kanalen</w:t>
            </w:r>
          </w:p>
        </w:tc>
      </w:tr>
      <w:tr w:rsidR="009C1463" w:rsidRPr="009C1463" w14:paraId="26CCC49A" w14:textId="77777777" w:rsidTr="009C1463">
        <w:tc>
          <w:tcPr>
            <w:tcW w:w="1504" w:type="dxa"/>
            <w:tcBorders>
              <w:top w:val="single" w:sz="4" w:space="0" w:color="auto"/>
              <w:left w:val="single" w:sz="4" w:space="0" w:color="auto"/>
              <w:bottom w:val="single" w:sz="4" w:space="0" w:color="auto"/>
              <w:right w:val="single" w:sz="4" w:space="0" w:color="auto"/>
            </w:tcBorders>
            <w:hideMark/>
          </w:tcPr>
          <w:p w14:paraId="32FC7CA1" w14:textId="77777777" w:rsidR="009C1463" w:rsidRPr="009C1463" w:rsidRDefault="009C1463" w:rsidP="0065751F">
            <w:pPr>
              <w:autoSpaceDE w:val="0"/>
              <w:autoSpaceDN w:val="0"/>
              <w:adjustRightInd w:val="0"/>
              <w:rPr>
                <w:noProof/>
                <w:sz w:val="22"/>
                <w:szCs w:val="22"/>
              </w:rPr>
            </w:pPr>
            <w:r w:rsidRPr="009C1463">
              <w:rPr>
                <w:noProof/>
                <w:sz w:val="22"/>
                <w:szCs w:val="22"/>
              </w:rPr>
              <w:t xml:space="preserve">Kvalme </w:t>
            </w:r>
          </w:p>
          <w:p w14:paraId="1B45F70B" w14:textId="77777777" w:rsidR="009C1463" w:rsidRPr="009C1463" w:rsidRDefault="009C1463" w:rsidP="0065751F">
            <w:pPr>
              <w:autoSpaceDE w:val="0"/>
              <w:autoSpaceDN w:val="0"/>
              <w:adjustRightInd w:val="0"/>
              <w:rPr>
                <w:b/>
                <w:bCs/>
                <w:noProof/>
                <w:sz w:val="22"/>
                <w:szCs w:val="22"/>
              </w:rPr>
            </w:pPr>
            <w:r w:rsidRPr="009C1463">
              <w:rPr>
                <w:noProof/>
                <w:sz w:val="22"/>
                <w:szCs w:val="22"/>
              </w:rPr>
              <w:t>Mundtørhed</w:t>
            </w:r>
          </w:p>
        </w:tc>
        <w:tc>
          <w:tcPr>
            <w:tcW w:w="1551" w:type="dxa"/>
            <w:tcBorders>
              <w:top w:val="single" w:sz="4" w:space="0" w:color="auto"/>
              <w:left w:val="single" w:sz="4" w:space="0" w:color="auto"/>
              <w:bottom w:val="single" w:sz="4" w:space="0" w:color="auto"/>
              <w:right w:val="single" w:sz="4" w:space="0" w:color="auto"/>
            </w:tcBorders>
          </w:tcPr>
          <w:p w14:paraId="66233091" w14:textId="77777777" w:rsidR="009C1463" w:rsidRPr="009C1463" w:rsidRDefault="009C1463" w:rsidP="009C1463">
            <w:pPr>
              <w:autoSpaceDE w:val="0"/>
              <w:autoSpaceDN w:val="0"/>
              <w:adjustRightInd w:val="0"/>
              <w:rPr>
                <w:noProof/>
                <w:sz w:val="22"/>
                <w:szCs w:val="22"/>
                <w:lang w:val="da-DK"/>
              </w:rPr>
            </w:pPr>
            <w:r w:rsidRPr="009C1463">
              <w:rPr>
                <w:noProof/>
                <w:sz w:val="22"/>
                <w:szCs w:val="22"/>
                <w:lang w:val="da-DK"/>
              </w:rPr>
              <w:t>Forstoppelse</w:t>
            </w:r>
            <w:r w:rsidRPr="009C1463">
              <w:rPr>
                <w:noProof/>
                <w:sz w:val="22"/>
                <w:szCs w:val="22"/>
                <w:lang w:val="da-DK"/>
              </w:rPr>
              <w:br/>
              <w:t>Diarré</w:t>
            </w:r>
            <w:r w:rsidRPr="009C1463">
              <w:rPr>
                <w:noProof/>
                <w:sz w:val="22"/>
                <w:szCs w:val="22"/>
                <w:lang w:val="da-DK"/>
              </w:rPr>
              <w:br/>
              <w:t>Mavesmerter</w:t>
            </w:r>
            <w:r w:rsidRPr="009C1463">
              <w:rPr>
                <w:noProof/>
                <w:sz w:val="22"/>
                <w:szCs w:val="22"/>
                <w:lang w:val="da-DK"/>
              </w:rPr>
              <w:br/>
              <w:t>Opkastning</w:t>
            </w:r>
            <w:r w:rsidRPr="009C1463">
              <w:rPr>
                <w:noProof/>
                <w:sz w:val="22"/>
                <w:szCs w:val="22"/>
                <w:lang w:val="da-DK"/>
              </w:rPr>
              <w:br/>
              <w:t>Dyspepsi</w:t>
            </w:r>
            <w:r w:rsidRPr="009C1463">
              <w:rPr>
                <w:noProof/>
                <w:sz w:val="22"/>
                <w:szCs w:val="22"/>
                <w:lang w:val="da-DK"/>
              </w:rPr>
              <w:br/>
              <w:t>Flatulens</w:t>
            </w:r>
          </w:p>
          <w:p w14:paraId="6F0B2721" w14:textId="77777777" w:rsidR="009C1463" w:rsidRPr="009C1463" w:rsidRDefault="009C1463" w:rsidP="009C1463">
            <w:pPr>
              <w:autoSpaceDE w:val="0"/>
              <w:autoSpaceDN w:val="0"/>
              <w:adjustRightInd w:val="0"/>
              <w:rPr>
                <w:noProof/>
                <w:sz w:val="22"/>
                <w:szCs w:val="22"/>
                <w:lang w:val="da-DK"/>
              </w:rPr>
            </w:pPr>
          </w:p>
        </w:tc>
        <w:tc>
          <w:tcPr>
            <w:tcW w:w="1831" w:type="dxa"/>
            <w:tcBorders>
              <w:top w:val="single" w:sz="4" w:space="0" w:color="auto"/>
              <w:left w:val="single" w:sz="4" w:space="0" w:color="auto"/>
              <w:bottom w:val="single" w:sz="4" w:space="0" w:color="auto"/>
              <w:right w:val="single" w:sz="4" w:space="0" w:color="auto"/>
            </w:tcBorders>
          </w:tcPr>
          <w:p w14:paraId="19E911E1" w14:textId="77777777" w:rsidR="009C1463" w:rsidRPr="009C1463" w:rsidRDefault="009C1463" w:rsidP="009C1463">
            <w:pPr>
              <w:autoSpaceDE w:val="0"/>
              <w:autoSpaceDN w:val="0"/>
              <w:adjustRightInd w:val="0"/>
              <w:rPr>
                <w:noProof/>
                <w:sz w:val="22"/>
                <w:szCs w:val="22"/>
                <w:lang w:val="sv-SE"/>
              </w:rPr>
            </w:pPr>
            <w:r w:rsidRPr="009C1463">
              <w:rPr>
                <w:noProof/>
                <w:sz w:val="22"/>
                <w:szCs w:val="22"/>
                <w:lang w:val="sv-SE"/>
              </w:rPr>
              <w:t>Gastrointestinal blødning⁷</w:t>
            </w:r>
            <w:r w:rsidRPr="009C1463">
              <w:rPr>
                <w:noProof/>
                <w:sz w:val="22"/>
                <w:szCs w:val="22"/>
                <w:lang w:val="sv-SE"/>
              </w:rPr>
              <w:br/>
              <w:t>Gastroenteritis</w:t>
            </w:r>
            <w:r w:rsidRPr="009C1463">
              <w:rPr>
                <w:noProof/>
                <w:sz w:val="22"/>
                <w:szCs w:val="22"/>
                <w:lang w:val="sv-SE"/>
              </w:rPr>
              <w:br/>
              <w:t>Eruktation</w:t>
            </w:r>
            <w:r w:rsidRPr="009C1463">
              <w:rPr>
                <w:noProof/>
                <w:sz w:val="22"/>
                <w:szCs w:val="22"/>
                <w:lang w:val="sv-SE"/>
              </w:rPr>
              <w:br/>
              <w:t>Gastritis</w:t>
            </w:r>
            <w:r w:rsidRPr="009C1463">
              <w:rPr>
                <w:noProof/>
                <w:sz w:val="22"/>
                <w:szCs w:val="22"/>
                <w:lang w:val="sv-SE"/>
              </w:rPr>
              <w:br/>
              <w:t>Dysfagi</w:t>
            </w:r>
          </w:p>
          <w:p w14:paraId="1D5FA601" w14:textId="77777777" w:rsidR="009C1463" w:rsidRPr="009C1463" w:rsidRDefault="009C1463" w:rsidP="009C1463">
            <w:pPr>
              <w:autoSpaceDE w:val="0"/>
              <w:autoSpaceDN w:val="0"/>
              <w:adjustRightInd w:val="0"/>
              <w:rPr>
                <w:noProof/>
                <w:sz w:val="22"/>
                <w:szCs w:val="22"/>
                <w:lang w:val="sv-SE"/>
              </w:rPr>
            </w:pPr>
          </w:p>
        </w:tc>
        <w:tc>
          <w:tcPr>
            <w:tcW w:w="2055" w:type="dxa"/>
            <w:tcBorders>
              <w:top w:val="single" w:sz="4" w:space="0" w:color="auto"/>
              <w:left w:val="single" w:sz="4" w:space="0" w:color="auto"/>
              <w:bottom w:val="single" w:sz="4" w:space="0" w:color="auto"/>
              <w:right w:val="single" w:sz="4" w:space="0" w:color="auto"/>
            </w:tcBorders>
          </w:tcPr>
          <w:p w14:paraId="79702FDA" w14:textId="77777777" w:rsidR="009C1463" w:rsidRPr="009C1463" w:rsidRDefault="009C1463" w:rsidP="009C1463">
            <w:pPr>
              <w:autoSpaceDE w:val="0"/>
              <w:autoSpaceDN w:val="0"/>
              <w:adjustRightInd w:val="0"/>
              <w:rPr>
                <w:noProof/>
                <w:sz w:val="22"/>
                <w:szCs w:val="22"/>
                <w:lang w:val="da-DK"/>
              </w:rPr>
            </w:pPr>
            <w:r w:rsidRPr="009C1463">
              <w:rPr>
                <w:noProof/>
                <w:sz w:val="22"/>
                <w:szCs w:val="22"/>
                <w:lang w:val="da-DK"/>
              </w:rPr>
              <w:t>Stomatitis</w:t>
            </w:r>
            <w:r w:rsidRPr="009C1463">
              <w:rPr>
                <w:noProof/>
                <w:sz w:val="22"/>
                <w:szCs w:val="22"/>
                <w:lang w:val="da-DK"/>
              </w:rPr>
              <w:br/>
              <w:t>Hæmatokesi</w:t>
            </w:r>
            <w:r w:rsidRPr="009C1463">
              <w:rPr>
                <w:noProof/>
                <w:sz w:val="22"/>
                <w:szCs w:val="22"/>
                <w:lang w:val="da-DK"/>
              </w:rPr>
              <w:br/>
              <w:t>Dårlig ånde</w:t>
            </w:r>
            <w:r w:rsidRPr="009C1463">
              <w:rPr>
                <w:noProof/>
                <w:sz w:val="22"/>
                <w:szCs w:val="22"/>
                <w:lang w:val="da-DK"/>
              </w:rPr>
              <w:br/>
              <w:t>Mikroskopisk colitis⁹</w:t>
            </w:r>
          </w:p>
          <w:p w14:paraId="5FE8C6F0" w14:textId="77777777" w:rsidR="009C1463" w:rsidRPr="009C1463" w:rsidRDefault="009C1463" w:rsidP="009C1463">
            <w:pPr>
              <w:autoSpaceDE w:val="0"/>
              <w:autoSpaceDN w:val="0"/>
              <w:adjustRightInd w:val="0"/>
              <w:rPr>
                <w:noProof/>
                <w:sz w:val="22"/>
                <w:szCs w:val="22"/>
                <w:lang w:val="da-DK"/>
              </w:rPr>
            </w:pPr>
          </w:p>
        </w:tc>
        <w:tc>
          <w:tcPr>
            <w:tcW w:w="992" w:type="dxa"/>
            <w:tcBorders>
              <w:top w:val="single" w:sz="4" w:space="0" w:color="auto"/>
              <w:left w:val="single" w:sz="4" w:space="0" w:color="auto"/>
              <w:bottom w:val="single" w:sz="4" w:space="0" w:color="auto"/>
              <w:right w:val="single" w:sz="4" w:space="0" w:color="auto"/>
            </w:tcBorders>
          </w:tcPr>
          <w:p w14:paraId="0024D210" w14:textId="77777777" w:rsidR="009C1463" w:rsidRPr="009C1463" w:rsidRDefault="009C1463" w:rsidP="009C1463">
            <w:pPr>
              <w:autoSpaceDE w:val="0"/>
              <w:autoSpaceDN w:val="0"/>
              <w:adjustRightInd w:val="0"/>
              <w:rPr>
                <w:noProof/>
                <w:sz w:val="22"/>
                <w:szCs w:val="22"/>
                <w:lang w:val="da-DK"/>
              </w:rPr>
            </w:pPr>
          </w:p>
        </w:tc>
        <w:tc>
          <w:tcPr>
            <w:tcW w:w="1122" w:type="dxa"/>
            <w:tcBorders>
              <w:top w:val="single" w:sz="4" w:space="0" w:color="auto"/>
              <w:left w:val="single" w:sz="4" w:space="0" w:color="auto"/>
              <w:bottom w:val="single" w:sz="4" w:space="0" w:color="auto"/>
              <w:right w:val="single" w:sz="4" w:space="0" w:color="auto"/>
            </w:tcBorders>
          </w:tcPr>
          <w:p w14:paraId="1F9B605E" w14:textId="77777777" w:rsidR="009C1463" w:rsidRPr="009C1463" w:rsidRDefault="009C1463" w:rsidP="009C1463">
            <w:pPr>
              <w:autoSpaceDE w:val="0"/>
              <w:autoSpaceDN w:val="0"/>
              <w:adjustRightInd w:val="0"/>
              <w:rPr>
                <w:noProof/>
                <w:sz w:val="22"/>
                <w:szCs w:val="22"/>
                <w:lang w:val="da-DK"/>
              </w:rPr>
            </w:pPr>
          </w:p>
        </w:tc>
      </w:tr>
      <w:tr w:rsidR="009C1463" w:rsidRPr="009C1463" w14:paraId="294DAB4F" w14:textId="77777777" w:rsidTr="009C1463">
        <w:tc>
          <w:tcPr>
            <w:tcW w:w="9055" w:type="dxa"/>
            <w:gridSpan w:val="6"/>
            <w:tcBorders>
              <w:top w:val="single" w:sz="4" w:space="0" w:color="auto"/>
              <w:left w:val="single" w:sz="4" w:space="0" w:color="auto"/>
              <w:bottom w:val="single" w:sz="4" w:space="0" w:color="auto"/>
              <w:right w:val="single" w:sz="4" w:space="0" w:color="auto"/>
            </w:tcBorders>
            <w:hideMark/>
          </w:tcPr>
          <w:p w14:paraId="189F10A1" w14:textId="77777777" w:rsidR="009C1463" w:rsidRPr="009C1463" w:rsidRDefault="009C1463" w:rsidP="0065751F">
            <w:pPr>
              <w:autoSpaceDE w:val="0"/>
              <w:autoSpaceDN w:val="0"/>
              <w:adjustRightInd w:val="0"/>
              <w:rPr>
                <w:i/>
                <w:iCs/>
                <w:noProof/>
                <w:sz w:val="22"/>
                <w:szCs w:val="22"/>
              </w:rPr>
            </w:pPr>
            <w:r w:rsidRPr="009C1463">
              <w:rPr>
                <w:i/>
                <w:iCs/>
                <w:noProof/>
                <w:sz w:val="22"/>
                <w:szCs w:val="22"/>
              </w:rPr>
              <w:t>Lever- og galdesygdomme</w:t>
            </w:r>
          </w:p>
        </w:tc>
      </w:tr>
      <w:tr w:rsidR="009C1463" w:rsidRPr="009C1463" w14:paraId="2F764294" w14:textId="77777777" w:rsidTr="009C1463">
        <w:tc>
          <w:tcPr>
            <w:tcW w:w="1504" w:type="dxa"/>
            <w:tcBorders>
              <w:top w:val="single" w:sz="4" w:space="0" w:color="auto"/>
              <w:left w:val="single" w:sz="4" w:space="0" w:color="auto"/>
              <w:bottom w:val="single" w:sz="4" w:space="0" w:color="auto"/>
              <w:right w:val="single" w:sz="4" w:space="0" w:color="auto"/>
            </w:tcBorders>
          </w:tcPr>
          <w:p w14:paraId="23B1BFBB" w14:textId="77777777" w:rsidR="009C1463" w:rsidRPr="009C1463" w:rsidRDefault="009C1463" w:rsidP="0065751F">
            <w:pPr>
              <w:autoSpaceDE w:val="0"/>
              <w:autoSpaceDN w:val="0"/>
              <w:adjustRightInd w:val="0"/>
              <w:rPr>
                <w:b/>
                <w:bCs/>
                <w:noProof/>
                <w:sz w:val="22"/>
                <w:szCs w:val="22"/>
              </w:rPr>
            </w:pPr>
          </w:p>
        </w:tc>
        <w:tc>
          <w:tcPr>
            <w:tcW w:w="1551" w:type="dxa"/>
            <w:tcBorders>
              <w:top w:val="single" w:sz="4" w:space="0" w:color="auto"/>
              <w:left w:val="single" w:sz="4" w:space="0" w:color="auto"/>
              <w:bottom w:val="single" w:sz="4" w:space="0" w:color="auto"/>
              <w:right w:val="single" w:sz="4" w:space="0" w:color="auto"/>
            </w:tcBorders>
          </w:tcPr>
          <w:p w14:paraId="75152E17" w14:textId="77777777" w:rsidR="009C1463" w:rsidRPr="009C1463" w:rsidRDefault="009C1463" w:rsidP="009C1463">
            <w:pPr>
              <w:autoSpaceDE w:val="0"/>
              <w:autoSpaceDN w:val="0"/>
              <w:adjustRightInd w:val="0"/>
              <w:rPr>
                <w:noProof/>
                <w:sz w:val="22"/>
                <w:szCs w:val="22"/>
              </w:rPr>
            </w:pPr>
          </w:p>
          <w:p w14:paraId="48961B4C" w14:textId="77777777" w:rsidR="009C1463" w:rsidRPr="009C1463" w:rsidRDefault="009C1463" w:rsidP="009C1463">
            <w:pPr>
              <w:autoSpaceDE w:val="0"/>
              <w:autoSpaceDN w:val="0"/>
              <w:adjustRightInd w:val="0"/>
              <w:rPr>
                <w:noProof/>
                <w:sz w:val="22"/>
                <w:szCs w:val="22"/>
              </w:rPr>
            </w:pPr>
          </w:p>
        </w:tc>
        <w:tc>
          <w:tcPr>
            <w:tcW w:w="1831" w:type="dxa"/>
            <w:tcBorders>
              <w:top w:val="single" w:sz="4" w:space="0" w:color="auto"/>
              <w:left w:val="single" w:sz="4" w:space="0" w:color="auto"/>
              <w:bottom w:val="single" w:sz="4" w:space="0" w:color="auto"/>
              <w:right w:val="single" w:sz="4" w:space="0" w:color="auto"/>
            </w:tcBorders>
            <w:hideMark/>
          </w:tcPr>
          <w:p w14:paraId="41A1FEA9" w14:textId="77777777" w:rsidR="009C1463" w:rsidRPr="009C1463" w:rsidRDefault="009C1463" w:rsidP="009C1463">
            <w:pPr>
              <w:autoSpaceDE w:val="0"/>
              <w:autoSpaceDN w:val="0"/>
              <w:adjustRightInd w:val="0"/>
              <w:rPr>
                <w:noProof/>
                <w:sz w:val="22"/>
                <w:szCs w:val="22"/>
                <w:lang w:val="da-DK"/>
              </w:rPr>
            </w:pPr>
            <w:r w:rsidRPr="009C1463">
              <w:rPr>
                <w:noProof/>
                <w:sz w:val="22"/>
                <w:szCs w:val="22"/>
                <w:lang w:val="da-DK"/>
              </w:rPr>
              <w:t>Hepatitis³</w:t>
            </w:r>
            <w:r w:rsidRPr="009C1463">
              <w:rPr>
                <w:noProof/>
                <w:sz w:val="22"/>
                <w:szCs w:val="22"/>
                <w:lang w:val="da-DK"/>
              </w:rPr>
              <w:br/>
              <w:t>Forhøjede leverenzymer (ALAT, ASAT, alkalisk fosfatase)</w:t>
            </w:r>
            <w:r w:rsidRPr="009C1463">
              <w:rPr>
                <w:noProof/>
                <w:sz w:val="22"/>
                <w:szCs w:val="22"/>
                <w:lang w:val="da-DK"/>
              </w:rPr>
              <w:br/>
              <w:t>Akut leverskade</w:t>
            </w:r>
          </w:p>
        </w:tc>
        <w:tc>
          <w:tcPr>
            <w:tcW w:w="2055" w:type="dxa"/>
            <w:tcBorders>
              <w:top w:val="single" w:sz="4" w:space="0" w:color="auto"/>
              <w:left w:val="single" w:sz="4" w:space="0" w:color="auto"/>
              <w:bottom w:val="single" w:sz="4" w:space="0" w:color="auto"/>
              <w:right w:val="single" w:sz="4" w:space="0" w:color="auto"/>
            </w:tcBorders>
          </w:tcPr>
          <w:p w14:paraId="7EB3813E" w14:textId="77777777" w:rsidR="009C1463" w:rsidRPr="009C1463" w:rsidRDefault="009C1463" w:rsidP="009C1463">
            <w:pPr>
              <w:autoSpaceDE w:val="0"/>
              <w:autoSpaceDN w:val="0"/>
              <w:adjustRightInd w:val="0"/>
              <w:rPr>
                <w:noProof/>
                <w:sz w:val="22"/>
                <w:szCs w:val="22"/>
              </w:rPr>
            </w:pPr>
            <w:r w:rsidRPr="009C1463">
              <w:rPr>
                <w:noProof/>
                <w:sz w:val="22"/>
                <w:szCs w:val="22"/>
              </w:rPr>
              <w:t>Leversvigt⁶</w:t>
            </w:r>
            <w:r w:rsidRPr="009C1463">
              <w:rPr>
                <w:noProof/>
                <w:sz w:val="22"/>
                <w:szCs w:val="22"/>
              </w:rPr>
              <w:br/>
              <w:t>Ikterus⁶</w:t>
            </w:r>
          </w:p>
          <w:p w14:paraId="47721E49" w14:textId="77777777" w:rsidR="009C1463" w:rsidRPr="009C1463" w:rsidRDefault="009C1463" w:rsidP="009C1463">
            <w:pPr>
              <w:autoSpaceDE w:val="0"/>
              <w:autoSpaceDN w:val="0"/>
              <w:adjustRightInd w:val="0"/>
              <w:rPr>
                <w:noProof/>
                <w:sz w:val="22"/>
                <w:szCs w:val="22"/>
              </w:rPr>
            </w:pPr>
          </w:p>
        </w:tc>
        <w:tc>
          <w:tcPr>
            <w:tcW w:w="992" w:type="dxa"/>
            <w:tcBorders>
              <w:top w:val="single" w:sz="4" w:space="0" w:color="auto"/>
              <w:left w:val="single" w:sz="4" w:space="0" w:color="auto"/>
              <w:bottom w:val="single" w:sz="4" w:space="0" w:color="auto"/>
              <w:right w:val="single" w:sz="4" w:space="0" w:color="auto"/>
            </w:tcBorders>
          </w:tcPr>
          <w:p w14:paraId="0000AC9E" w14:textId="77777777" w:rsidR="009C1463" w:rsidRPr="009C1463" w:rsidRDefault="009C1463" w:rsidP="009C1463">
            <w:pPr>
              <w:autoSpaceDE w:val="0"/>
              <w:autoSpaceDN w:val="0"/>
              <w:adjustRightInd w:val="0"/>
              <w:rPr>
                <w:noProof/>
                <w:sz w:val="22"/>
                <w:szCs w:val="22"/>
              </w:rPr>
            </w:pPr>
          </w:p>
        </w:tc>
        <w:tc>
          <w:tcPr>
            <w:tcW w:w="1122" w:type="dxa"/>
            <w:tcBorders>
              <w:top w:val="single" w:sz="4" w:space="0" w:color="auto"/>
              <w:left w:val="single" w:sz="4" w:space="0" w:color="auto"/>
              <w:bottom w:val="single" w:sz="4" w:space="0" w:color="auto"/>
              <w:right w:val="single" w:sz="4" w:space="0" w:color="auto"/>
            </w:tcBorders>
          </w:tcPr>
          <w:p w14:paraId="34EAD190" w14:textId="77777777" w:rsidR="009C1463" w:rsidRPr="009C1463" w:rsidRDefault="009C1463" w:rsidP="009C1463">
            <w:pPr>
              <w:autoSpaceDE w:val="0"/>
              <w:autoSpaceDN w:val="0"/>
              <w:adjustRightInd w:val="0"/>
              <w:rPr>
                <w:noProof/>
                <w:sz w:val="22"/>
                <w:szCs w:val="22"/>
              </w:rPr>
            </w:pPr>
          </w:p>
        </w:tc>
      </w:tr>
      <w:tr w:rsidR="009C1463" w:rsidRPr="009C1463" w14:paraId="7800258F" w14:textId="77777777" w:rsidTr="009C1463">
        <w:tc>
          <w:tcPr>
            <w:tcW w:w="9055" w:type="dxa"/>
            <w:gridSpan w:val="6"/>
            <w:tcBorders>
              <w:top w:val="single" w:sz="4" w:space="0" w:color="auto"/>
              <w:left w:val="single" w:sz="4" w:space="0" w:color="auto"/>
              <w:bottom w:val="single" w:sz="4" w:space="0" w:color="auto"/>
              <w:right w:val="single" w:sz="4" w:space="0" w:color="auto"/>
            </w:tcBorders>
            <w:hideMark/>
          </w:tcPr>
          <w:p w14:paraId="66E4F10B" w14:textId="77777777" w:rsidR="009C1463" w:rsidRPr="009C1463" w:rsidRDefault="009C1463" w:rsidP="0065751F">
            <w:pPr>
              <w:autoSpaceDE w:val="0"/>
              <w:autoSpaceDN w:val="0"/>
              <w:adjustRightInd w:val="0"/>
              <w:rPr>
                <w:i/>
                <w:iCs/>
                <w:noProof/>
                <w:sz w:val="22"/>
                <w:szCs w:val="22"/>
              </w:rPr>
            </w:pPr>
            <w:r w:rsidRPr="009C1463">
              <w:rPr>
                <w:i/>
                <w:iCs/>
                <w:noProof/>
                <w:sz w:val="22"/>
                <w:szCs w:val="22"/>
              </w:rPr>
              <w:t>Hud og subkutane væv</w:t>
            </w:r>
          </w:p>
        </w:tc>
      </w:tr>
      <w:tr w:rsidR="009C1463" w:rsidRPr="009C1463" w14:paraId="3841ECF2" w14:textId="77777777" w:rsidTr="009C1463">
        <w:tc>
          <w:tcPr>
            <w:tcW w:w="1504" w:type="dxa"/>
            <w:tcBorders>
              <w:top w:val="single" w:sz="4" w:space="0" w:color="auto"/>
              <w:left w:val="single" w:sz="4" w:space="0" w:color="auto"/>
              <w:bottom w:val="single" w:sz="4" w:space="0" w:color="auto"/>
              <w:right w:val="single" w:sz="4" w:space="0" w:color="auto"/>
            </w:tcBorders>
          </w:tcPr>
          <w:p w14:paraId="38ADD4BD" w14:textId="77777777" w:rsidR="009C1463" w:rsidRPr="009C1463" w:rsidRDefault="009C1463" w:rsidP="0065751F">
            <w:pPr>
              <w:autoSpaceDE w:val="0"/>
              <w:autoSpaceDN w:val="0"/>
              <w:adjustRightInd w:val="0"/>
              <w:rPr>
                <w:b/>
                <w:bCs/>
                <w:noProof/>
                <w:sz w:val="22"/>
                <w:szCs w:val="22"/>
              </w:rPr>
            </w:pPr>
          </w:p>
        </w:tc>
        <w:tc>
          <w:tcPr>
            <w:tcW w:w="1551" w:type="dxa"/>
            <w:tcBorders>
              <w:top w:val="single" w:sz="4" w:space="0" w:color="auto"/>
              <w:left w:val="single" w:sz="4" w:space="0" w:color="auto"/>
              <w:bottom w:val="single" w:sz="4" w:space="0" w:color="auto"/>
              <w:right w:val="single" w:sz="4" w:space="0" w:color="auto"/>
            </w:tcBorders>
            <w:hideMark/>
          </w:tcPr>
          <w:p w14:paraId="7FC71ED0" w14:textId="77777777" w:rsidR="009C1463" w:rsidRPr="009C1463" w:rsidRDefault="009C1463" w:rsidP="009C1463">
            <w:pPr>
              <w:autoSpaceDE w:val="0"/>
              <w:autoSpaceDN w:val="0"/>
              <w:adjustRightInd w:val="0"/>
              <w:rPr>
                <w:noProof/>
                <w:sz w:val="22"/>
                <w:szCs w:val="22"/>
              </w:rPr>
            </w:pPr>
            <w:r w:rsidRPr="009C1463">
              <w:rPr>
                <w:noProof/>
                <w:sz w:val="22"/>
                <w:szCs w:val="22"/>
              </w:rPr>
              <w:t>Øget svedtendens</w:t>
            </w:r>
            <w:r w:rsidRPr="009C1463">
              <w:rPr>
                <w:noProof/>
                <w:sz w:val="22"/>
                <w:szCs w:val="22"/>
              </w:rPr>
              <w:br/>
              <w:t>Udslæt</w:t>
            </w:r>
          </w:p>
        </w:tc>
        <w:tc>
          <w:tcPr>
            <w:tcW w:w="1831" w:type="dxa"/>
            <w:tcBorders>
              <w:top w:val="single" w:sz="4" w:space="0" w:color="auto"/>
              <w:left w:val="single" w:sz="4" w:space="0" w:color="auto"/>
              <w:bottom w:val="single" w:sz="4" w:space="0" w:color="auto"/>
              <w:right w:val="single" w:sz="4" w:space="0" w:color="auto"/>
            </w:tcBorders>
          </w:tcPr>
          <w:p w14:paraId="14F60EB2" w14:textId="458FADB2" w:rsidR="009C1463" w:rsidRPr="009C1463" w:rsidRDefault="009C1463" w:rsidP="009C1463">
            <w:pPr>
              <w:autoSpaceDE w:val="0"/>
              <w:autoSpaceDN w:val="0"/>
              <w:adjustRightInd w:val="0"/>
              <w:rPr>
                <w:noProof/>
                <w:sz w:val="22"/>
                <w:szCs w:val="22"/>
                <w:lang w:val="da-DK"/>
              </w:rPr>
            </w:pPr>
            <w:r w:rsidRPr="009C1463">
              <w:rPr>
                <w:noProof/>
                <w:sz w:val="22"/>
                <w:szCs w:val="22"/>
                <w:lang w:val="da-DK"/>
              </w:rPr>
              <w:t>Nattesved</w:t>
            </w:r>
            <w:r w:rsidRPr="009C1463">
              <w:rPr>
                <w:noProof/>
                <w:sz w:val="22"/>
                <w:szCs w:val="22"/>
                <w:lang w:val="da-DK"/>
              </w:rPr>
              <w:br/>
              <w:t>Urticaria</w:t>
            </w:r>
            <w:r w:rsidRPr="009C1463">
              <w:rPr>
                <w:noProof/>
                <w:sz w:val="22"/>
                <w:szCs w:val="22"/>
                <w:lang w:val="da-DK"/>
              </w:rPr>
              <w:br/>
              <w:t>Kontaktdermatitis</w:t>
            </w:r>
            <w:r w:rsidRPr="009C1463">
              <w:rPr>
                <w:noProof/>
                <w:sz w:val="22"/>
                <w:szCs w:val="22"/>
                <w:lang w:val="da-DK"/>
              </w:rPr>
              <w:br/>
              <w:t>Koldsved</w:t>
            </w:r>
            <w:r w:rsidRPr="009C1463">
              <w:rPr>
                <w:noProof/>
                <w:sz w:val="22"/>
                <w:szCs w:val="22"/>
                <w:lang w:val="da-DK"/>
              </w:rPr>
              <w:br/>
              <w:t>Lysfølsomheds</w:t>
            </w:r>
            <w:r w:rsidR="0065751F">
              <w:rPr>
                <w:noProof/>
                <w:sz w:val="22"/>
                <w:szCs w:val="22"/>
                <w:lang w:val="da-DK"/>
              </w:rPr>
              <w:t>-</w:t>
            </w:r>
            <w:r w:rsidRPr="009C1463">
              <w:rPr>
                <w:noProof/>
                <w:sz w:val="22"/>
                <w:szCs w:val="22"/>
                <w:lang w:val="da-DK"/>
              </w:rPr>
              <w:t>reaktioner</w:t>
            </w:r>
            <w:r w:rsidRPr="009C1463">
              <w:rPr>
                <w:noProof/>
                <w:sz w:val="22"/>
                <w:szCs w:val="22"/>
                <w:lang w:val="da-DK"/>
              </w:rPr>
              <w:br/>
              <w:t>Øget tendens til blå mærker</w:t>
            </w:r>
          </w:p>
          <w:p w14:paraId="3E9E8354" w14:textId="77777777" w:rsidR="009C1463" w:rsidRPr="009C1463" w:rsidRDefault="009C1463" w:rsidP="009C1463">
            <w:pPr>
              <w:autoSpaceDE w:val="0"/>
              <w:autoSpaceDN w:val="0"/>
              <w:adjustRightInd w:val="0"/>
              <w:rPr>
                <w:noProof/>
                <w:sz w:val="22"/>
                <w:szCs w:val="22"/>
                <w:lang w:val="da-DK"/>
              </w:rPr>
            </w:pPr>
          </w:p>
        </w:tc>
        <w:tc>
          <w:tcPr>
            <w:tcW w:w="2055" w:type="dxa"/>
            <w:tcBorders>
              <w:top w:val="single" w:sz="4" w:space="0" w:color="auto"/>
              <w:left w:val="single" w:sz="4" w:space="0" w:color="auto"/>
              <w:bottom w:val="single" w:sz="4" w:space="0" w:color="auto"/>
              <w:right w:val="single" w:sz="4" w:space="0" w:color="auto"/>
            </w:tcBorders>
          </w:tcPr>
          <w:p w14:paraId="041F731C" w14:textId="77777777" w:rsidR="0065751F" w:rsidRDefault="009C1463" w:rsidP="009C1463">
            <w:pPr>
              <w:autoSpaceDE w:val="0"/>
              <w:autoSpaceDN w:val="0"/>
              <w:adjustRightInd w:val="0"/>
              <w:rPr>
                <w:noProof/>
                <w:sz w:val="22"/>
                <w:szCs w:val="22"/>
              </w:rPr>
            </w:pPr>
            <w:r w:rsidRPr="009C1463">
              <w:rPr>
                <w:noProof/>
                <w:sz w:val="22"/>
                <w:szCs w:val="22"/>
              </w:rPr>
              <w:t>Stevens</w:t>
            </w:r>
            <w:r w:rsidRPr="009C1463">
              <w:rPr>
                <w:noProof/>
                <w:sz w:val="22"/>
                <w:szCs w:val="22"/>
              </w:rPr>
              <w:noBreakHyphen/>
              <w:t>Johnson</w:t>
            </w:r>
            <w:r w:rsidR="0065751F">
              <w:rPr>
                <w:noProof/>
                <w:sz w:val="22"/>
                <w:szCs w:val="22"/>
              </w:rPr>
              <w:t>s</w:t>
            </w:r>
            <w:r w:rsidRPr="009C1463">
              <w:rPr>
                <w:noProof/>
                <w:sz w:val="22"/>
                <w:szCs w:val="22"/>
              </w:rPr>
              <w:noBreakHyphen/>
            </w:r>
          </w:p>
          <w:p w14:paraId="6220FDFD" w14:textId="430724E6" w:rsidR="009C1463" w:rsidRPr="009C1463" w:rsidRDefault="009C1463" w:rsidP="009C1463">
            <w:pPr>
              <w:autoSpaceDE w:val="0"/>
              <w:autoSpaceDN w:val="0"/>
              <w:adjustRightInd w:val="0"/>
              <w:rPr>
                <w:noProof/>
                <w:sz w:val="22"/>
                <w:szCs w:val="22"/>
              </w:rPr>
            </w:pPr>
            <w:r w:rsidRPr="009C1463">
              <w:rPr>
                <w:noProof/>
                <w:sz w:val="22"/>
                <w:szCs w:val="22"/>
              </w:rPr>
              <w:t>syndrom⁶</w:t>
            </w:r>
            <w:r w:rsidRPr="009C1463">
              <w:rPr>
                <w:noProof/>
                <w:sz w:val="22"/>
                <w:szCs w:val="22"/>
              </w:rPr>
              <w:br/>
              <w:t>Angioødem⁶</w:t>
            </w:r>
          </w:p>
          <w:p w14:paraId="26BCAFE6" w14:textId="77777777" w:rsidR="009C1463" w:rsidRPr="009C1463" w:rsidRDefault="009C1463" w:rsidP="009C1463">
            <w:pPr>
              <w:autoSpaceDE w:val="0"/>
              <w:autoSpaceDN w:val="0"/>
              <w:adjustRightInd w:val="0"/>
              <w:rPr>
                <w:noProof/>
                <w:sz w:val="22"/>
                <w:szCs w:val="22"/>
              </w:rPr>
            </w:pPr>
          </w:p>
        </w:tc>
        <w:tc>
          <w:tcPr>
            <w:tcW w:w="992" w:type="dxa"/>
            <w:tcBorders>
              <w:top w:val="single" w:sz="4" w:space="0" w:color="auto"/>
              <w:left w:val="single" w:sz="4" w:space="0" w:color="auto"/>
              <w:bottom w:val="single" w:sz="4" w:space="0" w:color="auto"/>
              <w:right w:val="single" w:sz="4" w:space="0" w:color="auto"/>
            </w:tcBorders>
          </w:tcPr>
          <w:p w14:paraId="2FB4CDFE" w14:textId="77777777" w:rsidR="009C1463" w:rsidRPr="009C1463" w:rsidRDefault="009C1463" w:rsidP="009C1463">
            <w:pPr>
              <w:autoSpaceDE w:val="0"/>
              <w:autoSpaceDN w:val="0"/>
              <w:adjustRightInd w:val="0"/>
              <w:rPr>
                <w:noProof/>
                <w:sz w:val="22"/>
                <w:szCs w:val="22"/>
              </w:rPr>
            </w:pPr>
          </w:p>
        </w:tc>
        <w:tc>
          <w:tcPr>
            <w:tcW w:w="1122" w:type="dxa"/>
            <w:tcBorders>
              <w:top w:val="single" w:sz="4" w:space="0" w:color="auto"/>
              <w:left w:val="single" w:sz="4" w:space="0" w:color="auto"/>
              <w:bottom w:val="single" w:sz="4" w:space="0" w:color="auto"/>
              <w:right w:val="single" w:sz="4" w:space="0" w:color="auto"/>
            </w:tcBorders>
          </w:tcPr>
          <w:p w14:paraId="464F4F08" w14:textId="34076C2B" w:rsidR="009C1463" w:rsidRPr="009C1463" w:rsidRDefault="009C1463" w:rsidP="009C1463">
            <w:pPr>
              <w:autoSpaceDE w:val="0"/>
              <w:autoSpaceDN w:val="0"/>
              <w:adjustRightInd w:val="0"/>
              <w:rPr>
                <w:noProof/>
                <w:sz w:val="22"/>
                <w:szCs w:val="22"/>
              </w:rPr>
            </w:pPr>
            <w:r w:rsidRPr="009C1463">
              <w:rPr>
                <w:noProof/>
                <w:sz w:val="22"/>
                <w:szCs w:val="22"/>
              </w:rPr>
              <w:t>Kutane vaskulit</w:t>
            </w:r>
            <w:r w:rsidR="0065751F">
              <w:rPr>
                <w:noProof/>
                <w:sz w:val="22"/>
                <w:szCs w:val="22"/>
              </w:rPr>
              <w:t>-</w:t>
            </w:r>
            <w:r w:rsidRPr="009C1463">
              <w:rPr>
                <w:noProof/>
                <w:sz w:val="22"/>
                <w:szCs w:val="22"/>
              </w:rPr>
              <w:t>ter</w:t>
            </w:r>
          </w:p>
          <w:p w14:paraId="6B97C3DD" w14:textId="77777777" w:rsidR="009C1463" w:rsidRPr="009C1463" w:rsidRDefault="009C1463" w:rsidP="009C1463">
            <w:pPr>
              <w:autoSpaceDE w:val="0"/>
              <w:autoSpaceDN w:val="0"/>
              <w:adjustRightInd w:val="0"/>
              <w:rPr>
                <w:noProof/>
                <w:sz w:val="22"/>
                <w:szCs w:val="22"/>
              </w:rPr>
            </w:pPr>
          </w:p>
        </w:tc>
      </w:tr>
      <w:tr w:rsidR="009C1463" w:rsidRPr="009C1463" w14:paraId="31C64D5B" w14:textId="77777777" w:rsidTr="009C1463">
        <w:tc>
          <w:tcPr>
            <w:tcW w:w="9055" w:type="dxa"/>
            <w:gridSpan w:val="6"/>
            <w:tcBorders>
              <w:top w:val="single" w:sz="4" w:space="0" w:color="auto"/>
              <w:left w:val="single" w:sz="4" w:space="0" w:color="auto"/>
              <w:bottom w:val="single" w:sz="4" w:space="0" w:color="auto"/>
              <w:right w:val="single" w:sz="4" w:space="0" w:color="auto"/>
            </w:tcBorders>
            <w:hideMark/>
          </w:tcPr>
          <w:p w14:paraId="542BDCE6" w14:textId="77777777" w:rsidR="009C1463" w:rsidRPr="009C1463" w:rsidRDefault="009C1463" w:rsidP="0065751F">
            <w:pPr>
              <w:autoSpaceDE w:val="0"/>
              <w:autoSpaceDN w:val="0"/>
              <w:adjustRightInd w:val="0"/>
              <w:rPr>
                <w:i/>
                <w:iCs/>
                <w:noProof/>
                <w:sz w:val="22"/>
                <w:szCs w:val="22"/>
              </w:rPr>
            </w:pPr>
            <w:r w:rsidRPr="009C1463">
              <w:rPr>
                <w:i/>
                <w:iCs/>
                <w:noProof/>
                <w:sz w:val="22"/>
                <w:szCs w:val="22"/>
              </w:rPr>
              <w:lastRenderedPageBreak/>
              <w:t>Muskuloskeletale system og bindevæv</w:t>
            </w:r>
          </w:p>
        </w:tc>
      </w:tr>
      <w:tr w:rsidR="009C1463" w:rsidRPr="009C1463" w14:paraId="37EA6692" w14:textId="77777777" w:rsidTr="009C1463">
        <w:tc>
          <w:tcPr>
            <w:tcW w:w="1504" w:type="dxa"/>
            <w:tcBorders>
              <w:top w:val="single" w:sz="4" w:space="0" w:color="auto"/>
              <w:left w:val="single" w:sz="4" w:space="0" w:color="auto"/>
              <w:bottom w:val="single" w:sz="4" w:space="0" w:color="auto"/>
              <w:right w:val="single" w:sz="4" w:space="0" w:color="auto"/>
            </w:tcBorders>
          </w:tcPr>
          <w:p w14:paraId="1F9261D2" w14:textId="77777777" w:rsidR="009C1463" w:rsidRPr="009C1463" w:rsidRDefault="009C1463" w:rsidP="0065751F">
            <w:pPr>
              <w:autoSpaceDE w:val="0"/>
              <w:autoSpaceDN w:val="0"/>
              <w:adjustRightInd w:val="0"/>
              <w:rPr>
                <w:b/>
                <w:bCs/>
                <w:noProof/>
                <w:sz w:val="22"/>
                <w:szCs w:val="22"/>
              </w:rPr>
            </w:pPr>
          </w:p>
        </w:tc>
        <w:tc>
          <w:tcPr>
            <w:tcW w:w="1551" w:type="dxa"/>
            <w:tcBorders>
              <w:top w:val="single" w:sz="4" w:space="0" w:color="auto"/>
              <w:left w:val="single" w:sz="4" w:space="0" w:color="auto"/>
              <w:bottom w:val="single" w:sz="4" w:space="0" w:color="auto"/>
              <w:right w:val="single" w:sz="4" w:space="0" w:color="auto"/>
            </w:tcBorders>
            <w:hideMark/>
          </w:tcPr>
          <w:p w14:paraId="4DBF6CE3" w14:textId="33DBADAF" w:rsidR="009C1463" w:rsidRPr="009C1463" w:rsidRDefault="009C1463" w:rsidP="009C1463">
            <w:pPr>
              <w:autoSpaceDE w:val="0"/>
              <w:autoSpaceDN w:val="0"/>
              <w:adjustRightInd w:val="0"/>
              <w:rPr>
                <w:noProof/>
                <w:sz w:val="22"/>
                <w:szCs w:val="22"/>
                <w:lang w:val="da-DK"/>
              </w:rPr>
            </w:pPr>
            <w:r w:rsidRPr="009C1463">
              <w:rPr>
                <w:noProof/>
                <w:sz w:val="22"/>
                <w:szCs w:val="22"/>
                <w:lang w:val="da-DK"/>
              </w:rPr>
              <w:t>Muskuloskele</w:t>
            </w:r>
            <w:r w:rsidR="0065751F" w:rsidRPr="0065751F">
              <w:rPr>
                <w:noProof/>
                <w:sz w:val="22"/>
                <w:szCs w:val="22"/>
                <w:lang w:val="da-DK"/>
              </w:rPr>
              <w:t>-</w:t>
            </w:r>
            <w:r w:rsidRPr="009C1463">
              <w:rPr>
                <w:noProof/>
                <w:sz w:val="22"/>
                <w:szCs w:val="22"/>
                <w:lang w:val="da-DK"/>
              </w:rPr>
              <w:t>tale smerter</w:t>
            </w:r>
            <w:r w:rsidRPr="009C1463">
              <w:rPr>
                <w:noProof/>
                <w:sz w:val="22"/>
                <w:szCs w:val="22"/>
                <w:lang w:val="da-DK"/>
              </w:rPr>
              <w:br/>
              <w:t>Muskelspas</w:t>
            </w:r>
            <w:r w:rsidR="0065751F" w:rsidRPr="0065751F">
              <w:rPr>
                <w:noProof/>
                <w:sz w:val="22"/>
                <w:szCs w:val="22"/>
                <w:lang w:val="da-DK"/>
              </w:rPr>
              <w:t>-</w:t>
            </w:r>
            <w:r w:rsidRPr="009C1463">
              <w:rPr>
                <w:noProof/>
                <w:sz w:val="22"/>
                <w:szCs w:val="22"/>
                <w:lang w:val="da-DK"/>
              </w:rPr>
              <w:t>mer</w:t>
            </w:r>
          </w:p>
        </w:tc>
        <w:tc>
          <w:tcPr>
            <w:tcW w:w="1831" w:type="dxa"/>
            <w:tcBorders>
              <w:top w:val="single" w:sz="4" w:space="0" w:color="auto"/>
              <w:left w:val="single" w:sz="4" w:space="0" w:color="auto"/>
              <w:bottom w:val="single" w:sz="4" w:space="0" w:color="auto"/>
              <w:right w:val="single" w:sz="4" w:space="0" w:color="auto"/>
            </w:tcBorders>
          </w:tcPr>
          <w:p w14:paraId="43C111C3" w14:textId="77777777" w:rsidR="009C1463" w:rsidRPr="009C1463" w:rsidRDefault="009C1463" w:rsidP="009C1463">
            <w:pPr>
              <w:autoSpaceDE w:val="0"/>
              <w:autoSpaceDN w:val="0"/>
              <w:adjustRightInd w:val="0"/>
              <w:rPr>
                <w:noProof/>
                <w:sz w:val="22"/>
                <w:szCs w:val="22"/>
              </w:rPr>
            </w:pPr>
            <w:r w:rsidRPr="009C1463">
              <w:rPr>
                <w:noProof/>
                <w:sz w:val="22"/>
                <w:szCs w:val="22"/>
              </w:rPr>
              <w:t>Muskelspænding</w:t>
            </w:r>
            <w:r w:rsidRPr="009C1463">
              <w:rPr>
                <w:noProof/>
                <w:sz w:val="22"/>
                <w:szCs w:val="22"/>
              </w:rPr>
              <w:br/>
              <w:t>Muskeltrækninger</w:t>
            </w:r>
          </w:p>
          <w:p w14:paraId="60D342C0" w14:textId="77777777" w:rsidR="009C1463" w:rsidRPr="009C1463" w:rsidRDefault="009C1463" w:rsidP="009C1463">
            <w:pPr>
              <w:autoSpaceDE w:val="0"/>
              <w:autoSpaceDN w:val="0"/>
              <w:adjustRightInd w:val="0"/>
              <w:rPr>
                <w:noProof/>
                <w:sz w:val="22"/>
                <w:szCs w:val="22"/>
              </w:rPr>
            </w:pPr>
          </w:p>
        </w:tc>
        <w:tc>
          <w:tcPr>
            <w:tcW w:w="2055" w:type="dxa"/>
            <w:tcBorders>
              <w:top w:val="single" w:sz="4" w:space="0" w:color="auto"/>
              <w:left w:val="single" w:sz="4" w:space="0" w:color="auto"/>
              <w:bottom w:val="single" w:sz="4" w:space="0" w:color="auto"/>
              <w:right w:val="single" w:sz="4" w:space="0" w:color="auto"/>
            </w:tcBorders>
          </w:tcPr>
          <w:p w14:paraId="23B4A295" w14:textId="77777777" w:rsidR="009C1463" w:rsidRPr="009C1463" w:rsidRDefault="009C1463" w:rsidP="009C1463">
            <w:pPr>
              <w:autoSpaceDE w:val="0"/>
              <w:autoSpaceDN w:val="0"/>
              <w:adjustRightInd w:val="0"/>
              <w:rPr>
                <w:noProof/>
                <w:sz w:val="22"/>
                <w:szCs w:val="22"/>
              </w:rPr>
            </w:pPr>
            <w:r w:rsidRPr="009C1463">
              <w:rPr>
                <w:noProof/>
                <w:sz w:val="22"/>
                <w:szCs w:val="22"/>
              </w:rPr>
              <w:t>Trismus</w:t>
            </w:r>
          </w:p>
          <w:p w14:paraId="63CDF802" w14:textId="77777777" w:rsidR="009C1463" w:rsidRPr="009C1463" w:rsidRDefault="009C1463" w:rsidP="009C1463">
            <w:pPr>
              <w:autoSpaceDE w:val="0"/>
              <w:autoSpaceDN w:val="0"/>
              <w:adjustRightInd w:val="0"/>
              <w:rPr>
                <w:noProof/>
                <w:sz w:val="22"/>
                <w:szCs w:val="22"/>
              </w:rPr>
            </w:pPr>
          </w:p>
          <w:p w14:paraId="6FB0424F" w14:textId="77777777" w:rsidR="009C1463" w:rsidRPr="009C1463" w:rsidRDefault="009C1463" w:rsidP="009C1463">
            <w:pPr>
              <w:tabs>
                <w:tab w:val="left" w:pos="1405"/>
              </w:tabs>
              <w:rPr>
                <w:sz w:val="22"/>
                <w:szCs w:val="22"/>
              </w:rPr>
            </w:pPr>
            <w:r w:rsidRPr="009C1463">
              <w:rPr>
                <w:sz w:val="22"/>
                <w:szCs w:val="22"/>
              </w:rPr>
              <w:tab/>
            </w:r>
          </w:p>
        </w:tc>
        <w:tc>
          <w:tcPr>
            <w:tcW w:w="992" w:type="dxa"/>
            <w:tcBorders>
              <w:top w:val="single" w:sz="4" w:space="0" w:color="auto"/>
              <w:left w:val="single" w:sz="4" w:space="0" w:color="auto"/>
              <w:bottom w:val="single" w:sz="4" w:space="0" w:color="auto"/>
              <w:right w:val="single" w:sz="4" w:space="0" w:color="auto"/>
            </w:tcBorders>
          </w:tcPr>
          <w:p w14:paraId="57ECCBE1" w14:textId="77777777" w:rsidR="009C1463" w:rsidRPr="009C1463" w:rsidRDefault="009C1463" w:rsidP="009C1463">
            <w:pPr>
              <w:autoSpaceDE w:val="0"/>
              <w:autoSpaceDN w:val="0"/>
              <w:adjustRightInd w:val="0"/>
              <w:rPr>
                <w:noProof/>
                <w:sz w:val="22"/>
                <w:szCs w:val="22"/>
              </w:rPr>
            </w:pPr>
          </w:p>
        </w:tc>
        <w:tc>
          <w:tcPr>
            <w:tcW w:w="1122" w:type="dxa"/>
            <w:tcBorders>
              <w:top w:val="single" w:sz="4" w:space="0" w:color="auto"/>
              <w:left w:val="single" w:sz="4" w:space="0" w:color="auto"/>
              <w:bottom w:val="single" w:sz="4" w:space="0" w:color="auto"/>
              <w:right w:val="single" w:sz="4" w:space="0" w:color="auto"/>
            </w:tcBorders>
          </w:tcPr>
          <w:p w14:paraId="32566841" w14:textId="77777777" w:rsidR="009C1463" w:rsidRPr="009C1463" w:rsidRDefault="009C1463" w:rsidP="009C1463">
            <w:pPr>
              <w:autoSpaceDE w:val="0"/>
              <w:autoSpaceDN w:val="0"/>
              <w:adjustRightInd w:val="0"/>
              <w:rPr>
                <w:noProof/>
                <w:sz w:val="22"/>
                <w:szCs w:val="22"/>
              </w:rPr>
            </w:pPr>
          </w:p>
        </w:tc>
      </w:tr>
      <w:tr w:rsidR="009C1463" w:rsidRPr="009C1463" w14:paraId="2CFF6E91" w14:textId="77777777" w:rsidTr="009C1463">
        <w:tc>
          <w:tcPr>
            <w:tcW w:w="9055" w:type="dxa"/>
            <w:gridSpan w:val="6"/>
            <w:tcBorders>
              <w:top w:val="single" w:sz="4" w:space="0" w:color="auto"/>
              <w:left w:val="single" w:sz="4" w:space="0" w:color="auto"/>
              <w:bottom w:val="single" w:sz="4" w:space="0" w:color="auto"/>
              <w:right w:val="single" w:sz="4" w:space="0" w:color="auto"/>
            </w:tcBorders>
            <w:hideMark/>
          </w:tcPr>
          <w:p w14:paraId="366DCA87" w14:textId="77777777" w:rsidR="009C1463" w:rsidRPr="009C1463" w:rsidRDefault="009C1463" w:rsidP="0065751F">
            <w:pPr>
              <w:autoSpaceDE w:val="0"/>
              <w:autoSpaceDN w:val="0"/>
              <w:adjustRightInd w:val="0"/>
              <w:rPr>
                <w:i/>
                <w:iCs/>
                <w:noProof/>
                <w:sz w:val="22"/>
                <w:szCs w:val="22"/>
              </w:rPr>
            </w:pPr>
            <w:r w:rsidRPr="009C1463">
              <w:rPr>
                <w:i/>
                <w:iCs/>
                <w:noProof/>
                <w:sz w:val="22"/>
                <w:szCs w:val="22"/>
              </w:rPr>
              <w:t>Nyre- og urinveje</w:t>
            </w:r>
          </w:p>
        </w:tc>
      </w:tr>
      <w:tr w:rsidR="009C1463" w:rsidRPr="009C1463" w14:paraId="695354BD" w14:textId="77777777" w:rsidTr="009C1463">
        <w:tc>
          <w:tcPr>
            <w:tcW w:w="1504" w:type="dxa"/>
            <w:tcBorders>
              <w:top w:val="single" w:sz="4" w:space="0" w:color="auto"/>
              <w:left w:val="single" w:sz="4" w:space="0" w:color="auto"/>
              <w:bottom w:val="single" w:sz="4" w:space="0" w:color="auto"/>
              <w:right w:val="single" w:sz="4" w:space="0" w:color="auto"/>
            </w:tcBorders>
          </w:tcPr>
          <w:p w14:paraId="5E417C21" w14:textId="77777777" w:rsidR="009C1463" w:rsidRPr="009C1463" w:rsidRDefault="009C1463" w:rsidP="0065751F">
            <w:pPr>
              <w:autoSpaceDE w:val="0"/>
              <w:autoSpaceDN w:val="0"/>
              <w:adjustRightInd w:val="0"/>
              <w:rPr>
                <w:b/>
                <w:bCs/>
                <w:noProof/>
                <w:sz w:val="22"/>
                <w:szCs w:val="22"/>
              </w:rPr>
            </w:pPr>
          </w:p>
        </w:tc>
        <w:tc>
          <w:tcPr>
            <w:tcW w:w="1551" w:type="dxa"/>
            <w:tcBorders>
              <w:top w:val="single" w:sz="4" w:space="0" w:color="auto"/>
              <w:left w:val="single" w:sz="4" w:space="0" w:color="auto"/>
              <w:bottom w:val="single" w:sz="4" w:space="0" w:color="auto"/>
              <w:right w:val="single" w:sz="4" w:space="0" w:color="auto"/>
            </w:tcBorders>
            <w:hideMark/>
          </w:tcPr>
          <w:p w14:paraId="1143D475" w14:textId="77777777" w:rsidR="009C1463" w:rsidRPr="009C1463" w:rsidRDefault="009C1463" w:rsidP="009C1463">
            <w:pPr>
              <w:autoSpaceDE w:val="0"/>
              <w:autoSpaceDN w:val="0"/>
              <w:adjustRightInd w:val="0"/>
              <w:rPr>
                <w:noProof/>
                <w:sz w:val="22"/>
                <w:szCs w:val="22"/>
              </w:rPr>
            </w:pPr>
            <w:r w:rsidRPr="009C1463">
              <w:rPr>
                <w:noProof/>
                <w:sz w:val="22"/>
                <w:szCs w:val="22"/>
              </w:rPr>
              <w:t>Dysuri</w:t>
            </w:r>
            <w:r w:rsidRPr="009C1463">
              <w:rPr>
                <w:noProof/>
                <w:sz w:val="22"/>
                <w:szCs w:val="22"/>
              </w:rPr>
              <w:br/>
              <w:t>Pollakisuri</w:t>
            </w:r>
          </w:p>
        </w:tc>
        <w:tc>
          <w:tcPr>
            <w:tcW w:w="1831" w:type="dxa"/>
            <w:tcBorders>
              <w:top w:val="single" w:sz="4" w:space="0" w:color="auto"/>
              <w:left w:val="single" w:sz="4" w:space="0" w:color="auto"/>
              <w:bottom w:val="single" w:sz="4" w:space="0" w:color="auto"/>
              <w:right w:val="single" w:sz="4" w:space="0" w:color="auto"/>
            </w:tcBorders>
            <w:hideMark/>
          </w:tcPr>
          <w:p w14:paraId="723A5781" w14:textId="0DA2D364" w:rsidR="009C1463" w:rsidRPr="009C1463" w:rsidRDefault="009C1463" w:rsidP="009C1463">
            <w:pPr>
              <w:autoSpaceDE w:val="0"/>
              <w:autoSpaceDN w:val="0"/>
              <w:adjustRightInd w:val="0"/>
              <w:rPr>
                <w:noProof/>
                <w:sz w:val="22"/>
                <w:szCs w:val="22"/>
                <w:lang w:val="da-DK"/>
              </w:rPr>
            </w:pPr>
            <w:r w:rsidRPr="009C1463">
              <w:rPr>
                <w:noProof/>
                <w:sz w:val="22"/>
                <w:szCs w:val="22"/>
                <w:lang w:val="da-DK"/>
              </w:rPr>
              <w:t>Urinretention</w:t>
            </w:r>
            <w:r w:rsidRPr="009C1463">
              <w:rPr>
                <w:noProof/>
                <w:sz w:val="22"/>
                <w:szCs w:val="22"/>
                <w:lang w:val="da-DK"/>
              </w:rPr>
              <w:br/>
              <w:t>Vandladnings</w:t>
            </w:r>
            <w:r w:rsidR="0065751F">
              <w:rPr>
                <w:noProof/>
                <w:sz w:val="22"/>
                <w:szCs w:val="22"/>
                <w:lang w:val="da-DK"/>
              </w:rPr>
              <w:t>-</w:t>
            </w:r>
            <w:r w:rsidRPr="009C1463">
              <w:rPr>
                <w:noProof/>
                <w:sz w:val="22"/>
                <w:szCs w:val="22"/>
                <w:lang w:val="da-DK"/>
              </w:rPr>
              <w:t>besvær</w:t>
            </w:r>
            <w:r w:rsidRPr="009C1463">
              <w:rPr>
                <w:noProof/>
                <w:sz w:val="22"/>
                <w:szCs w:val="22"/>
                <w:lang w:val="da-DK"/>
              </w:rPr>
              <w:br/>
              <w:t>Nokturi</w:t>
            </w:r>
            <w:r w:rsidRPr="009C1463">
              <w:rPr>
                <w:noProof/>
                <w:sz w:val="22"/>
                <w:szCs w:val="22"/>
                <w:lang w:val="da-DK"/>
              </w:rPr>
              <w:br/>
              <w:t>Polyuri</w:t>
            </w:r>
            <w:r w:rsidRPr="009C1463">
              <w:rPr>
                <w:noProof/>
                <w:sz w:val="22"/>
                <w:szCs w:val="22"/>
                <w:lang w:val="da-DK"/>
              </w:rPr>
              <w:br/>
              <w:t>Nedsat urinflow</w:t>
            </w:r>
          </w:p>
        </w:tc>
        <w:tc>
          <w:tcPr>
            <w:tcW w:w="2055" w:type="dxa"/>
            <w:tcBorders>
              <w:top w:val="single" w:sz="4" w:space="0" w:color="auto"/>
              <w:left w:val="single" w:sz="4" w:space="0" w:color="auto"/>
              <w:bottom w:val="single" w:sz="4" w:space="0" w:color="auto"/>
              <w:right w:val="single" w:sz="4" w:space="0" w:color="auto"/>
            </w:tcBorders>
          </w:tcPr>
          <w:p w14:paraId="433BE93F" w14:textId="77777777" w:rsidR="009C1463" w:rsidRPr="009C1463" w:rsidRDefault="009C1463" w:rsidP="009C1463">
            <w:pPr>
              <w:autoSpaceDE w:val="0"/>
              <w:autoSpaceDN w:val="0"/>
              <w:adjustRightInd w:val="0"/>
              <w:rPr>
                <w:noProof/>
                <w:sz w:val="22"/>
                <w:szCs w:val="22"/>
              </w:rPr>
            </w:pPr>
            <w:r w:rsidRPr="009C1463">
              <w:rPr>
                <w:noProof/>
                <w:sz w:val="22"/>
                <w:szCs w:val="22"/>
              </w:rPr>
              <w:t>Unormal urinlugt</w:t>
            </w:r>
          </w:p>
          <w:p w14:paraId="6C6FF99D" w14:textId="77777777" w:rsidR="009C1463" w:rsidRPr="009C1463" w:rsidRDefault="009C1463" w:rsidP="009C1463">
            <w:pPr>
              <w:autoSpaceDE w:val="0"/>
              <w:autoSpaceDN w:val="0"/>
              <w:adjustRightInd w:val="0"/>
              <w:rPr>
                <w:noProof/>
                <w:sz w:val="22"/>
                <w:szCs w:val="22"/>
              </w:rPr>
            </w:pPr>
          </w:p>
        </w:tc>
        <w:tc>
          <w:tcPr>
            <w:tcW w:w="992" w:type="dxa"/>
            <w:tcBorders>
              <w:top w:val="single" w:sz="4" w:space="0" w:color="auto"/>
              <w:left w:val="single" w:sz="4" w:space="0" w:color="auto"/>
              <w:bottom w:val="single" w:sz="4" w:space="0" w:color="auto"/>
              <w:right w:val="single" w:sz="4" w:space="0" w:color="auto"/>
            </w:tcBorders>
          </w:tcPr>
          <w:p w14:paraId="1EC7F32C" w14:textId="77777777" w:rsidR="009C1463" w:rsidRPr="009C1463" w:rsidRDefault="009C1463" w:rsidP="009C1463">
            <w:pPr>
              <w:autoSpaceDE w:val="0"/>
              <w:autoSpaceDN w:val="0"/>
              <w:adjustRightInd w:val="0"/>
              <w:rPr>
                <w:noProof/>
                <w:sz w:val="22"/>
                <w:szCs w:val="22"/>
              </w:rPr>
            </w:pPr>
          </w:p>
        </w:tc>
        <w:tc>
          <w:tcPr>
            <w:tcW w:w="1122" w:type="dxa"/>
            <w:tcBorders>
              <w:top w:val="single" w:sz="4" w:space="0" w:color="auto"/>
              <w:left w:val="single" w:sz="4" w:space="0" w:color="auto"/>
              <w:bottom w:val="single" w:sz="4" w:space="0" w:color="auto"/>
              <w:right w:val="single" w:sz="4" w:space="0" w:color="auto"/>
            </w:tcBorders>
          </w:tcPr>
          <w:p w14:paraId="77C8B1A1" w14:textId="77777777" w:rsidR="009C1463" w:rsidRPr="009C1463" w:rsidRDefault="009C1463" w:rsidP="009C1463">
            <w:pPr>
              <w:autoSpaceDE w:val="0"/>
              <w:autoSpaceDN w:val="0"/>
              <w:adjustRightInd w:val="0"/>
              <w:rPr>
                <w:noProof/>
                <w:sz w:val="22"/>
                <w:szCs w:val="22"/>
              </w:rPr>
            </w:pPr>
          </w:p>
        </w:tc>
      </w:tr>
      <w:tr w:rsidR="009C1463" w:rsidRPr="009C1463" w14:paraId="7ACE5BFE" w14:textId="77777777" w:rsidTr="009C1463">
        <w:tc>
          <w:tcPr>
            <w:tcW w:w="9055" w:type="dxa"/>
            <w:gridSpan w:val="6"/>
            <w:tcBorders>
              <w:top w:val="single" w:sz="4" w:space="0" w:color="auto"/>
              <w:left w:val="single" w:sz="4" w:space="0" w:color="auto"/>
              <w:bottom w:val="single" w:sz="4" w:space="0" w:color="auto"/>
              <w:right w:val="single" w:sz="4" w:space="0" w:color="auto"/>
            </w:tcBorders>
            <w:hideMark/>
          </w:tcPr>
          <w:p w14:paraId="3CE6BC30" w14:textId="77777777" w:rsidR="009C1463" w:rsidRPr="009C1463" w:rsidRDefault="009C1463" w:rsidP="0065751F">
            <w:pPr>
              <w:autoSpaceDE w:val="0"/>
              <w:autoSpaceDN w:val="0"/>
              <w:adjustRightInd w:val="0"/>
              <w:rPr>
                <w:i/>
                <w:iCs/>
                <w:noProof/>
                <w:sz w:val="22"/>
                <w:szCs w:val="22"/>
                <w:lang w:val="da-DK"/>
              </w:rPr>
            </w:pPr>
            <w:r w:rsidRPr="009C1463">
              <w:rPr>
                <w:i/>
                <w:iCs/>
                <w:noProof/>
                <w:sz w:val="22"/>
                <w:szCs w:val="22"/>
                <w:lang w:val="da-DK"/>
              </w:rPr>
              <w:t>Det reproduktive system og mammae</w:t>
            </w:r>
          </w:p>
        </w:tc>
      </w:tr>
      <w:tr w:rsidR="009C1463" w:rsidRPr="009C1463" w14:paraId="5D8E104A" w14:textId="77777777" w:rsidTr="009C1463">
        <w:tc>
          <w:tcPr>
            <w:tcW w:w="1504" w:type="dxa"/>
            <w:tcBorders>
              <w:top w:val="single" w:sz="4" w:space="0" w:color="auto"/>
              <w:left w:val="single" w:sz="4" w:space="0" w:color="auto"/>
              <w:bottom w:val="single" w:sz="4" w:space="0" w:color="auto"/>
              <w:right w:val="single" w:sz="4" w:space="0" w:color="auto"/>
            </w:tcBorders>
          </w:tcPr>
          <w:p w14:paraId="59AC2851" w14:textId="77777777" w:rsidR="009C1463" w:rsidRPr="009C1463" w:rsidRDefault="009C1463" w:rsidP="0065751F">
            <w:pPr>
              <w:autoSpaceDE w:val="0"/>
              <w:autoSpaceDN w:val="0"/>
              <w:adjustRightInd w:val="0"/>
              <w:rPr>
                <w:b/>
                <w:bCs/>
                <w:noProof/>
                <w:sz w:val="22"/>
                <w:szCs w:val="22"/>
                <w:lang w:val="da-DK"/>
              </w:rPr>
            </w:pPr>
          </w:p>
        </w:tc>
        <w:tc>
          <w:tcPr>
            <w:tcW w:w="1551" w:type="dxa"/>
            <w:tcBorders>
              <w:top w:val="single" w:sz="4" w:space="0" w:color="auto"/>
              <w:left w:val="single" w:sz="4" w:space="0" w:color="auto"/>
              <w:bottom w:val="single" w:sz="4" w:space="0" w:color="auto"/>
              <w:right w:val="single" w:sz="4" w:space="0" w:color="auto"/>
            </w:tcBorders>
            <w:hideMark/>
          </w:tcPr>
          <w:p w14:paraId="3C938DCF" w14:textId="3A945B60" w:rsidR="009C1463" w:rsidRPr="009C1463" w:rsidRDefault="009C1463" w:rsidP="009C1463">
            <w:pPr>
              <w:autoSpaceDE w:val="0"/>
              <w:autoSpaceDN w:val="0"/>
              <w:adjustRightInd w:val="0"/>
              <w:rPr>
                <w:noProof/>
                <w:sz w:val="22"/>
                <w:szCs w:val="22"/>
                <w:lang w:val="da-DK"/>
              </w:rPr>
            </w:pPr>
            <w:r w:rsidRPr="009C1463">
              <w:rPr>
                <w:noProof/>
                <w:sz w:val="22"/>
                <w:szCs w:val="22"/>
                <w:lang w:val="da-DK"/>
              </w:rPr>
              <w:t>Erektil dysfunktion</w:t>
            </w:r>
            <w:r w:rsidRPr="009C1463">
              <w:rPr>
                <w:noProof/>
                <w:sz w:val="22"/>
                <w:szCs w:val="22"/>
                <w:lang w:val="da-DK"/>
              </w:rPr>
              <w:br/>
              <w:t>Ejakulations</w:t>
            </w:r>
            <w:r w:rsidR="0065751F">
              <w:rPr>
                <w:noProof/>
                <w:sz w:val="22"/>
                <w:szCs w:val="22"/>
                <w:lang w:val="da-DK"/>
              </w:rPr>
              <w:t>-</w:t>
            </w:r>
            <w:r w:rsidRPr="009C1463">
              <w:rPr>
                <w:noProof/>
                <w:sz w:val="22"/>
                <w:szCs w:val="22"/>
                <w:lang w:val="da-DK"/>
              </w:rPr>
              <w:t>forstyrrelse</w:t>
            </w:r>
            <w:r w:rsidRPr="009C1463">
              <w:rPr>
                <w:noProof/>
                <w:sz w:val="22"/>
                <w:szCs w:val="22"/>
                <w:lang w:val="da-DK"/>
              </w:rPr>
              <w:br/>
              <w:t>Forsinket ejakulation</w:t>
            </w:r>
          </w:p>
        </w:tc>
        <w:tc>
          <w:tcPr>
            <w:tcW w:w="1831" w:type="dxa"/>
            <w:tcBorders>
              <w:top w:val="single" w:sz="4" w:space="0" w:color="auto"/>
              <w:left w:val="single" w:sz="4" w:space="0" w:color="auto"/>
              <w:bottom w:val="single" w:sz="4" w:space="0" w:color="auto"/>
              <w:right w:val="single" w:sz="4" w:space="0" w:color="auto"/>
            </w:tcBorders>
            <w:hideMark/>
          </w:tcPr>
          <w:p w14:paraId="03B404A3" w14:textId="6882469E" w:rsidR="009C1463" w:rsidRPr="009C1463" w:rsidRDefault="009C1463" w:rsidP="009C1463">
            <w:pPr>
              <w:autoSpaceDE w:val="0"/>
              <w:autoSpaceDN w:val="0"/>
              <w:adjustRightInd w:val="0"/>
              <w:rPr>
                <w:noProof/>
                <w:sz w:val="22"/>
                <w:szCs w:val="22"/>
                <w:lang w:val="da-DK"/>
              </w:rPr>
            </w:pPr>
            <w:r w:rsidRPr="009C1463">
              <w:rPr>
                <w:noProof/>
                <w:sz w:val="22"/>
                <w:szCs w:val="22"/>
                <w:lang w:val="da-DK"/>
              </w:rPr>
              <w:t>Gynækologisk blødning</w:t>
            </w:r>
            <w:r w:rsidRPr="009C1463">
              <w:rPr>
                <w:noProof/>
                <w:sz w:val="22"/>
                <w:szCs w:val="22"/>
                <w:lang w:val="da-DK"/>
              </w:rPr>
              <w:br/>
              <w:t>Menstruations</w:t>
            </w:r>
            <w:r w:rsidR="0065751F">
              <w:rPr>
                <w:noProof/>
                <w:sz w:val="22"/>
                <w:szCs w:val="22"/>
                <w:lang w:val="da-DK"/>
              </w:rPr>
              <w:t>-</w:t>
            </w:r>
            <w:r w:rsidRPr="009C1463">
              <w:rPr>
                <w:noProof/>
                <w:sz w:val="22"/>
                <w:szCs w:val="22"/>
                <w:lang w:val="da-DK"/>
              </w:rPr>
              <w:t>forstyrrelser</w:t>
            </w:r>
            <w:r w:rsidRPr="009C1463">
              <w:rPr>
                <w:noProof/>
                <w:sz w:val="22"/>
                <w:szCs w:val="22"/>
                <w:lang w:val="da-DK"/>
              </w:rPr>
              <w:br/>
              <w:t>Seksuel dysfunktion</w:t>
            </w:r>
            <w:r w:rsidRPr="009C1463">
              <w:rPr>
                <w:noProof/>
                <w:sz w:val="22"/>
                <w:szCs w:val="22"/>
                <w:lang w:val="da-DK"/>
              </w:rPr>
              <w:br/>
              <w:t>Testikelsmerter</w:t>
            </w:r>
          </w:p>
        </w:tc>
        <w:tc>
          <w:tcPr>
            <w:tcW w:w="2055" w:type="dxa"/>
            <w:tcBorders>
              <w:top w:val="single" w:sz="4" w:space="0" w:color="auto"/>
              <w:left w:val="single" w:sz="4" w:space="0" w:color="auto"/>
              <w:bottom w:val="single" w:sz="4" w:space="0" w:color="auto"/>
              <w:right w:val="single" w:sz="4" w:space="0" w:color="auto"/>
            </w:tcBorders>
            <w:hideMark/>
          </w:tcPr>
          <w:p w14:paraId="2C228ACD" w14:textId="77777777" w:rsidR="009C1463" w:rsidRPr="009C1463" w:rsidRDefault="009C1463" w:rsidP="009C1463">
            <w:pPr>
              <w:autoSpaceDE w:val="0"/>
              <w:autoSpaceDN w:val="0"/>
              <w:adjustRightInd w:val="0"/>
              <w:rPr>
                <w:noProof/>
                <w:sz w:val="22"/>
                <w:szCs w:val="22"/>
                <w:lang w:val="da-DK"/>
              </w:rPr>
            </w:pPr>
            <w:r w:rsidRPr="009C1463">
              <w:rPr>
                <w:noProof/>
                <w:sz w:val="22"/>
                <w:szCs w:val="22"/>
                <w:lang w:val="da-DK"/>
              </w:rPr>
              <w:t>Menopausale symptomer</w:t>
            </w:r>
            <w:r w:rsidRPr="009C1463">
              <w:rPr>
                <w:noProof/>
                <w:sz w:val="22"/>
                <w:szCs w:val="22"/>
                <w:lang w:val="da-DK"/>
              </w:rPr>
              <w:br/>
              <w:t>Galaktorré</w:t>
            </w:r>
            <w:r w:rsidRPr="009C1463">
              <w:rPr>
                <w:noProof/>
                <w:sz w:val="22"/>
                <w:szCs w:val="22"/>
                <w:lang w:val="da-DK"/>
              </w:rPr>
              <w:br/>
              <w:t>Hyperprolaktinæmi</w:t>
            </w:r>
            <w:r w:rsidRPr="009C1463">
              <w:rPr>
                <w:noProof/>
                <w:sz w:val="22"/>
                <w:szCs w:val="22"/>
                <w:lang w:val="da-DK"/>
              </w:rPr>
              <w:br/>
              <w:t>Postpartum blødning⁶</w:t>
            </w:r>
          </w:p>
        </w:tc>
        <w:tc>
          <w:tcPr>
            <w:tcW w:w="992" w:type="dxa"/>
            <w:tcBorders>
              <w:top w:val="single" w:sz="4" w:space="0" w:color="auto"/>
              <w:left w:val="single" w:sz="4" w:space="0" w:color="auto"/>
              <w:bottom w:val="single" w:sz="4" w:space="0" w:color="auto"/>
              <w:right w:val="single" w:sz="4" w:space="0" w:color="auto"/>
            </w:tcBorders>
          </w:tcPr>
          <w:p w14:paraId="4433AD0B" w14:textId="77777777" w:rsidR="009C1463" w:rsidRPr="009C1463" w:rsidRDefault="009C1463" w:rsidP="009C1463">
            <w:pPr>
              <w:autoSpaceDE w:val="0"/>
              <w:autoSpaceDN w:val="0"/>
              <w:adjustRightInd w:val="0"/>
              <w:rPr>
                <w:noProof/>
                <w:sz w:val="22"/>
                <w:szCs w:val="22"/>
                <w:lang w:val="da-DK"/>
              </w:rPr>
            </w:pPr>
          </w:p>
        </w:tc>
        <w:tc>
          <w:tcPr>
            <w:tcW w:w="1122" w:type="dxa"/>
            <w:tcBorders>
              <w:top w:val="single" w:sz="4" w:space="0" w:color="auto"/>
              <w:left w:val="single" w:sz="4" w:space="0" w:color="auto"/>
              <w:bottom w:val="single" w:sz="4" w:space="0" w:color="auto"/>
              <w:right w:val="single" w:sz="4" w:space="0" w:color="auto"/>
            </w:tcBorders>
          </w:tcPr>
          <w:p w14:paraId="0D825F48" w14:textId="77777777" w:rsidR="009C1463" w:rsidRPr="009C1463" w:rsidRDefault="009C1463" w:rsidP="009C1463">
            <w:pPr>
              <w:autoSpaceDE w:val="0"/>
              <w:autoSpaceDN w:val="0"/>
              <w:adjustRightInd w:val="0"/>
              <w:rPr>
                <w:noProof/>
                <w:sz w:val="22"/>
                <w:szCs w:val="22"/>
                <w:lang w:val="da-DK"/>
              </w:rPr>
            </w:pPr>
          </w:p>
        </w:tc>
      </w:tr>
      <w:tr w:rsidR="009C1463" w:rsidRPr="009C1463" w14:paraId="4B251938" w14:textId="77777777" w:rsidTr="009C1463">
        <w:tc>
          <w:tcPr>
            <w:tcW w:w="9055" w:type="dxa"/>
            <w:gridSpan w:val="6"/>
            <w:tcBorders>
              <w:top w:val="single" w:sz="4" w:space="0" w:color="auto"/>
              <w:left w:val="single" w:sz="4" w:space="0" w:color="auto"/>
              <w:bottom w:val="single" w:sz="4" w:space="0" w:color="auto"/>
              <w:right w:val="single" w:sz="4" w:space="0" w:color="auto"/>
            </w:tcBorders>
            <w:hideMark/>
          </w:tcPr>
          <w:p w14:paraId="2E13DD7F" w14:textId="77777777" w:rsidR="009C1463" w:rsidRPr="009C1463" w:rsidRDefault="009C1463" w:rsidP="0065751F">
            <w:pPr>
              <w:autoSpaceDE w:val="0"/>
              <w:autoSpaceDN w:val="0"/>
              <w:adjustRightInd w:val="0"/>
              <w:rPr>
                <w:i/>
                <w:iCs/>
                <w:noProof/>
                <w:sz w:val="22"/>
                <w:szCs w:val="22"/>
                <w:lang w:val="da-DK"/>
              </w:rPr>
            </w:pPr>
            <w:r w:rsidRPr="009C1463">
              <w:rPr>
                <w:i/>
                <w:iCs/>
                <w:noProof/>
                <w:sz w:val="22"/>
                <w:szCs w:val="22"/>
                <w:lang w:val="da-DK"/>
              </w:rPr>
              <w:t>Almene symptomer og reaktioner på administrationsstedet</w:t>
            </w:r>
          </w:p>
        </w:tc>
      </w:tr>
      <w:tr w:rsidR="009C1463" w:rsidRPr="009C1463" w14:paraId="624996EB" w14:textId="77777777" w:rsidTr="009C1463">
        <w:tc>
          <w:tcPr>
            <w:tcW w:w="1504" w:type="dxa"/>
            <w:tcBorders>
              <w:top w:val="single" w:sz="4" w:space="0" w:color="auto"/>
              <w:left w:val="single" w:sz="4" w:space="0" w:color="auto"/>
              <w:bottom w:val="single" w:sz="4" w:space="0" w:color="auto"/>
              <w:right w:val="single" w:sz="4" w:space="0" w:color="auto"/>
            </w:tcBorders>
          </w:tcPr>
          <w:p w14:paraId="69454924" w14:textId="77777777" w:rsidR="009C1463" w:rsidRPr="009C1463" w:rsidRDefault="009C1463" w:rsidP="0065751F">
            <w:pPr>
              <w:autoSpaceDE w:val="0"/>
              <w:autoSpaceDN w:val="0"/>
              <w:adjustRightInd w:val="0"/>
              <w:rPr>
                <w:b/>
                <w:bCs/>
                <w:noProof/>
                <w:sz w:val="22"/>
                <w:szCs w:val="22"/>
                <w:lang w:val="da-DK"/>
              </w:rPr>
            </w:pPr>
          </w:p>
        </w:tc>
        <w:tc>
          <w:tcPr>
            <w:tcW w:w="1551" w:type="dxa"/>
            <w:tcBorders>
              <w:top w:val="single" w:sz="4" w:space="0" w:color="auto"/>
              <w:left w:val="single" w:sz="4" w:space="0" w:color="auto"/>
              <w:bottom w:val="single" w:sz="4" w:space="0" w:color="auto"/>
              <w:right w:val="single" w:sz="4" w:space="0" w:color="auto"/>
            </w:tcBorders>
            <w:hideMark/>
          </w:tcPr>
          <w:p w14:paraId="2213D514" w14:textId="77777777" w:rsidR="009C1463" w:rsidRPr="009C1463" w:rsidRDefault="009C1463" w:rsidP="009C1463">
            <w:pPr>
              <w:autoSpaceDE w:val="0"/>
              <w:autoSpaceDN w:val="0"/>
              <w:adjustRightInd w:val="0"/>
              <w:rPr>
                <w:noProof/>
                <w:sz w:val="22"/>
                <w:szCs w:val="22"/>
              </w:rPr>
            </w:pPr>
            <w:r w:rsidRPr="009C1463">
              <w:rPr>
                <w:noProof/>
                <w:sz w:val="22"/>
                <w:szCs w:val="22"/>
              </w:rPr>
              <w:t>Fald⁸</w:t>
            </w:r>
            <w:r w:rsidRPr="009C1463">
              <w:rPr>
                <w:noProof/>
                <w:sz w:val="22"/>
                <w:szCs w:val="22"/>
              </w:rPr>
              <w:br/>
              <w:t>Træthed</w:t>
            </w:r>
          </w:p>
        </w:tc>
        <w:tc>
          <w:tcPr>
            <w:tcW w:w="1831" w:type="dxa"/>
            <w:tcBorders>
              <w:top w:val="single" w:sz="4" w:space="0" w:color="auto"/>
              <w:left w:val="single" w:sz="4" w:space="0" w:color="auto"/>
              <w:bottom w:val="single" w:sz="4" w:space="0" w:color="auto"/>
              <w:right w:val="single" w:sz="4" w:space="0" w:color="auto"/>
            </w:tcBorders>
            <w:hideMark/>
          </w:tcPr>
          <w:p w14:paraId="6DE2226D" w14:textId="5BDCF9FE" w:rsidR="009C1463" w:rsidRPr="009C1463" w:rsidRDefault="009C1463" w:rsidP="009C1463">
            <w:pPr>
              <w:autoSpaceDE w:val="0"/>
              <w:autoSpaceDN w:val="0"/>
              <w:adjustRightInd w:val="0"/>
              <w:rPr>
                <w:noProof/>
                <w:sz w:val="22"/>
                <w:szCs w:val="22"/>
                <w:lang w:val="da-DK"/>
              </w:rPr>
            </w:pPr>
            <w:r w:rsidRPr="009C1463">
              <w:rPr>
                <w:noProof/>
                <w:sz w:val="22"/>
                <w:szCs w:val="22"/>
                <w:lang w:val="da-DK"/>
              </w:rPr>
              <w:t>Brystsmerter⁷</w:t>
            </w:r>
            <w:r w:rsidRPr="009C1463">
              <w:rPr>
                <w:noProof/>
                <w:sz w:val="22"/>
                <w:szCs w:val="22"/>
                <w:lang w:val="da-DK"/>
              </w:rPr>
              <w:br/>
              <w:t>Unormal følelse</w:t>
            </w:r>
            <w:r w:rsidRPr="009C1463">
              <w:rPr>
                <w:noProof/>
                <w:sz w:val="22"/>
                <w:szCs w:val="22"/>
                <w:lang w:val="da-DK"/>
              </w:rPr>
              <w:br/>
              <w:t>Kulde</w:t>
            </w:r>
            <w:r w:rsidRPr="009C1463">
              <w:rPr>
                <w:noProof/>
                <w:sz w:val="22"/>
                <w:szCs w:val="22"/>
                <w:lang w:val="da-DK"/>
              </w:rPr>
              <w:softHyphen/>
              <w:t>fornem</w:t>
            </w:r>
            <w:r w:rsidR="0065751F">
              <w:rPr>
                <w:noProof/>
                <w:sz w:val="22"/>
                <w:szCs w:val="22"/>
                <w:lang w:val="da-DK"/>
              </w:rPr>
              <w:t>-</w:t>
            </w:r>
            <w:r w:rsidRPr="009C1463">
              <w:rPr>
                <w:noProof/>
                <w:sz w:val="22"/>
                <w:szCs w:val="22"/>
                <w:lang w:val="da-DK"/>
              </w:rPr>
              <w:t>melse</w:t>
            </w:r>
            <w:r w:rsidRPr="009C1463">
              <w:rPr>
                <w:noProof/>
                <w:sz w:val="22"/>
                <w:szCs w:val="22"/>
                <w:lang w:val="da-DK"/>
              </w:rPr>
              <w:br/>
              <w:t>Tørst</w:t>
            </w:r>
            <w:r w:rsidRPr="009C1463">
              <w:rPr>
                <w:noProof/>
                <w:sz w:val="22"/>
                <w:szCs w:val="22"/>
                <w:lang w:val="da-DK"/>
              </w:rPr>
              <w:br/>
              <w:t>Kulderystelser</w:t>
            </w:r>
            <w:r w:rsidRPr="009C1463">
              <w:rPr>
                <w:noProof/>
                <w:sz w:val="22"/>
                <w:szCs w:val="22"/>
                <w:lang w:val="da-DK"/>
              </w:rPr>
              <w:br/>
              <w:t>Utilpashed</w:t>
            </w:r>
            <w:r w:rsidRPr="009C1463">
              <w:rPr>
                <w:noProof/>
                <w:sz w:val="22"/>
                <w:szCs w:val="22"/>
                <w:lang w:val="da-DK"/>
              </w:rPr>
              <w:br/>
              <w:t>Varmefornem</w:t>
            </w:r>
            <w:r w:rsidR="0065751F">
              <w:rPr>
                <w:noProof/>
                <w:sz w:val="22"/>
                <w:szCs w:val="22"/>
                <w:lang w:val="da-DK"/>
              </w:rPr>
              <w:t>-</w:t>
            </w:r>
            <w:r w:rsidRPr="009C1463">
              <w:rPr>
                <w:noProof/>
                <w:sz w:val="22"/>
                <w:szCs w:val="22"/>
                <w:lang w:val="da-DK"/>
              </w:rPr>
              <w:t>melse</w:t>
            </w:r>
            <w:r w:rsidRPr="009C1463">
              <w:rPr>
                <w:noProof/>
                <w:sz w:val="22"/>
                <w:szCs w:val="22"/>
                <w:lang w:val="da-DK"/>
              </w:rPr>
              <w:br/>
              <w:t>Gangforstyrrelser</w:t>
            </w:r>
          </w:p>
        </w:tc>
        <w:tc>
          <w:tcPr>
            <w:tcW w:w="2055" w:type="dxa"/>
            <w:tcBorders>
              <w:top w:val="single" w:sz="4" w:space="0" w:color="auto"/>
              <w:left w:val="single" w:sz="4" w:space="0" w:color="auto"/>
              <w:bottom w:val="single" w:sz="4" w:space="0" w:color="auto"/>
              <w:right w:val="single" w:sz="4" w:space="0" w:color="auto"/>
            </w:tcBorders>
          </w:tcPr>
          <w:p w14:paraId="174F985A" w14:textId="77777777" w:rsidR="009C1463" w:rsidRPr="009C1463" w:rsidRDefault="009C1463" w:rsidP="009C1463">
            <w:pPr>
              <w:autoSpaceDE w:val="0"/>
              <w:autoSpaceDN w:val="0"/>
              <w:adjustRightInd w:val="0"/>
              <w:rPr>
                <w:noProof/>
                <w:sz w:val="22"/>
                <w:szCs w:val="22"/>
                <w:lang w:val="da-DK"/>
              </w:rPr>
            </w:pPr>
          </w:p>
        </w:tc>
        <w:tc>
          <w:tcPr>
            <w:tcW w:w="992" w:type="dxa"/>
            <w:tcBorders>
              <w:top w:val="single" w:sz="4" w:space="0" w:color="auto"/>
              <w:left w:val="single" w:sz="4" w:space="0" w:color="auto"/>
              <w:bottom w:val="single" w:sz="4" w:space="0" w:color="auto"/>
              <w:right w:val="single" w:sz="4" w:space="0" w:color="auto"/>
            </w:tcBorders>
          </w:tcPr>
          <w:p w14:paraId="639465C6" w14:textId="77777777" w:rsidR="009C1463" w:rsidRPr="009C1463" w:rsidRDefault="009C1463" w:rsidP="009C1463">
            <w:pPr>
              <w:autoSpaceDE w:val="0"/>
              <w:autoSpaceDN w:val="0"/>
              <w:adjustRightInd w:val="0"/>
              <w:rPr>
                <w:noProof/>
                <w:sz w:val="22"/>
                <w:szCs w:val="22"/>
                <w:lang w:val="da-DK"/>
              </w:rPr>
            </w:pPr>
          </w:p>
        </w:tc>
        <w:tc>
          <w:tcPr>
            <w:tcW w:w="1122" w:type="dxa"/>
            <w:tcBorders>
              <w:top w:val="single" w:sz="4" w:space="0" w:color="auto"/>
              <w:left w:val="single" w:sz="4" w:space="0" w:color="auto"/>
              <w:bottom w:val="single" w:sz="4" w:space="0" w:color="auto"/>
              <w:right w:val="single" w:sz="4" w:space="0" w:color="auto"/>
            </w:tcBorders>
          </w:tcPr>
          <w:p w14:paraId="4F1135CB" w14:textId="77777777" w:rsidR="009C1463" w:rsidRPr="009C1463" w:rsidRDefault="009C1463" w:rsidP="009C1463">
            <w:pPr>
              <w:autoSpaceDE w:val="0"/>
              <w:autoSpaceDN w:val="0"/>
              <w:adjustRightInd w:val="0"/>
              <w:rPr>
                <w:noProof/>
                <w:sz w:val="22"/>
                <w:szCs w:val="22"/>
                <w:lang w:val="da-DK"/>
              </w:rPr>
            </w:pPr>
          </w:p>
        </w:tc>
      </w:tr>
      <w:tr w:rsidR="009C1463" w:rsidRPr="009C1463" w14:paraId="09CC22D1" w14:textId="77777777" w:rsidTr="009C1463">
        <w:tc>
          <w:tcPr>
            <w:tcW w:w="9055" w:type="dxa"/>
            <w:gridSpan w:val="6"/>
            <w:tcBorders>
              <w:top w:val="single" w:sz="4" w:space="0" w:color="auto"/>
              <w:left w:val="single" w:sz="4" w:space="0" w:color="auto"/>
              <w:bottom w:val="single" w:sz="4" w:space="0" w:color="auto"/>
              <w:right w:val="single" w:sz="4" w:space="0" w:color="auto"/>
            </w:tcBorders>
            <w:hideMark/>
          </w:tcPr>
          <w:p w14:paraId="3C2F9DF9" w14:textId="77777777" w:rsidR="009C1463" w:rsidRPr="009C1463" w:rsidRDefault="009C1463" w:rsidP="0065751F">
            <w:pPr>
              <w:autoSpaceDE w:val="0"/>
              <w:autoSpaceDN w:val="0"/>
              <w:adjustRightInd w:val="0"/>
              <w:rPr>
                <w:i/>
                <w:iCs/>
                <w:noProof/>
                <w:sz w:val="22"/>
                <w:szCs w:val="22"/>
              </w:rPr>
            </w:pPr>
            <w:r w:rsidRPr="009C1463">
              <w:rPr>
                <w:i/>
                <w:iCs/>
                <w:noProof/>
                <w:sz w:val="22"/>
                <w:szCs w:val="22"/>
              </w:rPr>
              <w:t>Undersøgelser</w:t>
            </w:r>
          </w:p>
        </w:tc>
      </w:tr>
      <w:tr w:rsidR="009C1463" w:rsidRPr="009C1463" w14:paraId="44BBEEAE" w14:textId="77777777" w:rsidTr="009C1463">
        <w:tc>
          <w:tcPr>
            <w:tcW w:w="1504" w:type="dxa"/>
            <w:tcBorders>
              <w:top w:val="single" w:sz="4" w:space="0" w:color="auto"/>
              <w:left w:val="single" w:sz="4" w:space="0" w:color="auto"/>
              <w:bottom w:val="single" w:sz="4" w:space="0" w:color="auto"/>
              <w:right w:val="single" w:sz="4" w:space="0" w:color="auto"/>
            </w:tcBorders>
          </w:tcPr>
          <w:p w14:paraId="776058BB" w14:textId="77777777" w:rsidR="009C1463" w:rsidRPr="009C1463" w:rsidRDefault="009C1463" w:rsidP="0065751F">
            <w:pPr>
              <w:autoSpaceDE w:val="0"/>
              <w:autoSpaceDN w:val="0"/>
              <w:adjustRightInd w:val="0"/>
              <w:rPr>
                <w:b/>
                <w:bCs/>
                <w:noProof/>
                <w:sz w:val="22"/>
                <w:szCs w:val="22"/>
              </w:rPr>
            </w:pPr>
          </w:p>
        </w:tc>
        <w:tc>
          <w:tcPr>
            <w:tcW w:w="1551" w:type="dxa"/>
            <w:tcBorders>
              <w:top w:val="single" w:sz="4" w:space="0" w:color="auto"/>
              <w:left w:val="single" w:sz="4" w:space="0" w:color="auto"/>
              <w:bottom w:val="single" w:sz="4" w:space="0" w:color="auto"/>
              <w:right w:val="single" w:sz="4" w:space="0" w:color="auto"/>
            </w:tcBorders>
            <w:hideMark/>
          </w:tcPr>
          <w:p w14:paraId="4638EF9A" w14:textId="77777777" w:rsidR="009C1463" w:rsidRPr="009C1463" w:rsidRDefault="009C1463" w:rsidP="009C1463">
            <w:pPr>
              <w:autoSpaceDE w:val="0"/>
              <w:autoSpaceDN w:val="0"/>
              <w:adjustRightInd w:val="0"/>
              <w:rPr>
                <w:noProof/>
                <w:sz w:val="22"/>
                <w:szCs w:val="22"/>
              </w:rPr>
            </w:pPr>
            <w:r w:rsidRPr="009C1463">
              <w:rPr>
                <w:noProof/>
                <w:sz w:val="22"/>
                <w:szCs w:val="22"/>
              </w:rPr>
              <w:t>Vægttab</w:t>
            </w:r>
          </w:p>
        </w:tc>
        <w:tc>
          <w:tcPr>
            <w:tcW w:w="1831" w:type="dxa"/>
            <w:tcBorders>
              <w:top w:val="single" w:sz="4" w:space="0" w:color="auto"/>
              <w:left w:val="single" w:sz="4" w:space="0" w:color="auto"/>
              <w:bottom w:val="single" w:sz="4" w:space="0" w:color="auto"/>
              <w:right w:val="single" w:sz="4" w:space="0" w:color="auto"/>
            </w:tcBorders>
            <w:hideMark/>
          </w:tcPr>
          <w:p w14:paraId="114CAF8E" w14:textId="77777777" w:rsidR="009C1463" w:rsidRPr="009C1463" w:rsidRDefault="009C1463" w:rsidP="009C1463">
            <w:pPr>
              <w:autoSpaceDE w:val="0"/>
              <w:autoSpaceDN w:val="0"/>
              <w:adjustRightInd w:val="0"/>
              <w:rPr>
                <w:noProof/>
                <w:sz w:val="22"/>
                <w:szCs w:val="22"/>
                <w:lang w:val="da-DK"/>
              </w:rPr>
            </w:pPr>
            <w:r w:rsidRPr="009C1463">
              <w:rPr>
                <w:noProof/>
                <w:sz w:val="22"/>
                <w:szCs w:val="22"/>
                <w:lang w:val="da-DK"/>
              </w:rPr>
              <w:t>Vægtøgning</w:t>
            </w:r>
            <w:r w:rsidRPr="009C1463">
              <w:rPr>
                <w:noProof/>
                <w:sz w:val="22"/>
                <w:szCs w:val="22"/>
                <w:lang w:val="da-DK"/>
              </w:rPr>
              <w:br/>
              <w:t>Forhøjet kreatinkinase i blodet</w:t>
            </w:r>
            <w:r w:rsidRPr="009C1463">
              <w:rPr>
                <w:noProof/>
                <w:sz w:val="22"/>
                <w:szCs w:val="22"/>
                <w:lang w:val="da-DK"/>
              </w:rPr>
              <w:br/>
              <w:t>Forhøjet kalium i blodet</w:t>
            </w:r>
          </w:p>
        </w:tc>
        <w:tc>
          <w:tcPr>
            <w:tcW w:w="2055" w:type="dxa"/>
            <w:tcBorders>
              <w:top w:val="single" w:sz="4" w:space="0" w:color="auto"/>
              <w:left w:val="single" w:sz="4" w:space="0" w:color="auto"/>
              <w:bottom w:val="single" w:sz="4" w:space="0" w:color="auto"/>
              <w:right w:val="single" w:sz="4" w:space="0" w:color="auto"/>
            </w:tcBorders>
          </w:tcPr>
          <w:p w14:paraId="45F78E70" w14:textId="77777777" w:rsidR="009C1463" w:rsidRPr="009C1463" w:rsidRDefault="009C1463" w:rsidP="009C1463">
            <w:pPr>
              <w:autoSpaceDE w:val="0"/>
              <w:autoSpaceDN w:val="0"/>
              <w:adjustRightInd w:val="0"/>
              <w:rPr>
                <w:noProof/>
                <w:sz w:val="22"/>
                <w:szCs w:val="22"/>
              </w:rPr>
            </w:pPr>
            <w:r w:rsidRPr="009C1463">
              <w:rPr>
                <w:noProof/>
                <w:sz w:val="22"/>
                <w:szCs w:val="22"/>
              </w:rPr>
              <w:t>Forhøjet kolesterol i blodet</w:t>
            </w:r>
          </w:p>
          <w:p w14:paraId="45202CD6" w14:textId="77777777" w:rsidR="009C1463" w:rsidRPr="009C1463" w:rsidRDefault="009C1463" w:rsidP="009C1463">
            <w:pPr>
              <w:autoSpaceDE w:val="0"/>
              <w:autoSpaceDN w:val="0"/>
              <w:adjustRightInd w:val="0"/>
              <w:rPr>
                <w:noProof/>
                <w:sz w:val="22"/>
                <w:szCs w:val="22"/>
              </w:rPr>
            </w:pPr>
          </w:p>
        </w:tc>
        <w:tc>
          <w:tcPr>
            <w:tcW w:w="992" w:type="dxa"/>
            <w:tcBorders>
              <w:top w:val="single" w:sz="4" w:space="0" w:color="auto"/>
              <w:left w:val="single" w:sz="4" w:space="0" w:color="auto"/>
              <w:bottom w:val="single" w:sz="4" w:space="0" w:color="auto"/>
              <w:right w:val="single" w:sz="4" w:space="0" w:color="auto"/>
            </w:tcBorders>
          </w:tcPr>
          <w:p w14:paraId="7E64F8E3" w14:textId="77777777" w:rsidR="009C1463" w:rsidRPr="009C1463" w:rsidRDefault="009C1463" w:rsidP="009C1463">
            <w:pPr>
              <w:autoSpaceDE w:val="0"/>
              <w:autoSpaceDN w:val="0"/>
              <w:adjustRightInd w:val="0"/>
              <w:rPr>
                <w:noProof/>
                <w:sz w:val="22"/>
                <w:szCs w:val="22"/>
              </w:rPr>
            </w:pPr>
          </w:p>
        </w:tc>
        <w:tc>
          <w:tcPr>
            <w:tcW w:w="1122" w:type="dxa"/>
            <w:tcBorders>
              <w:top w:val="single" w:sz="4" w:space="0" w:color="auto"/>
              <w:left w:val="single" w:sz="4" w:space="0" w:color="auto"/>
              <w:bottom w:val="single" w:sz="4" w:space="0" w:color="auto"/>
              <w:right w:val="single" w:sz="4" w:space="0" w:color="auto"/>
            </w:tcBorders>
          </w:tcPr>
          <w:p w14:paraId="02AD12EE" w14:textId="77777777" w:rsidR="009C1463" w:rsidRPr="009C1463" w:rsidRDefault="009C1463" w:rsidP="009C1463">
            <w:pPr>
              <w:autoSpaceDE w:val="0"/>
              <w:autoSpaceDN w:val="0"/>
              <w:adjustRightInd w:val="0"/>
              <w:rPr>
                <w:noProof/>
                <w:sz w:val="22"/>
                <w:szCs w:val="22"/>
              </w:rPr>
            </w:pPr>
          </w:p>
        </w:tc>
      </w:tr>
    </w:tbl>
    <w:p w14:paraId="157E9E9C" w14:textId="1C0D3133" w:rsidR="009C1463" w:rsidRPr="009C1463" w:rsidRDefault="009C1463" w:rsidP="009C1463">
      <w:pPr>
        <w:ind w:left="284" w:hanging="284"/>
        <w:rPr>
          <w:sz w:val="22"/>
          <w:szCs w:val="22"/>
        </w:rPr>
      </w:pPr>
      <w:r w:rsidRPr="009C1463">
        <w:rPr>
          <w:sz w:val="22"/>
          <w:szCs w:val="22"/>
          <w:vertAlign w:val="superscript"/>
        </w:rPr>
        <w:t>1</w:t>
      </w:r>
      <w:r w:rsidRPr="009C1463">
        <w:rPr>
          <w:sz w:val="22"/>
          <w:szCs w:val="22"/>
        </w:rPr>
        <w:tab/>
        <w:t xml:space="preserve">Tilfælde af kramper og tinnitus er også rapporteret efter seponering af behandling. </w:t>
      </w:r>
    </w:p>
    <w:p w14:paraId="3597768D" w14:textId="143A75D5" w:rsidR="009C1463" w:rsidRPr="009C1463" w:rsidRDefault="009C1463" w:rsidP="009C1463">
      <w:pPr>
        <w:ind w:left="284" w:hanging="284"/>
        <w:rPr>
          <w:sz w:val="22"/>
          <w:szCs w:val="22"/>
        </w:rPr>
      </w:pPr>
      <w:r w:rsidRPr="009C1463">
        <w:rPr>
          <w:sz w:val="22"/>
          <w:szCs w:val="22"/>
          <w:vertAlign w:val="superscript"/>
        </w:rPr>
        <w:t>2</w:t>
      </w:r>
      <w:r w:rsidRPr="009C1463">
        <w:rPr>
          <w:sz w:val="22"/>
          <w:szCs w:val="22"/>
        </w:rPr>
        <w:tab/>
        <w:t xml:space="preserve">Tilfælde af ortostatisk hypotension og synkope er rapporteret især ved behandlingsstart. </w:t>
      </w:r>
    </w:p>
    <w:p w14:paraId="0EABDBB0" w14:textId="45173CE2" w:rsidR="009C1463" w:rsidRPr="009C1463" w:rsidRDefault="009C1463" w:rsidP="009C1463">
      <w:pPr>
        <w:ind w:left="284" w:hanging="284"/>
        <w:rPr>
          <w:sz w:val="22"/>
          <w:szCs w:val="22"/>
        </w:rPr>
      </w:pPr>
      <w:r w:rsidRPr="009C1463">
        <w:rPr>
          <w:sz w:val="22"/>
          <w:szCs w:val="22"/>
          <w:vertAlign w:val="superscript"/>
        </w:rPr>
        <w:t>3</w:t>
      </w:r>
      <w:r w:rsidRPr="009C1463">
        <w:rPr>
          <w:sz w:val="22"/>
          <w:szCs w:val="22"/>
        </w:rPr>
        <w:tab/>
        <w:t xml:space="preserve">Se pkt. 4.4. </w:t>
      </w:r>
    </w:p>
    <w:p w14:paraId="7217A7F5" w14:textId="01FDB760" w:rsidR="009C1463" w:rsidRPr="009C1463" w:rsidRDefault="009C1463" w:rsidP="009C1463">
      <w:pPr>
        <w:ind w:left="284" w:hanging="284"/>
        <w:rPr>
          <w:sz w:val="22"/>
          <w:szCs w:val="22"/>
        </w:rPr>
      </w:pPr>
      <w:r w:rsidRPr="009C1463">
        <w:rPr>
          <w:sz w:val="22"/>
          <w:szCs w:val="22"/>
          <w:vertAlign w:val="superscript"/>
        </w:rPr>
        <w:t>4</w:t>
      </w:r>
      <w:r w:rsidRPr="009C1463">
        <w:rPr>
          <w:sz w:val="22"/>
          <w:szCs w:val="22"/>
        </w:rPr>
        <w:tab/>
        <w:t xml:space="preserve">Tilfælde af aggression og vrede er rapporteret særligt tidligt i behandlingen eller efter behandlingsophør. </w:t>
      </w:r>
    </w:p>
    <w:p w14:paraId="1093449D" w14:textId="2A66E2E8" w:rsidR="009C1463" w:rsidRPr="009C1463" w:rsidRDefault="009C1463" w:rsidP="009C1463">
      <w:pPr>
        <w:ind w:left="284" w:hanging="284"/>
        <w:rPr>
          <w:sz w:val="22"/>
          <w:szCs w:val="22"/>
        </w:rPr>
      </w:pPr>
      <w:r w:rsidRPr="009C1463">
        <w:rPr>
          <w:sz w:val="22"/>
          <w:szCs w:val="22"/>
          <w:vertAlign w:val="superscript"/>
        </w:rPr>
        <w:t>5</w:t>
      </w:r>
      <w:r w:rsidRPr="009C1463">
        <w:rPr>
          <w:sz w:val="22"/>
          <w:szCs w:val="22"/>
        </w:rPr>
        <w:tab/>
        <w:t xml:space="preserve">Tilfælde af selvmordstanker og selvmordsadfærd er rapporteret under behandling eller kort efter seponering (se pkt. 4.4). </w:t>
      </w:r>
    </w:p>
    <w:p w14:paraId="7CBBF002" w14:textId="1A8F7130" w:rsidR="009C1463" w:rsidRPr="009C1463" w:rsidRDefault="009C1463" w:rsidP="009C1463">
      <w:pPr>
        <w:ind w:left="284" w:hanging="284"/>
        <w:rPr>
          <w:sz w:val="22"/>
          <w:szCs w:val="22"/>
        </w:rPr>
      </w:pPr>
      <w:r w:rsidRPr="009C1463">
        <w:rPr>
          <w:sz w:val="22"/>
          <w:szCs w:val="22"/>
          <w:vertAlign w:val="superscript"/>
        </w:rPr>
        <w:t>6</w:t>
      </w:r>
      <w:r w:rsidRPr="009C1463">
        <w:rPr>
          <w:sz w:val="22"/>
          <w:szCs w:val="22"/>
        </w:rPr>
        <w:tab/>
        <w:t xml:space="preserve">Estimeret frekvens baseret på bivirkninger rapporteret efter markedsføring; ikke observeret i placebokontrollerede studier. </w:t>
      </w:r>
    </w:p>
    <w:p w14:paraId="50F366AD" w14:textId="59517779" w:rsidR="009C1463" w:rsidRPr="009C1463" w:rsidRDefault="009C1463" w:rsidP="009C1463">
      <w:pPr>
        <w:ind w:left="284" w:hanging="284"/>
        <w:rPr>
          <w:sz w:val="22"/>
          <w:szCs w:val="22"/>
        </w:rPr>
      </w:pPr>
      <w:r w:rsidRPr="009C1463">
        <w:rPr>
          <w:sz w:val="22"/>
          <w:szCs w:val="22"/>
          <w:vertAlign w:val="superscript"/>
        </w:rPr>
        <w:t>7</w:t>
      </w:r>
      <w:r w:rsidRPr="009C1463">
        <w:rPr>
          <w:sz w:val="22"/>
          <w:szCs w:val="22"/>
        </w:rPr>
        <w:tab/>
        <w:t xml:space="preserve">Ikke statistisk signifikant forskellig fra placebo. </w:t>
      </w:r>
    </w:p>
    <w:p w14:paraId="24B6CEB2" w14:textId="76445B43" w:rsidR="009C1463" w:rsidRPr="009C1463" w:rsidRDefault="009C1463" w:rsidP="009C1463">
      <w:pPr>
        <w:ind w:left="284" w:hanging="284"/>
        <w:rPr>
          <w:sz w:val="22"/>
          <w:szCs w:val="22"/>
        </w:rPr>
      </w:pPr>
      <w:r w:rsidRPr="009C1463">
        <w:rPr>
          <w:sz w:val="22"/>
          <w:szCs w:val="22"/>
          <w:vertAlign w:val="superscript"/>
        </w:rPr>
        <w:t>8</w:t>
      </w:r>
      <w:r w:rsidRPr="009C1463">
        <w:rPr>
          <w:sz w:val="22"/>
          <w:szCs w:val="22"/>
        </w:rPr>
        <w:tab/>
        <w:t xml:space="preserve">Fald var hyppigere hos ældre (≥ 65 år). </w:t>
      </w:r>
    </w:p>
    <w:p w14:paraId="14243FF5" w14:textId="567AB9CB" w:rsidR="009C1463" w:rsidRPr="009C1463" w:rsidRDefault="009C1463" w:rsidP="009C1463">
      <w:pPr>
        <w:ind w:left="284" w:hanging="284"/>
        <w:rPr>
          <w:sz w:val="22"/>
          <w:szCs w:val="22"/>
        </w:rPr>
      </w:pPr>
      <w:r w:rsidRPr="009C1463">
        <w:rPr>
          <w:sz w:val="22"/>
          <w:szCs w:val="22"/>
          <w:vertAlign w:val="superscript"/>
        </w:rPr>
        <w:t>9</w:t>
      </w:r>
      <w:r w:rsidRPr="009C1463">
        <w:rPr>
          <w:sz w:val="22"/>
          <w:szCs w:val="22"/>
        </w:rPr>
        <w:tab/>
        <w:t xml:space="preserve">Estimeret frekvens baseret på alle kliniske studiedata. </w:t>
      </w:r>
    </w:p>
    <w:p w14:paraId="4DB663CF" w14:textId="13DE3DDE" w:rsidR="009C1463" w:rsidRPr="009C1463" w:rsidRDefault="009C1463" w:rsidP="009C1463">
      <w:pPr>
        <w:ind w:left="284" w:hanging="284"/>
        <w:rPr>
          <w:sz w:val="22"/>
          <w:szCs w:val="22"/>
        </w:rPr>
      </w:pPr>
      <w:r w:rsidRPr="009C1463">
        <w:rPr>
          <w:sz w:val="22"/>
          <w:szCs w:val="22"/>
          <w:vertAlign w:val="superscript"/>
        </w:rPr>
        <w:t>10</w:t>
      </w:r>
      <w:r w:rsidRPr="009C1463">
        <w:rPr>
          <w:sz w:val="22"/>
          <w:szCs w:val="22"/>
        </w:rPr>
        <w:tab/>
        <w:t>Estimeret frekvens baseret på placebokontrollerede kliniske studier.</w:t>
      </w:r>
    </w:p>
    <w:p w14:paraId="691FD2D0" w14:textId="77777777" w:rsidR="009C1463" w:rsidRPr="009C1463" w:rsidRDefault="009C1463" w:rsidP="009C1463">
      <w:pPr>
        <w:tabs>
          <w:tab w:val="left" w:pos="851"/>
        </w:tabs>
        <w:ind w:left="851"/>
        <w:rPr>
          <w:sz w:val="24"/>
          <w:szCs w:val="24"/>
        </w:rPr>
      </w:pPr>
    </w:p>
    <w:p w14:paraId="04E774DF" w14:textId="77777777" w:rsidR="009C1463" w:rsidRPr="009C1463" w:rsidRDefault="009C1463" w:rsidP="009C1463">
      <w:pPr>
        <w:tabs>
          <w:tab w:val="left" w:pos="851"/>
        </w:tabs>
        <w:ind w:left="851"/>
        <w:rPr>
          <w:sz w:val="24"/>
          <w:szCs w:val="24"/>
          <w:u w:val="single"/>
        </w:rPr>
      </w:pPr>
      <w:r w:rsidRPr="009C1463">
        <w:rPr>
          <w:sz w:val="24"/>
          <w:szCs w:val="24"/>
          <w:u w:val="single"/>
        </w:rPr>
        <w:t>Beskrivelse af udvalgte bivirkninger</w:t>
      </w:r>
    </w:p>
    <w:p w14:paraId="3E7B336D" w14:textId="77777777" w:rsidR="009C1463" w:rsidRPr="009C1463" w:rsidRDefault="009C1463" w:rsidP="009C1463">
      <w:pPr>
        <w:tabs>
          <w:tab w:val="left" w:pos="851"/>
        </w:tabs>
        <w:ind w:left="851"/>
        <w:rPr>
          <w:sz w:val="24"/>
          <w:szCs w:val="24"/>
        </w:rPr>
      </w:pPr>
      <w:r w:rsidRPr="009C1463">
        <w:rPr>
          <w:sz w:val="24"/>
          <w:szCs w:val="24"/>
        </w:rPr>
        <w:t>Seponering af duloxetin (særligt ved pludseligt ophør) medfører ofte seponeringssymptomer. De hyppigst rapporterede reaktioner er svimmelhed, sensoriske forstyrrelser (herunder paræstesi eller elektrisk stød</w:t>
      </w:r>
      <w:r w:rsidRPr="009C1463">
        <w:rPr>
          <w:sz w:val="24"/>
          <w:szCs w:val="24"/>
        </w:rPr>
        <w:noBreakHyphen/>
        <w:t xml:space="preserve">lignende fornemmelser, især i </w:t>
      </w:r>
      <w:r w:rsidRPr="009C1463">
        <w:rPr>
          <w:sz w:val="24"/>
          <w:szCs w:val="24"/>
        </w:rPr>
        <w:lastRenderedPageBreak/>
        <w:t>hovedet), søvnforstyrrelser (herunder insomni og intense drømme), træthed, somnolens, agitation eller angst, kvalme og/eller opkastning, tremor, hovedpine, myalgi, irritabilitet, diarré, hyperhidrose og vertigo.</w:t>
      </w:r>
    </w:p>
    <w:p w14:paraId="1770C114" w14:textId="77777777" w:rsidR="009C1463" w:rsidRPr="009C1463" w:rsidRDefault="009C1463" w:rsidP="009C1463">
      <w:pPr>
        <w:tabs>
          <w:tab w:val="left" w:pos="851"/>
        </w:tabs>
        <w:ind w:left="851"/>
        <w:rPr>
          <w:sz w:val="24"/>
          <w:szCs w:val="24"/>
        </w:rPr>
      </w:pPr>
      <w:r w:rsidRPr="009C1463">
        <w:rPr>
          <w:sz w:val="24"/>
          <w:szCs w:val="24"/>
        </w:rPr>
        <w:t>Generelt gælder det for SSRI’er og SNRI’er, at disse hændelser er milde til moderate og selvlimiterende, men hos nogle patienter kan de være alvorlige og/eller langvarige. Det anbefales derfor, at behandlingen med duloxetin nedtrappes gradvist, når den ikke længere er nødvendig (se pkt. 4.2 og 4.4).</w:t>
      </w:r>
    </w:p>
    <w:p w14:paraId="5BABE5FE" w14:textId="77777777" w:rsidR="009C1463" w:rsidRPr="009C1463" w:rsidRDefault="009C1463" w:rsidP="009C1463">
      <w:pPr>
        <w:tabs>
          <w:tab w:val="left" w:pos="851"/>
        </w:tabs>
        <w:ind w:left="851"/>
        <w:rPr>
          <w:sz w:val="24"/>
          <w:szCs w:val="24"/>
        </w:rPr>
      </w:pPr>
    </w:p>
    <w:p w14:paraId="6CA33748" w14:textId="77777777" w:rsidR="009C1463" w:rsidRPr="009C1463" w:rsidRDefault="009C1463" w:rsidP="009C1463">
      <w:pPr>
        <w:tabs>
          <w:tab w:val="left" w:pos="851"/>
        </w:tabs>
        <w:ind w:left="851"/>
        <w:rPr>
          <w:sz w:val="24"/>
          <w:szCs w:val="24"/>
        </w:rPr>
      </w:pPr>
      <w:r w:rsidRPr="009C1463">
        <w:rPr>
          <w:sz w:val="24"/>
          <w:szCs w:val="24"/>
        </w:rPr>
        <w:t>I den 12</w:t>
      </w:r>
      <w:r w:rsidRPr="009C1463">
        <w:rPr>
          <w:sz w:val="24"/>
          <w:szCs w:val="24"/>
        </w:rPr>
        <w:noBreakHyphen/>
        <w:t>ugers akutte fase af tre kliniske studier med duloxetin hos patienter med diabetisk neuropatisk smerte blev der observeret små, men statistisk signifikante stigninger i fastende blodglukose hos patienter behandlet med duloxetin. HbA1c var stabilt både hos patienter behandlet med duloxetin og hos patienter behandlet med placebo.</w:t>
      </w:r>
    </w:p>
    <w:p w14:paraId="4C8CC894" w14:textId="77777777" w:rsidR="009C1463" w:rsidRPr="009C1463" w:rsidRDefault="009C1463" w:rsidP="009C1463">
      <w:pPr>
        <w:tabs>
          <w:tab w:val="left" w:pos="851"/>
        </w:tabs>
        <w:ind w:left="851"/>
        <w:rPr>
          <w:sz w:val="24"/>
          <w:szCs w:val="24"/>
        </w:rPr>
      </w:pPr>
      <w:r w:rsidRPr="009C1463">
        <w:rPr>
          <w:sz w:val="24"/>
          <w:szCs w:val="24"/>
        </w:rPr>
        <w:t>I forlængelsesfasen af disse studier, som varede op til 52 uger, blev der observeret en stigning i HbA1c i både duloxetin</w:t>
      </w:r>
      <w:r w:rsidRPr="009C1463">
        <w:rPr>
          <w:sz w:val="24"/>
          <w:szCs w:val="24"/>
        </w:rPr>
        <w:noBreakHyphen/>
        <w:t xml:space="preserve"> og standardbehandlingsgruppen, men den gennemsnitlige stigning var 0,3 % større i duloxetin</w:t>
      </w:r>
      <w:r w:rsidRPr="009C1463">
        <w:rPr>
          <w:sz w:val="24"/>
          <w:szCs w:val="24"/>
        </w:rPr>
        <w:noBreakHyphen/>
        <w:t>gruppen. Der blev også observeret en mindre stigning i fastende blodglukose og total kolesterol hos patienter behandlet med duloxetin, mens disse laboratorieværdier viste et let fald i standardbehandlingsgruppen.</w:t>
      </w:r>
    </w:p>
    <w:p w14:paraId="4FF7C6AF" w14:textId="77777777" w:rsidR="009C1463" w:rsidRPr="009C1463" w:rsidRDefault="009C1463" w:rsidP="009C1463">
      <w:pPr>
        <w:tabs>
          <w:tab w:val="left" w:pos="851"/>
        </w:tabs>
        <w:ind w:left="851"/>
        <w:rPr>
          <w:sz w:val="24"/>
          <w:szCs w:val="24"/>
        </w:rPr>
      </w:pPr>
    </w:p>
    <w:p w14:paraId="6F8DF725" w14:textId="77777777" w:rsidR="009C1463" w:rsidRPr="009C1463" w:rsidRDefault="009C1463" w:rsidP="009C1463">
      <w:pPr>
        <w:tabs>
          <w:tab w:val="left" w:pos="851"/>
        </w:tabs>
        <w:ind w:left="851"/>
        <w:rPr>
          <w:sz w:val="24"/>
          <w:szCs w:val="24"/>
        </w:rPr>
      </w:pPr>
      <w:r w:rsidRPr="009C1463">
        <w:rPr>
          <w:sz w:val="24"/>
          <w:szCs w:val="24"/>
        </w:rPr>
        <w:t>Det korrigerede QT</w:t>
      </w:r>
      <w:r w:rsidRPr="009C1463">
        <w:rPr>
          <w:sz w:val="24"/>
          <w:szCs w:val="24"/>
        </w:rPr>
        <w:noBreakHyphen/>
        <w:t>interval (QTc) hos patienter behandlet med duloxetin adskilte sig ikke fra det observeret hos patienter behandlet med placebo. Der blev ikke observeret klinisk signifikante forskelle i QT</w:t>
      </w:r>
      <w:r w:rsidRPr="009C1463">
        <w:rPr>
          <w:sz w:val="24"/>
          <w:szCs w:val="24"/>
        </w:rPr>
        <w:noBreakHyphen/>
        <w:t>, PR</w:t>
      </w:r>
      <w:r w:rsidRPr="009C1463">
        <w:rPr>
          <w:sz w:val="24"/>
          <w:szCs w:val="24"/>
        </w:rPr>
        <w:noBreakHyphen/>
        <w:t>, QRS</w:t>
      </w:r>
      <w:r w:rsidRPr="009C1463">
        <w:rPr>
          <w:sz w:val="24"/>
          <w:szCs w:val="24"/>
        </w:rPr>
        <w:noBreakHyphen/>
        <w:t xml:space="preserve"> eller QTcB</w:t>
      </w:r>
      <w:r w:rsidRPr="009C1463">
        <w:rPr>
          <w:sz w:val="24"/>
          <w:szCs w:val="24"/>
        </w:rPr>
        <w:noBreakHyphen/>
        <w:t>intervaller mellem duloxetin</w:t>
      </w:r>
      <w:r w:rsidRPr="009C1463">
        <w:rPr>
          <w:sz w:val="24"/>
          <w:szCs w:val="24"/>
        </w:rPr>
        <w:noBreakHyphen/>
        <w:t xml:space="preserve"> og placebogrupperne.</w:t>
      </w:r>
    </w:p>
    <w:p w14:paraId="344F42E6" w14:textId="77777777" w:rsidR="009C1463" w:rsidRPr="009C1463" w:rsidRDefault="009C1463" w:rsidP="009C1463">
      <w:pPr>
        <w:tabs>
          <w:tab w:val="left" w:pos="851"/>
        </w:tabs>
        <w:ind w:left="851"/>
        <w:rPr>
          <w:sz w:val="24"/>
          <w:szCs w:val="24"/>
        </w:rPr>
      </w:pPr>
    </w:p>
    <w:p w14:paraId="5FC64027" w14:textId="77777777" w:rsidR="009C1463" w:rsidRPr="009C1463" w:rsidRDefault="009C1463" w:rsidP="009C1463">
      <w:pPr>
        <w:tabs>
          <w:tab w:val="left" w:pos="851"/>
        </w:tabs>
        <w:ind w:left="851"/>
        <w:rPr>
          <w:sz w:val="24"/>
          <w:szCs w:val="24"/>
          <w:u w:val="single"/>
        </w:rPr>
      </w:pPr>
      <w:r w:rsidRPr="009C1463">
        <w:rPr>
          <w:sz w:val="24"/>
          <w:szCs w:val="24"/>
          <w:u w:val="single"/>
        </w:rPr>
        <w:t>Pædiatrisk population</w:t>
      </w:r>
    </w:p>
    <w:p w14:paraId="539806C3" w14:textId="77777777" w:rsidR="009C1463" w:rsidRPr="009C1463" w:rsidRDefault="009C1463" w:rsidP="009C1463">
      <w:pPr>
        <w:tabs>
          <w:tab w:val="left" w:pos="851"/>
        </w:tabs>
        <w:ind w:left="851"/>
        <w:rPr>
          <w:sz w:val="24"/>
          <w:szCs w:val="24"/>
        </w:rPr>
      </w:pPr>
      <w:r w:rsidRPr="009C1463">
        <w:rPr>
          <w:sz w:val="24"/>
          <w:szCs w:val="24"/>
        </w:rPr>
        <w:t>I alt blev 509 pædiatriske patienter i alderen 7</w:t>
      </w:r>
      <w:r w:rsidRPr="009C1463">
        <w:rPr>
          <w:sz w:val="24"/>
          <w:szCs w:val="24"/>
        </w:rPr>
        <w:noBreakHyphen/>
        <w:t>17 år med svær depressiv episode og 241 pædiatriske patienter i alderen 7</w:t>
      </w:r>
      <w:r w:rsidRPr="009C1463">
        <w:rPr>
          <w:sz w:val="24"/>
          <w:szCs w:val="24"/>
        </w:rPr>
        <w:noBreakHyphen/>
        <w:t>17 år med generaliseret angst behandlet med duloxetin i kliniske studier.</w:t>
      </w:r>
    </w:p>
    <w:p w14:paraId="0A484494" w14:textId="77777777" w:rsidR="009C1463" w:rsidRPr="009C1463" w:rsidRDefault="009C1463" w:rsidP="009C1463">
      <w:pPr>
        <w:tabs>
          <w:tab w:val="left" w:pos="851"/>
        </w:tabs>
        <w:ind w:left="851"/>
        <w:rPr>
          <w:sz w:val="24"/>
          <w:szCs w:val="24"/>
        </w:rPr>
      </w:pPr>
      <w:r w:rsidRPr="009C1463">
        <w:rPr>
          <w:sz w:val="24"/>
          <w:szCs w:val="24"/>
        </w:rPr>
        <w:t>Generelt var bivirkningsprofilen for duloxetin hos børn og unge sammenlignelig med den, der er observeret hos voksne.</w:t>
      </w:r>
    </w:p>
    <w:p w14:paraId="117B9E29" w14:textId="77777777" w:rsidR="009C1463" w:rsidRPr="009C1463" w:rsidRDefault="009C1463" w:rsidP="009C1463">
      <w:pPr>
        <w:tabs>
          <w:tab w:val="left" w:pos="851"/>
        </w:tabs>
        <w:ind w:left="851"/>
        <w:rPr>
          <w:sz w:val="24"/>
          <w:szCs w:val="24"/>
        </w:rPr>
      </w:pPr>
    </w:p>
    <w:p w14:paraId="4E6F4DCE" w14:textId="77777777" w:rsidR="009C1463" w:rsidRPr="009C1463" w:rsidRDefault="009C1463" w:rsidP="009C1463">
      <w:pPr>
        <w:tabs>
          <w:tab w:val="left" w:pos="851"/>
        </w:tabs>
        <w:ind w:left="851"/>
        <w:rPr>
          <w:sz w:val="24"/>
          <w:szCs w:val="24"/>
        </w:rPr>
      </w:pPr>
      <w:r w:rsidRPr="009C1463">
        <w:rPr>
          <w:sz w:val="24"/>
          <w:szCs w:val="24"/>
        </w:rPr>
        <w:t>I alt 467 pædiatriske patienter, der initialt blev randomiseret til duloxetin i kliniske studier, oplevede et gennemsnitligt vægttab på 0,1 kg efter 10 uger sammenlignet med en gennemsnitlig vægtøgning på 0,9 kg hos 353 patienter behandlet med placebo.</w:t>
      </w:r>
    </w:p>
    <w:p w14:paraId="1F08B98B" w14:textId="77777777" w:rsidR="009C1463" w:rsidRPr="009C1463" w:rsidRDefault="009C1463" w:rsidP="009C1463">
      <w:pPr>
        <w:tabs>
          <w:tab w:val="left" w:pos="851"/>
        </w:tabs>
        <w:ind w:left="851"/>
        <w:rPr>
          <w:sz w:val="24"/>
          <w:szCs w:val="24"/>
        </w:rPr>
      </w:pPr>
      <w:r w:rsidRPr="009C1463">
        <w:rPr>
          <w:sz w:val="24"/>
          <w:szCs w:val="24"/>
        </w:rPr>
        <w:t>Efterfølgende, i forlængelsesperioden på 4</w:t>
      </w:r>
      <w:r w:rsidRPr="009C1463">
        <w:rPr>
          <w:sz w:val="24"/>
          <w:szCs w:val="24"/>
        </w:rPr>
        <w:noBreakHyphen/>
        <w:t>6 måneder, viste patienterne i gennemsnit en tendens til at vende tilbage til deres forventede vægtpercentil baseret på populationsdata fra alders- og kønsmatchede jævnaldrende.</w:t>
      </w:r>
    </w:p>
    <w:p w14:paraId="2CC2DDF1" w14:textId="77777777" w:rsidR="009C1463" w:rsidRPr="009C1463" w:rsidRDefault="009C1463" w:rsidP="009C1463">
      <w:pPr>
        <w:tabs>
          <w:tab w:val="left" w:pos="851"/>
        </w:tabs>
        <w:ind w:left="851"/>
        <w:rPr>
          <w:sz w:val="24"/>
          <w:szCs w:val="24"/>
        </w:rPr>
      </w:pPr>
    </w:p>
    <w:p w14:paraId="4AC9353A" w14:textId="77777777" w:rsidR="009C1463" w:rsidRPr="009C1463" w:rsidRDefault="009C1463" w:rsidP="009C1463">
      <w:pPr>
        <w:tabs>
          <w:tab w:val="left" w:pos="851"/>
        </w:tabs>
        <w:ind w:left="851"/>
        <w:rPr>
          <w:sz w:val="24"/>
          <w:szCs w:val="24"/>
        </w:rPr>
      </w:pPr>
      <w:r w:rsidRPr="009C1463">
        <w:rPr>
          <w:sz w:val="24"/>
          <w:szCs w:val="24"/>
        </w:rPr>
        <w:t>I studier med op til 9 måneders varighed blev der observeret et samlet gennemsnitligt fald på 1 % i højdevækst</w:t>
      </w:r>
      <w:r w:rsidRPr="009C1463">
        <w:rPr>
          <w:sz w:val="24"/>
          <w:szCs w:val="24"/>
        </w:rPr>
        <w:noBreakHyphen/>
        <w:t>percentil (fald på 2 % hos børn i alderen 7</w:t>
      </w:r>
      <w:r w:rsidRPr="009C1463">
        <w:rPr>
          <w:sz w:val="24"/>
          <w:szCs w:val="24"/>
        </w:rPr>
        <w:noBreakHyphen/>
        <w:t>11 år og stigning på 0,3 % hos unge i alderen 12</w:t>
      </w:r>
      <w:r w:rsidRPr="009C1463">
        <w:rPr>
          <w:sz w:val="24"/>
          <w:szCs w:val="24"/>
        </w:rPr>
        <w:noBreakHyphen/>
        <w:t>17 år) hos pædiatriske patienter behandlet med duloxetin (se pkt. 4.4).</w:t>
      </w:r>
    </w:p>
    <w:p w14:paraId="240BC146" w14:textId="77777777" w:rsidR="009C1463" w:rsidRPr="009C1463" w:rsidRDefault="009C1463" w:rsidP="009C1463">
      <w:pPr>
        <w:tabs>
          <w:tab w:val="left" w:pos="851"/>
        </w:tabs>
        <w:ind w:left="851"/>
        <w:rPr>
          <w:sz w:val="24"/>
          <w:szCs w:val="24"/>
        </w:rPr>
      </w:pPr>
    </w:p>
    <w:p w14:paraId="72024DAE" w14:textId="77777777" w:rsidR="009C1463" w:rsidRPr="009C1463" w:rsidRDefault="009C1463" w:rsidP="009C1463">
      <w:pPr>
        <w:tabs>
          <w:tab w:val="left" w:pos="851"/>
        </w:tabs>
        <w:ind w:left="851"/>
        <w:rPr>
          <w:sz w:val="24"/>
          <w:szCs w:val="24"/>
          <w:u w:val="single"/>
        </w:rPr>
      </w:pPr>
      <w:r w:rsidRPr="009C1463">
        <w:rPr>
          <w:sz w:val="24"/>
          <w:szCs w:val="24"/>
          <w:u w:val="single"/>
        </w:rPr>
        <w:t>Indberetning af formodede bivirkninger</w:t>
      </w:r>
    </w:p>
    <w:p w14:paraId="5D6AEF57" w14:textId="36A1129D" w:rsidR="009C1463" w:rsidRPr="009C1463" w:rsidRDefault="009C1463" w:rsidP="009C1463">
      <w:pPr>
        <w:tabs>
          <w:tab w:val="left" w:pos="851"/>
        </w:tabs>
        <w:ind w:left="851"/>
        <w:rPr>
          <w:sz w:val="24"/>
          <w:szCs w:val="24"/>
        </w:rPr>
      </w:pPr>
      <w:r w:rsidRPr="009C1463">
        <w:rPr>
          <w:sz w:val="24"/>
          <w:szCs w:val="24"/>
        </w:rPr>
        <w:t>Når lægemidlet er godkendt, er indberetning af formodede bivirkninger vigtig. Det gør det muligt løbende at overvåge benefit/risk</w:t>
      </w:r>
      <w:r w:rsidRPr="009C1463">
        <w:rPr>
          <w:sz w:val="24"/>
          <w:szCs w:val="24"/>
        </w:rPr>
        <w:noBreakHyphen/>
        <w:t>forholdet for lægemidlet. Sundhedspersoner opfordres til at indberette alle formodede bivirkninger via</w:t>
      </w:r>
      <w:r w:rsidR="0065751F">
        <w:rPr>
          <w:sz w:val="24"/>
          <w:szCs w:val="24"/>
        </w:rPr>
        <w:t>:</w:t>
      </w:r>
    </w:p>
    <w:p w14:paraId="6A6CC26E" w14:textId="77777777" w:rsidR="009C1463" w:rsidRPr="009C1463" w:rsidRDefault="009C1463" w:rsidP="009C1463">
      <w:pPr>
        <w:tabs>
          <w:tab w:val="left" w:pos="851"/>
        </w:tabs>
        <w:ind w:left="851"/>
        <w:rPr>
          <w:sz w:val="24"/>
          <w:szCs w:val="24"/>
        </w:rPr>
      </w:pPr>
    </w:p>
    <w:p w14:paraId="696BF064" w14:textId="77777777" w:rsidR="009C1463" w:rsidRPr="009C1463" w:rsidRDefault="009C1463" w:rsidP="009C1463">
      <w:pPr>
        <w:tabs>
          <w:tab w:val="left" w:pos="851"/>
        </w:tabs>
        <w:ind w:left="851"/>
        <w:rPr>
          <w:sz w:val="24"/>
          <w:szCs w:val="24"/>
        </w:rPr>
      </w:pPr>
      <w:r w:rsidRPr="009C1463">
        <w:rPr>
          <w:sz w:val="24"/>
          <w:szCs w:val="24"/>
        </w:rPr>
        <w:t>Lægemiddelstyrelsen</w:t>
      </w:r>
    </w:p>
    <w:p w14:paraId="6CF224E3" w14:textId="77777777" w:rsidR="009C1463" w:rsidRPr="009C1463" w:rsidRDefault="009C1463" w:rsidP="009C1463">
      <w:pPr>
        <w:tabs>
          <w:tab w:val="left" w:pos="851"/>
        </w:tabs>
        <w:ind w:left="851"/>
        <w:rPr>
          <w:sz w:val="24"/>
          <w:szCs w:val="24"/>
        </w:rPr>
      </w:pPr>
      <w:r w:rsidRPr="009C1463">
        <w:rPr>
          <w:sz w:val="24"/>
          <w:szCs w:val="24"/>
        </w:rPr>
        <w:t>Axel Heides Gade 1</w:t>
      </w:r>
    </w:p>
    <w:p w14:paraId="207DFC46" w14:textId="77777777" w:rsidR="009C1463" w:rsidRPr="009C1463" w:rsidRDefault="009C1463" w:rsidP="009C1463">
      <w:pPr>
        <w:tabs>
          <w:tab w:val="left" w:pos="851"/>
        </w:tabs>
        <w:ind w:left="851"/>
        <w:rPr>
          <w:sz w:val="24"/>
          <w:szCs w:val="24"/>
        </w:rPr>
      </w:pPr>
      <w:r w:rsidRPr="009C1463">
        <w:rPr>
          <w:sz w:val="24"/>
          <w:szCs w:val="24"/>
        </w:rPr>
        <w:t>DK-2300 København S</w:t>
      </w:r>
    </w:p>
    <w:p w14:paraId="1C43BACF" w14:textId="1AD3A023" w:rsidR="009C1463" w:rsidRPr="009C1463" w:rsidRDefault="009C1463" w:rsidP="009C1463">
      <w:pPr>
        <w:tabs>
          <w:tab w:val="left" w:pos="851"/>
        </w:tabs>
        <w:ind w:left="851"/>
        <w:rPr>
          <w:sz w:val="24"/>
          <w:szCs w:val="24"/>
        </w:rPr>
      </w:pPr>
      <w:r w:rsidRPr="009C1463">
        <w:rPr>
          <w:sz w:val="24"/>
          <w:szCs w:val="24"/>
        </w:rPr>
        <w:t>Websted: www.meldenbivirkning.dk</w:t>
      </w:r>
    </w:p>
    <w:p w14:paraId="1D4378F7" w14:textId="77777777" w:rsidR="009260DE" w:rsidRPr="00A10294" w:rsidRDefault="009260DE" w:rsidP="00A10294">
      <w:pPr>
        <w:tabs>
          <w:tab w:val="left" w:pos="851"/>
        </w:tabs>
        <w:ind w:left="851"/>
        <w:rPr>
          <w:sz w:val="24"/>
          <w:szCs w:val="24"/>
        </w:rPr>
      </w:pPr>
    </w:p>
    <w:p w14:paraId="408467DC" w14:textId="77777777" w:rsidR="009260DE" w:rsidRPr="00C84483" w:rsidRDefault="009260DE" w:rsidP="009260DE">
      <w:pPr>
        <w:tabs>
          <w:tab w:val="left" w:pos="851"/>
        </w:tabs>
        <w:ind w:left="851" w:hanging="851"/>
        <w:rPr>
          <w:b/>
          <w:sz w:val="24"/>
          <w:szCs w:val="24"/>
        </w:rPr>
      </w:pPr>
      <w:r w:rsidRPr="00C84483">
        <w:rPr>
          <w:b/>
          <w:sz w:val="24"/>
          <w:szCs w:val="24"/>
        </w:rPr>
        <w:t>4.9</w:t>
      </w:r>
      <w:r w:rsidRPr="00C84483">
        <w:rPr>
          <w:b/>
          <w:sz w:val="24"/>
          <w:szCs w:val="24"/>
        </w:rPr>
        <w:tab/>
        <w:t>Overdosering</w:t>
      </w:r>
    </w:p>
    <w:p w14:paraId="6D07260E" w14:textId="77777777" w:rsidR="0065751F" w:rsidRPr="0065751F" w:rsidRDefault="0065751F" w:rsidP="0065751F">
      <w:pPr>
        <w:tabs>
          <w:tab w:val="left" w:pos="851"/>
        </w:tabs>
        <w:ind w:left="851"/>
        <w:rPr>
          <w:sz w:val="24"/>
          <w:szCs w:val="24"/>
        </w:rPr>
      </w:pPr>
      <w:r w:rsidRPr="0065751F">
        <w:rPr>
          <w:sz w:val="24"/>
          <w:szCs w:val="24"/>
        </w:rPr>
        <w:t>Tilfælde af overdosering med duloxetin, alene eller i kombination med andre lægemidler, med doser op til 5.400 mg er rapporteret. Der er indtruffet enkelte dødsfald, primært ved blandingsforgiftninger, men også ved duloxetin alene ved en dosis på ca. 1.000 mg. Tegn og symptomer på overdosering (duloxetin alene eller i kombination med andre lægemidler) omfattede somnolens, koma, serotoninsyndrom, kramper, opkastning og takykardi.</w:t>
      </w:r>
    </w:p>
    <w:p w14:paraId="464BD382" w14:textId="77777777" w:rsidR="0065751F" w:rsidRPr="0065751F" w:rsidRDefault="0065751F" w:rsidP="0065751F">
      <w:pPr>
        <w:tabs>
          <w:tab w:val="left" w:pos="851"/>
        </w:tabs>
        <w:ind w:left="851"/>
        <w:rPr>
          <w:sz w:val="24"/>
          <w:szCs w:val="24"/>
        </w:rPr>
      </w:pPr>
    </w:p>
    <w:p w14:paraId="65FDF5C5" w14:textId="77777777" w:rsidR="0065751F" w:rsidRPr="0065751F" w:rsidRDefault="0065751F" w:rsidP="0065751F">
      <w:pPr>
        <w:tabs>
          <w:tab w:val="left" w:pos="851"/>
        </w:tabs>
        <w:ind w:left="851"/>
        <w:rPr>
          <w:sz w:val="24"/>
          <w:szCs w:val="24"/>
        </w:rPr>
      </w:pPr>
      <w:r w:rsidRPr="0065751F">
        <w:rPr>
          <w:sz w:val="24"/>
          <w:szCs w:val="24"/>
        </w:rPr>
        <w:t>Der findes ikke noget specifikt antidot mod duloxetin, men hvis der opstår serotoninsyndrom, kan specifik behandling (f.eks. med cyproheptadin og/eller temperaturkontrol) overvejes.</w:t>
      </w:r>
    </w:p>
    <w:p w14:paraId="5ACA74B6" w14:textId="77777777" w:rsidR="0065751F" w:rsidRPr="0065751F" w:rsidRDefault="0065751F" w:rsidP="0065751F">
      <w:pPr>
        <w:tabs>
          <w:tab w:val="left" w:pos="851"/>
        </w:tabs>
        <w:ind w:left="851"/>
        <w:rPr>
          <w:sz w:val="24"/>
          <w:szCs w:val="24"/>
        </w:rPr>
      </w:pPr>
      <w:r w:rsidRPr="0065751F">
        <w:rPr>
          <w:sz w:val="24"/>
          <w:szCs w:val="24"/>
        </w:rPr>
        <w:t>Fri luftvej bør sikres. Monitorering af hjertefunktion og vitale parametre anbefales sammen med passende symptomatisk og understøttende behandling. Ventrikelskylning kan være indiceret, hvis det udføres kort tid efter indtagelse eller hos symptomatiske patienter. Aktivt kul kan være nyttigt til at begrænse absorptionen. Duloxetin har et stort fordelingsvolumen, og forceret diurese, hæmoperfusion og udskiftningstransfusion forventes ikke at være gavnligt.</w:t>
      </w:r>
    </w:p>
    <w:p w14:paraId="0639F485" w14:textId="77777777" w:rsidR="009260DE" w:rsidRPr="00C84483" w:rsidRDefault="009260DE" w:rsidP="009260DE">
      <w:pPr>
        <w:tabs>
          <w:tab w:val="left" w:pos="851"/>
        </w:tabs>
        <w:ind w:left="851"/>
        <w:rPr>
          <w:sz w:val="24"/>
          <w:szCs w:val="24"/>
        </w:rPr>
      </w:pPr>
    </w:p>
    <w:p w14:paraId="78664258" w14:textId="77777777" w:rsidR="009260DE" w:rsidRPr="00C84483" w:rsidRDefault="009260DE" w:rsidP="009260DE">
      <w:pPr>
        <w:tabs>
          <w:tab w:val="left" w:pos="851"/>
        </w:tabs>
        <w:ind w:left="851" w:hanging="851"/>
        <w:rPr>
          <w:b/>
          <w:sz w:val="24"/>
          <w:szCs w:val="24"/>
        </w:rPr>
      </w:pPr>
      <w:r w:rsidRPr="00C84483">
        <w:rPr>
          <w:b/>
          <w:sz w:val="24"/>
          <w:szCs w:val="24"/>
        </w:rPr>
        <w:t>4.10</w:t>
      </w:r>
      <w:r w:rsidRPr="00C84483">
        <w:rPr>
          <w:b/>
          <w:sz w:val="24"/>
          <w:szCs w:val="24"/>
        </w:rPr>
        <w:tab/>
        <w:t>Udlevering</w:t>
      </w:r>
    </w:p>
    <w:p w14:paraId="060C145F" w14:textId="66BBF518" w:rsidR="009260DE" w:rsidRPr="00C84483" w:rsidRDefault="0065751F" w:rsidP="009260DE">
      <w:pPr>
        <w:tabs>
          <w:tab w:val="left" w:pos="851"/>
        </w:tabs>
        <w:ind w:left="851"/>
        <w:rPr>
          <w:sz w:val="24"/>
          <w:szCs w:val="24"/>
        </w:rPr>
      </w:pPr>
      <w:r>
        <w:rPr>
          <w:sz w:val="24"/>
          <w:szCs w:val="24"/>
        </w:rPr>
        <w:t>B</w:t>
      </w:r>
    </w:p>
    <w:p w14:paraId="1876314B" w14:textId="77777777" w:rsidR="009260DE" w:rsidRPr="00C84483" w:rsidRDefault="009260DE" w:rsidP="009260DE">
      <w:pPr>
        <w:tabs>
          <w:tab w:val="left" w:pos="851"/>
        </w:tabs>
        <w:ind w:left="851"/>
        <w:rPr>
          <w:sz w:val="24"/>
          <w:szCs w:val="24"/>
        </w:rPr>
      </w:pPr>
    </w:p>
    <w:p w14:paraId="094DC73E" w14:textId="77777777" w:rsidR="009260DE" w:rsidRPr="00C84483" w:rsidRDefault="009260DE" w:rsidP="009260DE">
      <w:pPr>
        <w:tabs>
          <w:tab w:val="left" w:pos="851"/>
        </w:tabs>
        <w:ind w:left="851"/>
        <w:rPr>
          <w:sz w:val="24"/>
          <w:szCs w:val="24"/>
        </w:rPr>
      </w:pPr>
    </w:p>
    <w:p w14:paraId="07E14375" w14:textId="77777777" w:rsidR="009260DE" w:rsidRPr="00C84483" w:rsidRDefault="009260DE" w:rsidP="009260DE">
      <w:pPr>
        <w:tabs>
          <w:tab w:val="left" w:pos="851"/>
        </w:tabs>
        <w:ind w:left="851" w:hanging="851"/>
        <w:rPr>
          <w:b/>
          <w:sz w:val="24"/>
          <w:szCs w:val="24"/>
        </w:rPr>
      </w:pPr>
      <w:r w:rsidRPr="00C84483">
        <w:rPr>
          <w:b/>
          <w:sz w:val="24"/>
          <w:szCs w:val="24"/>
        </w:rPr>
        <w:t>5.</w:t>
      </w:r>
      <w:r w:rsidRPr="00C84483">
        <w:rPr>
          <w:b/>
          <w:sz w:val="24"/>
          <w:szCs w:val="24"/>
        </w:rPr>
        <w:tab/>
        <w:t>FARMAKOLOGISKE EGENSKABER</w:t>
      </w:r>
    </w:p>
    <w:p w14:paraId="67E5A03D" w14:textId="77777777" w:rsidR="009260DE" w:rsidRPr="00C84483" w:rsidRDefault="009260DE" w:rsidP="009260DE">
      <w:pPr>
        <w:tabs>
          <w:tab w:val="left" w:pos="851"/>
        </w:tabs>
        <w:ind w:left="851"/>
        <w:rPr>
          <w:sz w:val="24"/>
          <w:szCs w:val="24"/>
        </w:rPr>
      </w:pPr>
    </w:p>
    <w:p w14:paraId="6F4141F6" w14:textId="77777777" w:rsidR="009260DE" w:rsidRPr="00C84483" w:rsidRDefault="009260DE" w:rsidP="009260DE">
      <w:pPr>
        <w:tabs>
          <w:tab w:val="num" w:pos="851"/>
        </w:tabs>
        <w:ind w:left="851" w:hanging="851"/>
        <w:rPr>
          <w:b/>
          <w:sz w:val="24"/>
          <w:szCs w:val="24"/>
        </w:rPr>
      </w:pPr>
      <w:r w:rsidRPr="00C84483">
        <w:rPr>
          <w:b/>
          <w:sz w:val="24"/>
          <w:szCs w:val="24"/>
        </w:rPr>
        <w:t>5.1</w:t>
      </w:r>
      <w:r w:rsidRPr="00C84483">
        <w:rPr>
          <w:b/>
          <w:sz w:val="24"/>
          <w:szCs w:val="24"/>
        </w:rPr>
        <w:tab/>
        <w:t>Farmakodynamiske egenskaber</w:t>
      </w:r>
    </w:p>
    <w:p w14:paraId="6E8091F6" w14:textId="77777777" w:rsidR="0065751F" w:rsidRPr="0065751F" w:rsidRDefault="0065751F" w:rsidP="0065751F">
      <w:pPr>
        <w:tabs>
          <w:tab w:val="left" w:pos="851"/>
        </w:tabs>
        <w:ind w:left="851"/>
        <w:rPr>
          <w:sz w:val="24"/>
          <w:szCs w:val="24"/>
        </w:rPr>
      </w:pPr>
      <w:r w:rsidRPr="0065751F">
        <w:rPr>
          <w:sz w:val="24"/>
          <w:szCs w:val="24"/>
        </w:rPr>
        <w:t>Farmakoterapeutisk klassifikation: ATC</w:t>
      </w:r>
      <w:r w:rsidRPr="0065751F">
        <w:rPr>
          <w:sz w:val="24"/>
          <w:szCs w:val="24"/>
        </w:rPr>
        <w:noBreakHyphen/>
        <w:t>kode: N06AX21.</w:t>
      </w:r>
    </w:p>
    <w:p w14:paraId="556C89D2" w14:textId="77777777" w:rsidR="0065751F" w:rsidRPr="0065751F" w:rsidRDefault="0065751F" w:rsidP="0065751F">
      <w:pPr>
        <w:tabs>
          <w:tab w:val="left" w:pos="851"/>
        </w:tabs>
        <w:ind w:left="851"/>
        <w:rPr>
          <w:bCs/>
          <w:sz w:val="24"/>
          <w:szCs w:val="24"/>
        </w:rPr>
      </w:pPr>
    </w:p>
    <w:p w14:paraId="3FF01614" w14:textId="77777777" w:rsidR="0065751F" w:rsidRPr="0065751F" w:rsidRDefault="0065751F" w:rsidP="0065751F">
      <w:pPr>
        <w:tabs>
          <w:tab w:val="left" w:pos="851"/>
        </w:tabs>
        <w:ind w:left="851"/>
        <w:rPr>
          <w:bCs/>
          <w:sz w:val="24"/>
          <w:szCs w:val="24"/>
          <w:u w:val="single"/>
        </w:rPr>
      </w:pPr>
      <w:r w:rsidRPr="0065751F">
        <w:rPr>
          <w:bCs/>
          <w:sz w:val="24"/>
          <w:szCs w:val="24"/>
          <w:u w:val="single"/>
        </w:rPr>
        <w:t>Virkningsmekanisme</w:t>
      </w:r>
    </w:p>
    <w:p w14:paraId="788BE078" w14:textId="77777777" w:rsidR="0065751F" w:rsidRPr="0065751F" w:rsidRDefault="0065751F" w:rsidP="0065751F">
      <w:pPr>
        <w:tabs>
          <w:tab w:val="left" w:pos="851"/>
        </w:tabs>
        <w:ind w:left="851"/>
        <w:rPr>
          <w:bCs/>
          <w:sz w:val="24"/>
          <w:szCs w:val="24"/>
        </w:rPr>
      </w:pPr>
      <w:r w:rsidRPr="0065751F">
        <w:rPr>
          <w:bCs/>
          <w:sz w:val="24"/>
          <w:szCs w:val="24"/>
        </w:rPr>
        <w:t>Duloxetin er en kombineret hæmmer af genoptagelsen af serotonin (5</w:t>
      </w:r>
      <w:r w:rsidRPr="0065751F">
        <w:rPr>
          <w:bCs/>
          <w:sz w:val="24"/>
          <w:szCs w:val="24"/>
        </w:rPr>
        <w:noBreakHyphen/>
        <w:t>HT) og noradrenalin (NA). Det hæmmer i svag grad dopamingenoptagelsen og har ikke signifikant affinitet for histaminerge, dopaminerge, kolinerge eller adrenerge receptorer.</w:t>
      </w:r>
    </w:p>
    <w:p w14:paraId="292F4851" w14:textId="77777777" w:rsidR="0065751F" w:rsidRPr="0065751F" w:rsidRDefault="0065751F" w:rsidP="0065751F">
      <w:pPr>
        <w:tabs>
          <w:tab w:val="left" w:pos="851"/>
        </w:tabs>
        <w:ind w:left="851"/>
        <w:rPr>
          <w:bCs/>
          <w:sz w:val="24"/>
          <w:szCs w:val="24"/>
        </w:rPr>
      </w:pPr>
      <w:r w:rsidRPr="0065751F">
        <w:rPr>
          <w:bCs/>
          <w:sz w:val="24"/>
          <w:szCs w:val="24"/>
        </w:rPr>
        <w:t>Duloxetin øger dosisafhængigt de ekstracellulære niveauer af serotonin og noradrenalin i forskellige områder af hjernen hos dyr.</w:t>
      </w:r>
    </w:p>
    <w:p w14:paraId="15F6147C" w14:textId="77777777" w:rsidR="0065751F" w:rsidRPr="0065751F" w:rsidRDefault="0065751F" w:rsidP="0065751F">
      <w:pPr>
        <w:tabs>
          <w:tab w:val="left" w:pos="851"/>
        </w:tabs>
        <w:ind w:left="851"/>
        <w:rPr>
          <w:bCs/>
          <w:sz w:val="24"/>
          <w:szCs w:val="24"/>
          <w:u w:val="single"/>
        </w:rPr>
      </w:pPr>
    </w:p>
    <w:p w14:paraId="1C7C9059" w14:textId="77777777" w:rsidR="0065751F" w:rsidRPr="0065751F" w:rsidRDefault="0065751F" w:rsidP="0065751F">
      <w:pPr>
        <w:tabs>
          <w:tab w:val="left" w:pos="851"/>
        </w:tabs>
        <w:ind w:left="851"/>
        <w:rPr>
          <w:bCs/>
          <w:sz w:val="24"/>
          <w:szCs w:val="24"/>
          <w:u w:val="single"/>
        </w:rPr>
      </w:pPr>
      <w:r w:rsidRPr="0065751F">
        <w:rPr>
          <w:bCs/>
          <w:sz w:val="24"/>
          <w:szCs w:val="24"/>
          <w:u w:val="single"/>
        </w:rPr>
        <w:t>Farmakodynamisk virkning</w:t>
      </w:r>
    </w:p>
    <w:p w14:paraId="71BA5BC1" w14:textId="77777777" w:rsidR="0065751F" w:rsidRPr="0065751F" w:rsidRDefault="0065751F" w:rsidP="0065751F">
      <w:pPr>
        <w:tabs>
          <w:tab w:val="left" w:pos="851"/>
        </w:tabs>
        <w:ind w:left="851"/>
        <w:rPr>
          <w:bCs/>
          <w:sz w:val="24"/>
          <w:szCs w:val="24"/>
        </w:rPr>
      </w:pPr>
      <w:r w:rsidRPr="0065751F">
        <w:rPr>
          <w:bCs/>
          <w:sz w:val="24"/>
          <w:szCs w:val="24"/>
        </w:rPr>
        <w:t>Duloxetin normaliserede smærtetærskler i flere prækliniske modeller for neuropatisk og inflammatorisk smerte og reducerede smerteadfærd i en model for vedvarende smerte.</w:t>
      </w:r>
    </w:p>
    <w:p w14:paraId="155EE883" w14:textId="77777777" w:rsidR="0065751F" w:rsidRPr="0065751F" w:rsidRDefault="0065751F" w:rsidP="0065751F">
      <w:pPr>
        <w:tabs>
          <w:tab w:val="left" w:pos="851"/>
        </w:tabs>
        <w:ind w:left="851"/>
        <w:rPr>
          <w:bCs/>
          <w:sz w:val="24"/>
          <w:szCs w:val="24"/>
        </w:rPr>
      </w:pPr>
      <w:r w:rsidRPr="0065751F">
        <w:rPr>
          <w:bCs/>
          <w:sz w:val="24"/>
          <w:szCs w:val="24"/>
        </w:rPr>
        <w:t>Den smertelindrende virkning af duloxetin antages at skyldes en forstærkning af nedadgående hæmmende smertebaner i centralnervesystemet.</w:t>
      </w:r>
    </w:p>
    <w:p w14:paraId="750AA48E" w14:textId="77777777" w:rsidR="0065751F" w:rsidRPr="0065751F" w:rsidRDefault="0065751F" w:rsidP="0065751F">
      <w:pPr>
        <w:tabs>
          <w:tab w:val="left" w:pos="851"/>
        </w:tabs>
        <w:ind w:left="851"/>
        <w:rPr>
          <w:bCs/>
          <w:sz w:val="24"/>
          <w:szCs w:val="24"/>
          <w:u w:val="single"/>
        </w:rPr>
      </w:pPr>
    </w:p>
    <w:p w14:paraId="3457D9EB" w14:textId="77777777" w:rsidR="0065751F" w:rsidRPr="0065751F" w:rsidRDefault="0065751F" w:rsidP="0065751F">
      <w:pPr>
        <w:tabs>
          <w:tab w:val="left" w:pos="851"/>
        </w:tabs>
        <w:ind w:left="851"/>
        <w:rPr>
          <w:b/>
          <w:sz w:val="24"/>
          <w:szCs w:val="24"/>
        </w:rPr>
      </w:pPr>
      <w:r w:rsidRPr="0065751F">
        <w:rPr>
          <w:b/>
          <w:sz w:val="24"/>
          <w:szCs w:val="24"/>
        </w:rPr>
        <w:t>Klinisk virkning og sikkerhed</w:t>
      </w:r>
    </w:p>
    <w:p w14:paraId="6A7173AC" w14:textId="77777777" w:rsidR="0065751F" w:rsidRDefault="0065751F" w:rsidP="0065751F">
      <w:pPr>
        <w:tabs>
          <w:tab w:val="left" w:pos="851"/>
        </w:tabs>
        <w:ind w:left="851"/>
        <w:rPr>
          <w:sz w:val="24"/>
          <w:szCs w:val="24"/>
          <w:u w:val="single"/>
        </w:rPr>
      </w:pPr>
    </w:p>
    <w:p w14:paraId="294FC970" w14:textId="65BEF95E" w:rsidR="0065751F" w:rsidRPr="0065751F" w:rsidRDefault="0065751F" w:rsidP="0065751F">
      <w:pPr>
        <w:tabs>
          <w:tab w:val="left" w:pos="851"/>
        </w:tabs>
        <w:ind w:left="851"/>
        <w:rPr>
          <w:sz w:val="24"/>
          <w:szCs w:val="24"/>
          <w:u w:val="single"/>
        </w:rPr>
      </w:pPr>
      <w:r w:rsidRPr="0065751F">
        <w:rPr>
          <w:sz w:val="24"/>
          <w:szCs w:val="24"/>
          <w:u w:val="single"/>
        </w:rPr>
        <w:t>Svær depressiv episode</w:t>
      </w:r>
    </w:p>
    <w:p w14:paraId="74EFA8F2" w14:textId="77777777" w:rsidR="0065751F" w:rsidRPr="0065751F" w:rsidRDefault="0065751F" w:rsidP="0065751F">
      <w:pPr>
        <w:tabs>
          <w:tab w:val="left" w:pos="851"/>
        </w:tabs>
        <w:ind w:left="851"/>
        <w:rPr>
          <w:bCs/>
          <w:sz w:val="24"/>
          <w:szCs w:val="24"/>
        </w:rPr>
      </w:pPr>
      <w:r w:rsidRPr="0065751F">
        <w:rPr>
          <w:bCs/>
          <w:sz w:val="24"/>
          <w:szCs w:val="24"/>
        </w:rPr>
        <w:t>Duloxetin blev undersøgt i et klinisk program omfattende 3.158 patienter (1.285 patientår) opfyldende DSM</w:t>
      </w:r>
      <w:r w:rsidRPr="0065751F">
        <w:rPr>
          <w:bCs/>
          <w:sz w:val="24"/>
          <w:szCs w:val="24"/>
        </w:rPr>
        <w:noBreakHyphen/>
        <w:t>IV</w:t>
      </w:r>
      <w:r w:rsidRPr="0065751F">
        <w:rPr>
          <w:bCs/>
          <w:sz w:val="24"/>
          <w:szCs w:val="24"/>
        </w:rPr>
        <w:noBreakHyphen/>
        <w:t>kriterier for svær depression. Effekten af duloxetin ved den anbefalede dosis på 60 mg én gang dagligt blev dokumenteret i tre ud af tre randomiserede, dobbeltblindede, placebokontrollerede, akutstudier med fast dosis hos voksne ambulante patienter med svær depression.</w:t>
      </w:r>
    </w:p>
    <w:p w14:paraId="29315542" w14:textId="77777777" w:rsidR="0065751F" w:rsidRPr="0065751F" w:rsidRDefault="0065751F" w:rsidP="0065751F">
      <w:pPr>
        <w:tabs>
          <w:tab w:val="left" w:pos="851"/>
        </w:tabs>
        <w:ind w:left="851"/>
        <w:rPr>
          <w:bCs/>
          <w:sz w:val="24"/>
          <w:szCs w:val="24"/>
        </w:rPr>
      </w:pPr>
      <w:r w:rsidRPr="0065751F">
        <w:rPr>
          <w:bCs/>
          <w:sz w:val="24"/>
          <w:szCs w:val="24"/>
        </w:rPr>
        <w:t>Samlet set blev effekten demonstreret ved daglige doser på 60</w:t>
      </w:r>
      <w:r w:rsidRPr="0065751F">
        <w:rPr>
          <w:bCs/>
          <w:sz w:val="24"/>
          <w:szCs w:val="24"/>
        </w:rPr>
        <w:noBreakHyphen/>
        <w:t>120 mg i fem ud af syv randomiserede, dobbeltblindede, placebokontrollerede, akutstudier hos voskne abulante patienter med svær depression.</w:t>
      </w:r>
    </w:p>
    <w:p w14:paraId="64A09CDE" w14:textId="77777777" w:rsidR="0065751F" w:rsidRPr="0065751F" w:rsidRDefault="0065751F" w:rsidP="0065751F">
      <w:pPr>
        <w:tabs>
          <w:tab w:val="left" w:pos="851"/>
        </w:tabs>
        <w:ind w:left="851"/>
        <w:rPr>
          <w:bCs/>
          <w:sz w:val="24"/>
          <w:szCs w:val="24"/>
        </w:rPr>
      </w:pPr>
    </w:p>
    <w:p w14:paraId="00AECCF7" w14:textId="77777777" w:rsidR="0065751F" w:rsidRPr="0065751F" w:rsidRDefault="0065751F" w:rsidP="0065751F">
      <w:pPr>
        <w:tabs>
          <w:tab w:val="left" w:pos="851"/>
        </w:tabs>
        <w:ind w:left="851"/>
        <w:rPr>
          <w:bCs/>
          <w:sz w:val="24"/>
          <w:szCs w:val="24"/>
        </w:rPr>
      </w:pPr>
      <w:r w:rsidRPr="0065751F">
        <w:rPr>
          <w:bCs/>
          <w:sz w:val="24"/>
          <w:szCs w:val="24"/>
        </w:rPr>
        <w:t>Duloxetin viste statistisk signifikant bedre effekt end placebo målt ved forbedring i 17-punkt Hamilton Depression Rating Scale (HAM</w:t>
      </w:r>
      <w:r w:rsidRPr="0065751F">
        <w:rPr>
          <w:bCs/>
          <w:sz w:val="24"/>
          <w:szCs w:val="24"/>
        </w:rPr>
        <w:noBreakHyphen/>
        <w:t>D) totalscore (inkl. både emotionelle og somatiske symptomer). Respons</w:t>
      </w:r>
      <w:r w:rsidRPr="0065751F">
        <w:rPr>
          <w:bCs/>
          <w:sz w:val="24"/>
          <w:szCs w:val="24"/>
        </w:rPr>
        <w:noBreakHyphen/>
        <w:t xml:space="preserve"> og remissionsrater var også signifikant højere med duloxetin sammenlignet med placebo. Kun en mindre andel af patienterne i de pivotale studier havde svær depression (baseline HAM</w:t>
      </w:r>
      <w:r w:rsidRPr="0065751F">
        <w:rPr>
          <w:bCs/>
          <w:sz w:val="24"/>
          <w:szCs w:val="24"/>
        </w:rPr>
        <w:noBreakHyphen/>
        <w:t>D &gt; 25).</w:t>
      </w:r>
    </w:p>
    <w:p w14:paraId="4CF9CAD0" w14:textId="77777777" w:rsidR="0065751F" w:rsidRPr="0065751F" w:rsidRDefault="0065751F" w:rsidP="0065751F">
      <w:pPr>
        <w:tabs>
          <w:tab w:val="left" w:pos="851"/>
        </w:tabs>
        <w:ind w:left="851"/>
        <w:rPr>
          <w:bCs/>
          <w:sz w:val="24"/>
          <w:szCs w:val="24"/>
          <w:u w:val="single"/>
        </w:rPr>
      </w:pPr>
    </w:p>
    <w:p w14:paraId="25E6786A" w14:textId="77777777" w:rsidR="0065751F" w:rsidRPr="0065751F" w:rsidRDefault="0065751F" w:rsidP="0065751F">
      <w:pPr>
        <w:tabs>
          <w:tab w:val="left" w:pos="851"/>
        </w:tabs>
        <w:ind w:left="851"/>
        <w:rPr>
          <w:bCs/>
          <w:sz w:val="24"/>
          <w:szCs w:val="24"/>
        </w:rPr>
      </w:pPr>
      <w:r w:rsidRPr="0065751F">
        <w:rPr>
          <w:bCs/>
          <w:sz w:val="24"/>
          <w:szCs w:val="24"/>
        </w:rPr>
        <w:t>I et tilbagefaldsforebyggende studie blev patienter, der responderede på 12 ugers behandling med duloxetin 60 mg én gang dagligt, randomiseret til enten duloxetin eller placebo i yderligere 6 måneder.</w:t>
      </w:r>
    </w:p>
    <w:p w14:paraId="15A63A33" w14:textId="77777777" w:rsidR="0065751F" w:rsidRPr="0065751F" w:rsidRDefault="0065751F" w:rsidP="0065751F">
      <w:pPr>
        <w:tabs>
          <w:tab w:val="left" w:pos="851"/>
        </w:tabs>
        <w:ind w:left="851"/>
        <w:rPr>
          <w:bCs/>
          <w:sz w:val="24"/>
          <w:szCs w:val="24"/>
        </w:rPr>
      </w:pPr>
      <w:r w:rsidRPr="0065751F">
        <w:rPr>
          <w:bCs/>
          <w:sz w:val="24"/>
          <w:szCs w:val="24"/>
        </w:rPr>
        <w:t>Duloxetin viste statistisk signifikant bedre effekt end placebo (p=0,004) på den primære parameter, som var forebyggelsen af depressive tilbagefald målt som tid til tilbagefald. Forekomsten af tilbagefald i den 6-måneders doblletblindet followup-periode var henholdsvis 17 % for duloxetin og 29 % for placebo.</w:t>
      </w:r>
    </w:p>
    <w:p w14:paraId="25137924" w14:textId="77777777" w:rsidR="0065751F" w:rsidRPr="0065751F" w:rsidRDefault="0065751F" w:rsidP="0065751F">
      <w:pPr>
        <w:tabs>
          <w:tab w:val="left" w:pos="851"/>
        </w:tabs>
        <w:ind w:left="851"/>
        <w:rPr>
          <w:bCs/>
          <w:sz w:val="24"/>
          <w:szCs w:val="24"/>
          <w:u w:val="single"/>
        </w:rPr>
      </w:pPr>
    </w:p>
    <w:p w14:paraId="771B1FE9" w14:textId="77777777" w:rsidR="0065751F" w:rsidRPr="0065751F" w:rsidRDefault="0065751F" w:rsidP="0065751F">
      <w:pPr>
        <w:tabs>
          <w:tab w:val="left" w:pos="851"/>
        </w:tabs>
        <w:ind w:left="851"/>
        <w:rPr>
          <w:bCs/>
          <w:sz w:val="24"/>
          <w:szCs w:val="24"/>
        </w:rPr>
      </w:pPr>
      <w:r w:rsidRPr="0065751F">
        <w:rPr>
          <w:bCs/>
          <w:sz w:val="24"/>
          <w:szCs w:val="24"/>
        </w:rPr>
        <w:t xml:space="preserve">Ved 52 ugers placebokontrolleret dobbeltblind behandling havde patienter behandlet med duloxetin med tilbagevendende svært depression en signifikant længere symptomfri periode (p&lt;0,001) sammenlignet med placeborandomiserede patienter. Alle patienter havde tidligere responderet på duloxetin i en ublindet duloxetinbehandlingsperiode (28 til 34 uger) med en dosis på 60 til 120 mg/dag. I løbet af den 52 uger lange placebokontrollerede dobbeltblinde behandlingsperiode oplevede 14,4 % af duloxetinpatienterne og 33,1 % af placebopatienterne tilbagefald af deres depressive symptomer (p&lt;0,001). </w:t>
      </w:r>
    </w:p>
    <w:p w14:paraId="66A41292" w14:textId="77777777" w:rsidR="0065751F" w:rsidRPr="0065751F" w:rsidRDefault="0065751F" w:rsidP="0065751F">
      <w:pPr>
        <w:tabs>
          <w:tab w:val="left" w:pos="851"/>
        </w:tabs>
        <w:ind w:left="851"/>
        <w:rPr>
          <w:bCs/>
          <w:sz w:val="24"/>
          <w:szCs w:val="24"/>
        </w:rPr>
      </w:pPr>
    </w:p>
    <w:p w14:paraId="3F695EA7" w14:textId="77777777" w:rsidR="0065751F" w:rsidRPr="0065751F" w:rsidRDefault="0065751F" w:rsidP="0065751F">
      <w:pPr>
        <w:tabs>
          <w:tab w:val="left" w:pos="851"/>
        </w:tabs>
        <w:ind w:left="851"/>
        <w:rPr>
          <w:bCs/>
          <w:sz w:val="24"/>
          <w:szCs w:val="24"/>
        </w:rPr>
      </w:pPr>
      <w:r w:rsidRPr="0065751F">
        <w:rPr>
          <w:bCs/>
          <w:sz w:val="24"/>
          <w:szCs w:val="24"/>
        </w:rPr>
        <w:t>Hos ældre depressive patienter (≥ 65 år) viste duloxetin 60 mg én gang dagligt en signifikant forskel i reduktionen i HAMD17 scoren sammenlignet med placebo. Tolerancen af duloxetine 60 mg en gang dagtligt hos ældre patienter var sammenlignelig med yngre patienter. Der er dog begrænsede data for anvendelse af maksimaldosis (120 mg/dag) hos ældre og der anbefales derfor forsigtighed ved behadnling af denne befolkningsgruppe.</w:t>
      </w:r>
    </w:p>
    <w:p w14:paraId="486110EC" w14:textId="77777777" w:rsidR="0065751F" w:rsidRPr="0065751F" w:rsidRDefault="0065751F" w:rsidP="0065751F">
      <w:pPr>
        <w:tabs>
          <w:tab w:val="left" w:pos="851"/>
        </w:tabs>
        <w:ind w:left="851"/>
        <w:rPr>
          <w:bCs/>
          <w:sz w:val="24"/>
          <w:szCs w:val="24"/>
        </w:rPr>
      </w:pPr>
    </w:p>
    <w:p w14:paraId="4ED308EC" w14:textId="77777777" w:rsidR="0065751F" w:rsidRPr="0065751F" w:rsidRDefault="0065751F" w:rsidP="0065751F">
      <w:pPr>
        <w:tabs>
          <w:tab w:val="left" w:pos="851"/>
        </w:tabs>
        <w:ind w:left="851"/>
        <w:rPr>
          <w:sz w:val="24"/>
          <w:szCs w:val="24"/>
          <w:u w:val="single"/>
        </w:rPr>
      </w:pPr>
      <w:r w:rsidRPr="0065751F">
        <w:rPr>
          <w:sz w:val="24"/>
          <w:szCs w:val="24"/>
          <w:u w:val="single"/>
        </w:rPr>
        <w:t>Generaliseret angst</w:t>
      </w:r>
    </w:p>
    <w:p w14:paraId="110A21C0" w14:textId="77777777" w:rsidR="0065751F" w:rsidRPr="0065751F" w:rsidRDefault="0065751F" w:rsidP="0065751F">
      <w:pPr>
        <w:tabs>
          <w:tab w:val="left" w:pos="851"/>
        </w:tabs>
        <w:ind w:left="851"/>
        <w:rPr>
          <w:bCs/>
          <w:sz w:val="24"/>
          <w:szCs w:val="24"/>
        </w:rPr>
      </w:pPr>
      <w:r w:rsidRPr="0065751F">
        <w:rPr>
          <w:bCs/>
          <w:sz w:val="24"/>
          <w:szCs w:val="24"/>
        </w:rPr>
        <w:t>Duloxetin viste statistisk signifikant bedre effekt end placebo i fem ud af fem studier, herunder fire randomiserede, dobbeltblindede, placebokontrollerede akutstudier samt et tilbagefaldsforebyggende studie hos voksne patienter med generaliseret angst.</w:t>
      </w:r>
    </w:p>
    <w:p w14:paraId="4CBD7853" w14:textId="77777777" w:rsidR="0065751F" w:rsidRPr="0065751F" w:rsidRDefault="0065751F" w:rsidP="0065751F">
      <w:pPr>
        <w:tabs>
          <w:tab w:val="left" w:pos="851"/>
        </w:tabs>
        <w:ind w:left="851"/>
        <w:rPr>
          <w:bCs/>
          <w:sz w:val="24"/>
          <w:szCs w:val="24"/>
        </w:rPr>
      </w:pPr>
      <w:r w:rsidRPr="0065751F">
        <w:rPr>
          <w:bCs/>
          <w:sz w:val="24"/>
          <w:szCs w:val="24"/>
        </w:rPr>
        <w:t>Duloxetin viste statistisk signifikant bedre effekt end placebo målt ved forbedring i Hamilton Anxiety Scale (HAM</w:t>
      </w:r>
      <w:r w:rsidRPr="0065751F">
        <w:rPr>
          <w:bCs/>
          <w:sz w:val="24"/>
          <w:szCs w:val="24"/>
        </w:rPr>
        <w:noBreakHyphen/>
        <w:t>A) totalscore samt ved forbedring i Sheehan Disability Scale (SDS) global funktionsscore. Respons</w:t>
      </w:r>
      <w:r w:rsidRPr="0065751F">
        <w:rPr>
          <w:bCs/>
          <w:sz w:val="24"/>
          <w:szCs w:val="24"/>
        </w:rPr>
        <w:noBreakHyphen/>
        <w:t xml:space="preserve"> og remissionsrater var også højere for duloxetin end for placebo. Duloxetin viste sammenlignelige effektresultater med venlafaxin med hensyn til forbedring i HAM</w:t>
      </w:r>
      <w:r w:rsidRPr="0065751F">
        <w:rPr>
          <w:bCs/>
          <w:sz w:val="24"/>
          <w:szCs w:val="24"/>
        </w:rPr>
        <w:noBreakHyphen/>
        <w:t>A totalscore.</w:t>
      </w:r>
    </w:p>
    <w:p w14:paraId="1BBDDD20" w14:textId="77777777" w:rsidR="0065751F" w:rsidRPr="0065751F" w:rsidRDefault="0065751F" w:rsidP="0065751F">
      <w:pPr>
        <w:tabs>
          <w:tab w:val="left" w:pos="851"/>
        </w:tabs>
        <w:ind w:left="851"/>
        <w:rPr>
          <w:bCs/>
          <w:sz w:val="24"/>
          <w:szCs w:val="24"/>
        </w:rPr>
      </w:pPr>
    </w:p>
    <w:p w14:paraId="5DD8C75A" w14:textId="77777777" w:rsidR="0065751F" w:rsidRPr="0065751F" w:rsidRDefault="0065751F" w:rsidP="0065751F">
      <w:pPr>
        <w:tabs>
          <w:tab w:val="left" w:pos="851"/>
        </w:tabs>
        <w:ind w:left="851"/>
        <w:rPr>
          <w:bCs/>
          <w:sz w:val="24"/>
          <w:szCs w:val="24"/>
        </w:rPr>
      </w:pPr>
      <w:r w:rsidRPr="0065751F">
        <w:rPr>
          <w:bCs/>
          <w:sz w:val="24"/>
          <w:szCs w:val="24"/>
        </w:rPr>
        <w:t xml:space="preserve">I et tilbagefaldsforebyggende studie blev patienter, der responderede på 6 måneders behandling med </w:t>
      </w:r>
      <w:r w:rsidRPr="0065751F">
        <w:rPr>
          <w:bCs/>
          <w:i/>
          <w:iCs/>
          <w:sz w:val="24"/>
          <w:szCs w:val="24"/>
        </w:rPr>
        <w:t>open-label</w:t>
      </w:r>
      <w:r w:rsidRPr="0065751F">
        <w:rPr>
          <w:bCs/>
          <w:sz w:val="24"/>
          <w:szCs w:val="24"/>
        </w:rPr>
        <w:t xml:space="preserve"> duloxetin, randomiseret til enten duloxetin eller placebo i yderligere 6 måneder. Duloxetin 60 mg til 120 mg én gang dagligt viste statistisk signifikant bedre effekt end placebo (p&lt;0,001) i forebyggelse af tilbagefald, målt ved tid til tilbagefald. Forekomsten af tilbagefald i den 6</w:t>
      </w:r>
      <w:r w:rsidRPr="0065751F">
        <w:rPr>
          <w:bCs/>
          <w:sz w:val="24"/>
          <w:szCs w:val="24"/>
        </w:rPr>
        <w:noBreakHyphen/>
        <w:t>måneders dobbeltblindede opfølgningsperiode var 14 % for duloxetin og 42 % for placebo.</w:t>
      </w:r>
    </w:p>
    <w:p w14:paraId="6064A069" w14:textId="77777777" w:rsidR="0065751F" w:rsidRPr="0065751F" w:rsidRDefault="0065751F" w:rsidP="0065751F">
      <w:pPr>
        <w:tabs>
          <w:tab w:val="left" w:pos="851"/>
        </w:tabs>
        <w:ind w:left="851"/>
        <w:rPr>
          <w:bCs/>
          <w:sz w:val="24"/>
          <w:szCs w:val="24"/>
        </w:rPr>
      </w:pPr>
    </w:p>
    <w:p w14:paraId="0F6AB862" w14:textId="77777777" w:rsidR="0065751F" w:rsidRPr="0065751F" w:rsidRDefault="0065751F" w:rsidP="0065751F">
      <w:pPr>
        <w:tabs>
          <w:tab w:val="left" w:pos="851"/>
        </w:tabs>
        <w:ind w:left="851"/>
        <w:rPr>
          <w:bCs/>
          <w:sz w:val="24"/>
          <w:szCs w:val="24"/>
        </w:rPr>
      </w:pPr>
      <w:r w:rsidRPr="0065751F">
        <w:rPr>
          <w:bCs/>
          <w:sz w:val="24"/>
          <w:szCs w:val="24"/>
        </w:rPr>
        <w:t>Effekten af duloxetin 30</w:t>
      </w:r>
      <w:r w:rsidRPr="0065751F">
        <w:rPr>
          <w:bCs/>
          <w:sz w:val="24"/>
          <w:szCs w:val="24"/>
        </w:rPr>
        <w:noBreakHyphen/>
        <w:t>120 mg én gang dagligt (fleksibel dosering) hos ældre patienter (&gt; 65 år) med generaliseret angst blev evalueret i et studie, som viste en statistisk signifikant forbedring i HAM</w:t>
      </w:r>
      <w:r w:rsidRPr="0065751F">
        <w:rPr>
          <w:bCs/>
          <w:sz w:val="24"/>
          <w:szCs w:val="24"/>
        </w:rPr>
        <w:noBreakHyphen/>
        <w:t xml:space="preserve">A totalscore hos patienter behandlet med duloxetin sammenlignet med </w:t>
      </w:r>
      <w:r w:rsidRPr="0065751F">
        <w:rPr>
          <w:bCs/>
          <w:sz w:val="24"/>
          <w:szCs w:val="24"/>
        </w:rPr>
        <w:lastRenderedPageBreak/>
        <w:t>placebobehandlede patienter. Effekten og sikkerheden af duloxetin 30</w:t>
      </w:r>
      <w:r w:rsidRPr="0065751F">
        <w:rPr>
          <w:bCs/>
          <w:sz w:val="24"/>
          <w:szCs w:val="24"/>
        </w:rPr>
        <w:noBreakHyphen/>
        <w:t>120 mg én gang dagligt hos ældre patienter med generaliseret angst var sammenlignelig med det, der er observeret i studier hos yngre voksne patienter. Der er dog begrænsede data for ældre patienter eksponeret for maksimaldosis (120 mg dagligt), og der anbefales derfor forsigtighed ved anvendelse af denne dosis hos ældre.</w:t>
      </w:r>
    </w:p>
    <w:p w14:paraId="0C305215" w14:textId="77777777" w:rsidR="0065751F" w:rsidRPr="0065751F" w:rsidRDefault="0065751F" w:rsidP="0065751F">
      <w:pPr>
        <w:tabs>
          <w:tab w:val="left" w:pos="851"/>
        </w:tabs>
        <w:ind w:left="851"/>
        <w:rPr>
          <w:bCs/>
          <w:sz w:val="24"/>
          <w:szCs w:val="24"/>
          <w:u w:val="single"/>
        </w:rPr>
      </w:pPr>
    </w:p>
    <w:p w14:paraId="34C9B83C" w14:textId="77777777" w:rsidR="0065751F" w:rsidRPr="0065751F" w:rsidRDefault="0065751F" w:rsidP="0065751F">
      <w:pPr>
        <w:tabs>
          <w:tab w:val="left" w:pos="851"/>
        </w:tabs>
        <w:ind w:left="851"/>
        <w:rPr>
          <w:sz w:val="24"/>
          <w:szCs w:val="24"/>
          <w:u w:val="single"/>
        </w:rPr>
      </w:pPr>
      <w:r w:rsidRPr="0065751F">
        <w:rPr>
          <w:sz w:val="24"/>
          <w:szCs w:val="24"/>
          <w:u w:val="single"/>
        </w:rPr>
        <w:t>Diabetisk perifer neuropatisk smerte</w:t>
      </w:r>
    </w:p>
    <w:p w14:paraId="39ADB003" w14:textId="77777777" w:rsidR="0065751F" w:rsidRPr="0065751F" w:rsidRDefault="0065751F" w:rsidP="0065751F">
      <w:pPr>
        <w:tabs>
          <w:tab w:val="left" w:pos="851"/>
        </w:tabs>
        <w:ind w:left="851"/>
        <w:rPr>
          <w:bCs/>
          <w:sz w:val="24"/>
          <w:szCs w:val="24"/>
        </w:rPr>
      </w:pPr>
      <w:r w:rsidRPr="0065751F">
        <w:rPr>
          <w:bCs/>
          <w:sz w:val="24"/>
          <w:szCs w:val="24"/>
        </w:rPr>
        <w:t>Effekten af duloxetin til behandling af diabetisk neuropatisk smerte blev påvist i 2 randomiserede, 12</w:t>
      </w:r>
      <w:r w:rsidRPr="0065751F">
        <w:rPr>
          <w:bCs/>
          <w:sz w:val="24"/>
          <w:szCs w:val="24"/>
        </w:rPr>
        <w:noBreakHyphen/>
        <w:t>ugers, dobbeltblindede, placebokontrollerede studier med fast dosering hos voksne (22</w:t>
      </w:r>
      <w:r w:rsidRPr="0065751F">
        <w:rPr>
          <w:bCs/>
          <w:sz w:val="24"/>
          <w:szCs w:val="24"/>
        </w:rPr>
        <w:noBreakHyphen/>
        <w:t>88 år) med diabetisk neuropatisk smerte af mindst 6 måneders varighed. Patienter, der opfyldte diagnostiske kriterier for svær depressiv episode, var ekskluderet fra disse studier. Det primære effektmål var det ugentlige gennemsnit af den gennemsnitlige smerte over 24 timer, som blev registreret af patienterne i en daglig dagbog ved brug af en 11</w:t>
      </w:r>
      <w:r w:rsidRPr="0065751F">
        <w:rPr>
          <w:bCs/>
          <w:sz w:val="24"/>
          <w:szCs w:val="24"/>
        </w:rPr>
        <w:noBreakHyphen/>
        <w:t>punkt Likert</w:t>
      </w:r>
      <w:r w:rsidRPr="0065751F">
        <w:rPr>
          <w:bCs/>
          <w:sz w:val="24"/>
          <w:szCs w:val="24"/>
        </w:rPr>
        <w:noBreakHyphen/>
        <w:t>skala. I begge studier reducerede duloxetin 60 mg én gang dagligt og 60 mg to gange dagligt smerten signifikant sammenlignet med placebo. Hos nogle patienter blev effekten observeret allerede i den første behandlingsuge. Forskellen i gennemsnitlig forbedring mellem de to aktive behandlingsarme var ikke signifikant. En smertelindring på mindst 30 % blev rapporteret hos ca. 65 % af patienterne behandlet med duloxetin sammenlignet med 40 % for placebo. De tilsvarende tal for mindst 50 % smertelindring var henholdsvis 50 % og 26 %. Kliniske responser (≥ 50 % smertelindring) blev analyseret afhængigt af, om patienten oplevede somnolens under behandlingen. Hos patienter uden somnolens blev klinisk respons observeret hos 47 % af patienterne behandlet med duloxetin og hos 27 % af patienterne behandlet med placebo. Hos patienter med somnolens var de tilsvarende responser 60 % for duloxetin og 30 % for placebo.</w:t>
      </w:r>
    </w:p>
    <w:p w14:paraId="5746313D" w14:textId="77777777" w:rsidR="0065751F" w:rsidRPr="0065751F" w:rsidRDefault="0065751F" w:rsidP="0065751F">
      <w:pPr>
        <w:tabs>
          <w:tab w:val="left" w:pos="851"/>
        </w:tabs>
        <w:ind w:left="851"/>
        <w:rPr>
          <w:bCs/>
          <w:sz w:val="24"/>
          <w:szCs w:val="24"/>
        </w:rPr>
      </w:pPr>
      <w:r w:rsidRPr="0065751F">
        <w:rPr>
          <w:bCs/>
          <w:sz w:val="24"/>
          <w:szCs w:val="24"/>
        </w:rPr>
        <w:t>Patienter, der ikke opnåede en smertelindring på mindst 30 % inden for 60 dages behandling, havde lav sandsynlighed for at opnå dette niveau ved fortsat behandling.</w:t>
      </w:r>
    </w:p>
    <w:p w14:paraId="3ADBDC4F" w14:textId="77777777" w:rsidR="0065751F" w:rsidRPr="0065751F" w:rsidRDefault="0065751F" w:rsidP="0065751F">
      <w:pPr>
        <w:tabs>
          <w:tab w:val="left" w:pos="851"/>
        </w:tabs>
        <w:ind w:left="851"/>
        <w:rPr>
          <w:bCs/>
          <w:sz w:val="24"/>
          <w:szCs w:val="24"/>
        </w:rPr>
      </w:pPr>
    </w:p>
    <w:p w14:paraId="1F9F92CD" w14:textId="77777777" w:rsidR="0065751F" w:rsidRPr="0065751F" w:rsidRDefault="0065751F" w:rsidP="0065751F">
      <w:pPr>
        <w:tabs>
          <w:tab w:val="left" w:pos="851"/>
        </w:tabs>
        <w:ind w:left="851"/>
        <w:rPr>
          <w:bCs/>
          <w:sz w:val="24"/>
          <w:szCs w:val="24"/>
        </w:rPr>
      </w:pPr>
      <w:r w:rsidRPr="0065751F">
        <w:rPr>
          <w:bCs/>
          <w:sz w:val="24"/>
          <w:szCs w:val="24"/>
        </w:rPr>
        <w:t xml:space="preserve">I et </w:t>
      </w:r>
      <w:r w:rsidRPr="0065751F">
        <w:rPr>
          <w:bCs/>
          <w:i/>
          <w:iCs/>
          <w:sz w:val="24"/>
          <w:szCs w:val="24"/>
        </w:rPr>
        <w:t>open-label</w:t>
      </w:r>
      <w:r w:rsidRPr="0065751F">
        <w:rPr>
          <w:bCs/>
          <w:sz w:val="24"/>
          <w:szCs w:val="24"/>
        </w:rPr>
        <w:t>, ukontrolleret langtidsstudie blev smertelindringen hos patienter, der responderede på 8 ugers behandling med duloxetin 60 mg én gang dagligt, opretholdt i yderligere 6 måneder, målt som ændring i gennemsnitlig 24</w:t>
      </w:r>
      <w:r w:rsidRPr="0065751F">
        <w:rPr>
          <w:bCs/>
          <w:sz w:val="24"/>
          <w:szCs w:val="24"/>
        </w:rPr>
        <w:noBreakHyphen/>
        <w:t>timers smerte i Brief Pain Inventory (BPI).</w:t>
      </w:r>
    </w:p>
    <w:p w14:paraId="47CF7C9E" w14:textId="77777777" w:rsidR="0065751F" w:rsidRPr="0065751F" w:rsidRDefault="0065751F" w:rsidP="0065751F">
      <w:pPr>
        <w:tabs>
          <w:tab w:val="left" w:pos="851"/>
        </w:tabs>
        <w:ind w:left="851"/>
        <w:rPr>
          <w:bCs/>
          <w:sz w:val="24"/>
          <w:szCs w:val="24"/>
          <w:u w:val="single"/>
        </w:rPr>
      </w:pPr>
    </w:p>
    <w:p w14:paraId="7DEC9170" w14:textId="77777777" w:rsidR="0065751F" w:rsidRPr="0065751F" w:rsidRDefault="0065751F" w:rsidP="0065751F">
      <w:pPr>
        <w:tabs>
          <w:tab w:val="left" w:pos="851"/>
        </w:tabs>
        <w:ind w:left="851"/>
        <w:rPr>
          <w:sz w:val="24"/>
          <w:szCs w:val="24"/>
          <w:u w:val="single"/>
        </w:rPr>
      </w:pPr>
      <w:r w:rsidRPr="0065751F">
        <w:rPr>
          <w:bCs/>
          <w:sz w:val="24"/>
          <w:szCs w:val="24"/>
          <w:u w:val="single"/>
        </w:rPr>
        <w:t>Pædiatrisk population</w:t>
      </w:r>
    </w:p>
    <w:p w14:paraId="1231438C" w14:textId="77777777" w:rsidR="0065751F" w:rsidRPr="0065751F" w:rsidRDefault="0065751F" w:rsidP="0065751F">
      <w:pPr>
        <w:tabs>
          <w:tab w:val="left" w:pos="851"/>
        </w:tabs>
        <w:ind w:left="851"/>
        <w:rPr>
          <w:sz w:val="24"/>
          <w:szCs w:val="24"/>
        </w:rPr>
      </w:pPr>
      <w:r w:rsidRPr="0065751F">
        <w:rPr>
          <w:sz w:val="24"/>
          <w:szCs w:val="24"/>
        </w:rPr>
        <w:t>Duloxetin er ikke undersøgt hos patienter under 7 år.</w:t>
      </w:r>
    </w:p>
    <w:p w14:paraId="06F8FEBF" w14:textId="77777777" w:rsidR="0065751F" w:rsidRPr="0065751F" w:rsidRDefault="0065751F" w:rsidP="0065751F">
      <w:pPr>
        <w:tabs>
          <w:tab w:val="left" w:pos="851"/>
        </w:tabs>
        <w:ind w:left="851"/>
        <w:rPr>
          <w:sz w:val="24"/>
          <w:szCs w:val="24"/>
        </w:rPr>
      </w:pPr>
    </w:p>
    <w:p w14:paraId="1951914C" w14:textId="77777777" w:rsidR="0065751F" w:rsidRPr="0065751F" w:rsidRDefault="0065751F" w:rsidP="0065751F">
      <w:pPr>
        <w:tabs>
          <w:tab w:val="left" w:pos="851"/>
        </w:tabs>
        <w:ind w:left="851"/>
        <w:rPr>
          <w:sz w:val="24"/>
          <w:szCs w:val="24"/>
        </w:rPr>
      </w:pPr>
      <w:r w:rsidRPr="0065751F">
        <w:rPr>
          <w:sz w:val="24"/>
          <w:szCs w:val="24"/>
        </w:rPr>
        <w:t>To randomiserede, dobbeltblindede, parallelle kliniske studier blev gennemført hos 800 pædiatriske patienter i alderen 7</w:t>
      </w:r>
      <w:r w:rsidRPr="0065751F">
        <w:rPr>
          <w:sz w:val="24"/>
          <w:szCs w:val="24"/>
        </w:rPr>
        <w:noBreakHyphen/>
        <w:t>17 år med svær depressiv episode (se pkt. 4.2). Disse to studier omfattede en 10</w:t>
      </w:r>
      <w:r w:rsidRPr="0065751F">
        <w:rPr>
          <w:sz w:val="24"/>
          <w:szCs w:val="24"/>
        </w:rPr>
        <w:noBreakHyphen/>
        <w:t>ugers placebo og aktiv (fluoxetin) kontrolleret akut fase efterfulgt af en 6</w:t>
      </w:r>
      <w:r w:rsidRPr="0065751F">
        <w:rPr>
          <w:sz w:val="24"/>
          <w:szCs w:val="24"/>
        </w:rPr>
        <w:noBreakHyphen/>
        <w:t>måneders behandlingsfase med aktiv kontrol.</w:t>
      </w:r>
    </w:p>
    <w:p w14:paraId="693FD504" w14:textId="77777777" w:rsidR="0065751F" w:rsidRPr="0065751F" w:rsidRDefault="0065751F" w:rsidP="0065751F">
      <w:pPr>
        <w:tabs>
          <w:tab w:val="left" w:pos="851"/>
        </w:tabs>
        <w:ind w:left="851"/>
        <w:rPr>
          <w:sz w:val="24"/>
          <w:szCs w:val="24"/>
        </w:rPr>
      </w:pPr>
      <w:r w:rsidRPr="0065751F">
        <w:rPr>
          <w:sz w:val="24"/>
          <w:szCs w:val="24"/>
        </w:rPr>
        <w:t>Hverken duloxetin (30</w:t>
      </w:r>
      <w:r w:rsidRPr="0065751F">
        <w:rPr>
          <w:sz w:val="24"/>
          <w:szCs w:val="24"/>
        </w:rPr>
        <w:noBreakHyphen/>
        <w:t>120 mg) eller den aktive kontrol (fluoxetin 20</w:t>
      </w:r>
      <w:r w:rsidRPr="0065751F">
        <w:rPr>
          <w:sz w:val="24"/>
          <w:szCs w:val="24"/>
        </w:rPr>
        <w:noBreakHyphen/>
        <w:t>40 mg) viste statistisk signifikant forskel fra placebo ved ændring fra baseline til endpoint i Children’s Depression Rating Scale</w:t>
      </w:r>
      <w:r w:rsidRPr="0065751F">
        <w:rPr>
          <w:sz w:val="24"/>
          <w:szCs w:val="24"/>
        </w:rPr>
        <w:noBreakHyphen/>
        <w:t>Revised (CDRS</w:t>
      </w:r>
      <w:r w:rsidRPr="0065751F">
        <w:rPr>
          <w:sz w:val="24"/>
          <w:szCs w:val="24"/>
        </w:rPr>
        <w:noBreakHyphen/>
        <w:t>R) totalscore. Seponering på grund af bivirkninger var hyppigere hos patienter behandlet med duloxetin sammenlignet med patienter behandlet med fluoxetin, hovedsageligt på grund af kvalme. I den 10</w:t>
      </w:r>
      <w:r w:rsidRPr="0065751F">
        <w:rPr>
          <w:sz w:val="24"/>
          <w:szCs w:val="24"/>
        </w:rPr>
        <w:noBreakHyphen/>
        <w:t>ugers akutte behandlingsperiode blev der rapporteret tilfælde af selvmordsadfærd (duloxetin 0/333 [0 %], fluoxetin 2/225 [0,9 %], placebo 1/220 [0,5 %]). Over hele den 36</w:t>
      </w:r>
      <w:r w:rsidRPr="0065751F">
        <w:rPr>
          <w:sz w:val="24"/>
          <w:szCs w:val="24"/>
        </w:rPr>
        <w:noBreakHyphen/>
        <w:t>ugers behandlingsperiode oplevede 6 ud af 333 patienter, der oprindeligt blev randomiseret til duloxetin, og 3 ud af 225 patienter, der blev randomiseret til fluoxetin, selvmordsadfærd (eksponeringsjusteret incidens på 0,039 hændelser pr. patientår for duloxetin og 0,026 for fluoxetin). Derudover oplevede én patient, som blev skiftet fra placebo til duloxetin, selvmordsadfærd under behandling med duloxetin.</w:t>
      </w:r>
    </w:p>
    <w:p w14:paraId="50DBF470" w14:textId="77777777" w:rsidR="0065751F" w:rsidRPr="0065751F" w:rsidRDefault="0065751F" w:rsidP="0065751F">
      <w:pPr>
        <w:tabs>
          <w:tab w:val="left" w:pos="851"/>
        </w:tabs>
        <w:ind w:left="851"/>
        <w:rPr>
          <w:sz w:val="24"/>
          <w:szCs w:val="24"/>
        </w:rPr>
      </w:pPr>
    </w:p>
    <w:p w14:paraId="213D3B70" w14:textId="77777777" w:rsidR="0065751F" w:rsidRPr="0065751F" w:rsidRDefault="0065751F" w:rsidP="0065751F">
      <w:pPr>
        <w:tabs>
          <w:tab w:val="left" w:pos="851"/>
        </w:tabs>
        <w:ind w:left="851"/>
        <w:rPr>
          <w:sz w:val="24"/>
          <w:szCs w:val="24"/>
        </w:rPr>
      </w:pPr>
      <w:r w:rsidRPr="0065751F">
        <w:rPr>
          <w:sz w:val="24"/>
          <w:szCs w:val="24"/>
        </w:rPr>
        <w:t>Et randomiseret, dobbeltblindet, placebokontrolleret studie blev udført hos 272 patienter i alderen 7</w:t>
      </w:r>
      <w:r w:rsidRPr="0065751F">
        <w:rPr>
          <w:sz w:val="24"/>
          <w:szCs w:val="24"/>
        </w:rPr>
        <w:noBreakHyphen/>
        <w:t>17 år med generaliseret angst. Studiet omfattede en 10</w:t>
      </w:r>
      <w:r w:rsidRPr="0065751F">
        <w:rPr>
          <w:sz w:val="24"/>
          <w:szCs w:val="24"/>
        </w:rPr>
        <w:noBreakHyphen/>
        <w:t>ugers placebokontrolleret akut fase efterfulgt af en 18</w:t>
      </w:r>
      <w:r w:rsidRPr="0065751F">
        <w:rPr>
          <w:sz w:val="24"/>
          <w:szCs w:val="24"/>
        </w:rPr>
        <w:noBreakHyphen/>
        <w:t>ugers forlængelsesfase.</w:t>
      </w:r>
    </w:p>
    <w:p w14:paraId="451E0DDB" w14:textId="77777777" w:rsidR="0065751F" w:rsidRPr="0065751F" w:rsidRDefault="0065751F" w:rsidP="0065751F">
      <w:pPr>
        <w:tabs>
          <w:tab w:val="left" w:pos="851"/>
        </w:tabs>
        <w:ind w:left="851"/>
        <w:rPr>
          <w:sz w:val="24"/>
          <w:szCs w:val="24"/>
        </w:rPr>
      </w:pPr>
      <w:r w:rsidRPr="0065751F">
        <w:rPr>
          <w:sz w:val="24"/>
          <w:szCs w:val="24"/>
        </w:rPr>
        <w:t>Der blev anvendt et fleksibelt doseringsregimen for at muliggøre langsom dosisoptrapning fra 30 mg én gang dagligt til højere doser (maksimalt 120 mg én gang dagligt). Behandling med duloxetin viste en statistisk signifikant større forbedring i symptomer på generaliseret angst målt ved PARS</w:t>
      </w:r>
      <w:r w:rsidRPr="0065751F">
        <w:rPr>
          <w:sz w:val="24"/>
          <w:szCs w:val="24"/>
        </w:rPr>
        <w:noBreakHyphen/>
        <w:t>sværhedsscore (gennemsnitlig forskel mellem duloxetin og placebo på 2,7 point [95 % konfidensinterval 1,3</w:t>
      </w:r>
      <w:r w:rsidRPr="0065751F">
        <w:rPr>
          <w:sz w:val="24"/>
          <w:szCs w:val="24"/>
        </w:rPr>
        <w:noBreakHyphen/>
        <w:t>4,0]) efter 10 ugers behandling.</w:t>
      </w:r>
    </w:p>
    <w:p w14:paraId="2D06600E" w14:textId="77777777" w:rsidR="0065751F" w:rsidRPr="0065751F" w:rsidRDefault="0065751F" w:rsidP="0065751F">
      <w:pPr>
        <w:tabs>
          <w:tab w:val="left" w:pos="851"/>
        </w:tabs>
        <w:ind w:left="851"/>
        <w:rPr>
          <w:sz w:val="24"/>
          <w:szCs w:val="24"/>
        </w:rPr>
      </w:pPr>
      <w:r w:rsidRPr="0065751F">
        <w:rPr>
          <w:sz w:val="24"/>
          <w:szCs w:val="24"/>
        </w:rPr>
        <w:t>Vedligeholdelse af effekten er ikke undersøgt. Der var ingen statistisk signifikant forskel mellem duloxetin og placebo med hensyn til seponering på grund af bivirkninger under den 10</w:t>
      </w:r>
      <w:r w:rsidRPr="0065751F">
        <w:rPr>
          <w:sz w:val="24"/>
          <w:szCs w:val="24"/>
        </w:rPr>
        <w:noBreakHyphen/>
        <w:t>ugers akutte fase. To patienter, som blev skiftet fra placebo til duloxetin efter den akutte fase, oplevede selvmordsadfærd under duloxetinbehandling i forlængelsesfasen. Der kan ikke drages nogen konklusion om det samlede benefit/risk</w:t>
      </w:r>
      <w:r w:rsidRPr="0065751F">
        <w:rPr>
          <w:sz w:val="24"/>
          <w:szCs w:val="24"/>
        </w:rPr>
        <w:noBreakHyphen/>
        <w:t>forhold i denne aldersgruppe (se også pkt. 4.2 og 4.8).</w:t>
      </w:r>
    </w:p>
    <w:p w14:paraId="689FB63A" w14:textId="77777777" w:rsidR="0065751F" w:rsidRPr="0065751F" w:rsidRDefault="0065751F" w:rsidP="0065751F">
      <w:pPr>
        <w:tabs>
          <w:tab w:val="left" w:pos="851"/>
        </w:tabs>
        <w:ind w:left="851"/>
        <w:rPr>
          <w:sz w:val="24"/>
          <w:szCs w:val="24"/>
        </w:rPr>
      </w:pPr>
    </w:p>
    <w:p w14:paraId="521EB14D" w14:textId="77777777" w:rsidR="0065751F" w:rsidRPr="0065751F" w:rsidRDefault="0065751F" w:rsidP="0065751F">
      <w:pPr>
        <w:tabs>
          <w:tab w:val="left" w:pos="851"/>
        </w:tabs>
        <w:ind w:left="851"/>
        <w:rPr>
          <w:sz w:val="24"/>
          <w:szCs w:val="24"/>
        </w:rPr>
      </w:pPr>
      <w:r w:rsidRPr="0065751F">
        <w:rPr>
          <w:sz w:val="24"/>
          <w:szCs w:val="24"/>
        </w:rPr>
        <w:t>Et enkelt studie er udført hos pædiatriske patienter med juvenil primær fibromyalgisyndrom (JPFS), hvor den duloxetinbehandlede gruppe ikke adskilte sig fra placebogruppen for det primære effektmål. Der foreligger derfor ingen evidens for effekt i denne pædiatriske population.</w:t>
      </w:r>
    </w:p>
    <w:p w14:paraId="7E84B5D4" w14:textId="77777777" w:rsidR="0065751F" w:rsidRPr="0065751F" w:rsidRDefault="0065751F" w:rsidP="0065751F">
      <w:pPr>
        <w:tabs>
          <w:tab w:val="left" w:pos="851"/>
        </w:tabs>
        <w:ind w:left="851"/>
        <w:rPr>
          <w:sz w:val="24"/>
          <w:szCs w:val="24"/>
        </w:rPr>
      </w:pPr>
      <w:r w:rsidRPr="0065751F">
        <w:rPr>
          <w:sz w:val="24"/>
          <w:szCs w:val="24"/>
        </w:rPr>
        <w:t>Det randomiserede, dobbeltblindede, placebokontrollerede parallelgruppestudie med duloxetin omfattede 184 unge i alderen 13</w:t>
      </w:r>
      <w:r w:rsidRPr="0065751F">
        <w:rPr>
          <w:sz w:val="24"/>
          <w:szCs w:val="24"/>
        </w:rPr>
        <w:noBreakHyphen/>
        <w:t>18 år (gennemsnitsalder 15,53 år) med JPFS. Studiet inkluderede en 13</w:t>
      </w:r>
      <w:r w:rsidRPr="0065751F">
        <w:rPr>
          <w:sz w:val="24"/>
          <w:szCs w:val="24"/>
        </w:rPr>
        <w:noBreakHyphen/>
        <w:t>ugers dobbeltblind fase, hvor patienterne blev randomiseret til duloxetin 30 mg/60 mg eller placebo dagligt.</w:t>
      </w:r>
    </w:p>
    <w:p w14:paraId="44408492" w14:textId="77777777" w:rsidR="0065751F" w:rsidRPr="0065751F" w:rsidRDefault="0065751F" w:rsidP="0065751F">
      <w:pPr>
        <w:tabs>
          <w:tab w:val="left" w:pos="851"/>
        </w:tabs>
        <w:ind w:left="851"/>
        <w:rPr>
          <w:sz w:val="24"/>
          <w:szCs w:val="24"/>
        </w:rPr>
      </w:pPr>
      <w:r w:rsidRPr="0065751F">
        <w:rPr>
          <w:sz w:val="24"/>
          <w:szCs w:val="24"/>
        </w:rPr>
        <w:t>Duloxetin viste ikke effekt med hensyn til reduktion af smerte for det primære effektmål målt ved gennemsnitligt smerte score i henhold til Brief Pain Inventory (BPI): gennemsnitlig ændring fra baseline ved mindste kvadraters metode (LS) i BPI gennemsnitlig smertescore ved 13 uger) var −0,97 i placebogruppen sammenlignet med −1,62 i duloxetin 30/60 mg</w:t>
      </w:r>
      <w:r w:rsidRPr="0065751F">
        <w:rPr>
          <w:sz w:val="24"/>
          <w:szCs w:val="24"/>
        </w:rPr>
        <w:noBreakHyphen/>
        <w:t>gruppen (p=0,052). Sikkerhedsresultaterne fra dette studie var i overensstemmelse med den kendte sikkerhedsprofil for duloxetin.</w:t>
      </w:r>
    </w:p>
    <w:p w14:paraId="7A2AA6EF" w14:textId="77777777" w:rsidR="0065751F" w:rsidRPr="0065751F" w:rsidRDefault="0065751F" w:rsidP="0065751F">
      <w:pPr>
        <w:tabs>
          <w:tab w:val="left" w:pos="851"/>
        </w:tabs>
        <w:ind w:left="851"/>
        <w:rPr>
          <w:sz w:val="24"/>
          <w:szCs w:val="24"/>
        </w:rPr>
      </w:pPr>
    </w:p>
    <w:p w14:paraId="51530D1E" w14:textId="77777777" w:rsidR="0065751F" w:rsidRPr="0065751F" w:rsidRDefault="0065751F" w:rsidP="0065751F">
      <w:pPr>
        <w:tabs>
          <w:tab w:val="left" w:pos="851"/>
        </w:tabs>
        <w:ind w:left="851"/>
        <w:rPr>
          <w:sz w:val="24"/>
          <w:szCs w:val="24"/>
        </w:rPr>
      </w:pPr>
      <w:r w:rsidRPr="0065751F">
        <w:rPr>
          <w:sz w:val="24"/>
          <w:szCs w:val="24"/>
        </w:rPr>
        <w:t>Det Europæiske Lægemiddelagentur har frafaldet kravet om at indsende resultater af studier med referencelægemidlet indeholdende duloxetin i alle undergrupper af den pædiatriske population ved behandling af svær depressiv episode, diabetisk neuropatisk smerte og generaliseret angst. Se pkt. 4.2 for oplysninger om pædiatrisk anvendelse.</w:t>
      </w:r>
    </w:p>
    <w:p w14:paraId="6921A68A" w14:textId="77777777" w:rsidR="009260DE" w:rsidRPr="00C84483" w:rsidRDefault="009260DE" w:rsidP="009260DE">
      <w:pPr>
        <w:tabs>
          <w:tab w:val="left" w:pos="851"/>
        </w:tabs>
        <w:ind w:left="851"/>
        <w:rPr>
          <w:sz w:val="24"/>
          <w:szCs w:val="24"/>
        </w:rPr>
      </w:pPr>
    </w:p>
    <w:p w14:paraId="4AFEF2AB" w14:textId="77777777" w:rsidR="009260DE" w:rsidRPr="00C84483" w:rsidRDefault="009260DE" w:rsidP="009260DE">
      <w:pPr>
        <w:tabs>
          <w:tab w:val="left" w:pos="851"/>
        </w:tabs>
        <w:ind w:left="851" w:hanging="851"/>
        <w:rPr>
          <w:b/>
          <w:sz w:val="24"/>
          <w:szCs w:val="24"/>
        </w:rPr>
      </w:pPr>
      <w:r w:rsidRPr="00C84483">
        <w:rPr>
          <w:b/>
          <w:sz w:val="24"/>
          <w:szCs w:val="24"/>
        </w:rPr>
        <w:t>5.2</w:t>
      </w:r>
      <w:r w:rsidRPr="00C84483">
        <w:rPr>
          <w:b/>
          <w:sz w:val="24"/>
          <w:szCs w:val="24"/>
        </w:rPr>
        <w:tab/>
        <w:t>Farmakokinetiske egenskaber</w:t>
      </w:r>
    </w:p>
    <w:p w14:paraId="4226A9D6" w14:textId="62F73BA8" w:rsidR="0065751F" w:rsidRPr="0065751F" w:rsidRDefault="0065751F" w:rsidP="0065751F">
      <w:pPr>
        <w:tabs>
          <w:tab w:val="left" w:pos="851"/>
        </w:tabs>
        <w:ind w:left="851"/>
        <w:rPr>
          <w:sz w:val="24"/>
          <w:szCs w:val="24"/>
        </w:rPr>
      </w:pPr>
      <w:r w:rsidRPr="0065751F">
        <w:rPr>
          <w:sz w:val="24"/>
          <w:szCs w:val="24"/>
        </w:rPr>
        <w:t>Duloxetin administreres som én enantiomer. Duloxetin metaboliseres i vid udstrækning via oxidative</w:t>
      </w:r>
      <w:r>
        <w:rPr>
          <w:sz w:val="24"/>
          <w:szCs w:val="24"/>
        </w:rPr>
        <w:t xml:space="preserve"> </w:t>
      </w:r>
      <w:r w:rsidRPr="0065751F">
        <w:rPr>
          <w:sz w:val="24"/>
          <w:szCs w:val="24"/>
        </w:rPr>
        <w:t>enzymer (CYP1A2 og det polymorfe CYP2D6) efterfulgt af konjugation. Duloxetins farmakokinetik</w:t>
      </w:r>
      <w:r>
        <w:rPr>
          <w:sz w:val="24"/>
          <w:szCs w:val="24"/>
        </w:rPr>
        <w:t xml:space="preserve"> </w:t>
      </w:r>
      <w:r w:rsidRPr="0065751F">
        <w:rPr>
          <w:sz w:val="24"/>
          <w:szCs w:val="24"/>
        </w:rPr>
        <w:t>udviser stor interindividuel variation (typisk 50</w:t>
      </w:r>
      <w:r w:rsidRPr="0065751F">
        <w:rPr>
          <w:sz w:val="24"/>
          <w:szCs w:val="24"/>
        </w:rPr>
        <w:noBreakHyphen/>
        <w:t>60 %), hvilket delvist skyldes køn, alder, rygestatus og</w:t>
      </w:r>
      <w:r>
        <w:rPr>
          <w:sz w:val="24"/>
          <w:szCs w:val="24"/>
        </w:rPr>
        <w:t xml:space="preserve"> </w:t>
      </w:r>
      <w:r w:rsidRPr="0065751F">
        <w:rPr>
          <w:sz w:val="24"/>
          <w:szCs w:val="24"/>
        </w:rPr>
        <w:t>CYP2D6</w:t>
      </w:r>
      <w:r w:rsidRPr="0065751F">
        <w:rPr>
          <w:sz w:val="24"/>
          <w:szCs w:val="24"/>
        </w:rPr>
        <w:noBreakHyphen/>
        <w:t>metaboliseringsstatus.</w:t>
      </w:r>
    </w:p>
    <w:p w14:paraId="604E542D" w14:textId="77777777" w:rsidR="0065751F" w:rsidRPr="0065751F" w:rsidRDefault="0065751F" w:rsidP="0065751F">
      <w:pPr>
        <w:tabs>
          <w:tab w:val="left" w:pos="851"/>
        </w:tabs>
        <w:ind w:left="851"/>
        <w:rPr>
          <w:sz w:val="24"/>
          <w:szCs w:val="24"/>
        </w:rPr>
      </w:pPr>
    </w:p>
    <w:p w14:paraId="38002F98" w14:textId="77777777" w:rsidR="0065751F" w:rsidRPr="0065751F" w:rsidRDefault="0065751F" w:rsidP="0065751F">
      <w:pPr>
        <w:tabs>
          <w:tab w:val="left" w:pos="851"/>
        </w:tabs>
        <w:ind w:left="851"/>
        <w:rPr>
          <w:sz w:val="24"/>
          <w:szCs w:val="24"/>
          <w:u w:val="single"/>
        </w:rPr>
      </w:pPr>
      <w:r w:rsidRPr="0065751F">
        <w:rPr>
          <w:sz w:val="24"/>
          <w:szCs w:val="24"/>
          <w:u w:val="single"/>
        </w:rPr>
        <w:t>Absorption</w:t>
      </w:r>
    </w:p>
    <w:p w14:paraId="7A2EAD9C" w14:textId="77777777" w:rsidR="0065751F" w:rsidRPr="0065751F" w:rsidRDefault="0065751F" w:rsidP="0065751F">
      <w:pPr>
        <w:tabs>
          <w:tab w:val="left" w:pos="851"/>
        </w:tabs>
        <w:ind w:left="851"/>
        <w:rPr>
          <w:sz w:val="24"/>
          <w:szCs w:val="24"/>
        </w:rPr>
      </w:pPr>
      <w:r w:rsidRPr="0065751F">
        <w:rPr>
          <w:sz w:val="24"/>
          <w:szCs w:val="24"/>
        </w:rPr>
        <w:t>Duloxetin absorberes godt efter oral administration med maksimal plasmakoncentration (Cmax) opnået 6 timer efter dosering. Den absolutte orale biotilgængelighed af duloxetin varierer fra 32 % til 80 % (gennemsnit 50 %). Fødeindtag forsinker tidspunktet for maksimal koncentration fra 6 til 10 timer og reducerer i mindre grad absorptionsgraden (ca. 11 %). Disse ændringer har ingen klinisk betydning.</w:t>
      </w:r>
    </w:p>
    <w:p w14:paraId="6BC7403E" w14:textId="41B874F9" w:rsidR="0065751F" w:rsidRDefault="0065751F">
      <w:pPr>
        <w:rPr>
          <w:sz w:val="24"/>
          <w:szCs w:val="24"/>
          <w:u w:val="single"/>
        </w:rPr>
      </w:pPr>
      <w:r>
        <w:rPr>
          <w:sz w:val="24"/>
          <w:szCs w:val="24"/>
          <w:u w:val="single"/>
        </w:rPr>
        <w:br w:type="page"/>
      </w:r>
    </w:p>
    <w:p w14:paraId="5C6C3F3C" w14:textId="77777777" w:rsidR="0065751F" w:rsidRPr="0065751F" w:rsidRDefault="0065751F" w:rsidP="0065751F">
      <w:pPr>
        <w:tabs>
          <w:tab w:val="left" w:pos="851"/>
        </w:tabs>
        <w:ind w:left="851"/>
        <w:rPr>
          <w:sz w:val="24"/>
          <w:szCs w:val="24"/>
          <w:u w:val="single"/>
        </w:rPr>
      </w:pPr>
    </w:p>
    <w:p w14:paraId="55F86D0E" w14:textId="77777777" w:rsidR="0065751F" w:rsidRPr="0065751F" w:rsidRDefault="0065751F" w:rsidP="0065751F">
      <w:pPr>
        <w:tabs>
          <w:tab w:val="left" w:pos="851"/>
        </w:tabs>
        <w:ind w:left="851"/>
        <w:rPr>
          <w:sz w:val="24"/>
          <w:szCs w:val="24"/>
          <w:u w:val="single"/>
        </w:rPr>
      </w:pPr>
      <w:r w:rsidRPr="0065751F">
        <w:rPr>
          <w:sz w:val="24"/>
          <w:szCs w:val="24"/>
          <w:u w:val="single"/>
        </w:rPr>
        <w:t>Fordeling</w:t>
      </w:r>
    </w:p>
    <w:p w14:paraId="367C8688" w14:textId="77777777" w:rsidR="0065751F" w:rsidRPr="0065751F" w:rsidRDefault="0065751F" w:rsidP="0065751F">
      <w:pPr>
        <w:tabs>
          <w:tab w:val="left" w:pos="851"/>
        </w:tabs>
        <w:ind w:left="851"/>
        <w:rPr>
          <w:sz w:val="24"/>
          <w:szCs w:val="24"/>
        </w:rPr>
      </w:pPr>
      <w:r w:rsidRPr="0065751F">
        <w:rPr>
          <w:sz w:val="24"/>
          <w:szCs w:val="24"/>
        </w:rPr>
        <w:t>Duloxetin er ca. 96 % bundet til humane plasmaproteiner. Duloxetin bindes både til albumin og alfa</w:t>
      </w:r>
      <w:r w:rsidRPr="0065751F">
        <w:rPr>
          <w:sz w:val="24"/>
          <w:szCs w:val="24"/>
        </w:rPr>
        <w:noBreakHyphen/>
        <w:t>1</w:t>
      </w:r>
      <w:r w:rsidRPr="0065751F">
        <w:rPr>
          <w:sz w:val="24"/>
          <w:szCs w:val="24"/>
        </w:rPr>
        <w:noBreakHyphen/>
        <w:t>syreglykoprotein. Proteinbindingen påvirkes ikke af nedsat nyre- eller leverfunktion.</w:t>
      </w:r>
    </w:p>
    <w:p w14:paraId="6241DE14" w14:textId="77777777" w:rsidR="0065751F" w:rsidRPr="0065751F" w:rsidRDefault="0065751F" w:rsidP="0065751F">
      <w:pPr>
        <w:tabs>
          <w:tab w:val="left" w:pos="851"/>
        </w:tabs>
        <w:ind w:left="851"/>
        <w:rPr>
          <w:sz w:val="24"/>
          <w:szCs w:val="24"/>
          <w:u w:val="single"/>
        </w:rPr>
      </w:pPr>
    </w:p>
    <w:p w14:paraId="13F19AD5" w14:textId="77777777" w:rsidR="0065751F" w:rsidRPr="0065751F" w:rsidRDefault="0065751F" w:rsidP="0065751F">
      <w:pPr>
        <w:tabs>
          <w:tab w:val="left" w:pos="851"/>
        </w:tabs>
        <w:ind w:left="851"/>
        <w:rPr>
          <w:sz w:val="24"/>
          <w:szCs w:val="24"/>
          <w:u w:val="single"/>
        </w:rPr>
      </w:pPr>
      <w:r w:rsidRPr="0065751F">
        <w:rPr>
          <w:sz w:val="24"/>
          <w:szCs w:val="24"/>
          <w:u w:val="single"/>
        </w:rPr>
        <w:t>Biotransformation</w:t>
      </w:r>
    </w:p>
    <w:p w14:paraId="36CD90A1" w14:textId="77777777" w:rsidR="0065751F" w:rsidRPr="0065751F" w:rsidRDefault="0065751F" w:rsidP="0065751F">
      <w:pPr>
        <w:tabs>
          <w:tab w:val="left" w:pos="851"/>
        </w:tabs>
        <w:ind w:left="851"/>
        <w:rPr>
          <w:sz w:val="24"/>
          <w:szCs w:val="24"/>
        </w:rPr>
      </w:pPr>
      <w:r w:rsidRPr="0065751F">
        <w:rPr>
          <w:sz w:val="24"/>
          <w:szCs w:val="24"/>
        </w:rPr>
        <w:t>Duloxetin metaboliseres i vid udstrækning, og metabolitterne udskilles primært via urinen. Begge cytochrom P450</w:t>
      </w:r>
      <w:r w:rsidRPr="0065751F">
        <w:rPr>
          <w:sz w:val="24"/>
          <w:szCs w:val="24"/>
        </w:rPr>
        <w:noBreakHyphen/>
        <w:t>isoenzymerne CYP2D6 og CYP1A2 katalyserer dannelsen af de to hovedmetabolitter: glukuronidkonjugatet af 4</w:t>
      </w:r>
      <w:r w:rsidRPr="0065751F">
        <w:rPr>
          <w:sz w:val="24"/>
          <w:szCs w:val="24"/>
        </w:rPr>
        <w:noBreakHyphen/>
        <w:t>hydroxy</w:t>
      </w:r>
      <w:r w:rsidRPr="0065751F">
        <w:rPr>
          <w:sz w:val="24"/>
          <w:szCs w:val="24"/>
        </w:rPr>
        <w:noBreakHyphen/>
        <w:t>duloxetin og sulfatkonjugatet af 5</w:t>
      </w:r>
      <w:r w:rsidRPr="0065751F">
        <w:rPr>
          <w:sz w:val="24"/>
          <w:szCs w:val="24"/>
        </w:rPr>
        <w:noBreakHyphen/>
        <w:t>hydroxy</w:t>
      </w:r>
      <w:r w:rsidRPr="0065751F">
        <w:rPr>
          <w:sz w:val="24"/>
          <w:szCs w:val="24"/>
        </w:rPr>
        <w:noBreakHyphen/>
        <w:t>6</w:t>
      </w:r>
      <w:r w:rsidRPr="0065751F">
        <w:rPr>
          <w:sz w:val="24"/>
          <w:szCs w:val="24"/>
        </w:rPr>
        <w:noBreakHyphen/>
        <w:t>methoxy</w:t>
      </w:r>
      <w:r w:rsidRPr="0065751F">
        <w:rPr>
          <w:sz w:val="24"/>
          <w:szCs w:val="24"/>
        </w:rPr>
        <w:noBreakHyphen/>
        <w:t>duloxetin.</w:t>
      </w:r>
    </w:p>
    <w:p w14:paraId="0732539F" w14:textId="77777777" w:rsidR="0065751F" w:rsidRPr="0065751F" w:rsidRDefault="0065751F" w:rsidP="0065751F">
      <w:pPr>
        <w:tabs>
          <w:tab w:val="left" w:pos="851"/>
        </w:tabs>
        <w:ind w:left="851"/>
        <w:rPr>
          <w:sz w:val="24"/>
          <w:szCs w:val="24"/>
        </w:rPr>
      </w:pPr>
      <w:r w:rsidRPr="0065751F">
        <w:rPr>
          <w:sz w:val="24"/>
          <w:szCs w:val="24"/>
        </w:rPr>
        <w:t xml:space="preserve">Baseret på </w:t>
      </w:r>
      <w:r w:rsidRPr="0065751F">
        <w:rPr>
          <w:i/>
          <w:iCs/>
          <w:sz w:val="24"/>
          <w:szCs w:val="24"/>
        </w:rPr>
        <w:t>in vitro</w:t>
      </w:r>
      <w:r w:rsidRPr="0065751F">
        <w:rPr>
          <w:sz w:val="24"/>
          <w:szCs w:val="24"/>
        </w:rPr>
        <w:noBreakHyphen/>
        <w:t>studier anses de cirkulerende metabolitter af duloxetin for at være farmakologisk inaktive. Farmakokinetikken af duloxetin hos patienter, der er langsomme metabolisatorer for CYP2D6, er ikke specifikt undersøgt. Begrænsede data tyder på, at plasmaniveauerne af duloxetin er højere hos disse patienter.</w:t>
      </w:r>
    </w:p>
    <w:p w14:paraId="30BEBA27" w14:textId="77777777" w:rsidR="0065751F" w:rsidRPr="0065751F" w:rsidRDefault="0065751F" w:rsidP="0065751F">
      <w:pPr>
        <w:tabs>
          <w:tab w:val="left" w:pos="851"/>
        </w:tabs>
        <w:ind w:left="851"/>
        <w:rPr>
          <w:sz w:val="24"/>
          <w:szCs w:val="24"/>
          <w:u w:val="single"/>
        </w:rPr>
      </w:pPr>
    </w:p>
    <w:p w14:paraId="1FF83745" w14:textId="77777777" w:rsidR="0065751F" w:rsidRPr="0065751F" w:rsidRDefault="0065751F" w:rsidP="0065751F">
      <w:pPr>
        <w:tabs>
          <w:tab w:val="left" w:pos="851"/>
        </w:tabs>
        <w:ind w:left="851"/>
        <w:rPr>
          <w:sz w:val="24"/>
          <w:szCs w:val="24"/>
          <w:u w:val="single"/>
        </w:rPr>
      </w:pPr>
      <w:r w:rsidRPr="0065751F">
        <w:rPr>
          <w:sz w:val="24"/>
          <w:szCs w:val="24"/>
          <w:u w:val="single"/>
        </w:rPr>
        <w:t>Elimination</w:t>
      </w:r>
    </w:p>
    <w:p w14:paraId="106D2863" w14:textId="77777777" w:rsidR="0065751F" w:rsidRPr="0065751F" w:rsidRDefault="0065751F" w:rsidP="0065751F">
      <w:pPr>
        <w:tabs>
          <w:tab w:val="left" w:pos="851"/>
        </w:tabs>
        <w:ind w:left="851"/>
        <w:rPr>
          <w:sz w:val="24"/>
          <w:szCs w:val="24"/>
        </w:rPr>
      </w:pPr>
      <w:r w:rsidRPr="0065751F">
        <w:rPr>
          <w:sz w:val="24"/>
          <w:szCs w:val="24"/>
        </w:rPr>
        <w:t>Eliminationshalveringstiden for duloxetin varierer fra 8 til 17 timer (gennemsnit 12 timer).</w:t>
      </w:r>
    </w:p>
    <w:p w14:paraId="46B31B08" w14:textId="77777777" w:rsidR="0065751F" w:rsidRPr="0065751F" w:rsidRDefault="0065751F" w:rsidP="0065751F">
      <w:pPr>
        <w:tabs>
          <w:tab w:val="left" w:pos="851"/>
        </w:tabs>
        <w:ind w:left="851"/>
        <w:rPr>
          <w:sz w:val="24"/>
          <w:szCs w:val="24"/>
        </w:rPr>
      </w:pPr>
      <w:r w:rsidRPr="0065751F">
        <w:rPr>
          <w:sz w:val="24"/>
          <w:szCs w:val="24"/>
        </w:rPr>
        <w:t>Efter intravenøs administration varierer plasmaclearance fra 22 l/time til 46 l/time (gennemsnit 36 l/time). Efter oral administration varierer den tilsyneladende plasmaclearance fra 33 til 261 l/time (gennemsnit 101 l/time).</w:t>
      </w:r>
    </w:p>
    <w:p w14:paraId="6020DD2B" w14:textId="77777777" w:rsidR="0065751F" w:rsidRPr="0065751F" w:rsidRDefault="0065751F" w:rsidP="0065751F">
      <w:pPr>
        <w:tabs>
          <w:tab w:val="left" w:pos="851"/>
        </w:tabs>
        <w:ind w:left="851"/>
        <w:rPr>
          <w:sz w:val="24"/>
          <w:szCs w:val="24"/>
          <w:u w:val="single"/>
        </w:rPr>
      </w:pPr>
    </w:p>
    <w:p w14:paraId="67D19D99" w14:textId="77777777" w:rsidR="0065751F" w:rsidRPr="0065751F" w:rsidRDefault="0065751F" w:rsidP="0065751F">
      <w:pPr>
        <w:tabs>
          <w:tab w:val="left" w:pos="851"/>
        </w:tabs>
        <w:ind w:left="851"/>
        <w:rPr>
          <w:sz w:val="24"/>
          <w:szCs w:val="24"/>
          <w:u w:val="single"/>
        </w:rPr>
      </w:pPr>
      <w:r w:rsidRPr="0065751F">
        <w:rPr>
          <w:sz w:val="24"/>
          <w:szCs w:val="24"/>
          <w:u w:val="single"/>
        </w:rPr>
        <w:t>Særlige populationer</w:t>
      </w:r>
    </w:p>
    <w:p w14:paraId="2E16FE86" w14:textId="77777777" w:rsidR="0065751F" w:rsidRDefault="0065751F" w:rsidP="0065751F">
      <w:pPr>
        <w:tabs>
          <w:tab w:val="left" w:pos="851"/>
        </w:tabs>
        <w:ind w:left="851"/>
        <w:rPr>
          <w:sz w:val="24"/>
          <w:szCs w:val="24"/>
          <w:u w:val="single"/>
        </w:rPr>
      </w:pPr>
    </w:p>
    <w:p w14:paraId="6F97F4C2" w14:textId="3FC2C547" w:rsidR="0065751F" w:rsidRPr="0065751F" w:rsidRDefault="0065751F" w:rsidP="0065751F">
      <w:pPr>
        <w:tabs>
          <w:tab w:val="left" w:pos="851"/>
        </w:tabs>
        <w:ind w:left="851"/>
        <w:rPr>
          <w:sz w:val="24"/>
          <w:szCs w:val="24"/>
        </w:rPr>
      </w:pPr>
      <w:r w:rsidRPr="0065751F">
        <w:rPr>
          <w:i/>
          <w:iCs/>
          <w:sz w:val="24"/>
          <w:szCs w:val="24"/>
        </w:rPr>
        <w:t>Køn</w:t>
      </w:r>
      <w:r w:rsidRPr="0065751F">
        <w:rPr>
          <w:i/>
          <w:iCs/>
          <w:sz w:val="24"/>
          <w:szCs w:val="24"/>
        </w:rPr>
        <w:br/>
      </w:r>
      <w:r w:rsidRPr="0065751F">
        <w:rPr>
          <w:sz w:val="24"/>
          <w:szCs w:val="24"/>
        </w:rPr>
        <w:t>Der er identificeret farmakokinetiske forskelle mellem mænd og kvinder (tilsyneladende plasmaclearance er ca. 50 % lavere hos kvinder). På baggrund af overlap i de kønsbaserede farmakokinetiske forskellie i clearance</w:t>
      </w:r>
      <w:r w:rsidRPr="0065751F">
        <w:rPr>
          <w:sz w:val="24"/>
          <w:szCs w:val="24"/>
        </w:rPr>
        <w:noBreakHyphen/>
        <w:t>området, berettiger disse forskelle ikke til anbefaling om lavere dosis til kvinder.</w:t>
      </w:r>
    </w:p>
    <w:p w14:paraId="3395B22F" w14:textId="77777777" w:rsidR="0065751F" w:rsidRPr="0065751F" w:rsidRDefault="0065751F" w:rsidP="0065751F">
      <w:pPr>
        <w:tabs>
          <w:tab w:val="left" w:pos="851"/>
        </w:tabs>
        <w:ind w:left="851"/>
        <w:rPr>
          <w:sz w:val="24"/>
          <w:szCs w:val="24"/>
        </w:rPr>
      </w:pPr>
    </w:p>
    <w:p w14:paraId="10E18AB8" w14:textId="77777777" w:rsidR="0065751F" w:rsidRPr="0065751F" w:rsidRDefault="0065751F" w:rsidP="0065751F">
      <w:pPr>
        <w:tabs>
          <w:tab w:val="left" w:pos="851"/>
        </w:tabs>
        <w:ind w:left="851"/>
        <w:rPr>
          <w:sz w:val="24"/>
          <w:szCs w:val="24"/>
        </w:rPr>
      </w:pPr>
      <w:r w:rsidRPr="0065751F">
        <w:rPr>
          <w:i/>
          <w:iCs/>
          <w:sz w:val="24"/>
          <w:szCs w:val="24"/>
        </w:rPr>
        <w:t>Alder</w:t>
      </w:r>
      <w:r w:rsidRPr="0065751F">
        <w:rPr>
          <w:i/>
          <w:iCs/>
          <w:sz w:val="24"/>
          <w:szCs w:val="24"/>
        </w:rPr>
        <w:br/>
      </w:r>
      <w:r w:rsidRPr="0065751F">
        <w:rPr>
          <w:sz w:val="24"/>
          <w:szCs w:val="24"/>
        </w:rPr>
        <w:t>Der er identificeret farmakokinetiske forskelle mellem yngre og ældre kvinder (≥ 65 år) (AUC er ca. 25 % højere, og halveringstiden er ca. 25 % længere hos ældre), men omfanget af disse ændringer er dog ikke tilstrækkelig til at begrunde dosisjustering.</w:t>
      </w:r>
    </w:p>
    <w:p w14:paraId="37937FEC" w14:textId="77777777" w:rsidR="0065751F" w:rsidRPr="0065751F" w:rsidRDefault="0065751F" w:rsidP="0065751F">
      <w:pPr>
        <w:tabs>
          <w:tab w:val="left" w:pos="851"/>
        </w:tabs>
        <w:ind w:left="851"/>
        <w:rPr>
          <w:sz w:val="24"/>
          <w:szCs w:val="24"/>
        </w:rPr>
      </w:pPr>
      <w:r w:rsidRPr="0065751F">
        <w:rPr>
          <w:sz w:val="24"/>
          <w:szCs w:val="24"/>
        </w:rPr>
        <w:t>Som generel anbefaling bør der udvises forsigtighed ved behandling af ældre (se pkt. 4.2 og 4.4).</w:t>
      </w:r>
    </w:p>
    <w:p w14:paraId="309F5AB9" w14:textId="77777777" w:rsidR="0065751F" w:rsidRPr="0065751F" w:rsidRDefault="0065751F" w:rsidP="0065751F">
      <w:pPr>
        <w:tabs>
          <w:tab w:val="left" w:pos="851"/>
        </w:tabs>
        <w:ind w:left="851"/>
        <w:rPr>
          <w:sz w:val="24"/>
          <w:szCs w:val="24"/>
        </w:rPr>
      </w:pPr>
    </w:p>
    <w:p w14:paraId="6C684AD0" w14:textId="77777777" w:rsidR="0065751F" w:rsidRPr="0065751F" w:rsidRDefault="0065751F" w:rsidP="0065751F">
      <w:pPr>
        <w:tabs>
          <w:tab w:val="left" w:pos="851"/>
        </w:tabs>
        <w:ind w:left="851"/>
        <w:rPr>
          <w:sz w:val="24"/>
          <w:szCs w:val="24"/>
        </w:rPr>
      </w:pPr>
      <w:r w:rsidRPr="0065751F">
        <w:rPr>
          <w:i/>
          <w:iCs/>
          <w:sz w:val="24"/>
          <w:szCs w:val="24"/>
        </w:rPr>
        <w:t>Nedsat nyrefunktion</w:t>
      </w:r>
      <w:r w:rsidRPr="0065751F">
        <w:rPr>
          <w:i/>
          <w:iCs/>
          <w:sz w:val="24"/>
          <w:szCs w:val="24"/>
        </w:rPr>
        <w:br/>
      </w:r>
      <w:r w:rsidRPr="0065751F">
        <w:rPr>
          <w:sz w:val="24"/>
          <w:szCs w:val="24"/>
        </w:rPr>
        <w:t>Patienter med terminal nyreinsufficiens (ESRD), der behandles med dialyse, havde 2</w:t>
      </w:r>
      <w:r w:rsidRPr="0065751F">
        <w:rPr>
          <w:sz w:val="24"/>
          <w:szCs w:val="24"/>
        </w:rPr>
        <w:noBreakHyphen/>
        <w:t>fold højere duloxetin Cmax</w:t>
      </w:r>
      <w:r w:rsidRPr="0065751F">
        <w:rPr>
          <w:sz w:val="24"/>
          <w:szCs w:val="24"/>
        </w:rPr>
        <w:noBreakHyphen/>
        <w:t xml:space="preserve"> og AUC</w:t>
      </w:r>
      <w:r w:rsidRPr="0065751F">
        <w:rPr>
          <w:sz w:val="24"/>
          <w:szCs w:val="24"/>
        </w:rPr>
        <w:noBreakHyphen/>
        <w:t>værdier sammenlignet med raske personer.</w:t>
      </w:r>
    </w:p>
    <w:p w14:paraId="780B0512" w14:textId="77777777" w:rsidR="0065751F" w:rsidRPr="0065751F" w:rsidRDefault="0065751F" w:rsidP="0065751F">
      <w:pPr>
        <w:tabs>
          <w:tab w:val="left" w:pos="851"/>
        </w:tabs>
        <w:ind w:left="851"/>
        <w:rPr>
          <w:sz w:val="24"/>
          <w:szCs w:val="24"/>
        </w:rPr>
      </w:pPr>
      <w:r w:rsidRPr="0065751F">
        <w:rPr>
          <w:sz w:val="24"/>
          <w:szCs w:val="24"/>
        </w:rPr>
        <w:t>Der foreligger begrænsede farmakokinetiske data hos patienter med let til moderat nedsat nyrefunktion.</w:t>
      </w:r>
    </w:p>
    <w:p w14:paraId="59CE78F3" w14:textId="77777777" w:rsidR="0065751F" w:rsidRPr="0065751F" w:rsidRDefault="0065751F" w:rsidP="0065751F">
      <w:pPr>
        <w:tabs>
          <w:tab w:val="left" w:pos="851"/>
        </w:tabs>
        <w:ind w:left="851"/>
        <w:rPr>
          <w:sz w:val="24"/>
          <w:szCs w:val="24"/>
        </w:rPr>
      </w:pPr>
    </w:p>
    <w:p w14:paraId="6102F464" w14:textId="77777777" w:rsidR="0065751F" w:rsidRPr="0065751F" w:rsidRDefault="0065751F" w:rsidP="0065751F">
      <w:pPr>
        <w:tabs>
          <w:tab w:val="left" w:pos="851"/>
        </w:tabs>
        <w:ind w:left="851"/>
        <w:rPr>
          <w:sz w:val="24"/>
          <w:szCs w:val="24"/>
        </w:rPr>
      </w:pPr>
      <w:r w:rsidRPr="0065751F">
        <w:rPr>
          <w:i/>
          <w:iCs/>
          <w:sz w:val="24"/>
          <w:szCs w:val="24"/>
        </w:rPr>
        <w:t>Nedsat leverfunktion</w:t>
      </w:r>
      <w:r w:rsidRPr="0065751F">
        <w:rPr>
          <w:i/>
          <w:iCs/>
          <w:sz w:val="24"/>
          <w:szCs w:val="24"/>
        </w:rPr>
        <w:br/>
      </w:r>
      <w:r w:rsidRPr="0065751F">
        <w:rPr>
          <w:sz w:val="24"/>
          <w:szCs w:val="24"/>
        </w:rPr>
        <w:t>Moderat leversygdom (Child</w:t>
      </w:r>
      <w:r w:rsidRPr="0065751F">
        <w:rPr>
          <w:sz w:val="24"/>
          <w:szCs w:val="24"/>
        </w:rPr>
        <w:noBreakHyphen/>
        <w:t>Pugh klasse B) påvirkede duloxetins farmakokinetik. Sammenlignet med raske personer var den tilsyneladende plasmaclearance 79 % lavere, den terminale halveringstid 2,3 gange længere, og AUC 3,7 gange højere hos patienter med moderat leversygdom.</w:t>
      </w:r>
    </w:p>
    <w:p w14:paraId="496692AB" w14:textId="77777777" w:rsidR="0065751F" w:rsidRPr="0065751F" w:rsidRDefault="0065751F" w:rsidP="0065751F">
      <w:pPr>
        <w:tabs>
          <w:tab w:val="left" w:pos="851"/>
        </w:tabs>
        <w:ind w:left="851"/>
        <w:rPr>
          <w:sz w:val="24"/>
          <w:szCs w:val="24"/>
        </w:rPr>
      </w:pPr>
      <w:r w:rsidRPr="0065751F">
        <w:rPr>
          <w:sz w:val="24"/>
          <w:szCs w:val="24"/>
        </w:rPr>
        <w:t>Farmakokinetikken af duloxetin og dets metabolitter er ikke undersøgt hos patienter med let eller svært nedsat leverfunktion.</w:t>
      </w:r>
    </w:p>
    <w:p w14:paraId="7F158B00" w14:textId="77777777" w:rsidR="0065751F" w:rsidRPr="0065751F" w:rsidRDefault="0065751F" w:rsidP="0065751F">
      <w:pPr>
        <w:tabs>
          <w:tab w:val="left" w:pos="851"/>
        </w:tabs>
        <w:ind w:left="851"/>
        <w:rPr>
          <w:sz w:val="24"/>
          <w:szCs w:val="24"/>
        </w:rPr>
      </w:pPr>
    </w:p>
    <w:p w14:paraId="788279E1" w14:textId="77777777" w:rsidR="0065751F" w:rsidRPr="0065751F" w:rsidRDefault="0065751F" w:rsidP="0065751F">
      <w:pPr>
        <w:tabs>
          <w:tab w:val="left" w:pos="851"/>
        </w:tabs>
        <w:ind w:left="851"/>
        <w:rPr>
          <w:sz w:val="24"/>
          <w:szCs w:val="24"/>
        </w:rPr>
      </w:pPr>
      <w:r w:rsidRPr="0065751F">
        <w:rPr>
          <w:i/>
          <w:iCs/>
          <w:sz w:val="24"/>
          <w:szCs w:val="24"/>
        </w:rPr>
        <w:lastRenderedPageBreak/>
        <w:t>Ammende kvinder</w:t>
      </w:r>
      <w:r w:rsidRPr="0065751F">
        <w:rPr>
          <w:i/>
          <w:iCs/>
          <w:sz w:val="24"/>
          <w:szCs w:val="24"/>
        </w:rPr>
        <w:br/>
      </w:r>
      <w:r w:rsidRPr="0065751F">
        <w:rPr>
          <w:sz w:val="24"/>
          <w:szCs w:val="24"/>
        </w:rPr>
        <w:t>Dispositionen af duloxetin blev undersøgt hos 6 ammende kvinder, som var mindst 12 uger postpartum. Duloxetin udskilles i modermælk, og steady state</w:t>
      </w:r>
      <w:r w:rsidRPr="0065751F">
        <w:rPr>
          <w:sz w:val="24"/>
          <w:szCs w:val="24"/>
        </w:rPr>
        <w:noBreakHyphen/>
        <w:t>koncentrationer i modermælk er ca. en fjerdedel af plasmakoncentrationen.</w:t>
      </w:r>
    </w:p>
    <w:p w14:paraId="408AA8BF" w14:textId="77777777" w:rsidR="0065751F" w:rsidRPr="0065751F" w:rsidRDefault="0065751F" w:rsidP="0065751F">
      <w:pPr>
        <w:tabs>
          <w:tab w:val="left" w:pos="851"/>
        </w:tabs>
        <w:ind w:left="851"/>
        <w:rPr>
          <w:sz w:val="24"/>
          <w:szCs w:val="24"/>
        </w:rPr>
      </w:pPr>
      <w:r w:rsidRPr="0065751F">
        <w:rPr>
          <w:sz w:val="24"/>
          <w:szCs w:val="24"/>
        </w:rPr>
        <w:t>Mængden af duloxetin i modermælk er ca. 7 µg/dag ved dosering på 40 mg to gange dagligt. Amning påvirkede ikke duloxetins farmakokinetik.</w:t>
      </w:r>
    </w:p>
    <w:p w14:paraId="2278728B" w14:textId="77777777" w:rsidR="0065751F" w:rsidRPr="0065751F" w:rsidRDefault="0065751F" w:rsidP="0065751F">
      <w:pPr>
        <w:tabs>
          <w:tab w:val="left" w:pos="851"/>
        </w:tabs>
        <w:ind w:left="851"/>
        <w:rPr>
          <w:sz w:val="24"/>
          <w:szCs w:val="24"/>
        </w:rPr>
      </w:pPr>
    </w:p>
    <w:p w14:paraId="01CEF918" w14:textId="77777777" w:rsidR="0065751F" w:rsidRPr="0065751F" w:rsidRDefault="0065751F" w:rsidP="0065751F">
      <w:pPr>
        <w:tabs>
          <w:tab w:val="left" w:pos="851"/>
        </w:tabs>
        <w:ind w:left="851"/>
        <w:rPr>
          <w:sz w:val="24"/>
          <w:szCs w:val="24"/>
        </w:rPr>
      </w:pPr>
      <w:r w:rsidRPr="0065751F">
        <w:rPr>
          <w:i/>
          <w:iCs/>
          <w:sz w:val="24"/>
          <w:szCs w:val="24"/>
        </w:rPr>
        <w:t>Pædiatrisk population</w:t>
      </w:r>
      <w:r w:rsidRPr="0065751F">
        <w:rPr>
          <w:i/>
          <w:iCs/>
          <w:sz w:val="24"/>
          <w:szCs w:val="24"/>
        </w:rPr>
        <w:br/>
      </w:r>
      <w:r w:rsidRPr="0065751F">
        <w:rPr>
          <w:sz w:val="24"/>
          <w:szCs w:val="24"/>
        </w:rPr>
        <w:t>Farmakokinetikken af duloxetin hos pædiatriske patienter i alderen 7</w:t>
      </w:r>
      <w:r w:rsidRPr="0065751F">
        <w:rPr>
          <w:sz w:val="24"/>
          <w:szCs w:val="24"/>
        </w:rPr>
        <w:noBreakHyphen/>
        <w:t>17 år med svær depressiv episode efter oral administration af 20</w:t>
      </w:r>
      <w:r w:rsidRPr="0065751F">
        <w:rPr>
          <w:sz w:val="24"/>
          <w:szCs w:val="24"/>
        </w:rPr>
        <w:noBreakHyphen/>
        <w:t>120 mg én gang dagligt blev karakteriseret ved populationsfarmakokinetiske analyser baseret på data fra 3 studier.</w:t>
      </w:r>
    </w:p>
    <w:p w14:paraId="7C36C2D7" w14:textId="77777777" w:rsidR="0065751F" w:rsidRPr="0065751F" w:rsidRDefault="0065751F" w:rsidP="0065751F">
      <w:pPr>
        <w:tabs>
          <w:tab w:val="left" w:pos="851"/>
        </w:tabs>
        <w:ind w:left="851"/>
        <w:rPr>
          <w:sz w:val="24"/>
          <w:szCs w:val="24"/>
        </w:rPr>
      </w:pPr>
      <w:r w:rsidRPr="0065751F">
        <w:rPr>
          <w:sz w:val="24"/>
          <w:szCs w:val="24"/>
        </w:rPr>
        <w:t>De modelberegnede steady state</w:t>
      </w:r>
      <w:r w:rsidRPr="0065751F">
        <w:rPr>
          <w:sz w:val="24"/>
          <w:szCs w:val="24"/>
        </w:rPr>
        <w:noBreakHyphen/>
        <w:t>plasmakoncentrationer af duloxetin hos pædiatriske patienter lå generelt inden for det koncentrationsinterval, der er observeret hos voksne patienter.</w:t>
      </w:r>
    </w:p>
    <w:p w14:paraId="5902CE80" w14:textId="77777777" w:rsidR="009260DE" w:rsidRPr="00C84483" w:rsidRDefault="009260DE" w:rsidP="009260DE">
      <w:pPr>
        <w:tabs>
          <w:tab w:val="left" w:pos="851"/>
        </w:tabs>
        <w:ind w:left="851"/>
        <w:rPr>
          <w:sz w:val="24"/>
          <w:szCs w:val="24"/>
        </w:rPr>
      </w:pPr>
    </w:p>
    <w:p w14:paraId="5BB8EF1F" w14:textId="77777777" w:rsidR="009260DE" w:rsidRPr="00C84483" w:rsidRDefault="009260DE" w:rsidP="009260DE">
      <w:pPr>
        <w:tabs>
          <w:tab w:val="left" w:pos="851"/>
        </w:tabs>
        <w:ind w:left="851" w:hanging="851"/>
        <w:rPr>
          <w:b/>
          <w:sz w:val="24"/>
          <w:szCs w:val="24"/>
        </w:rPr>
      </w:pPr>
      <w:r w:rsidRPr="00C84483">
        <w:rPr>
          <w:b/>
          <w:sz w:val="24"/>
          <w:szCs w:val="24"/>
        </w:rPr>
        <w:t>5.3</w:t>
      </w:r>
      <w:r w:rsidRPr="00C84483">
        <w:rPr>
          <w:b/>
          <w:sz w:val="24"/>
          <w:szCs w:val="24"/>
        </w:rPr>
        <w:tab/>
      </w:r>
      <w:r w:rsidR="00BD7931">
        <w:rPr>
          <w:b/>
          <w:sz w:val="24"/>
          <w:szCs w:val="24"/>
        </w:rPr>
        <w:t>Non-</w:t>
      </w:r>
      <w:r w:rsidRPr="00C84483">
        <w:rPr>
          <w:b/>
          <w:sz w:val="24"/>
          <w:szCs w:val="24"/>
        </w:rPr>
        <w:t>kliniske sikkerhedsdata</w:t>
      </w:r>
    </w:p>
    <w:p w14:paraId="5FCD88A0" w14:textId="77777777" w:rsidR="00B3782D" w:rsidRPr="00B3782D" w:rsidRDefault="00B3782D" w:rsidP="00B3782D">
      <w:pPr>
        <w:tabs>
          <w:tab w:val="left" w:pos="851"/>
        </w:tabs>
        <w:ind w:left="851"/>
        <w:rPr>
          <w:sz w:val="24"/>
          <w:szCs w:val="24"/>
        </w:rPr>
      </w:pPr>
      <w:r w:rsidRPr="00B3782D">
        <w:rPr>
          <w:sz w:val="24"/>
          <w:szCs w:val="24"/>
        </w:rPr>
        <w:t>Duloxetin var ikke genotoksisk i et standard testbatteri og var ikke karcinogent hos rotter. Multinukleære celler blev observeret i leveren uden andre histopatologiske forandringer i rotters karcinogenicitetsstudier. Den underliggende mekanisme og den kliniske relevans er ukendt.</w:t>
      </w:r>
    </w:p>
    <w:p w14:paraId="6AFF53DD" w14:textId="77777777" w:rsidR="00B3782D" w:rsidRPr="00B3782D" w:rsidRDefault="00B3782D" w:rsidP="00B3782D">
      <w:pPr>
        <w:tabs>
          <w:tab w:val="left" w:pos="851"/>
        </w:tabs>
        <w:ind w:left="851"/>
        <w:rPr>
          <w:sz w:val="24"/>
          <w:szCs w:val="24"/>
        </w:rPr>
      </w:pPr>
      <w:r w:rsidRPr="00B3782D">
        <w:rPr>
          <w:sz w:val="24"/>
          <w:szCs w:val="24"/>
        </w:rPr>
        <w:t>Hos hunmus, der fik duloxetin i 2 år, blev der kun ved høj dosis (144 mg/kg/dag) observeret en øget forekomst af hepatocellulære adenomer og karcinomer. Disse blev dog anset for sekundære til induktion af hepatiske mikrosomale enzymer. Relevansen af disse fund for mennesker er ukendt.</w:t>
      </w:r>
    </w:p>
    <w:p w14:paraId="60413B25" w14:textId="77777777" w:rsidR="00B3782D" w:rsidRPr="00B3782D" w:rsidRDefault="00B3782D" w:rsidP="00B3782D">
      <w:pPr>
        <w:tabs>
          <w:tab w:val="left" w:pos="851"/>
        </w:tabs>
        <w:ind w:left="851"/>
        <w:rPr>
          <w:sz w:val="24"/>
          <w:szCs w:val="24"/>
        </w:rPr>
      </w:pPr>
      <w:r w:rsidRPr="00B3782D">
        <w:rPr>
          <w:sz w:val="24"/>
          <w:szCs w:val="24"/>
        </w:rPr>
        <w:t>Hunrotter, der fik duloxetin (45 mg/kg/dag) før og under parring samt i tidlig drægtighed, viste nedsat fødeindtagelse og kropsvægt hos moderdyrene, forstyrrelser i brunstcyklus, nedsat antal levende fødte unger og nedsat overlevelse af afkom samt hæmmet vækst hos afkom ved systemiske eksponeringsniveauer estimeret til højst at svare til maksimal klinisk eksponering (AUC).</w:t>
      </w:r>
    </w:p>
    <w:p w14:paraId="4186F001" w14:textId="77777777" w:rsidR="00B3782D" w:rsidRPr="00B3782D" w:rsidRDefault="00B3782D" w:rsidP="00B3782D">
      <w:pPr>
        <w:tabs>
          <w:tab w:val="left" w:pos="851"/>
        </w:tabs>
        <w:ind w:left="851"/>
        <w:rPr>
          <w:sz w:val="24"/>
          <w:szCs w:val="24"/>
        </w:rPr>
      </w:pPr>
      <w:r w:rsidRPr="00B3782D">
        <w:rPr>
          <w:sz w:val="24"/>
          <w:szCs w:val="24"/>
        </w:rPr>
        <w:t>I et embryotoksicitetsstudie hos kaniner blev der observeret en højere forekomst af kardiovaskulære og skeletale misdannelser ved systemiske eksponeringsniveauer under den maksimale kliniske eksponering (AUC). Der blev ikke observeret misdannelser i et andet studie med en højere dosis af en anden saltform af duloxetin. I præ</w:t>
      </w:r>
      <w:r w:rsidRPr="00B3782D">
        <w:rPr>
          <w:sz w:val="24"/>
          <w:szCs w:val="24"/>
        </w:rPr>
        <w:noBreakHyphen/>
        <w:t xml:space="preserve"> og postnatale toksicitetsstudier hos rotter medførte duloxetin negative adfærdsmæssige effekter hos afkom ved eksponeringsniveauer under maksimal klinisk eksponering (AUC).</w:t>
      </w:r>
    </w:p>
    <w:p w14:paraId="70B22FFA" w14:textId="77777777" w:rsidR="00B3782D" w:rsidRPr="00B3782D" w:rsidRDefault="00B3782D" w:rsidP="00B3782D">
      <w:pPr>
        <w:tabs>
          <w:tab w:val="left" w:pos="851"/>
        </w:tabs>
        <w:ind w:left="851"/>
        <w:rPr>
          <w:sz w:val="24"/>
          <w:szCs w:val="24"/>
        </w:rPr>
      </w:pPr>
    </w:p>
    <w:p w14:paraId="7EE76CF2" w14:textId="77777777" w:rsidR="00B3782D" w:rsidRPr="00B3782D" w:rsidRDefault="00B3782D" w:rsidP="00B3782D">
      <w:pPr>
        <w:tabs>
          <w:tab w:val="left" w:pos="851"/>
        </w:tabs>
        <w:ind w:left="851"/>
        <w:rPr>
          <w:sz w:val="24"/>
          <w:szCs w:val="24"/>
        </w:rPr>
      </w:pPr>
      <w:r w:rsidRPr="00B3782D">
        <w:rPr>
          <w:sz w:val="24"/>
          <w:szCs w:val="24"/>
        </w:rPr>
        <w:t>Studier med juvenile rotter viste forbigående effekter på neuroadfærd samt signifikant nedsat kropsvægt og fødeindtagelse, induktion af leverenzymer og hepatocellulær vakuolisering ved 45 mg/kg/dag. Den generelle toksicitetsprofil for duloxetin hos juvenile rotter svarede til den, der er observeret hos voksne rotter. Niveauet uden observerede bivirkninger (NOAEL) blev fastsat til 20 mg/kg/dag.</w:t>
      </w:r>
    </w:p>
    <w:p w14:paraId="69A701B0" w14:textId="77777777" w:rsidR="009260DE" w:rsidRPr="00C84483" w:rsidRDefault="009260DE" w:rsidP="009260DE">
      <w:pPr>
        <w:tabs>
          <w:tab w:val="left" w:pos="851"/>
        </w:tabs>
        <w:ind w:left="851"/>
        <w:rPr>
          <w:sz w:val="24"/>
          <w:szCs w:val="24"/>
        </w:rPr>
      </w:pPr>
    </w:p>
    <w:p w14:paraId="46F8B8B8" w14:textId="77777777" w:rsidR="009260DE" w:rsidRPr="00C84483" w:rsidRDefault="009260DE" w:rsidP="009260DE">
      <w:pPr>
        <w:tabs>
          <w:tab w:val="left" w:pos="851"/>
        </w:tabs>
        <w:ind w:left="851"/>
        <w:rPr>
          <w:sz w:val="24"/>
          <w:szCs w:val="24"/>
        </w:rPr>
      </w:pPr>
    </w:p>
    <w:p w14:paraId="4ED34761" w14:textId="77777777" w:rsidR="009260DE" w:rsidRPr="00C84483" w:rsidRDefault="009260DE" w:rsidP="009260DE">
      <w:pPr>
        <w:tabs>
          <w:tab w:val="left" w:pos="851"/>
        </w:tabs>
        <w:ind w:left="851" w:hanging="851"/>
        <w:rPr>
          <w:b/>
          <w:sz w:val="24"/>
          <w:szCs w:val="24"/>
        </w:rPr>
      </w:pPr>
      <w:r w:rsidRPr="00C84483">
        <w:rPr>
          <w:b/>
          <w:sz w:val="24"/>
          <w:szCs w:val="24"/>
        </w:rPr>
        <w:t>6.</w:t>
      </w:r>
      <w:r w:rsidRPr="00C84483">
        <w:rPr>
          <w:b/>
          <w:sz w:val="24"/>
          <w:szCs w:val="24"/>
        </w:rPr>
        <w:tab/>
        <w:t>FARMACEUTISKE OPLYSNINGER</w:t>
      </w:r>
    </w:p>
    <w:p w14:paraId="1A663A98" w14:textId="77777777" w:rsidR="009260DE" w:rsidRPr="00BA09F1" w:rsidRDefault="009260DE" w:rsidP="009260DE">
      <w:pPr>
        <w:tabs>
          <w:tab w:val="left" w:pos="851"/>
        </w:tabs>
        <w:ind w:left="851"/>
        <w:rPr>
          <w:sz w:val="24"/>
          <w:szCs w:val="24"/>
        </w:rPr>
      </w:pPr>
    </w:p>
    <w:p w14:paraId="5EE29157" w14:textId="77777777" w:rsidR="009260DE" w:rsidRPr="00C84483" w:rsidRDefault="009260DE" w:rsidP="009260DE">
      <w:pPr>
        <w:tabs>
          <w:tab w:val="left" w:pos="851"/>
        </w:tabs>
        <w:ind w:left="851" w:hanging="851"/>
        <w:rPr>
          <w:b/>
          <w:sz w:val="24"/>
          <w:szCs w:val="24"/>
        </w:rPr>
      </w:pPr>
      <w:r w:rsidRPr="00C84483">
        <w:rPr>
          <w:b/>
          <w:sz w:val="24"/>
          <w:szCs w:val="24"/>
        </w:rPr>
        <w:t>6.1</w:t>
      </w:r>
      <w:r w:rsidRPr="00C84483">
        <w:rPr>
          <w:b/>
          <w:sz w:val="24"/>
          <w:szCs w:val="24"/>
        </w:rPr>
        <w:tab/>
        <w:t>Hjælpestoffer</w:t>
      </w:r>
    </w:p>
    <w:p w14:paraId="6BCD5708" w14:textId="77777777" w:rsidR="00B3782D" w:rsidRPr="00B3782D" w:rsidRDefault="00B3782D" w:rsidP="00B3782D">
      <w:pPr>
        <w:tabs>
          <w:tab w:val="left" w:pos="851"/>
        </w:tabs>
        <w:ind w:left="851"/>
        <w:rPr>
          <w:sz w:val="24"/>
          <w:szCs w:val="24"/>
        </w:rPr>
      </w:pPr>
    </w:p>
    <w:p w14:paraId="3F90C604" w14:textId="77777777" w:rsidR="00B3782D" w:rsidRPr="00B3782D" w:rsidRDefault="00B3782D" w:rsidP="00B3782D">
      <w:pPr>
        <w:tabs>
          <w:tab w:val="left" w:pos="851"/>
        </w:tabs>
        <w:ind w:left="851"/>
        <w:rPr>
          <w:sz w:val="24"/>
          <w:szCs w:val="24"/>
        </w:rPr>
      </w:pPr>
      <w:r w:rsidRPr="00B3782D">
        <w:rPr>
          <w:sz w:val="24"/>
          <w:szCs w:val="24"/>
          <w:u w:val="single"/>
        </w:rPr>
        <w:t>Kapselindhold</w:t>
      </w:r>
      <w:r w:rsidRPr="00B3782D">
        <w:rPr>
          <w:sz w:val="24"/>
          <w:szCs w:val="24"/>
        </w:rPr>
        <w:br/>
        <w:t>Sukkerkugler (indeholdende majsstivelse og saccharose)</w:t>
      </w:r>
      <w:r w:rsidRPr="00B3782D">
        <w:rPr>
          <w:sz w:val="24"/>
          <w:szCs w:val="24"/>
        </w:rPr>
        <w:br/>
        <w:t>Ascorbinsyre</w:t>
      </w:r>
      <w:r w:rsidRPr="00B3782D">
        <w:rPr>
          <w:sz w:val="24"/>
          <w:szCs w:val="24"/>
        </w:rPr>
        <w:br/>
        <w:t>Hypromellose 2910 (6 mPa·s)</w:t>
      </w:r>
      <w:r w:rsidRPr="00B3782D">
        <w:rPr>
          <w:sz w:val="24"/>
          <w:szCs w:val="24"/>
        </w:rPr>
        <w:br/>
      </w:r>
      <w:r w:rsidRPr="00B3782D">
        <w:rPr>
          <w:sz w:val="24"/>
          <w:szCs w:val="24"/>
        </w:rPr>
        <w:lastRenderedPageBreak/>
        <w:t>Talcum</w:t>
      </w:r>
      <w:r w:rsidRPr="00B3782D">
        <w:rPr>
          <w:sz w:val="24"/>
          <w:szCs w:val="24"/>
        </w:rPr>
        <w:br/>
        <w:t>Saccharose</w:t>
      </w:r>
      <w:r w:rsidRPr="00B3782D">
        <w:rPr>
          <w:sz w:val="24"/>
          <w:szCs w:val="24"/>
        </w:rPr>
        <w:br/>
        <w:t>Hypromellosephthalat</w:t>
      </w:r>
      <w:r w:rsidRPr="00B3782D">
        <w:rPr>
          <w:sz w:val="24"/>
          <w:szCs w:val="24"/>
        </w:rPr>
        <w:br/>
        <w:t>Triethylcitrat</w:t>
      </w:r>
    </w:p>
    <w:p w14:paraId="300967E3" w14:textId="77777777" w:rsidR="00B3782D" w:rsidRPr="00B3782D" w:rsidRDefault="00B3782D" w:rsidP="00B3782D">
      <w:pPr>
        <w:tabs>
          <w:tab w:val="left" w:pos="851"/>
        </w:tabs>
        <w:ind w:left="851"/>
        <w:rPr>
          <w:sz w:val="24"/>
          <w:szCs w:val="24"/>
        </w:rPr>
      </w:pPr>
    </w:p>
    <w:p w14:paraId="73E34089" w14:textId="77777777" w:rsidR="00B3782D" w:rsidRPr="00B3782D" w:rsidRDefault="00B3782D" w:rsidP="00B3782D">
      <w:pPr>
        <w:tabs>
          <w:tab w:val="left" w:pos="851"/>
        </w:tabs>
        <w:ind w:left="851"/>
        <w:rPr>
          <w:sz w:val="24"/>
          <w:szCs w:val="24"/>
          <w:u w:val="single"/>
        </w:rPr>
      </w:pPr>
      <w:r w:rsidRPr="00B3782D">
        <w:rPr>
          <w:sz w:val="24"/>
          <w:szCs w:val="24"/>
          <w:u w:val="single"/>
        </w:rPr>
        <w:t>Kapselskal</w:t>
      </w:r>
    </w:p>
    <w:p w14:paraId="75D16EBC" w14:textId="77777777" w:rsidR="00B3782D" w:rsidRDefault="00B3782D" w:rsidP="00B3782D">
      <w:pPr>
        <w:tabs>
          <w:tab w:val="left" w:pos="851"/>
        </w:tabs>
        <w:ind w:left="851"/>
        <w:rPr>
          <w:i/>
          <w:iCs/>
          <w:sz w:val="24"/>
          <w:szCs w:val="24"/>
        </w:rPr>
      </w:pPr>
    </w:p>
    <w:p w14:paraId="702FB623" w14:textId="655B2CC5" w:rsidR="00B3782D" w:rsidRPr="00B3782D" w:rsidRDefault="00B3782D" w:rsidP="00B3782D">
      <w:pPr>
        <w:tabs>
          <w:tab w:val="left" w:pos="851"/>
        </w:tabs>
        <w:ind w:left="851"/>
        <w:rPr>
          <w:sz w:val="24"/>
          <w:szCs w:val="24"/>
        </w:rPr>
      </w:pPr>
      <w:r w:rsidRPr="00B3782D">
        <w:rPr>
          <w:i/>
          <w:iCs/>
          <w:sz w:val="24"/>
          <w:szCs w:val="24"/>
        </w:rPr>
        <w:t>For 30 mg, 45 mg, 60 mg, 90 mg og 120 mg:</w:t>
      </w:r>
      <w:r w:rsidRPr="00B3782D">
        <w:rPr>
          <w:sz w:val="24"/>
          <w:szCs w:val="24"/>
        </w:rPr>
        <w:br/>
        <w:t>Gelatine</w:t>
      </w:r>
      <w:r w:rsidRPr="00B3782D">
        <w:rPr>
          <w:sz w:val="24"/>
          <w:szCs w:val="24"/>
        </w:rPr>
        <w:br/>
        <w:t>Titandioxid (E171)</w:t>
      </w:r>
      <w:r w:rsidRPr="00B3782D">
        <w:rPr>
          <w:sz w:val="24"/>
          <w:szCs w:val="24"/>
        </w:rPr>
        <w:br/>
        <w:t>Natriumlaurylsulfat</w:t>
      </w:r>
      <w:r w:rsidRPr="00B3782D">
        <w:rPr>
          <w:sz w:val="24"/>
          <w:szCs w:val="24"/>
        </w:rPr>
        <w:br/>
        <w:t>Spiselig trykfarve</w:t>
      </w:r>
      <w:r w:rsidRPr="00B3782D">
        <w:rPr>
          <w:sz w:val="24"/>
          <w:szCs w:val="24"/>
        </w:rPr>
        <w:br/>
        <w:t>Indigotin (E132)</w:t>
      </w:r>
    </w:p>
    <w:p w14:paraId="716B4BFB" w14:textId="77777777" w:rsidR="00B3782D" w:rsidRPr="00B3782D" w:rsidRDefault="00B3782D" w:rsidP="00B3782D">
      <w:pPr>
        <w:tabs>
          <w:tab w:val="left" w:pos="851"/>
        </w:tabs>
        <w:ind w:left="851"/>
        <w:rPr>
          <w:sz w:val="24"/>
          <w:szCs w:val="24"/>
        </w:rPr>
      </w:pPr>
    </w:p>
    <w:p w14:paraId="3C4ED259" w14:textId="77777777" w:rsidR="00B3782D" w:rsidRPr="00B3782D" w:rsidRDefault="00B3782D" w:rsidP="00B3782D">
      <w:pPr>
        <w:tabs>
          <w:tab w:val="left" w:pos="851"/>
        </w:tabs>
        <w:ind w:left="851"/>
        <w:rPr>
          <w:sz w:val="24"/>
          <w:szCs w:val="24"/>
        </w:rPr>
      </w:pPr>
      <w:r w:rsidRPr="00B3782D">
        <w:rPr>
          <w:i/>
          <w:iCs/>
          <w:sz w:val="24"/>
          <w:szCs w:val="24"/>
        </w:rPr>
        <w:t>Kun for 45 mg, 60 mg og 90 mg:</w:t>
      </w:r>
      <w:r w:rsidRPr="00B3782D">
        <w:rPr>
          <w:sz w:val="24"/>
          <w:szCs w:val="24"/>
        </w:rPr>
        <w:br/>
        <w:t>Jernoxid, gul (E172)</w:t>
      </w:r>
    </w:p>
    <w:p w14:paraId="36E8650B" w14:textId="77777777" w:rsidR="00B3782D" w:rsidRPr="00B3782D" w:rsidRDefault="00B3782D" w:rsidP="00B3782D">
      <w:pPr>
        <w:tabs>
          <w:tab w:val="left" w:pos="851"/>
        </w:tabs>
        <w:ind w:left="851"/>
        <w:rPr>
          <w:sz w:val="24"/>
          <w:szCs w:val="24"/>
        </w:rPr>
      </w:pPr>
    </w:p>
    <w:p w14:paraId="0C792021" w14:textId="77777777" w:rsidR="00B3782D" w:rsidRPr="00B3782D" w:rsidRDefault="00B3782D" w:rsidP="00B3782D">
      <w:pPr>
        <w:tabs>
          <w:tab w:val="left" w:pos="851"/>
        </w:tabs>
        <w:ind w:left="851"/>
        <w:rPr>
          <w:sz w:val="24"/>
          <w:szCs w:val="24"/>
        </w:rPr>
      </w:pPr>
      <w:r w:rsidRPr="00B3782D">
        <w:rPr>
          <w:sz w:val="24"/>
          <w:szCs w:val="24"/>
          <w:u w:val="single"/>
        </w:rPr>
        <w:t>Spiselig trykfarve</w:t>
      </w:r>
      <w:r w:rsidRPr="00B3782D">
        <w:rPr>
          <w:sz w:val="24"/>
          <w:szCs w:val="24"/>
        </w:rPr>
        <w:br/>
        <w:t>Shellak (for 30 mg, 45 mg, 60 mg, 90 mg og 120 mg)</w:t>
      </w:r>
      <w:r w:rsidRPr="00B3782D">
        <w:rPr>
          <w:sz w:val="24"/>
          <w:szCs w:val="24"/>
        </w:rPr>
        <w:br/>
        <w:t>Indigotin aluminiumlake (E132) (kun for 30 mg)</w:t>
      </w:r>
      <w:r w:rsidRPr="00B3782D">
        <w:rPr>
          <w:sz w:val="24"/>
          <w:szCs w:val="24"/>
        </w:rPr>
        <w:br/>
        <w:t>Titandioxid (E171) (kun for 30 mg, 60 mg og 120 mg)</w:t>
      </w:r>
      <w:r w:rsidRPr="00B3782D">
        <w:rPr>
          <w:sz w:val="24"/>
          <w:szCs w:val="24"/>
        </w:rPr>
        <w:br/>
        <w:t>Jernoxid, gul (E172) (kun for 30 mg)</w:t>
      </w:r>
      <w:r w:rsidRPr="00B3782D">
        <w:rPr>
          <w:sz w:val="24"/>
          <w:szCs w:val="24"/>
        </w:rPr>
        <w:br/>
        <w:t>Jernoxid, sort (E172) (kun for 45 mg og 90 mg)</w:t>
      </w:r>
      <w:r w:rsidRPr="00B3782D">
        <w:rPr>
          <w:sz w:val="24"/>
          <w:szCs w:val="24"/>
        </w:rPr>
        <w:br/>
        <w:t>Kaliumhydroxid (E525) (kun for 45 mg, 60 mg, 90 mg og 120 mg)</w:t>
      </w:r>
    </w:p>
    <w:p w14:paraId="3F7013DA" w14:textId="77777777" w:rsidR="009260DE" w:rsidRPr="00C84483" w:rsidRDefault="009260DE" w:rsidP="009260DE">
      <w:pPr>
        <w:tabs>
          <w:tab w:val="left" w:pos="851"/>
        </w:tabs>
        <w:ind w:left="851"/>
        <w:rPr>
          <w:sz w:val="24"/>
          <w:szCs w:val="24"/>
        </w:rPr>
      </w:pPr>
    </w:p>
    <w:p w14:paraId="49B677A6" w14:textId="77777777" w:rsidR="009260DE" w:rsidRPr="00C84483" w:rsidRDefault="009260DE" w:rsidP="009260DE">
      <w:pPr>
        <w:tabs>
          <w:tab w:val="left" w:pos="851"/>
        </w:tabs>
        <w:ind w:left="851" w:hanging="851"/>
        <w:rPr>
          <w:b/>
          <w:sz w:val="24"/>
          <w:szCs w:val="24"/>
        </w:rPr>
      </w:pPr>
      <w:r w:rsidRPr="00C84483">
        <w:rPr>
          <w:b/>
          <w:sz w:val="24"/>
          <w:szCs w:val="24"/>
        </w:rPr>
        <w:t>6.2</w:t>
      </w:r>
      <w:r w:rsidRPr="00C84483">
        <w:rPr>
          <w:b/>
          <w:sz w:val="24"/>
          <w:szCs w:val="24"/>
        </w:rPr>
        <w:tab/>
        <w:t>Uforligeligheder</w:t>
      </w:r>
    </w:p>
    <w:p w14:paraId="10389232" w14:textId="77777777" w:rsidR="00B3782D" w:rsidRPr="00B3782D" w:rsidRDefault="00B3782D" w:rsidP="00B3782D">
      <w:pPr>
        <w:tabs>
          <w:tab w:val="left" w:pos="851"/>
        </w:tabs>
        <w:ind w:left="851"/>
        <w:rPr>
          <w:sz w:val="24"/>
          <w:szCs w:val="24"/>
        </w:rPr>
      </w:pPr>
      <w:r w:rsidRPr="00B3782D">
        <w:rPr>
          <w:sz w:val="24"/>
          <w:szCs w:val="24"/>
        </w:rPr>
        <w:t>Ikke relevant.</w:t>
      </w:r>
    </w:p>
    <w:p w14:paraId="702B21FE" w14:textId="77777777" w:rsidR="009260DE" w:rsidRPr="00C84483" w:rsidRDefault="009260DE" w:rsidP="009260DE">
      <w:pPr>
        <w:tabs>
          <w:tab w:val="left" w:pos="851"/>
        </w:tabs>
        <w:ind w:left="851"/>
        <w:rPr>
          <w:sz w:val="24"/>
          <w:szCs w:val="24"/>
        </w:rPr>
      </w:pPr>
    </w:p>
    <w:p w14:paraId="41C3EF34" w14:textId="77777777" w:rsidR="009260DE" w:rsidRPr="00C84483" w:rsidRDefault="009260DE" w:rsidP="009260DE">
      <w:pPr>
        <w:tabs>
          <w:tab w:val="left" w:pos="851"/>
        </w:tabs>
        <w:ind w:left="851" w:hanging="851"/>
        <w:rPr>
          <w:b/>
          <w:sz w:val="24"/>
          <w:szCs w:val="24"/>
        </w:rPr>
      </w:pPr>
      <w:r w:rsidRPr="00C84483">
        <w:rPr>
          <w:b/>
          <w:sz w:val="24"/>
          <w:szCs w:val="24"/>
        </w:rPr>
        <w:t>6.3</w:t>
      </w:r>
      <w:r w:rsidRPr="00C84483">
        <w:rPr>
          <w:b/>
          <w:sz w:val="24"/>
          <w:szCs w:val="24"/>
        </w:rPr>
        <w:tab/>
        <w:t>Opbevaringstid</w:t>
      </w:r>
    </w:p>
    <w:p w14:paraId="06A994AB" w14:textId="77777777" w:rsidR="00B3782D" w:rsidRPr="00B3782D" w:rsidRDefault="00B3782D" w:rsidP="00B3782D">
      <w:pPr>
        <w:tabs>
          <w:tab w:val="left" w:pos="851"/>
        </w:tabs>
        <w:ind w:left="851"/>
        <w:rPr>
          <w:sz w:val="24"/>
          <w:szCs w:val="24"/>
        </w:rPr>
      </w:pPr>
      <w:r w:rsidRPr="00B3782D">
        <w:rPr>
          <w:sz w:val="24"/>
          <w:szCs w:val="24"/>
        </w:rPr>
        <w:t>For 30 mg, 60 mg, 90 mg og 120 mg: 27 måneder.</w:t>
      </w:r>
    </w:p>
    <w:p w14:paraId="32B9101B" w14:textId="77777777" w:rsidR="00B3782D" w:rsidRPr="00B3782D" w:rsidRDefault="00B3782D" w:rsidP="00B3782D">
      <w:pPr>
        <w:tabs>
          <w:tab w:val="left" w:pos="851"/>
        </w:tabs>
        <w:ind w:left="851"/>
        <w:rPr>
          <w:sz w:val="24"/>
          <w:szCs w:val="24"/>
        </w:rPr>
      </w:pPr>
      <w:r w:rsidRPr="00B3782D">
        <w:rPr>
          <w:sz w:val="24"/>
          <w:szCs w:val="24"/>
        </w:rPr>
        <w:t>For 45 mg: 3 år.</w:t>
      </w:r>
    </w:p>
    <w:p w14:paraId="1F9FF7B5" w14:textId="77777777" w:rsidR="009260DE" w:rsidRPr="00C84483" w:rsidRDefault="009260DE" w:rsidP="009260DE">
      <w:pPr>
        <w:tabs>
          <w:tab w:val="left" w:pos="851"/>
        </w:tabs>
        <w:ind w:left="851"/>
        <w:rPr>
          <w:sz w:val="24"/>
          <w:szCs w:val="24"/>
        </w:rPr>
      </w:pPr>
    </w:p>
    <w:p w14:paraId="56EEA6F4" w14:textId="77777777" w:rsidR="009260DE" w:rsidRPr="00C84483" w:rsidRDefault="009260DE" w:rsidP="009260DE">
      <w:pPr>
        <w:tabs>
          <w:tab w:val="left" w:pos="851"/>
        </w:tabs>
        <w:ind w:left="851" w:hanging="851"/>
        <w:rPr>
          <w:b/>
          <w:sz w:val="24"/>
          <w:szCs w:val="24"/>
        </w:rPr>
      </w:pPr>
      <w:r w:rsidRPr="00C84483">
        <w:rPr>
          <w:b/>
          <w:sz w:val="24"/>
          <w:szCs w:val="24"/>
        </w:rPr>
        <w:t>6.4</w:t>
      </w:r>
      <w:r w:rsidRPr="00C84483">
        <w:rPr>
          <w:b/>
          <w:sz w:val="24"/>
          <w:szCs w:val="24"/>
        </w:rPr>
        <w:tab/>
        <w:t>Særlige opbevaringsforhold</w:t>
      </w:r>
    </w:p>
    <w:p w14:paraId="1BA20020" w14:textId="77777777" w:rsidR="00B3782D" w:rsidRDefault="00B3782D" w:rsidP="00B3782D">
      <w:pPr>
        <w:tabs>
          <w:tab w:val="left" w:pos="851"/>
        </w:tabs>
        <w:ind w:left="851"/>
        <w:rPr>
          <w:sz w:val="24"/>
          <w:szCs w:val="24"/>
        </w:rPr>
      </w:pPr>
      <w:r w:rsidRPr="00B3782D">
        <w:rPr>
          <w:sz w:val="24"/>
          <w:szCs w:val="24"/>
        </w:rPr>
        <w:t>Opbevares i originalemballagen for at beskytte mod fugt.</w:t>
      </w:r>
    </w:p>
    <w:p w14:paraId="62A94689" w14:textId="1025F7D9" w:rsidR="00B3782D" w:rsidRPr="00B3782D" w:rsidRDefault="00B3782D" w:rsidP="00B3782D">
      <w:pPr>
        <w:tabs>
          <w:tab w:val="left" w:pos="851"/>
        </w:tabs>
        <w:ind w:left="851"/>
        <w:rPr>
          <w:sz w:val="24"/>
          <w:szCs w:val="24"/>
        </w:rPr>
      </w:pPr>
      <w:r w:rsidRPr="00B3782D">
        <w:rPr>
          <w:sz w:val="24"/>
          <w:szCs w:val="24"/>
        </w:rPr>
        <w:t>Må ikke opbevares ved temperaturer over 30 °C.</w:t>
      </w:r>
    </w:p>
    <w:p w14:paraId="21ED481E" w14:textId="77777777" w:rsidR="009260DE" w:rsidRPr="00C84483" w:rsidRDefault="009260DE" w:rsidP="009260DE">
      <w:pPr>
        <w:tabs>
          <w:tab w:val="left" w:pos="851"/>
        </w:tabs>
        <w:ind w:left="851"/>
        <w:rPr>
          <w:sz w:val="24"/>
          <w:szCs w:val="24"/>
        </w:rPr>
      </w:pPr>
    </w:p>
    <w:p w14:paraId="26F47DAB" w14:textId="77777777" w:rsidR="009260DE" w:rsidRPr="00C84483" w:rsidRDefault="009260DE" w:rsidP="009260DE">
      <w:pPr>
        <w:tabs>
          <w:tab w:val="left" w:pos="851"/>
        </w:tabs>
        <w:ind w:left="851" w:hanging="851"/>
        <w:rPr>
          <w:b/>
          <w:sz w:val="24"/>
          <w:szCs w:val="24"/>
        </w:rPr>
      </w:pPr>
      <w:r w:rsidRPr="00C84483">
        <w:rPr>
          <w:b/>
          <w:sz w:val="24"/>
          <w:szCs w:val="24"/>
        </w:rPr>
        <w:t>6.5</w:t>
      </w:r>
      <w:r w:rsidRPr="00C84483">
        <w:rPr>
          <w:b/>
          <w:sz w:val="24"/>
          <w:szCs w:val="24"/>
        </w:rPr>
        <w:tab/>
        <w:t>Emballagetype og pakningsstørrelser</w:t>
      </w:r>
    </w:p>
    <w:p w14:paraId="66397DA5" w14:textId="77777777" w:rsidR="00B3782D" w:rsidRPr="00B3782D" w:rsidRDefault="00B3782D" w:rsidP="00B3782D">
      <w:pPr>
        <w:tabs>
          <w:tab w:val="left" w:pos="851"/>
        </w:tabs>
        <w:ind w:left="851"/>
        <w:rPr>
          <w:sz w:val="24"/>
          <w:szCs w:val="24"/>
        </w:rPr>
      </w:pPr>
    </w:p>
    <w:p w14:paraId="4696082B" w14:textId="77777777" w:rsidR="00B3782D" w:rsidRPr="00B3782D" w:rsidRDefault="00B3782D" w:rsidP="00B3782D">
      <w:pPr>
        <w:tabs>
          <w:tab w:val="left" w:pos="851"/>
        </w:tabs>
        <w:ind w:left="851"/>
        <w:rPr>
          <w:sz w:val="24"/>
          <w:szCs w:val="24"/>
          <w:u w:val="single"/>
        </w:rPr>
      </w:pPr>
      <w:r w:rsidRPr="00B3782D">
        <w:rPr>
          <w:sz w:val="24"/>
          <w:szCs w:val="24"/>
          <w:u w:val="single"/>
        </w:rPr>
        <w:t>For 30 mg</w:t>
      </w:r>
    </w:p>
    <w:p w14:paraId="44DE1B1F" w14:textId="440B84D3" w:rsidR="00B3782D" w:rsidRPr="00B3782D" w:rsidRDefault="00B3782D" w:rsidP="00B3782D">
      <w:pPr>
        <w:tabs>
          <w:tab w:val="left" w:pos="851"/>
        </w:tabs>
        <w:ind w:left="851"/>
        <w:rPr>
          <w:i/>
          <w:iCs/>
          <w:sz w:val="24"/>
          <w:szCs w:val="24"/>
        </w:rPr>
      </w:pPr>
      <w:r w:rsidRPr="00B3782D">
        <w:rPr>
          <w:i/>
          <w:iCs/>
          <w:sz w:val="24"/>
          <w:szCs w:val="24"/>
        </w:rPr>
        <w:t xml:space="preserve">Pakningsstørrelser: </w:t>
      </w:r>
    </w:p>
    <w:p w14:paraId="04C442AD" w14:textId="1B206562" w:rsidR="00B3782D" w:rsidRPr="00B3782D" w:rsidRDefault="00B3782D" w:rsidP="00B3782D">
      <w:pPr>
        <w:tabs>
          <w:tab w:val="left" w:pos="851"/>
        </w:tabs>
        <w:ind w:left="851"/>
        <w:rPr>
          <w:sz w:val="24"/>
          <w:szCs w:val="24"/>
        </w:rPr>
      </w:pPr>
      <w:r w:rsidRPr="00B3782D">
        <w:rPr>
          <w:sz w:val="24"/>
          <w:szCs w:val="24"/>
        </w:rPr>
        <w:t>7, 10, 14, 20, 28, 30, 42, 50, 56, 60, 84, 90, 98, 100, 120, 250 og 500 hårde enterokapsler i blisterpakninger af aluminiumsfolie og OPA/ALU/PVC-folie.</w:t>
      </w:r>
    </w:p>
    <w:p w14:paraId="783E8D48" w14:textId="77777777" w:rsidR="00B3782D" w:rsidRPr="00B3782D" w:rsidRDefault="00B3782D" w:rsidP="00B3782D">
      <w:pPr>
        <w:tabs>
          <w:tab w:val="left" w:pos="851"/>
        </w:tabs>
        <w:ind w:left="851"/>
        <w:rPr>
          <w:sz w:val="24"/>
          <w:szCs w:val="24"/>
        </w:rPr>
      </w:pPr>
      <w:r w:rsidRPr="00B3782D">
        <w:rPr>
          <w:sz w:val="24"/>
          <w:szCs w:val="24"/>
        </w:rPr>
        <w:t>7 og 500 hårde enterokapsler i blisterpakninger af aluminiumsfolie og klar PVC/Aclar-film.</w:t>
      </w:r>
    </w:p>
    <w:p w14:paraId="12BF0A54" w14:textId="77777777" w:rsidR="00B3782D" w:rsidRPr="00B3782D" w:rsidRDefault="00B3782D" w:rsidP="00B3782D">
      <w:pPr>
        <w:tabs>
          <w:tab w:val="left" w:pos="851"/>
        </w:tabs>
        <w:ind w:left="851"/>
        <w:rPr>
          <w:b/>
          <w:bCs/>
          <w:sz w:val="24"/>
          <w:szCs w:val="24"/>
        </w:rPr>
      </w:pPr>
    </w:p>
    <w:p w14:paraId="45FC0611" w14:textId="77777777" w:rsidR="00B3782D" w:rsidRPr="00B3782D" w:rsidRDefault="00B3782D" w:rsidP="00B3782D">
      <w:pPr>
        <w:tabs>
          <w:tab w:val="left" w:pos="851"/>
        </w:tabs>
        <w:ind w:left="851"/>
        <w:rPr>
          <w:sz w:val="24"/>
          <w:szCs w:val="24"/>
          <w:u w:val="single"/>
        </w:rPr>
      </w:pPr>
      <w:r w:rsidRPr="00B3782D">
        <w:rPr>
          <w:sz w:val="24"/>
          <w:szCs w:val="24"/>
          <w:u w:val="single"/>
        </w:rPr>
        <w:t>For 45 mg</w:t>
      </w:r>
    </w:p>
    <w:p w14:paraId="786FF78B" w14:textId="77777777" w:rsidR="00B3782D" w:rsidRPr="00B3782D" w:rsidRDefault="00B3782D" w:rsidP="00B3782D">
      <w:pPr>
        <w:tabs>
          <w:tab w:val="left" w:pos="851"/>
        </w:tabs>
        <w:ind w:left="851"/>
        <w:rPr>
          <w:i/>
          <w:iCs/>
          <w:sz w:val="24"/>
          <w:szCs w:val="24"/>
        </w:rPr>
      </w:pPr>
      <w:r w:rsidRPr="00B3782D">
        <w:rPr>
          <w:i/>
          <w:iCs/>
          <w:sz w:val="24"/>
          <w:szCs w:val="24"/>
        </w:rPr>
        <w:t xml:space="preserve">Pakningsstørrelser: </w:t>
      </w:r>
    </w:p>
    <w:p w14:paraId="708193F0" w14:textId="7DA95DB8" w:rsidR="00B3782D" w:rsidRPr="00B3782D" w:rsidRDefault="00B3782D" w:rsidP="00B3782D">
      <w:pPr>
        <w:tabs>
          <w:tab w:val="left" w:pos="851"/>
        </w:tabs>
        <w:ind w:left="851"/>
        <w:rPr>
          <w:sz w:val="24"/>
          <w:szCs w:val="24"/>
        </w:rPr>
      </w:pPr>
      <w:r w:rsidRPr="00B3782D">
        <w:rPr>
          <w:sz w:val="24"/>
          <w:szCs w:val="24"/>
        </w:rPr>
        <w:t>14, 28, 42, 56, 84 og 98 hårde enterokapsler i blisterpakninger af aluminiumsfolie og OPA/ALU/PVC-folie.</w:t>
      </w:r>
    </w:p>
    <w:p w14:paraId="36154F41" w14:textId="15E7C29C" w:rsidR="00B3782D" w:rsidRDefault="00B3782D">
      <w:pPr>
        <w:rPr>
          <w:b/>
          <w:bCs/>
          <w:sz w:val="24"/>
          <w:szCs w:val="24"/>
        </w:rPr>
      </w:pPr>
      <w:r>
        <w:rPr>
          <w:b/>
          <w:bCs/>
          <w:sz w:val="24"/>
          <w:szCs w:val="24"/>
        </w:rPr>
        <w:br w:type="page"/>
      </w:r>
    </w:p>
    <w:p w14:paraId="77218BD2" w14:textId="77777777" w:rsidR="00B3782D" w:rsidRPr="00B3782D" w:rsidRDefault="00B3782D" w:rsidP="00B3782D">
      <w:pPr>
        <w:tabs>
          <w:tab w:val="left" w:pos="851"/>
        </w:tabs>
        <w:ind w:left="851"/>
        <w:rPr>
          <w:b/>
          <w:bCs/>
          <w:sz w:val="24"/>
          <w:szCs w:val="24"/>
        </w:rPr>
      </w:pPr>
    </w:p>
    <w:p w14:paraId="6A8E4E32" w14:textId="77777777" w:rsidR="00B3782D" w:rsidRPr="00B3782D" w:rsidRDefault="00B3782D" w:rsidP="00B3782D">
      <w:pPr>
        <w:tabs>
          <w:tab w:val="left" w:pos="851"/>
        </w:tabs>
        <w:ind w:left="851"/>
        <w:rPr>
          <w:sz w:val="24"/>
          <w:szCs w:val="24"/>
          <w:u w:val="single"/>
        </w:rPr>
      </w:pPr>
      <w:r w:rsidRPr="00B3782D">
        <w:rPr>
          <w:sz w:val="24"/>
          <w:szCs w:val="24"/>
          <w:u w:val="single"/>
        </w:rPr>
        <w:t>For 60 mg</w:t>
      </w:r>
    </w:p>
    <w:p w14:paraId="43582C93" w14:textId="77777777" w:rsidR="00B3782D" w:rsidRPr="00B3782D" w:rsidRDefault="00B3782D" w:rsidP="00B3782D">
      <w:pPr>
        <w:tabs>
          <w:tab w:val="left" w:pos="851"/>
        </w:tabs>
        <w:ind w:left="851"/>
        <w:rPr>
          <w:i/>
          <w:iCs/>
          <w:sz w:val="24"/>
          <w:szCs w:val="24"/>
        </w:rPr>
      </w:pPr>
      <w:r w:rsidRPr="00B3782D">
        <w:rPr>
          <w:i/>
          <w:iCs/>
          <w:sz w:val="24"/>
          <w:szCs w:val="24"/>
        </w:rPr>
        <w:t xml:space="preserve">Pakningsstørrelser: </w:t>
      </w:r>
    </w:p>
    <w:p w14:paraId="705ACF58" w14:textId="77777777" w:rsidR="00B3782D" w:rsidRPr="00B3782D" w:rsidRDefault="00B3782D" w:rsidP="00B3782D">
      <w:pPr>
        <w:tabs>
          <w:tab w:val="left" w:pos="851"/>
        </w:tabs>
        <w:ind w:left="851"/>
        <w:rPr>
          <w:sz w:val="24"/>
          <w:szCs w:val="24"/>
        </w:rPr>
      </w:pPr>
      <w:r w:rsidRPr="00B3782D">
        <w:rPr>
          <w:sz w:val="24"/>
          <w:szCs w:val="24"/>
        </w:rPr>
        <w:t>7, 10, 14, 20, 28, 30, 42, 56, 60, 84, 90, 98, 100, 120 og 250 hårde enterokapsler i blisterpakninger af aluminiumsfolie og OPA/ALU/PVC-folie.</w:t>
      </w:r>
    </w:p>
    <w:p w14:paraId="66D1547C" w14:textId="77777777" w:rsidR="00B3782D" w:rsidRPr="00B3782D" w:rsidRDefault="00B3782D" w:rsidP="00B3782D">
      <w:pPr>
        <w:tabs>
          <w:tab w:val="left" w:pos="851"/>
        </w:tabs>
        <w:ind w:left="851"/>
        <w:rPr>
          <w:sz w:val="24"/>
          <w:szCs w:val="24"/>
        </w:rPr>
      </w:pPr>
      <w:r w:rsidRPr="00B3782D">
        <w:rPr>
          <w:sz w:val="24"/>
          <w:szCs w:val="24"/>
        </w:rPr>
        <w:t>7 og 250 hårde enterokapsler i blisterpakninger af aluminiumsfolie og klar PVC/Aclar-film.</w:t>
      </w:r>
    </w:p>
    <w:p w14:paraId="07A2FA15" w14:textId="77777777" w:rsidR="00B3782D" w:rsidRPr="00B3782D" w:rsidRDefault="00B3782D" w:rsidP="00B3782D">
      <w:pPr>
        <w:tabs>
          <w:tab w:val="left" w:pos="851"/>
        </w:tabs>
        <w:ind w:left="851"/>
        <w:rPr>
          <w:b/>
          <w:bCs/>
          <w:sz w:val="24"/>
          <w:szCs w:val="24"/>
        </w:rPr>
      </w:pPr>
    </w:p>
    <w:p w14:paraId="1260B3B9" w14:textId="77777777" w:rsidR="00B3782D" w:rsidRPr="00B3782D" w:rsidRDefault="00B3782D" w:rsidP="00B3782D">
      <w:pPr>
        <w:tabs>
          <w:tab w:val="left" w:pos="851"/>
        </w:tabs>
        <w:ind w:left="851"/>
        <w:rPr>
          <w:sz w:val="24"/>
          <w:szCs w:val="24"/>
          <w:u w:val="single"/>
        </w:rPr>
      </w:pPr>
      <w:r w:rsidRPr="00B3782D">
        <w:rPr>
          <w:sz w:val="24"/>
          <w:szCs w:val="24"/>
          <w:u w:val="single"/>
        </w:rPr>
        <w:t>For 90 mg</w:t>
      </w:r>
    </w:p>
    <w:p w14:paraId="0973B92C" w14:textId="77777777" w:rsidR="00B3782D" w:rsidRPr="00B3782D" w:rsidRDefault="00B3782D" w:rsidP="00B3782D">
      <w:pPr>
        <w:tabs>
          <w:tab w:val="left" w:pos="851"/>
        </w:tabs>
        <w:ind w:left="851"/>
        <w:rPr>
          <w:i/>
          <w:iCs/>
          <w:sz w:val="24"/>
          <w:szCs w:val="24"/>
        </w:rPr>
      </w:pPr>
      <w:r w:rsidRPr="00B3782D">
        <w:rPr>
          <w:i/>
          <w:iCs/>
          <w:sz w:val="24"/>
          <w:szCs w:val="24"/>
        </w:rPr>
        <w:t xml:space="preserve">Pakningsstørrelser: </w:t>
      </w:r>
    </w:p>
    <w:p w14:paraId="22DB8D9C" w14:textId="77777777" w:rsidR="00B3782D" w:rsidRPr="00B3782D" w:rsidRDefault="00B3782D" w:rsidP="00B3782D">
      <w:pPr>
        <w:tabs>
          <w:tab w:val="left" w:pos="851"/>
        </w:tabs>
        <w:ind w:left="851"/>
        <w:rPr>
          <w:sz w:val="24"/>
          <w:szCs w:val="24"/>
        </w:rPr>
      </w:pPr>
      <w:r w:rsidRPr="00B3782D">
        <w:rPr>
          <w:sz w:val="24"/>
          <w:szCs w:val="24"/>
        </w:rPr>
        <w:t>10, 14, 28, 30, 90, 98 og 100 hårde enterokapsler i blisterpakninger af aluminiumsfolie og OPA/ALU/PVC-folie.</w:t>
      </w:r>
    </w:p>
    <w:p w14:paraId="5BD4657F" w14:textId="77777777" w:rsidR="00B3782D" w:rsidRPr="00B3782D" w:rsidRDefault="00B3782D" w:rsidP="00B3782D">
      <w:pPr>
        <w:tabs>
          <w:tab w:val="left" w:pos="851"/>
        </w:tabs>
        <w:ind w:left="851"/>
        <w:rPr>
          <w:sz w:val="24"/>
          <w:szCs w:val="24"/>
        </w:rPr>
      </w:pPr>
    </w:p>
    <w:p w14:paraId="7E46B271" w14:textId="77777777" w:rsidR="00B3782D" w:rsidRPr="00B3782D" w:rsidRDefault="00B3782D" w:rsidP="00B3782D">
      <w:pPr>
        <w:tabs>
          <w:tab w:val="left" w:pos="851"/>
        </w:tabs>
        <w:ind w:left="851"/>
        <w:rPr>
          <w:sz w:val="24"/>
          <w:szCs w:val="24"/>
          <w:u w:val="single"/>
        </w:rPr>
      </w:pPr>
      <w:r w:rsidRPr="00B3782D">
        <w:rPr>
          <w:sz w:val="24"/>
          <w:szCs w:val="24"/>
          <w:u w:val="single"/>
        </w:rPr>
        <w:t>For 120 mg</w:t>
      </w:r>
    </w:p>
    <w:p w14:paraId="33B3D07A" w14:textId="77777777" w:rsidR="00B3782D" w:rsidRPr="00B3782D" w:rsidRDefault="00B3782D" w:rsidP="00B3782D">
      <w:pPr>
        <w:tabs>
          <w:tab w:val="left" w:pos="851"/>
        </w:tabs>
        <w:ind w:left="851"/>
        <w:rPr>
          <w:i/>
          <w:iCs/>
          <w:sz w:val="24"/>
          <w:szCs w:val="24"/>
        </w:rPr>
      </w:pPr>
      <w:r w:rsidRPr="00B3782D">
        <w:rPr>
          <w:i/>
          <w:iCs/>
          <w:sz w:val="24"/>
          <w:szCs w:val="24"/>
        </w:rPr>
        <w:t xml:space="preserve">Pakningsstørrelser: </w:t>
      </w:r>
    </w:p>
    <w:p w14:paraId="79389C2C" w14:textId="77777777" w:rsidR="00B3782D" w:rsidRPr="00B3782D" w:rsidRDefault="00B3782D" w:rsidP="00B3782D">
      <w:pPr>
        <w:tabs>
          <w:tab w:val="left" w:pos="851"/>
        </w:tabs>
        <w:ind w:left="851"/>
        <w:rPr>
          <w:sz w:val="24"/>
          <w:szCs w:val="24"/>
        </w:rPr>
      </w:pPr>
      <w:r w:rsidRPr="00B3782D">
        <w:rPr>
          <w:sz w:val="24"/>
          <w:szCs w:val="24"/>
        </w:rPr>
        <w:t>7, 14, 28 og 98 hårde enterokapsler i blisterpakninger af aluminiumsfolie og OPA/ALU/PVC-folie.</w:t>
      </w:r>
    </w:p>
    <w:p w14:paraId="0BCC3F65" w14:textId="77777777" w:rsidR="00B3782D" w:rsidRPr="00B3782D" w:rsidRDefault="00B3782D" w:rsidP="00B3782D">
      <w:pPr>
        <w:tabs>
          <w:tab w:val="left" w:pos="851"/>
        </w:tabs>
        <w:ind w:left="851"/>
        <w:rPr>
          <w:sz w:val="24"/>
          <w:szCs w:val="24"/>
        </w:rPr>
      </w:pPr>
    </w:p>
    <w:p w14:paraId="35A8BF76" w14:textId="77777777" w:rsidR="00B3782D" w:rsidRPr="00B3782D" w:rsidRDefault="00B3782D" w:rsidP="00B3782D">
      <w:pPr>
        <w:tabs>
          <w:tab w:val="left" w:pos="851"/>
        </w:tabs>
        <w:ind w:left="851"/>
        <w:rPr>
          <w:sz w:val="24"/>
          <w:szCs w:val="24"/>
        </w:rPr>
      </w:pPr>
      <w:r w:rsidRPr="00B3782D">
        <w:rPr>
          <w:sz w:val="24"/>
          <w:szCs w:val="24"/>
        </w:rPr>
        <w:t>Pakningsstørrelser med 250 og 500 hårde enterokapsler er kun beregnet til sygehusbrug og dosisdispensering/doseringsruller.</w:t>
      </w:r>
    </w:p>
    <w:p w14:paraId="25C5ED6E" w14:textId="77777777" w:rsidR="00B3782D" w:rsidRPr="00B3782D" w:rsidRDefault="00B3782D" w:rsidP="00B3782D">
      <w:pPr>
        <w:tabs>
          <w:tab w:val="left" w:pos="851"/>
        </w:tabs>
        <w:ind w:left="851"/>
        <w:rPr>
          <w:sz w:val="24"/>
          <w:szCs w:val="24"/>
        </w:rPr>
      </w:pPr>
    </w:p>
    <w:p w14:paraId="35326D74" w14:textId="77777777" w:rsidR="00B3782D" w:rsidRPr="00B3782D" w:rsidRDefault="00B3782D" w:rsidP="00B3782D">
      <w:pPr>
        <w:tabs>
          <w:tab w:val="left" w:pos="851"/>
        </w:tabs>
        <w:ind w:left="851"/>
        <w:rPr>
          <w:sz w:val="24"/>
          <w:szCs w:val="24"/>
        </w:rPr>
      </w:pPr>
      <w:r w:rsidRPr="00B3782D">
        <w:rPr>
          <w:sz w:val="24"/>
          <w:szCs w:val="24"/>
        </w:rPr>
        <w:t>Ikke alle pakningsstørrelser er nødvendigvis markedsført.</w:t>
      </w:r>
    </w:p>
    <w:p w14:paraId="039534C1" w14:textId="77777777" w:rsidR="009260DE" w:rsidRPr="00C84483" w:rsidRDefault="009260DE" w:rsidP="009260DE">
      <w:pPr>
        <w:tabs>
          <w:tab w:val="left" w:pos="851"/>
        </w:tabs>
        <w:ind w:left="851"/>
        <w:rPr>
          <w:sz w:val="24"/>
          <w:szCs w:val="24"/>
        </w:rPr>
      </w:pPr>
    </w:p>
    <w:p w14:paraId="0E158EFB" w14:textId="77777777" w:rsidR="009260DE" w:rsidRPr="00C84483" w:rsidRDefault="009260DE" w:rsidP="009260DE">
      <w:pPr>
        <w:tabs>
          <w:tab w:val="left" w:pos="851"/>
        </w:tabs>
        <w:ind w:left="851" w:hanging="851"/>
        <w:rPr>
          <w:b/>
          <w:sz w:val="24"/>
          <w:szCs w:val="24"/>
        </w:rPr>
      </w:pPr>
      <w:r w:rsidRPr="00C84483">
        <w:rPr>
          <w:b/>
          <w:sz w:val="24"/>
          <w:szCs w:val="24"/>
        </w:rPr>
        <w:t>6.6</w:t>
      </w:r>
      <w:r w:rsidRPr="00C84483">
        <w:rPr>
          <w:b/>
          <w:sz w:val="24"/>
          <w:szCs w:val="24"/>
        </w:rPr>
        <w:tab/>
        <w:t xml:space="preserve">Regler for </w:t>
      </w:r>
      <w:r w:rsidR="00BD7931">
        <w:rPr>
          <w:b/>
          <w:sz w:val="24"/>
          <w:szCs w:val="24"/>
        </w:rPr>
        <w:t>bortskaffelse</w:t>
      </w:r>
      <w:r w:rsidRPr="00C84483">
        <w:rPr>
          <w:b/>
          <w:sz w:val="24"/>
          <w:szCs w:val="24"/>
        </w:rPr>
        <w:t xml:space="preserve"> og anden håndtering</w:t>
      </w:r>
    </w:p>
    <w:p w14:paraId="2E9B8710" w14:textId="77777777" w:rsidR="00B3782D" w:rsidRPr="00B3782D" w:rsidRDefault="00B3782D" w:rsidP="00B3782D">
      <w:pPr>
        <w:tabs>
          <w:tab w:val="left" w:pos="851"/>
        </w:tabs>
        <w:ind w:left="851"/>
        <w:rPr>
          <w:sz w:val="24"/>
          <w:szCs w:val="24"/>
        </w:rPr>
      </w:pPr>
      <w:r w:rsidRPr="00B3782D">
        <w:rPr>
          <w:sz w:val="24"/>
          <w:szCs w:val="24"/>
        </w:rPr>
        <w:t>Ikke anvendt lægemiddel samt affald heraf skal bortskaffes i henhold til lokale retningslinjer.</w:t>
      </w:r>
    </w:p>
    <w:p w14:paraId="615738D0" w14:textId="77777777" w:rsidR="009260DE" w:rsidRPr="00C84483" w:rsidRDefault="009260DE" w:rsidP="000730CA">
      <w:pPr>
        <w:tabs>
          <w:tab w:val="left" w:pos="851"/>
        </w:tabs>
        <w:ind w:left="851"/>
        <w:rPr>
          <w:sz w:val="24"/>
          <w:szCs w:val="24"/>
        </w:rPr>
      </w:pPr>
    </w:p>
    <w:p w14:paraId="6A2B6471" w14:textId="77777777" w:rsidR="009260DE" w:rsidRPr="00C84483" w:rsidRDefault="009260DE" w:rsidP="009260DE">
      <w:pPr>
        <w:tabs>
          <w:tab w:val="left" w:pos="851"/>
        </w:tabs>
        <w:ind w:left="851" w:hanging="851"/>
        <w:rPr>
          <w:b/>
          <w:sz w:val="24"/>
          <w:szCs w:val="24"/>
        </w:rPr>
      </w:pPr>
      <w:r w:rsidRPr="00C84483">
        <w:rPr>
          <w:b/>
          <w:sz w:val="24"/>
          <w:szCs w:val="24"/>
        </w:rPr>
        <w:t>7.</w:t>
      </w:r>
      <w:r w:rsidRPr="00C84483">
        <w:rPr>
          <w:b/>
          <w:sz w:val="24"/>
          <w:szCs w:val="24"/>
        </w:rPr>
        <w:tab/>
        <w:t>INDEHAVER AF MARKEDSFØRINGSTILLADELSEN</w:t>
      </w:r>
    </w:p>
    <w:p w14:paraId="45268590" w14:textId="77777777" w:rsidR="00B3782D" w:rsidRPr="00B3782D" w:rsidRDefault="00B3782D" w:rsidP="00B3782D">
      <w:pPr>
        <w:tabs>
          <w:tab w:val="left" w:pos="851"/>
        </w:tabs>
        <w:ind w:left="851"/>
        <w:rPr>
          <w:sz w:val="24"/>
          <w:szCs w:val="24"/>
        </w:rPr>
      </w:pPr>
      <w:r w:rsidRPr="00B3782D">
        <w:rPr>
          <w:sz w:val="24"/>
          <w:szCs w:val="24"/>
        </w:rPr>
        <w:t>STADA Nordic ApS</w:t>
      </w:r>
    </w:p>
    <w:p w14:paraId="71DEB123" w14:textId="77777777" w:rsidR="00B3782D" w:rsidRPr="00B3782D" w:rsidRDefault="00B3782D" w:rsidP="00B3782D">
      <w:pPr>
        <w:tabs>
          <w:tab w:val="left" w:pos="851"/>
        </w:tabs>
        <w:ind w:left="851"/>
        <w:rPr>
          <w:sz w:val="24"/>
          <w:szCs w:val="24"/>
        </w:rPr>
      </w:pPr>
      <w:r w:rsidRPr="00B3782D">
        <w:rPr>
          <w:sz w:val="24"/>
          <w:szCs w:val="24"/>
        </w:rPr>
        <w:t>Marielundvej 46 A</w:t>
      </w:r>
    </w:p>
    <w:p w14:paraId="073E8507" w14:textId="77777777" w:rsidR="00B3782D" w:rsidRPr="00B3782D" w:rsidRDefault="00B3782D" w:rsidP="00B3782D">
      <w:pPr>
        <w:tabs>
          <w:tab w:val="left" w:pos="851"/>
        </w:tabs>
        <w:ind w:left="851"/>
        <w:rPr>
          <w:sz w:val="24"/>
          <w:szCs w:val="24"/>
        </w:rPr>
      </w:pPr>
      <w:r w:rsidRPr="00B3782D">
        <w:rPr>
          <w:sz w:val="24"/>
          <w:szCs w:val="24"/>
        </w:rPr>
        <w:t>2730 Herlev</w:t>
      </w:r>
    </w:p>
    <w:p w14:paraId="6689CF77" w14:textId="77777777" w:rsidR="009260DE" w:rsidRDefault="009260DE" w:rsidP="009260DE">
      <w:pPr>
        <w:tabs>
          <w:tab w:val="left" w:pos="851"/>
        </w:tabs>
        <w:ind w:left="851"/>
        <w:rPr>
          <w:sz w:val="24"/>
          <w:szCs w:val="24"/>
        </w:rPr>
      </w:pPr>
    </w:p>
    <w:p w14:paraId="121465D4" w14:textId="77777777" w:rsidR="009260DE" w:rsidRPr="00C84483" w:rsidRDefault="009260DE" w:rsidP="009260DE">
      <w:pPr>
        <w:tabs>
          <w:tab w:val="left" w:pos="851"/>
        </w:tabs>
        <w:ind w:left="851" w:hanging="851"/>
        <w:rPr>
          <w:b/>
          <w:sz w:val="24"/>
          <w:szCs w:val="24"/>
        </w:rPr>
      </w:pPr>
      <w:r w:rsidRPr="00C84483">
        <w:rPr>
          <w:b/>
          <w:sz w:val="24"/>
          <w:szCs w:val="24"/>
        </w:rPr>
        <w:t>8.</w:t>
      </w:r>
      <w:r w:rsidRPr="00C84483">
        <w:rPr>
          <w:b/>
          <w:sz w:val="24"/>
          <w:szCs w:val="24"/>
        </w:rPr>
        <w:tab/>
        <w:t>MARKEDSFØRINGSTILLADELSESNUMMER (</w:t>
      </w:r>
      <w:r w:rsidR="00BF6243">
        <w:rPr>
          <w:b/>
          <w:sz w:val="24"/>
          <w:szCs w:val="24"/>
        </w:rPr>
        <w:t>-</w:t>
      </w:r>
      <w:r w:rsidRPr="00C84483">
        <w:rPr>
          <w:b/>
          <w:sz w:val="24"/>
          <w:szCs w:val="24"/>
        </w:rPr>
        <w:t>NUMRE)</w:t>
      </w:r>
    </w:p>
    <w:p w14:paraId="33931EA1" w14:textId="671DEA35" w:rsidR="009260DE" w:rsidRDefault="00B3782D" w:rsidP="00B3782D">
      <w:pPr>
        <w:tabs>
          <w:tab w:val="left" w:pos="851"/>
          <w:tab w:val="left" w:pos="1701"/>
        </w:tabs>
        <w:ind w:left="851"/>
        <w:rPr>
          <w:sz w:val="24"/>
          <w:szCs w:val="24"/>
        </w:rPr>
      </w:pPr>
      <w:r>
        <w:rPr>
          <w:sz w:val="24"/>
          <w:szCs w:val="24"/>
        </w:rPr>
        <w:t>30 mg:</w:t>
      </w:r>
      <w:r>
        <w:rPr>
          <w:sz w:val="24"/>
          <w:szCs w:val="24"/>
        </w:rPr>
        <w:tab/>
        <w:t>74483</w:t>
      </w:r>
    </w:p>
    <w:p w14:paraId="78B7A1FE" w14:textId="456009C7" w:rsidR="00B3782D" w:rsidRDefault="00B3782D" w:rsidP="00B3782D">
      <w:pPr>
        <w:tabs>
          <w:tab w:val="left" w:pos="851"/>
          <w:tab w:val="left" w:pos="1701"/>
        </w:tabs>
        <w:ind w:left="851"/>
        <w:rPr>
          <w:sz w:val="24"/>
          <w:szCs w:val="24"/>
        </w:rPr>
      </w:pPr>
      <w:r>
        <w:rPr>
          <w:sz w:val="24"/>
          <w:szCs w:val="24"/>
        </w:rPr>
        <w:t>45 mg:</w:t>
      </w:r>
      <w:r>
        <w:rPr>
          <w:sz w:val="24"/>
          <w:szCs w:val="24"/>
        </w:rPr>
        <w:tab/>
        <w:t>74484</w:t>
      </w:r>
    </w:p>
    <w:p w14:paraId="29AA2F07" w14:textId="09FB9794" w:rsidR="00B3782D" w:rsidRDefault="00B3782D" w:rsidP="00B3782D">
      <w:pPr>
        <w:tabs>
          <w:tab w:val="left" w:pos="851"/>
          <w:tab w:val="left" w:pos="1701"/>
        </w:tabs>
        <w:ind w:left="851"/>
        <w:rPr>
          <w:sz w:val="24"/>
          <w:szCs w:val="24"/>
        </w:rPr>
      </w:pPr>
      <w:r>
        <w:rPr>
          <w:sz w:val="24"/>
          <w:szCs w:val="24"/>
        </w:rPr>
        <w:t>60 mg:</w:t>
      </w:r>
      <w:r>
        <w:rPr>
          <w:sz w:val="24"/>
          <w:szCs w:val="24"/>
        </w:rPr>
        <w:tab/>
        <w:t>74485</w:t>
      </w:r>
    </w:p>
    <w:p w14:paraId="0A796B91" w14:textId="2926052A" w:rsidR="00B3782D" w:rsidRDefault="00B3782D" w:rsidP="00B3782D">
      <w:pPr>
        <w:tabs>
          <w:tab w:val="left" w:pos="851"/>
          <w:tab w:val="left" w:pos="1701"/>
        </w:tabs>
        <w:ind w:left="851"/>
        <w:rPr>
          <w:sz w:val="24"/>
          <w:szCs w:val="24"/>
        </w:rPr>
      </w:pPr>
      <w:r>
        <w:rPr>
          <w:sz w:val="24"/>
          <w:szCs w:val="24"/>
        </w:rPr>
        <w:t>90 mg:</w:t>
      </w:r>
      <w:r>
        <w:rPr>
          <w:sz w:val="24"/>
          <w:szCs w:val="24"/>
        </w:rPr>
        <w:tab/>
        <w:t>74486</w:t>
      </w:r>
    </w:p>
    <w:p w14:paraId="5B353D15" w14:textId="5996AC6D" w:rsidR="00B3782D" w:rsidRPr="00C84483" w:rsidRDefault="00B3782D" w:rsidP="00B3782D">
      <w:pPr>
        <w:tabs>
          <w:tab w:val="left" w:pos="851"/>
          <w:tab w:val="left" w:pos="1701"/>
        </w:tabs>
        <w:ind w:left="851"/>
        <w:rPr>
          <w:sz w:val="24"/>
          <w:szCs w:val="24"/>
        </w:rPr>
      </w:pPr>
      <w:r>
        <w:rPr>
          <w:sz w:val="24"/>
          <w:szCs w:val="24"/>
        </w:rPr>
        <w:t>120 mg:</w:t>
      </w:r>
      <w:r>
        <w:rPr>
          <w:sz w:val="24"/>
          <w:szCs w:val="24"/>
        </w:rPr>
        <w:tab/>
        <w:t>74487</w:t>
      </w:r>
    </w:p>
    <w:p w14:paraId="2E0ACB33" w14:textId="77777777" w:rsidR="009260DE" w:rsidRPr="00C84483" w:rsidRDefault="009260DE" w:rsidP="009260DE">
      <w:pPr>
        <w:tabs>
          <w:tab w:val="left" w:pos="851"/>
        </w:tabs>
        <w:ind w:left="851"/>
        <w:jc w:val="both"/>
        <w:rPr>
          <w:sz w:val="24"/>
          <w:szCs w:val="24"/>
        </w:rPr>
      </w:pPr>
    </w:p>
    <w:p w14:paraId="6F222CA8" w14:textId="77777777" w:rsidR="009260DE" w:rsidRPr="00C84483" w:rsidRDefault="009260DE" w:rsidP="009260DE">
      <w:pPr>
        <w:tabs>
          <w:tab w:val="left" w:pos="851"/>
        </w:tabs>
        <w:ind w:left="851" w:hanging="851"/>
        <w:rPr>
          <w:b/>
          <w:sz w:val="24"/>
          <w:szCs w:val="24"/>
        </w:rPr>
      </w:pPr>
      <w:r w:rsidRPr="00C84483">
        <w:rPr>
          <w:b/>
          <w:sz w:val="24"/>
          <w:szCs w:val="24"/>
        </w:rPr>
        <w:t>9.</w:t>
      </w:r>
      <w:r w:rsidRPr="00C84483">
        <w:rPr>
          <w:b/>
          <w:sz w:val="24"/>
          <w:szCs w:val="24"/>
        </w:rPr>
        <w:tab/>
        <w:t>DATO FOR FØRSTE MARKEDSFØRINGSTILLADELSE</w:t>
      </w:r>
    </w:p>
    <w:p w14:paraId="0D180DAA" w14:textId="7E9118AA" w:rsidR="009260DE" w:rsidRPr="00C84483" w:rsidRDefault="00047418" w:rsidP="009260DE">
      <w:pPr>
        <w:tabs>
          <w:tab w:val="left" w:pos="851"/>
        </w:tabs>
        <w:ind w:left="851"/>
        <w:rPr>
          <w:sz w:val="24"/>
          <w:szCs w:val="24"/>
        </w:rPr>
      </w:pPr>
      <w:r>
        <w:rPr>
          <w:sz w:val="24"/>
          <w:szCs w:val="24"/>
        </w:rPr>
        <w:t>15. september 2026</w:t>
      </w:r>
    </w:p>
    <w:p w14:paraId="6ED0E422" w14:textId="77777777" w:rsidR="009260DE" w:rsidRPr="00C84483" w:rsidRDefault="009260DE" w:rsidP="009260DE">
      <w:pPr>
        <w:tabs>
          <w:tab w:val="left" w:pos="851"/>
        </w:tabs>
        <w:ind w:left="851"/>
        <w:rPr>
          <w:sz w:val="24"/>
          <w:szCs w:val="24"/>
        </w:rPr>
      </w:pPr>
    </w:p>
    <w:p w14:paraId="5ECCE117" w14:textId="77777777" w:rsidR="009260DE" w:rsidRPr="00C84483" w:rsidRDefault="009260DE" w:rsidP="009260DE">
      <w:pPr>
        <w:tabs>
          <w:tab w:val="left" w:pos="851"/>
        </w:tabs>
        <w:ind w:left="851" w:hanging="851"/>
        <w:rPr>
          <w:b/>
          <w:sz w:val="24"/>
          <w:szCs w:val="24"/>
        </w:rPr>
      </w:pPr>
      <w:r w:rsidRPr="00C84483">
        <w:rPr>
          <w:b/>
          <w:sz w:val="24"/>
          <w:szCs w:val="24"/>
        </w:rPr>
        <w:t>10.</w:t>
      </w:r>
      <w:r w:rsidRPr="00C84483">
        <w:rPr>
          <w:b/>
          <w:sz w:val="24"/>
          <w:szCs w:val="24"/>
        </w:rPr>
        <w:tab/>
        <w:t>DATO FOR ÆNDRING AF TEKSTEN</w:t>
      </w:r>
    </w:p>
    <w:p w14:paraId="74E40931" w14:textId="2DB26C8D" w:rsidR="009260DE" w:rsidRPr="00C84483" w:rsidRDefault="00B3782D" w:rsidP="009260DE">
      <w:pPr>
        <w:tabs>
          <w:tab w:val="left" w:pos="851"/>
        </w:tabs>
        <w:ind w:left="851"/>
        <w:rPr>
          <w:sz w:val="24"/>
          <w:szCs w:val="24"/>
        </w:rPr>
      </w:pPr>
      <w:r>
        <w:rPr>
          <w:sz w:val="24"/>
          <w:szCs w:val="24"/>
        </w:rPr>
        <w:t>-</w:t>
      </w:r>
    </w:p>
    <w:sectPr w:rsidR="009260DE" w:rsidRPr="00C84483" w:rsidSect="000259B9">
      <w:footerReference w:type="default" r:id="rId9"/>
      <w:pgSz w:w="11906" w:h="16838" w:code="9"/>
      <w:pgMar w:top="851"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36F49D" w14:textId="77777777" w:rsidR="002F7AC9" w:rsidRDefault="002F7AC9">
      <w:r>
        <w:separator/>
      </w:r>
    </w:p>
  </w:endnote>
  <w:endnote w:type="continuationSeparator" w:id="0">
    <w:p w14:paraId="66565264" w14:textId="77777777" w:rsidR="002F7AC9" w:rsidRDefault="002F7A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F69B46" w14:textId="77777777" w:rsidR="000259B9" w:rsidRDefault="000259B9">
    <w:pPr>
      <w:pStyle w:val="Sidefod"/>
      <w:pBdr>
        <w:bottom w:val="single" w:sz="6" w:space="1" w:color="auto"/>
      </w:pBdr>
    </w:pPr>
  </w:p>
  <w:p w14:paraId="07AFB2DC" w14:textId="77777777" w:rsidR="000259B9" w:rsidRDefault="000259B9" w:rsidP="00C42586">
    <w:pPr>
      <w:pStyle w:val="Sidefod"/>
      <w:tabs>
        <w:tab w:val="clear" w:pos="4819"/>
        <w:tab w:val="left" w:pos="8505"/>
      </w:tabs>
      <w:rPr>
        <w:i/>
        <w:sz w:val="18"/>
        <w:szCs w:val="18"/>
      </w:rPr>
    </w:pPr>
  </w:p>
  <w:p w14:paraId="7A6D6102" w14:textId="6F5F9E19" w:rsidR="000259B9" w:rsidRPr="00B373D7" w:rsidRDefault="00782AF4" w:rsidP="00C42586">
    <w:pPr>
      <w:pStyle w:val="Sidefod"/>
      <w:tabs>
        <w:tab w:val="clear" w:pos="4819"/>
        <w:tab w:val="left" w:pos="8505"/>
      </w:tabs>
      <w:rPr>
        <w:i/>
        <w:sz w:val="18"/>
        <w:szCs w:val="18"/>
      </w:rPr>
    </w:pPr>
    <w:r w:rsidRPr="00B373D7">
      <w:rPr>
        <w:i/>
        <w:sz w:val="18"/>
        <w:szCs w:val="18"/>
      </w:rPr>
      <w:fldChar w:fldCharType="begin"/>
    </w:r>
    <w:r w:rsidR="000259B9" w:rsidRPr="00B373D7">
      <w:rPr>
        <w:i/>
        <w:sz w:val="18"/>
        <w:szCs w:val="18"/>
      </w:rPr>
      <w:instrText xml:space="preserve"> FILENAME </w:instrText>
    </w:r>
    <w:r w:rsidRPr="00B373D7">
      <w:rPr>
        <w:i/>
        <w:sz w:val="18"/>
        <w:szCs w:val="18"/>
      </w:rPr>
      <w:fldChar w:fldCharType="separate"/>
    </w:r>
    <w:r w:rsidR="00FB0369">
      <w:rPr>
        <w:i/>
        <w:noProof/>
        <w:sz w:val="18"/>
        <w:szCs w:val="18"/>
      </w:rPr>
      <w:t>Duloxetin Stada Nordic, hårde enterokapsler 30 mg, 45 mg, 60 mg, 90 mg og 120 mg</w:t>
    </w:r>
    <w:r w:rsidRPr="00B373D7">
      <w:rPr>
        <w:i/>
        <w:sz w:val="18"/>
        <w:szCs w:val="18"/>
      </w:rPr>
      <w:fldChar w:fldCharType="end"/>
    </w:r>
    <w:r w:rsidR="000259B9" w:rsidRPr="00B373D7">
      <w:rPr>
        <w:i/>
        <w:sz w:val="18"/>
        <w:szCs w:val="18"/>
      </w:rPr>
      <w:tab/>
      <w:t xml:space="preserve">Side </w:t>
    </w:r>
    <w:r w:rsidRPr="00B373D7">
      <w:rPr>
        <w:rStyle w:val="Sidetal"/>
        <w:i/>
        <w:sz w:val="18"/>
        <w:szCs w:val="18"/>
      </w:rPr>
      <w:fldChar w:fldCharType="begin"/>
    </w:r>
    <w:r w:rsidR="000259B9" w:rsidRPr="00B373D7">
      <w:rPr>
        <w:rStyle w:val="Sidetal"/>
        <w:i/>
        <w:sz w:val="18"/>
        <w:szCs w:val="18"/>
      </w:rPr>
      <w:instrText xml:space="preserve"> PAGE </w:instrText>
    </w:r>
    <w:r w:rsidRPr="00B373D7">
      <w:rPr>
        <w:rStyle w:val="Sidetal"/>
        <w:i/>
        <w:sz w:val="18"/>
        <w:szCs w:val="18"/>
      </w:rPr>
      <w:fldChar w:fldCharType="separate"/>
    </w:r>
    <w:r w:rsidR="00C60CCD">
      <w:rPr>
        <w:rStyle w:val="Sidetal"/>
        <w:i/>
        <w:noProof/>
        <w:sz w:val="18"/>
        <w:szCs w:val="18"/>
      </w:rPr>
      <w:t>3</w:t>
    </w:r>
    <w:r w:rsidRPr="00B373D7">
      <w:rPr>
        <w:rStyle w:val="Sidetal"/>
        <w:i/>
        <w:sz w:val="18"/>
        <w:szCs w:val="18"/>
      </w:rPr>
      <w:fldChar w:fldCharType="end"/>
    </w:r>
    <w:r w:rsidR="000259B9" w:rsidRPr="00B373D7">
      <w:rPr>
        <w:rStyle w:val="Sidetal"/>
        <w:i/>
        <w:sz w:val="18"/>
        <w:szCs w:val="18"/>
      </w:rPr>
      <w:t xml:space="preserve"> af </w:t>
    </w:r>
    <w:r w:rsidRPr="00B373D7">
      <w:rPr>
        <w:rStyle w:val="Sidetal"/>
        <w:i/>
        <w:sz w:val="18"/>
        <w:szCs w:val="18"/>
      </w:rPr>
      <w:fldChar w:fldCharType="begin"/>
    </w:r>
    <w:r w:rsidR="000259B9" w:rsidRPr="00B373D7">
      <w:rPr>
        <w:rStyle w:val="Sidetal"/>
        <w:i/>
        <w:sz w:val="18"/>
        <w:szCs w:val="18"/>
      </w:rPr>
      <w:instrText xml:space="preserve"> NUMPAGES </w:instrText>
    </w:r>
    <w:r w:rsidRPr="00B373D7">
      <w:rPr>
        <w:rStyle w:val="Sidetal"/>
        <w:i/>
        <w:sz w:val="18"/>
        <w:szCs w:val="18"/>
      </w:rPr>
      <w:fldChar w:fldCharType="separate"/>
    </w:r>
    <w:r w:rsidR="00C60CCD">
      <w:rPr>
        <w:rStyle w:val="Sidetal"/>
        <w:i/>
        <w:noProof/>
        <w:sz w:val="18"/>
        <w:szCs w:val="18"/>
      </w:rPr>
      <w:t>3</w:t>
    </w:r>
    <w:r w:rsidRPr="00B373D7">
      <w:rPr>
        <w:rStyle w:val="Sidetal"/>
        <w:i/>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C69C18" w14:textId="77777777" w:rsidR="002F7AC9" w:rsidRDefault="002F7AC9">
      <w:r>
        <w:separator/>
      </w:r>
    </w:p>
  </w:footnote>
  <w:footnote w:type="continuationSeparator" w:id="0">
    <w:p w14:paraId="44D6B49F" w14:textId="77777777" w:rsidR="002F7AC9" w:rsidRDefault="002F7AC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C1732C"/>
    <w:multiLevelType w:val="multilevel"/>
    <w:tmpl w:val="7BE2F61C"/>
    <w:lvl w:ilvl="0">
      <w:start w:val="6"/>
      <w:numFmt w:val="decimal"/>
      <w:lvlText w:val="%1"/>
      <w:lvlJc w:val="left"/>
      <w:pPr>
        <w:tabs>
          <w:tab w:val="num" w:pos="855"/>
        </w:tabs>
        <w:ind w:left="855" w:hanging="855"/>
      </w:pPr>
    </w:lvl>
    <w:lvl w:ilvl="1">
      <w:start w:val="1"/>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 w15:restartNumberingAfterBreak="0">
    <w:nsid w:val="3397578A"/>
    <w:multiLevelType w:val="multilevel"/>
    <w:tmpl w:val="392232EE"/>
    <w:lvl w:ilvl="0">
      <w:start w:val="5"/>
      <w:numFmt w:val="decimal"/>
      <w:lvlText w:val="%1"/>
      <w:lvlJc w:val="left"/>
      <w:pPr>
        <w:tabs>
          <w:tab w:val="num" w:pos="855"/>
        </w:tabs>
        <w:ind w:left="855" w:hanging="855"/>
      </w:pPr>
    </w:lvl>
    <w:lvl w:ilvl="1">
      <w:start w:val="3"/>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 w15:restartNumberingAfterBreak="0">
    <w:nsid w:val="364660C3"/>
    <w:multiLevelType w:val="multilevel"/>
    <w:tmpl w:val="DAF0ED20"/>
    <w:lvl w:ilvl="0">
      <w:start w:val="5"/>
      <w:numFmt w:val="decimal"/>
      <w:lvlText w:val="%1.0"/>
      <w:lvlJc w:val="left"/>
      <w:pPr>
        <w:tabs>
          <w:tab w:val="num" w:pos="855"/>
        </w:tabs>
        <w:ind w:left="855" w:hanging="855"/>
      </w:pPr>
    </w:lvl>
    <w:lvl w:ilvl="1">
      <w:start w:val="1"/>
      <w:numFmt w:val="decimal"/>
      <w:lvlText w:val="%1.%2"/>
      <w:lvlJc w:val="left"/>
      <w:pPr>
        <w:tabs>
          <w:tab w:val="num" w:pos="2159"/>
        </w:tabs>
        <w:ind w:left="2159" w:hanging="855"/>
      </w:pPr>
    </w:lvl>
    <w:lvl w:ilvl="2">
      <w:start w:val="1"/>
      <w:numFmt w:val="decimal"/>
      <w:lvlText w:val="%1.%2.%3"/>
      <w:lvlJc w:val="left"/>
      <w:pPr>
        <w:tabs>
          <w:tab w:val="num" w:pos="3463"/>
        </w:tabs>
        <w:ind w:left="3463" w:hanging="855"/>
      </w:pPr>
    </w:lvl>
    <w:lvl w:ilvl="3">
      <w:start w:val="1"/>
      <w:numFmt w:val="decimal"/>
      <w:lvlText w:val="%1.%2.%3.%4"/>
      <w:lvlJc w:val="left"/>
      <w:pPr>
        <w:tabs>
          <w:tab w:val="num" w:pos="4767"/>
        </w:tabs>
        <w:ind w:left="4767" w:hanging="855"/>
      </w:pPr>
    </w:lvl>
    <w:lvl w:ilvl="4">
      <w:start w:val="1"/>
      <w:numFmt w:val="decimal"/>
      <w:lvlText w:val="%1.%2.%3.%4.%5"/>
      <w:lvlJc w:val="left"/>
      <w:pPr>
        <w:tabs>
          <w:tab w:val="num" w:pos="6296"/>
        </w:tabs>
        <w:ind w:left="6296" w:hanging="1080"/>
      </w:pPr>
    </w:lvl>
    <w:lvl w:ilvl="5">
      <w:start w:val="1"/>
      <w:numFmt w:val="decimal"/>
      <w:lvlText w:val="%1.%2.%3.%4.%5.%6"/>
      <w:lvlJc w:val="left"/>
      <w:pPr>
        <w:tabs>
          <w:tab w:val="num" w:pos="7600"/>
        </w:tabs>
        <w:ind w:left="7600" w:hanging="1080"/>
      </w:pPr>
    </w:lvl>
    <w:lvl w:ilvl="6">
      <w:start w:val="1"/>
      <w:numFmt w:val="decimal"/>
      <w:lvlText w:val="%1.%2.%3.%4.%5.%6.%7"/>
      <w:lvlJc w:val="left"/>
      <w:pPr>
        <w:tabs>
          <w:tab w:val="num" w:pos="9264"/>
        </w:tabs>
        <w:ind w:left="9264" w:hanging="1440"/>
      </w:pPr>
    </w:lvl>
    <w:lvl w:ilvl="7">
      <w:start w:val="1"/>
      <w:numFmt w:val="decimal"/>
      <w:lvlText w:val="%1.%2.%3.%4.%5.%6.%7.%8"/>
      <w:lvlJc w:val="left"/>
      <w:pPr>
        <w:tabs>
          <w:tab w:val="num" w:pos="10568"/>
        </w:tabs>
        <w:ind w:left="10568" w:hanging="1440"/>
      </w:pPr>
    </w:lvl>
    <w:lvl w:ilvl="8">
      <w:start w:val="1"/>
      <w:numFmt w:val="decimal"/>
      <w:lvlText w:val="%1.%2.%3.%4.%5.%6.%7.%8.%9"/>
      <w:lvlJc w:val="left"/>
      <w:pPr>
        <w:tabs>
          <w:tab w:val="num" w:pos="12232"/>
        </w:tabs>
        <w:ind w:left="12232" w:hanging="1800"/>
      </w:pPr>
    </w:lvl>
  </w:abstractNum>
  <w:abstractNum w:abstractNumId="3" w15:restartNumberingAfterBreak="0">
    <w:nsid w:val="405C5D3C"/>
    <w:multiLevelType w:val="multilevel"/>
    <w:tmpl w:val="9CBC71DC"/>
    <w:lvl w:ilvl="0">
      <w:numFmt w:val="decimal"/>
      <w:lvlText w:val="%1."/>
      <w:lvlJc w:val="left"/>
      <w:pPr>
        <w:tabs>
          <w:tab w:val="num" w:pos="855"/>
        </w:tabs>
        <w:ind w:left="855" w:hanging="855"/>
      </w:pPr>
    </w:lvl>
    <w:lvl w:ilvl="1">
      <w:start w:val="1"/>
      <w:numFmt w:val="decimal"/>
      <w:isLgl/>
      <w:lvlText w:val="%1.%2"/>
      <w:lvlJc w:val="left"/>
      <w:pPr>
        <w:tabs>
          <w:tab w:val="num" w:pos="855"/>
        </w:tabs>
        <w:ind w:left="855" w:hanging="855"/>
      </w:pPr>
      <w:rPr>
        <w:strike w:val="0"/>
        <w:dstrike w:val="0"/>
        <w:u w:val="none"/>
        <w:effect w:val="none"/>
      </w:rPr>
    </w:lvl>
    <w:lvl w:ilvl="2">
      <w:start w:val="1"/>
      <w:numFmt w:val="decimal"/>
      <w:isLgl/>
      <w:lvlText w:val="%1.%2.%3"/>
      <w:lvlJc w:val="left"/>
      <w:pPr>
        <w:tabs>
          <w:tab w:val="num" w:pos="855"/>
        </w:tabs>
        <w:ind w:left="855" w:hanging="855"/>
      </w:pPr>
      <w:rPr>
        <w:strike w:val="0"/>
        <w:dstrike w:val="0"/>
        <w:u w:val="none"/>
        <w:effect w:val="none"/>
      </w:rPr>
    </w:lvl>
    <w:lvl w:ilvl="3">
      <w:start w:val="1"/>
      <w:numFmt w:val="decimal"/>
      <w:isLgl/>
      <w:lvlText w:val="%1.%2.%3.%4"/>
      <w:lvlJc w:val="left"/>
      <w:pPr>
        <w:tabs>
          <w:tab w:val="num" w:pos="855"/>
        </w:tabs>
        <w:ind w:left="855" w:hanging="855"/>
      </w:pPr>
      <w:rPr>
        <w:strike w:val="0"/>
        <w:dstrike w:val="0"/>
        <w:u w:val="none"/>
        <w:effect w:val="none"/>
      </w:rPr>
    </w:lvl>
    <w:lvl w:ilvl="4">
      <w:start w:val="1"/>
      <w:numFmt w:val="decimal"/>
      <w:isLgl/>
      <w:lvlText w:val="%1.%2.%3.%4.%5"/>
      <w:lvlJc w:val="left"/>
      <w:pPr>
        <w:tabs>
          <w:tab w:val="num" w:pos="1080"/>
        </w:tabs>
        <w:ind w:left="1080" w:hanging="1080"/>
      </w:pPr>
      <w:rPr>
        <w:strike w:val="0"/>
        <w:dstrike w:val="0"/>
        <w:u w:val="none"/>
        <w:effect w:val="none"/>
      </w:rPr>
    </w:lvl>
    <w:lvl w:ilvl="5">
      <w:start w:val="1"/>
      <w:numFmt w:val="decimal"/>
      <w:isLgl/>
      <w:lvlText w:val="%1.%2.%3.%4.%5.%6"/>
      <w:lvlJc w:val="left"/>
      <w:pPr>
        <w:tabs>
          <w:tab w:val="num" w:pos="1080"/>
        </w:tabs>
        <w:ind w:left="1080" w:hanging="1080"/>
      </w:pPr>
      <w:rPr>
        <w:strike w:val="0"/>
        <w:dstrike w:val="0"/>
        <w:u w:val="none"/>
        <w:effect w:val="none"/>
      </w:rPr>
    </w:lvl>
    <w:lvl w:ilvl="6">
      <w:start w:val="1"/>
      <w:numFmt w:val="decimal"/>
      <w:isLgl/>
      <w:lvlText w:val="%1.%2.%3.%4.%5.%6.%7"/>
      <w:lvlJc w:val="left"/>
      <w:pPr>
        <w:tabs>
          <w:tab w:val="num" w:pos="1440"/>
        </w:tabs>
        <w:ind w:left="1440" w:hanging="1440"/>
      </w:pPr>
      <w:rPr>
        <w:strike w:val="0"/>
        <w:dstrike w:val="0"/>
        <w:u w:val="none"/>
        <w:effect w:val="none"/>
      </w:rPr>
    </w:lvl>
    <w:lvl w:ilvl="7">
      <w:start w:val="1"/>
      <w:numFmt w:val="decimal"/>
      <w:isLgl/>
      <w:lvlText w:val="%1.%2.%3.%4.%5.%6.%7.%8"/>
      <w:lvlJc w:val="left"/>
      <w:pPr>
        <w:tabs>
          <w:tab w:val="num" w:pos="1440"/>
        </w:tabs>
        <w:ind w:left="1440" w:hanging="1440"/>
      </w:pPr>
      <w:rPr>
        <w:strike w:val="0"/>
        <w:dstrike w:val="0"/>
        <w:u w:val="none"/>
        <w:effect w:val="none"/>
      </w:rPr>
    </w:lvl>
    <w:lvl w:ilvl="8">
      <w:start w:val="1"/>
      <w:numFmt w:val="decimal"/>
      <w:isLgl/>
      <w:lvlText w:val="%1.%2.%3.%4.%5.%6.%7.%8.%9"/>
      <w:lvlJc w:val="left"/>
      <w:pPr>
        <w:tabs>
          <w:tab w:val="num" w:pos="1800"/>
        </w:tabs>
        <w:ind w:left="1800" w:hanging="1800"/>
      </w:pPr>
      <w:rPr>
        <w:strike w:val="0"/>
        <w:dstrike w:val="0"/>
        <w:u w:val="none"/>
        <w:effect w:val="none"/>
      </w:rPr>
    </w:lvl>
  </w:abstractNum>
  <w:abstractNum w:abstractNumId="4" w15:restartNumberingAfterBreak="0">
    <w:nsid w:val="55542CAA"/>
    <w:multiLevelType w:val="multilevel"/>
    <w:tmpl w:val="6E481CAC"/>
    <w:lvl w:ilvl="0">
      <w:start w:val="5"/>
      <w:numFmt w:val="decimal"/>
      <w:lvlText w:val="%1."/>
      <w:lvlJc w:val="left"/>
      <w:pPr>
        <w:tabs>
          <w:tab w:val="num" w:pos="855"/>
        </w:tabs>
        <w:ind w:left="855" w:hanging="855"/>
      </w:pPr>
    </w:lvl>
    <w:lvl w:ilvl="1">
      <w:start w:val="2"/>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num w:numId="1" w16cid:durableId="2082828102">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468742760">
    <w:abstractNumId w:val="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33511078">
    <w:abstractNumId w:val="4"/>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98571210">
    <w:abstractNumId w:val="1"/>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37831233">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AC9"/>
    <w:rsid w:val="000259B9"/>
    <w:rsid w:val="00041491"/>
    <w:rsid w:val="00047418"/>
    <w:rsid w:val="00050D16"/>
    <w:rsid w:val="000730CA"/>
    <w:rsid w:val="00074F2A"/>
    <w:rsid w:val="000A1CA8"/>
    <w:rsid w:val="000A466B"/>
    <w:rsid w:val="000B058C"/>
    <w:rsid w:val="000D68B0"/>
    <w:rsid w:val="000E4EE6"/>
    <w:rsid w:val="001454E2"/>
    <w:rsid w:val="00206CE8"/>
    <w:rsid w:val="0021526C"/>
    <w:rsid w:val="00283A2B"/>
    <w:rsid w:val="002B30AD"/>
    <w:rsid w:val="002C1EC0"/>
    <w:rsid w:val="002C2C01"/>
    <w:rsid w:val="002F7AC9"/>
    <w:rsid w:val="003A29AE"/>
    <w:rsid w:val="003A32D7"/>
    <w:rsid w:val="003B4074"/>
    <w:rsid w:val="003C769A"/>
    <w:rsid w:val="003D3A90"/>
    <w:rsid w:val="003F1838"/>
    <w:rsid w:val="004251C1"/>
    <w:rsid w:val="0045746C"/>
    <w:rsid w:val="0049104B"/>
    <w:rsid w:val="004E3B12"/>
    <w:rsid w:val="00532310"/>
    <w:rsid w:val="00565F0F"/>
    <w:rsid w:val="00594A86"/>
    <w:rsid w:val="00596D86"/>
    <w:rsid w:val="005E36ED"/>
    <w:rsid w:val="00637F5A"/>
    <w:rsid w:val="00641C65"/>
    <w:rsid w:val="006560B1"/>
    <w:rsid w:val="0065751F"/>
    <w:rsid w:val="006756DD"/>
    <w:rsid w:val="006E3FB5"/>
    <w:rsid w:val="0071241E"/>
    <w:rsid w:val="00737275"/>
    <w:rsid w:val="00740EEC"/>
    <w:rsid w:val="0078011A"/>
    <w:rsid w:val="00782AF4"/>
    <w:rsid w:val="00790EE7"/>
    <w:rsid w:val="007B6649"/>
    <w:rsid w:val="0082576E"/>
    <w:rsid w:val="0089346F"/>
    <w:rsid w:val="00907F75"/>
    <w:rsid w:val="009260DE"/>
    <w:rsid w:val="0093258A"/>
    <w:rsid w:val="009C1463"/>
    <w:rsid w:val="009C7BA3"/>
    <w:rsid w:val="009D1F5A"/>
    <w:rsid w:val="00A10294"/>
    <w:rsid w:val="00B003BF"/>
    <w:rsid w:val="00B373D7"/>
    <w:rsid w:val="00B3782D"/>
    <w:rsid w:val="00B55271"/>
    <w:rsid w:val="00BD7931"/>
    <w:rsid w:val="00BF6243"/>
    <w:rsid w:val="00C07786"/>
    <w:rsid w:val="00C36276"/>
    <w:rsid w:val="00C42586"/>
    <w:rsid w:val="00C45F6B"/>
    <w:rsid w:val="00C60CCD"/>
    <w:rsid w:val="00C84483"/>
    <w:rsid w:val="00C95551"/>
    <w:rsid w:val="00CB20D7"/>
    <w:rsid w:val="00D020B0"/>
    <w:rsid w:val="00D11748"/>
    <w:rsid w:val="00D237F6"/>
    <w:rsid w:val="00D34D98"/>
    <w:rsid w:val="00D366CF"/>
    <w:rsid w:val="00D93992"/>
    <w:rsid w:val="00DF634A"/>
    <w:rsid w:val="00E108AA"/>
    <w:rsid w:val="00E3749A"/>
    <w:rsid w:val="00E7437F"/>
    <w:rsid w:val="00E865B8"/>
    <w:rsid w:val="00EC0B9B"/>
    <w:rsid w:val="00ED5E9F"/>
    <w:rsid w:val="00F44F49"/>
    <w:rsid w:val="00F66D4F"/>
    <w:rsid w:val="00FB0369"/>
    <w:rsid w:val="00FB6D01"/>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5BE10E"/>
  <w15:chartTrackingRefBased/>
  <w15:docId w15:val="{8FF1C379-0548-4648-877B-6ECCDBAEB2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6D01"/>
    <w:rPr>
      <w:sz w:val="23"/>
      <w:lang w:eastAsia="en-US"/>
    </w:rPr>
  </w:style>
  <w:style w:type="paragraph" w:styleId="Overskrift1">
    <w:name w:val="heading 1"/>
    <w:basedOn w:val="Normal"/>
    <w:next w:val="Normal"/>
    <w:qFormat/>
    <w:rsid w:val="00FB6D01"/>
    <w:pPr>
      <w:keepNext/>
      <w:spacing w:before="240" w:after="60"/>
      <w:outlineLvl w:val="0"/>
    </w:pPr>
    <w:rPr>
      <w:rFonts w:ascii="Arial" w:hAnsi="Arial"/>
      <w:b/>
      <w:kern w:val="28"/>
      <w:sz w:val="28"/>
    </w:rPr>
  </w:style>
  <w:style w:type="paragraph" w:styleId="Overskrift3">
    <w:name w:val="heading 3"/>
    <w:basedOn w:val="Normal"/>
    <w:next w:val="Normal"/>
    <w:qFormat/>
    <w:rsid w:val="00FB6D01"/>
    <w:pPr>
      <w:keepNext/>
      <w:spacing w:before="240" w:after="60"/>
      <w:outlineLvl w:val="2"/>
    </w:pPr>
    <w:rPr>
      <w:rFonts w:ascii="Arial" w:hAnsi="Arial"/>
      <w:sz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Kommentartekst">
    <w:name w:val="annotation text"/>
    <w:basedOn w:val="Normal"/>
    <w:link w:val="KommentartekstTegn"/>
    <w:semiHidden/>
    <w:rsid w:val="00790EE7"/>
    <w:rPr>
      <w:sz w:val="20"/>
      <w:lang w:eastAsia="da-DK"/>
    </w:rPr>
  </w:style>
  <w:style w:type="paragraph" w:styleId="Sidehoved">
    <w:name w:val="header"/>
    <w:basedOn w:val="Normal"/>
    <w:link w:val="SidehovedTegn"/>
    <w:rsid w:val="00790EE7"/>
    <w:pPr>
      <w:tabs>
        <w:tab w:val="center" w:pos="4819"/>
        <w:tab w:val="right" w:pos="9638"/>
      </w:tabs>
    </w:pPr>
    <w:rPr>
      <w:sz w:val="24"/>
      <w:lang w:eastAsia="da-DK"/>
    </w:rPr>
  </w:style>
  <w:style w:type="paragraph" w:styleId="Titel">
    <w:name w:val="Title"/>
    <w:basedOn w:val="Normal"/>
    <w:link w:val="TitelTegn"/>
    <w:qFormat/>
    <w:rsid w:val="00790EE7"/>
    <w:pPr>
      <w:jc w:val="center"/>
    </w:pPr>
    <w:rPr>
      <w:b/>
      <w:sz w:val="24"/>
      <w:lang w:eastAsia="da-DK"/>
    </w:rPr>
  </w:style>
  <w:style w:type="character" w:styleId="Kommentarhenvisning">
    <w:name w:val="annotation reference"/>
    <w:semiHidden/>
    <w:rsid w:val="00790EE7"/>
    <w:rPr>
      <w:sz w:val="16"/>
      <w:szCs w:val="16"/>
    </w:rPr>
  </w:style>
  <w:style w:type="paragraph" w:styleId="Markeringsbobletekst">
    <w:name w:val="Balloon Text"/>
    <w:basedOn w:val="Normal"/>
    <w:semiHidden/>
    <w:rsid w:val="00790EE7"/>
    <w:rPr>
      <w:rFonts w:ascii="Tahoma" w:hAnsi="Tahoma" w:cs="Tahoma"/>
      <w:sz w:val="16"/>
      <w:szCs w:val="16"/>
    </w:rPr>
  </w:style>
  <w:style w:type="paragraph" w:styleId="Sidefod">
    <w:name w:val="footer"/>
    <w:basedOn w:val="Normal"/>
    <w:rsid w:val="00C42586"/>
    <w:pPr>
      <w:tabs>
        <w:tab w:val="center" w:pos="4819"/>
        <w:tab w:val="right" w:pos="9638"/>
      </w:tabs>
    </w:pPr>
  </w:style>
  <w:style w:type="character" w:styleId="Sidetal">
    <w:name w:val="page number"/>
    <w:basedOn w:val="Standardskrifttypeiafsnit"/>
    <w:rsid w:val="00C42586"/>
  </w:style>
  <w:style w:type="character" w:customStyle="1" w:styleId="KommentartekstTegn">
    <w:name w:val="Kommentartekst Tegn"/>
    <w:basedOn w:val="Standardskrifttypeiafsnit"/>
    <w:link w:val="Kommentartekst"/>
    <w:semiHidden/>
    <w:rsid w:val="00B003BF"/>
  </w:style>
  <w:style w:type="character" w:customStyle="1" w:styleId="SidehovedTegn">
    <w:name w:val="Sidehoved Tegn"/>
    <w:link w:val="Sidehoved"/>
    <w:rsid w:val="00B003BF"/>
    <w:rPr>
      <w:sz w:val="24"/>
    </w:rPr>
  </w:style>
  <w:style w:type="character" w:customStyle="1" w:styleId="TitelTegn">
    <w:name w:val="Titel Tegn"/>
    <w:link w:val="Titel"/>
    <w:rsid w:val="00B003BF"/>
    <w:rPr>
      <w:b/>
      <w:sz w:val="24"/>
    </w:rPr>
  </w:style>
  <w:style w:type="paragraph" w:styleId="Kommentaremne">
    <w:name w:val="annotation subject"/>
    <w:basedOn w:val="Kommentartekst"/>
    <w:next w:val="Kommentartekst"/>
    <w:link w:val="KommentaremneTegn"/>
    <w:uiPriority w:val="99"/>
    <w:semiHidden/>
    <w:unhideWhenUsed/>
    <w:rsid w:val="009260DE"/>
    <w:rPr>
      <w:b/>
      <w:bCs/>
      <w:lang w:eastAsia="en-US"/>
    </w:rPr>
  </w:style>
  <w:style w:type="character" w:customStyle="1" w:styleId="KommentaremneTegn">
    <w:name w:val="Kommentaremne Tegn"/>
    <w:basedOn w:val="KommentartekstTegn"/>
    <w:link w:val="Kommentaremne"/>
    <w:uiPriority w:val="99"/>
    <w:semiHidden/>
    <w:rsid w:val="009260DE"/>
    <w:rPr>
      <w:b/>
      <w:bCs/>
      <w:lang w:eastAsia="en-US"/>
    </w:rPr>
  </w:style>
  <w:style w:type="table" w:styleId="Tabel-Gitter">
    <w:name w:val="Table Grid"/>
    <w:basedOn w:val="Tabel-Normal"/>
    <w:rsid w:val="009C1463"/>
    <w:rPr>
      <w:lang w:val="en-GB"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rdskrifttypeiafsnit"/>
    <w:uiPriority w:val="99"/>
    <w:unhideWhenUsed/>
    <w:rsid w:val="009C1463"/>
    <w:rPr>
      <w:color w:val="0563C1" w:themeColor="hyperlink"/>
      <w:u w:val="single"/>
    </w:rPr>
  </w:style>
  <w:style w:type="character" w:styleId="Ulstomtale">
    <w:name w:val="Unresolved Mention"/>
    <w:basedOn w:val="Standardskrifttypeiafsnit"/>
    <w:uiPriority w:val="99"/>
    <w:semiHidden/>
    <w:unhideWhenUsed/>
    <w:rsid w:val="009C146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672759">
      <w:bodyDiv w:val="1"/>
      <w:marLeft w:val="0"/>
      <w:marRight w:val="0"/>
      <w:marTop w:val="0"/>
      <w:marBottom w:val="0"/>
      <w:divBdr>
        <w:top w:val="none" w:sz="0" w:space="0" w:color="auto"/>
        <w:left w:val="none" w:sz="0" w:space="0" w:color="auto"/>
        <w:bottom w:val="none" w:sz="0" w:space="0" w:color="auto"/>
        <w:right w:val="none" w:sz="0" w:space="0" w:color="auto"/>
      </w:divBdr>
    </w:div>
    <w:div w:id="99961188">
      <w:bodyDiv w:val="1"/>
      <w:marLeft w:val="0"/>
      <w:marRight w:val="0"/>
      <w:marTop w:val="0"/>
      <w:marBottom w:val="0"/>
      <w:divBdr>
        <w:top w:val="none" w:sz="0" w:space="0" w:color="auto"/>
        <w:left w:val="none" w:sz="0" w:space="0" w:color="auto"/>
        <w:bottom w:val="none" w:sz="0" w:space="0" w:color="auto"/>
        <w:right w:val="none" w:sz="0" w:space="0" w:color="auto"/>
      </w:divBdr>
    </w:div>
    <w:div w:id="104547506">
      <w:bodyDiv w:val="1"/>
      <w:marLeft w:val="0"/>
      <w:marRight w:val="0"/>
      <w:marTop w:val="0"/>
      <w:marBottom w:val="0"/>
      <w:divBdr>
        <w:top w:val="none" w:sz="0" w:space="0" w:color="auto"/>
        <w:left w:val="none" w:sz="0" w:space="0" w:color="auto"/>
        <w:bottom w:val="none" w:sz="0" w:space="0" w:color="auto"/>
        <w:right w:val="none" w:sz="0" w:space="0" w:color="auto"/>
      </w:divBdr>
    </w:div>
    <w:div w:id="166411739">
      <w:bodyDiv w:val="1"/>
      <w:marLeft w:val="0"/>
      <w:marRight w:val="0"/>
      <w:marTop w:val="0"/>
      <w:marBottom w:val="0"/>
      <w:divBdr>
        <w:top w:val="none" w:sz="0" w:space="0" w:color="auto"/>
        <w:left w:val="none" w:sz="0" w:space="0" w:color="auto"/>
        <w:bottom w:val="none" w:sz="0" w:space="0" w:color="auto"/>
        <w:right w:val="none" w:sz="0" w:space="0" w:color="auto"/>
      </w:divBdr>
    </w:div>
    <w:div w:id="198322576">
      <w:bodyDiv w:val="1"/>
      <w:marLeft w:val="0"/>
      <w:marRight w:val="0"/>
      <w:marTop w:val="0"/>
      <w:marBottom w:val="0"/>
      <w:divBdr>
        <w:top w:val="none" w:sz="0" w:space="0" w:color="auto"/>
        <w:left w:val="none" w:sz="0" w:space="0" w:color="auto"/>
        <w:bottom w:val="none" w:sz="0" w:space="0" w:color="auto"/>
        <w:right w:val="none" w:sz="0" w:space="0" w:color="auto"/>
      </w:divBdr>
    </w:div>
    <w:div w:id="236332565">
      <w:bodyDiv w:val="1"/>
      <w:marLeft w:val="0"/>
      <w:marRight w:val="0"/>
      <w:marTop w:val="0"/>
      <w:marBottom w:val="0"/>
      <w:divBdr>
        <w:top w:val="none" w:sz="0" w:space="0" w:color="auto"/>
        <w:left w:val="none" w:sz="0" w:space="0" w:color="auto"/>
        <w:bottom w:val="none" w:sz="0" w:space="0" w:color="auto"/>
        <w:right w:val="none" w:sz="0" w:space="0" w:color="auto"/>
      </w:divBdr>
    </w:div>
    <w:div w:id="303194030">
      <w:bodyDiv w:val="1"/>
      <w:marLeft w:val="0"/>
      <w:marRight w:val="0"/>
      <w:marTop w:val="0"/>
      <w:marBottom w:val="0"/>
      <w:divBdr>
        <w:top w:val="none" w:sz="0" w:space="0" w:color="auto"/>
        <w:left w:val="none" w:sz="0" w:space="0" w:color="auto"/>
        <w:bottom w:val="none" w:sz="0" w:space="0" w:color="auto"/>
        <w:right w:val="none" w:sz="0" w:space="0" w:color="auto"/>
      </w:divBdr>
    </w:div>
    <w:div w:id="319237026">
      <w:bodyDiv w:val="1"/>
      <w:marLeft w:val="0"/>
      <w:marRight w:val="0"/>
      <w:marTop w:val="0"/>
      <w:marBottom w:val="0"/>
      <w:divBdr>
        <w:top w:val="none" w:sz="0" w:space="0" w:color="auto"/>
        <w:left w:val="none" w:sz="0" w:space="0" w:color="auto"/>
        <w:bottom w:val="none" w:sz="0" w:space="0" w:color="auto"/>
        <w:right w:val="none" w:sz="0" w:space="0" w:color="auto"/>
      </w:divBdr>
    </w:div>
    <w:div w:id="348608526">
      <w:bodyDiv w:val="1"/>
      <w:marLeft w:val="0"/>
      <w:marRight w:val="0"/>
      <w:marTop w:val="0"/>
      <w:marBottom w:val="0"/>
      <w:divBdr>
        <w:top w:val="none" w:sz="0" w:space="0" w:color="auto"/>
        <w:left w:val="none" w:sz="0" w:space="0" w:color="auto"/>
        <w:bottom w:val="none" w:sz="0" w:space="0" w:color="auto"/>
        <w:right w:val="none" w:sz="0" w:space="0" w:color="auto"/>
      </w:divBdr>
    </w:div>
    <w:div w:id="434593915">
      <w:bodyDiv w:val="1"/>
      <w:marLeft w:val="0"/>
      <w:marRight w:val="0"/>
      <w:marTop w:val="0"/>
      <w:marBottom w:val="0"/>
      <w:divBdr>
        <w:top w:val="none" w:sz="0" w:space="0" w:color="auto"/>
        <w:left w:val="none" w:sz="0" w:space="0" w:color="auto"/>
        <w:bottom w:val="none" w:sz="0" w:space="0" w:color="auto"/>
        <w:right w:val="none" w:sz="0" w:space="0" w:color="auto"/>
      </w:divBdr>
    </w:div>
    <w:div w:id="483277148">
      <w:bodyDiv w:val="1"/>
      <w:marLeft w:val="0"/>
      <w:marRight w:val="0"/>
      <w:marTop w:val="0"/>
      <w:marBottom w:val="0"/>
      <w:divBdr>
        <w:top w:val="none" w:sz="0" w:space="0" w:color="auto"/>
        <w:left w:val="none" w:sz="0" w:space="0" w:color="auto"/>
        <w:bottom w:val="none" w:sz="0" w:space="0" w:color="auto"/>
        <w:right w:val="none" w:sz="0" w:space="0" w:color="auto"/>
      </w:divBdr>
    </w:div>
    <w:div w:id="491991752">
      <w:bodyDiv w:val="1"/>
      <w:marLeft w:val="0"/>
      <w:marRight w:val="0"/>
      <w:marTop w:val="0"/>
      <w:marBottom w:val="0"/>
      <w:divBdr>
        <w:top w:val="none" w:sz="0" w:space="0" w:color="auto"/>
        <w:left w:val="none" w:sz="0" w:space="0" w:color="auto"/>
        <w:bottom w:val="none" w:sz="0" w:space="0" w:color="auto"/>
        <w:right w:val="none" w:sz="0" w:space="0" w:color="auto"/>
      </w:divBdr>
    </w:div>
    <w:div w:id="499203214">
      <w:bodyDiv w:val="1"/>
      <w:marLeft w:val="0"/>
      <w:marRight w:val="0"/>
      <w:marTop w:val="0"/>
      <w:marBottom w:val="0"/>
      <w:divBdr>
        <w:top w:val="none" w:sz="0" w:space="0" w:color="auto"/>
        <w:left w:val="none" w:sz="0" w:space="0" w:color="auto"/>
        <w:bottom w:val="none" w:sz="0" w:space="0" w:color="auto"/>
        <w:right w:val="none" w:sz="0" w:space="0" w:color="auto"/>
      </w:divBdr>
    </w:div>
    <w:div w:id="544608309">
      <w:bodyDiv w:val="1"/>
      <w:marLeft w:val="0"/>
      <w:marRight w:val="0"/>
      <w:marTop w:val="0"/>
      <w:marBottom w:val="0"/>
      <w:divBdr>
        <w:top w:val="none" w:sz="0" w:space="0" w:color="auto"/>
        <w:left w:val="none" w:sz="0" w:space="0" w:color="auto"/>
        <w:bottom w:val="none" w:sz="0" w:space="0" w:color="auto"/>
        <w:right w:val="none" w:sz="0" w:space="0" w:color="auto"/>
      </w:divBdr>
    </w:div>
    <w:div w:id="562057635">
      <w:bodyDiv w:val="1"/>
      <w:marLeft w:val="0"/>
      <w:marRight w:val="0"/>
      <w:marTop w:val="0"/>
      <w:marBottom w:val="0"/>
      <w:divBdr>
        <w:top w:val="none" w:sz="0" w:space="0" w:color="auto"/>
        <w:left w:val="none" w:sz="0" w:space="0" w:color="auto"/>
        <w:bottom w:val="none" w:sz="0" w:space="0" w:color="auto"/>
        <w:right w:val="none" w:sz="0" w:space="0" w:color="auto"/>
      </w:divBdr>
    </w:div>
    <w:div w:id="573393465">
      <w:bodyDiv w:val="1"/>
      <w:marLeft w:val="0"/>
      <w:marRight w:val="0"/>
      <w:marTop w:val="0"/>
      <w:marBottom w:val="0"/>
      <w:divBdr>
        <w:top w:val="none" w:sz="0" w:space="0" w:color="auto"/>
        <w:left w:val="none" w:sz="0" w:space="0" w:color="auto"/>
        <w:bottom w:val="none" w:sz="0" w:space="0" w:color="auto"/>
        <w:right w:val="none" w:sz="0" w:space="0" w:color="auto"/>
      </w:divBdr>
    </w:div>
    <w:div w:id="580453473">
      <w:bodyDiv w:val="1"/>
      <w:marLeft w:val="0"/>
      <w:marRight w:val="0"/>
      <w:marTop w:val="0"/>
      <w:marBottom w:val="0"/>
      <w:divBdr>
        <w:top w:val="none" w:sz="0" w:space="0" w:color="auto"/>
        <w:left w:val="none" w:sz="0" w:space="0" w:color="auto"/>
        <w:bottom w:val="none" w:sz="0" w:space="0" w:color="auto"/>
        <w:right w:val="none" w:sz="0" w:space="0" w:color="auto"/>
      </w:divBdr>
    </w:div>
    <w:div w:id="626161682">
      <w:bodyDiv w:val="1"/>
      <w:marLeft w:val="0"/>
      <w:marRight w:val="0"/>
      <w:marTop w:val="0"/>
      <w:marBottom w:val="0"/>
      <w:divBdr>
        <w:top w:val="none" w:sz="0" w:space="0" w:color="auto"/>
        <w:left w:val="none" w:sz="0" w:space="0" w:color="auto"/>
        <w:bottom w:val="none" w:sz="0" w:space="0" w:color="auto"/>
        <w:right w:val="none" w:sz="0" w:space="0" w:color="auto"/>
      </w:divBdr>
    </w:div>
    <w:div w:id="632710888">
      <w:bodyDiv w:val="1"/>
      <w:marLeft w:val="0"/>
      <w:marRight w:val="0"/>
      <w:marTop w:val="0"/>
      <w:marBottom w:val="0"/>
      <w:divBdr>
        <w:top w:val="none" w:sz="0" w:space="0" w:color="auto"/>
        <w:left w:val="none" w:sz="0" w:space="0" w:color="auto"/>
        <w:bottom w:val="none" w:sz="0" w:space="0" w:color="auto"/>
        <w:right w:val="none" w:sz="0" w:space="0" w:color="auto"/>
      </w:divBdr>
    </w:div>
    <w:div w:id="684552551">
      <w:bodyDiv w:val="1"/>
      <w:marLeft w:val="0"/>
      <w:marRight w:val="0"/>
      <w:marTop w:val="0"/>
      <w:marBottom w:val="0"/>
      <w:divBdr>
        <w:top w:val="none" w:sz="0" w:space="0" w:color="auto"/>
        <w:left w:val="none" w:sz="0" w:space="0" w:color="auto"/>
        <w:bottom w:val="none" w:sz="0" w:space="0" w:color="auto"/>
        <w:right w:val="none" w:sz="0" w:space="0" w:color="auto"/>
      </w:divBdr>
    </w:div>
    <w:div w:id="709838497">
      <w:bodyDiv w:val="1"/>
      <w:marLeft w:val="0"/>
      <w:marRight w:val="0"/>
      <w:marTop w:val="0"/>
      <w:marBottom w:val="0"/>
      <w:divBdr>
        <w:top w:val="none" w:sz="0" w:space="0" w:color="auto"/>
        <w:left w:val="none" w:sz="0" w:space="0" w:color="auto"/>
        <w:bottom w:val="none" w:sz="0" w:space="0" w:color="auto"/>
        <w:right w:val="none" w:sz="0" w:space="0" w:color="auto"/>
      </w:divBdr>
    </w:div>
    <w:div w:id="712466380">
      <w:bodyDiv w:val="1"/>
      <w:marLeft w:val="0"/>
      <w:marRight w:val="0"/>
      <w:marTop w:val="0"/>
      <w:marBottom w:val="0"/>
      <w:divBdr>
        <w:top w:val="none" w:sz="0" w:space="0" w:color="auto"/>
        <w:left w:val="none" w:sz="0" w:space="0" w:color="auto"/>
        <w:bottom w:val="none" w:sz="0" w:space="0" w:color="auto"/>
        <w:right w:val="none" w:sz="0" w:space="0" w:color="auto"/>
      </w:divBdr>
    </w:div>
    <w:div w:id="737675068">
      <w:bodyDiv w:val="1"/>
      <w:marLeft w:val="0"/>
      <w:marRight w:val="0"/>
      <w:marTop w:val="0"/>
      <w:marBottom w:val="0"/>
      <w:divBdr>
        <w:top w:val="none" w:sz="0" w:space="0" w:color="auto"/>
        <w:left w:val="none" w:sz="0" w:space="0" w:color="auto"/>
        <w:bottom w:val="none" w:sz="0" w:space="0" w:color="auto"/>
        <w:right w:val="none" w:sz="0" w:space="0" w:color="auto"/>
      </w:divBdr>
    </w:div>
    <w:div w:id="790589783">
      <w:bodyDiv w:val="1"/>
      <w:marLeft w:val="0"/>
      <w:marRight w:val="0"/>
      <w:marTop w:val="0"/>
      <w:marBottom w:val="0"/>
      <w:divBdr>
        <w:top w:val="none" w:sz="0" w:space="0" w:color="auto"/>
        <w:left w:val="none" w:sz="0" w:space="0" w:color="auto"/>
        <w:bottom w:val="none" w:sz="0" w:space="0" w:color="auto"/>
        <w:right w:val="none" w:sz="0" w:space="0" w:color="auto"/>
      </w:divBdr>
    </w:div>
    <w:div w:id="817574959">
      <w:bodyDiv w:val="1"/>
      <w:marLeft w:val="0"/>
      <w:marRight w:val="0"/>
      <w:marTop w:val="0"/>
      <w:marBottom w:val="0"/>
      <w:divBdr>
        <w:top w:val="none" w:sz="0" w:space="0" w:color="auto"/>
        <w:left w:val="none" w:sz="0" w:space="0" w:color="auto"/>
        <w:bottom w:val="none" w:sz="0" w:space="0" w:color="auto"/>
        <w:right w:val="none" w:sz="0" w:space="0" w:color="auto"/>
      </w:divBdr>
    </w:div>
    <w:div w:id="1009136570">
      <w:bodyDiv w:val="1"/>
      <w:marLeft w:val="0"/>
      <w:marRight w:val="0"/>
      <w:marTop w:val="0"/>
      <w:marBottom w:val="0"/>
      <w:divBdr>
        <w:top w:val="none" w:sz="0" w:space="0" w:color="auto"/>
        <w:left w:val="none" w:sz="0" w:space="0" w:color="auto"/>
        <w:bottom w:val="none" w:sz="0" w:space="0" w:color="auto"/>
        <w:right w:val="none" w:sz="0" w:space="0" w:color="auto"/>
      </w:divBdr>
    </w:div>
    <w:div w:id="1079131833">
      <w:bodyDiv w:val="1"/>
      <w:marLeft w:val="0"/>
      <w:marRight w:val="0"/>
      <w:marTop w:val="0"/>
      <w:marBottom w:val="0"/>
      <w:divBdr>
        <w:top w:val="none" w:sz="0" w:space="0" w:color="auto"/>
        <w:left w:val="none" w:sz="0" w:space="0" w:color="auto"/>
        <w:bottom w:val="none" w:sz="0" w:space="0" w:color="auto"/>
        <w:right w:val="none" w:sz="0" w:space="0" w:color="auto"/>
      </w:divBdr>
    </w:div>
    <w:div w:id="1189292460">
      <w:bodyDiv w:val="1"/>
      <w:marLeft w:val="0"/>
      <w:marRight w:val="0"/>
      <w:marTop w:val="0"/>
      <w:marBottom w:val="0"/>
      <w:divBdr>
        <w:top w:val="none" w:sz="0" w:space="0" w:color="auto"/>
        <w:left w:val="none" w:sz="0" w:space="0" w:color="auto"/>
        <w:bottom w:val="none" w:sz="0" w:space="0" w:color="auto"/>
        <w:right w:val="none" w:sz="0" w:space="0" w:color="auto"/>
      </w:divBdr>
    </w:div>
    <w:div w:id="1242371879">
      <w:bodyDiv w:val="1"/>
      <w:marLeft w:val="0"/>
      <w:marRight w:val="0"/>
      <w:marTop w:val="0"/>
      <w:marBottom w:val="0"/>
      <w:divBdr>
        <w:top w:val="none" w:sz="0" w:space="0" w:color="auto"/>
        <w:left w:val="none" w:sz="0" w:space="0" w:color="auto"/>
        <w:bottom w:val="none" w:sz="0" w:space="0" w:color="auto"/>
        <w:right w:val="none" w:sz="0" w:space="0" w:color="auto"/>
      </w:divBdr>
    </w:div>
    <w:div w:id="1307004388">
      <w:bodyDiv w:val="1"/>
      <w:marLeft w:val="0"/>
      <w:marRight w:val="0"/>
      <w:marTop w:val="0"/>
      <w:marBottom w:val="0"/>
      <w:divBdr>
        <w:top w:val="none" w:sz="0" w:space="0" w:color="auto"/>
        <w:left w:val="none" w:sz="0" w:space="0" w:color="auto"/>
        <w:bottom w:val="none" w:sz="0" w:space="0" w:color="auto"/>
        <w:right w:val="none" w:sz="0" w:space="0" w:color="auto"/>
      </w:divBdr>
    </w:div>
    <w:div w:id="1404136225">
      <w:bodyDiv w:val="1"/>
      <w:marLeft w:val="0"/>
      <w:marRight w:val="0"/>
      <w:marTop w:val="0"/>
      <w:marBottom w:val="0"/>
      <w:divBdr>
        <w:top w:val="none" w:sz="0" w:space="0" w:color="auto"/>
        <w:left w:val="none" w:sz="0" w:space="0" w:color="auto"/>
        <w:bottom w:val="none" w:sz="0" w:space="0" w:color="auto"/>
        <w:right w:val="none" w:sz="0" w:space="0" w:color="auto"/>
      </w:divBdr>
    </w:div>
    <w:div w:id="1519388720">
      <w:bodyDiv w:val="1"/>
      <w:marLeft w:val="0"/>
      <w:marRight w:val="0"/>
      <w:marTop w:val="0"/>
      <w:marBottom w:val="0"/>
      <w:divBdr>
        <w:top w:val="none" w:sz="0" w:space="0" w:color="auto"/>
        <w:left w:val="none" w:sz="0" w:space="0" w:color="auto"/>
        <w:bottom w:val="none" w:sz="0" w:space="0" w:color="auto"/>
        <w:right w:val="none" w:sz="0" w:space="0" w:color="auto"/>
      </w:divBdr>
    </w:div>
    <w:div w:id="1598097690">
      <w:bodyDiv w:val="1"/>
      <w:marLeft w:val="0"/>
      <w:marRight w:val="0"/>
      <w:marTop w:val="0"/>
      <w:marBottom w:val="0"/>
      <w:divBdr>
        <w:top w:val="none" w:sz="0" w:space="0" w:color="auto"/>
        <w:left w:val="none" w:sz="0" w:space="0" w:color="auto"/>
        <w:bottom w:val="none" w:sz="0" w:space="0" w:color="auto"/>
        <w:right w:val="none" w:sz="0" w:space="0" w:color="auto"/>
      </w:divBdr>
    </w:div>
    <w:div w:id="1627664047">
      <w:bodyDiv w:val="1"/>
      <w:marLeft w:val="0"/>
      <w:marRight w:val="0"/>
      <w:marTop w:val="0"/>
      <w:marBottom w:val="0"/>
      <w:divBdr>
        <w:top w:val="none" w:sz="0" w:space="0" w:color="auto"/>
        <w:left w:val="none" w:sz="0" w:space="0" w:color="auto"/>
        <w:bottom w:val="none" w:sz="0" w:space="0" w:color="auto"/>
        <w:right w:val="none" w:sz="0" w:space="0" w:color="auto"/>
      </w:divBdr>
    </w:div>
    <w:div w:id="1655177505">
      <w:bodyDiv w:val="1"/>
      <w:marLeft w:val="0"/>
      <w:marRight w:val="0"/>
      <w:marTop w:val="0"/>
      <w:marBottom w:val="0"/>
      <w:divBdr>
        <w:top w:val="none" w:sz="0" w:space="0" w:color="auto"/>
        <w:left w:val="none" w:sz="0" w:space="0" w:color="auto"/>
        <w:bottom w:val="none" w:sz="0" w:space="0" w:color="auto"/>
        <w:right w:val="none" w:sz="0" w:space="0" w:color="auto"/>
      </w:divBdr>
    </w:div>
    <w:div w:id="1664971226">
      <w:bodyDiv w:val="1"/>
      <w:marLeft w:val="0"/>
      <w:marRight w:val="0"/>
      <w:marTop w:val="0"/>
      <w:marBottom w:val="0"/>
      <w:divBdr>
        <w:top w:val="none" w:sz="0" w:space="0" w:color="auto"/>
        <w:left w:val="none" w:sz="0" w:space="0" w:color="auto"/>
        <w:bottom w:val="none" w:sz="0" w:space="0" w:color="auto"/>
        <w:right w:val="none" w:sz="0" w:space="0" w:color="auto"/>
      </w:divBdr>
    </w:div>
    <w:div w:id="1701936324">
      <w:bodyDiv w:val="1"/>
      <w:marLeft w:val="0"/>
      <w:marRight w:val="0"/>
      <w:marTop w:val="0"/>
      <w:marBottom w:val="0"/>
      <w:divBdr>
        <w:top w:val="none" w:sz="0" w:space="0" w:color="auto"/>
        <w:left w:val="none" w:sz="0" w:space="0" w:color="auto"/>
        <w:bottom w:val="none" w:sz="0" w:space="0" w:color="auto"/>
        <w:right w:val="none" w:sz="0" w:space="0" w:color="auto"/>
      </w:divBdr>
    </w:div>
    <w:div w:id="1710300170">
      <w:bodyDiv w:val="1"/>
      <w:marLeft w:val="0"/>
      <w:marRight w:val="0"/>
      <w:marTop w:val="0"/>
      <w:marBottom w:val="0"/>
      <w:divBdr>
        <w:top w:val="none" w:sz="0" w:space="0" w:color="auto"/>
        <w:left w:val="none" w:sz="0" w:space="0" w:color="auto"/>
        <w:bottom w:val="none" w:sz="0" w:space="0" w:color="auto"/>
        <w:right w:val="none" w:sz="0" w:space="0" w:color="auto"/>
      </w:divBdr>
    </w:div>
    <w:div w:id="1762489694">
      <w:bodyDiv w:val="1"/>
      <w:marLeft w:val="0"/>
      <w:marRight w:val="0"/>
      <w:marTop w:val="0"/>
      <w:marBottom w:val="0"/>
      <w:divBdr>
        <w:top w:val="none" w:sz="0" w:space="0" w:color="auto"/>
        <w:left w:val="none" w:sz="0" w:space="0" w:color="auto"/>
        <w:bottom w:val="none" w:sz="0" w:space="0" w:color="auto"/>
        <w:right w:val="none" w:sz="0" w:space="0" w:color="auto"/>
      </w:divBdr>
    </w:div>
    <w:div w:id="1799687042">
      <w:bodyDiv w:val="1"/>
      <w:marLeft w:val="0"/>
      <w:marRight w:val="0"/>
      <w:marTop w:val="0"/>
      <w:marBottom w:val="0"/>
      <w:divBdr>
        <w:top w:val="none" w:sz="0" w:space="0" w:color="auto"/>
        <w:left w:val="none" w:sz="0" w:space="0" w:color="auto"/>
        <w:bottom w:val="none" w:sz="0" w:space="0" w:color="auto"/>
        <w:right w:val="none" w:sz="0" w:space="0" w:color="auto"/>
      </w:divBdr>
    </w:div>
    <w:div w:id="1813401155">
      <w:bodyDiv w:val="1"/>
      <w:marLeft w:val="0"/>
      <w:marRight w:val="0"/>
      <w:marTop w:val="0"/>
      <w:marBottom w:val="0"/>
      <w:divBdr>
        <w:top w:val="none" w:sz="0" w:space="0" w:color="auto"/>
        <w:left w:val="none" w:sz="0" w:space="0" w:color="auto"/>
        <w:bottom w:val="none" w:sz="0" w:space="0" w:color="auto"/>
        <w:right w:val="none" w:sz="0" w:space="0" w:color="auto"/>
      </w:divBdr>
    </w:div>
    <w:div w:id="1820069307">
      <w:bodyDiv w:val="1"/>
      <w:marLeft w:val="0"/>
      <w:marRight w:val="0"/>
      <w:marTop w:val="0"/>
      <w:marBottom w:val="0"/>
      <w:divBdr>
        <w:top w:val="none" w:sz="0" w:space="0" w:color="auto"/>
        <w:left w:val="none" w:sz="0" w:space="0" w:color="auto"/>
        <w:bottom w:val="none" w:sz="0" w:space="0" w:color="auto"/>
        <w:right w:val="none" w:sz="0" w:space="0" w:color="auto"/>
      </w:divBdr>
    </w:div>
    <w:div w:id="1874076137">
      <w:bodyDiv w:val="1"/>
      <w:marLeft w:val="0"/>
      <w:marRight w:val="0"/>
      <w:marTop w:val="0"/>
      <w:marBottom w:val="0"/>
      <w:divBdr>
        <w:top w:val="none" w:sz="0" w:space="0" w:color="auto"/>
        <w:left w:val="none" w:sz="0" w:space="0" w:color="auto"/>
        <w:bottom w:val="none" w:sz="0" w:space="0" w:color="auto"/>
        <w:right w:val="none" w:sz="0" w:space="0" w:color="auto"/>
      </w:divBdr>
    </w:div>
    <w:div w:id="1905944344">
      <w:bodyDiv w:val="1"/>
      <w:marLeft w:val="0"/>
      <w:marRight w:val="0"/>
      <w:marTop w:val="0"/>
      <w:marBottom w:val="0"/>
      <w:divBdr>
        <w:top w:val="none" w:sz="0" w:space="0" w:color="auto"/>
        <w:left w:val="none" w:sz="0" w:space="0" w:color="auto"/>
        <w:bottom w:val="none" w:sz="0" w:space="0" w:color="auto"/>
        <w:right w:val="none" w:sz="0" w:space="0" w:color="auto"/>
      </w:divBdr>
    </w:div>
    <w:div w:id="1946644474">
      <w:bodyDiv w:val="1"/>
      <w:marLeft w:val="0"/>
      <w:marRight w:val="0"/>
      <w:marTop w:val="0"/>
      <w:marBottom w:val="0"/>
      <w:divBdr>
        <w:top w:val="none" w:sz="0" w:space="0" w:color="auto"/>
        <w:left w:val="none" w:sz="0" w:space="0" w:color="auto"/>
        <w:bottom w:val="none" w:sz="0" w:space="0" w:color="auto"/>
        <w:right w:val="none" w:sz="0" w:space="0" w:color="auto"/>
      </w:divBdr>
    </w:div>
    <w:div w:id="21097354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S:\QW_Docs\GOD\docs\National\LGO-RKE-REG%20008-01-SKB%20SPC%20Hum%20skabelon.dotx" TargetMode="Externa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1D916B-2253-47BA-8843-FB6DEFA1CF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LGO-RKE-REG 008-01-SKB SPC Hum skabelon</Template>
  <TotalTime>115</TotalTime>
  <Pages>22</Pages>
  <Words>7194</Words>
  <Characters>47126</Characters>
  <Application>Microsoft Office Word</Application>
  <DocSecurity>0</DocSecurity>
  <Lines>392</Lines>
  <Paragraphs>108</Paragraphs>
  <ScaleCrop>false</ScaleCrop>
  <HeadingPairs>
    <vt:vector size="2" baseType="variant">
      <vt:variant>
        <vt:lpstr>Titel</vt:lpstr>
      </vt:variant>
      <vt:variant>
        <vt:i4>1</vt:i4>
      </vt:variant>
    </vt:vector>
  </HeadingPairs>
  <TitlesOfParts>
    <vt:vector size="1" baseType="lpstr">
      <vt:lpstr>SPC Hum skabelon</vt:lpstr>
    </vt:vector>
  </TitlesOfParts>
  <Company/>
  <LinksUpToDate>false</LinksUpToDate>
  <CharactersWithSpaces>54212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Hanne Thy Iversen</dc:creator>
  <cp:keywords/>
  <dc:description>2025075166 mt</dc:description>
  <cp:lastModifiedBy>Hanne Thy Iversen</cp:lastModifiedBy>
  <cp:revision>7</cp:revision>
  <cp:lastPrinted>2012-08-22T08:53:00Z</cp:lastPrinted>
  <dcterms:created xsi:type="dcterms:W3CDTF">2026-09-11T09:55:00Z</dcterms:created>
  <dcterms:modified xsi:type="dcterms:W3CDTF">2026-09-15T08:13:00Z</dcterms:modified>
</cp:coreProperties>
</file>