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E8" w:rsidRDefault="00FF36E8" w:rsidP="00FF36E8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20D8F7EC" wp14:editId="3EABE157">
            <wp:extent cx="2466975" cy="685800"/>
            <wp:effectExtent l="0" t="0" r="9525" b="0"/>
            <wp:docPr id="3" name="Billede 3" descr="C:\Users\AMMO.DKLMMU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.DKLMMU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C12" w:rsidRDefault="00123C12" w:rsidP="00FF36E8"/>
    <w:p w:rsidR="00FF36E8" w:rsidRPr="00FA7FA4" w:rsidRDefault="008B481C" w:rsidP="00FF36E8">
      <w:pPr>
        <w:pStyle w:val="Titel"/>
        <w:jc w:val="right"/>
      </w:pPr>
      <w:r>
        <w:t>17</w:t>
      </w:r>
      <w:r w:rsidR="001503B9">
        <w:t xml:space="preserve">. </w:t>
      </w:r>
      <w:r w:rsidR="001144A6">
        <w:t>maj</w:t>
      </w:r>
      <w:r w:rsidR="001503B9">
        <w:t xml:space="preserve"> 20</w:t>
      </w:r>
      <w:r w:rsidR="00123C12">
        <w:t>2</w:t>
      </w:r>
      <w:r w:rsidR="001144A6">
        <w:t>3</w:t>
      </w:r>
    </w:p>
    <w:p w:rsidR="00FF36E8" w:rsidRDefault="00FF36E8" w:rsidP="00FF36E8">
      <w:pPr>
        <w:pStyle w:val="Titel"/>
        <w:jc w:val="left"/>
        <w:rPr>
          <w:b w:val="0"/>
        </w:rPr>
      </w:pPr>
    </w:p>
    <w:p w:rsidR="00FF36E8" w:rsidRPr="00EC0B9B" w:rsidRDefault="00FF36E8" w:rsidP="00FF36E8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FF36E8" w:rsidRPr="00EC0B9B" w:rsidRDefault="00FF36E8" w:rsidP="00FF36E8">
      <w:pPr>
        <w:jc w:val="center"/>
        <w:rPr>
          <w:b/>
          <w:sz w:val="24"/>
          <w:szCs w:val="24"/>
        </w:rPr>
      </w:pPr>
    </w:p>
    <w:p w:rsidR="00FF36E8" w:rsidRPr="00EC0B9B" w:rsidRDefault="00FF36E8" w:rsidP="00FF36E8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FF36E8" w:rsidRPr="00EC0B9B" w:rsidRDefault="00FF36E8" w:rsidP="00FF36E8">
      <w:pPr>
        <w:jc w:val="center"/>
        <w:rPr>
          <w:b/>
          <w:sz w:val="24"/>
          <w:szCs w:val="24"/>
        </w:rPr>
      </w:pPr>
    </w:p>
    <w:p w:rsidR="00FF36E8" w:rsidRPr="0049104B" w:rsidRDefault="00FF36E8" w:rsidP="00FF36E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Dymista</w:t>
      </w:r>
      <w:proofErr w:type="spellEnd"/>
      <w:r>
        <w:rPr>
          <w:b/>
          <w:sz w:val="24"/>
          <w:szCs w:val="24"/>
        </w:rPr>
        <w:t>, næsespray, suspension</w:t>
      </w:r>
    </w:p>
    <w:p w:rsidR="00FF36E8" w:rsidRPr="00EC0B9B" w:rsidRDefault="00FF36E8" w:rsidP="00FF36E8">
      <w:pPr>
        <w:jc w:val="both"/>
        <w:rPr>
          <w:sz w:val="24"/>
          <w:szCs w:val="24"/>
        </w:rPr>
      </w:pPr>
    </w:p>
    <w:p w:rsidR="00FF36E8" w:rsidRPr="00EC0B9B" w:rsidRDefault="00FF36E8" w:rsidP="00FF36E8">
      <w:pPr>
        <w:jc w:val="both"/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D.SP.NR.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28101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LÆGEMIDLETS NAVN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Dymista</w:t>
      </w:r>
      <w:proofErr w:type="spellEnd"/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KVALITATIV OG KVANTITATIV SAMMENSÆTNING</w:t>
      </w: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Hvert gram suspension indeholder 1000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365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En dosis (0,14 g) indeholder 137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(= 125 mikrogram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) og 50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Hjælpestof, som behandleren skal være opmærksom på:</w:t>
      </w: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En dosis (0,14 g) indeholder 0,014 mg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  <w:r>
        <w:rPr>
          <w:rStyle w:val="Kommentarhenvisning"/>
          <w:sz w:val="24"/>
          <w:szCs w:val="24"/>
        </w:rPr>
        <w:t xml:space="preserve"> 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LÆGEMIDDELFORM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Næsespray, suspension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Hvid, homogen suspension.</w:t>
      </w:r>
    </w:p>
    <w:p w:rsidR="00FF36E8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KLINISKE OPLYSNINGER</w:t>
      </w:r>
    </w:p>
    <w:p w:rsidR="00FF36E8" w:rsidRPr="00EC0B9B" w:rsidRDefault="00FF36E8" w:rsidP="00FF36E8">
      <w:pPr>
        <w:tabs>
          <w:tab w:val="left" w:pos="851"/>
        </w:tabs>
        <w:rPr>
          <w:b/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Terapeutiske indikationer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Lindring af symptomer på moderat til svær sæsonbetinget og vedvarende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, hvor monoterapi med enten intranasal antihistamin eller </w:t>
      </w:r>
      <w:proofErr w:type="spellStart"/>
      <w:r>
        <w:rPr>
          <w:sz w:val="24"/>
          <w:szCs w:val="24"/>
        </w:rPr>
        <w:t>glukokortikoid</w:t>
      </w:r>
      <w:proofErr w:type="spellEnd"/>
      <w:r>
        <w:rPr>
          <w:sz w:val="24"/>
          <w:szCs w:val="24"/>
        </w:rPr>
        <w:t xml:space="preserve"> ikke vurderes tilstrækkelig. 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Dosering og </w:t>
      </w:r>
      <w:r w:rsidR="001144A6">
        <w:rPr>
          <w:b/>
          <w:sz w:val="24"/>
          <w:szCs w:val="24"/>
        </w:rPr>
        <w:t>administration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Regelmæssig brug er essentiel for fuld terapeutisk effekt.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Undgå kontakt med øjnene.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Pr="005A1E93" w:rsidRDefault="00FF36E8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Dosering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Voksne og unge (12 år og ældre)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Et pust i hvert næsebor to gange daglig (morgen og aften).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  <w:highlight w:val="yellow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Børn under 12 år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er ikke anbefalet til børn under 12 år, da sikkerhed og virkning i denne aldersgruppe ikke er fastlagt.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Ældre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Dosisjustering er ikke nødvendig i denne population.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Nedsat nyre- og leverfunktion</w:t>
      </w:r>
    </w:p>
    <w:p w:rsidR="00FF36E8" w:rsidRDefault="00FF36E8" w:rsidP="00FF36E8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sz w:val="24"/>
          <w:szCs w:val="24"/>
        </w:rPr>
        <w:t>Der foreligger ingen data for patienter med nedsat nyre- og leverfunktion.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b/>
          <w:i/>
          <w:sz w:val="24"/>
          <w:szCs w:val="24"/>
        </w:rPr>
      </w:pPr>
    </w:p>
    <w:p w:rsidR="00FF36E8" w:rsidRPr="005A1E93" w:rsidRDefault="00FF36E8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Behandlingsvarighed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er egnet til brug i lang tid.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Varigheden af behandlingen bør svare til den periode, hvor patienten er eksponeret for allergener.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Pr="005A1E93" w:rsidRDefault="00FF36E8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Administrationsmetode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næsespray er kun til nasal anvendelse. 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highlight w:val="green"/>
        </w:rPr>
      </w:pPr>
    </w:p>
    <w:p w:rsidR="00FF36E8" w:rsidRPr="005A1E93" w:rsidRDefault="00FF36E8" w:rsidP="00FF36E8">
      <w:pPr>
        <w:tabs>
          <w:tab w:val="left" w:pos="0"/>
          <w:tab w:val="left" w:pos="851"/>
        </w:tabs>
        <w:ind w:left="851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Brugsanvisning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Forberedelse af sprayen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Flasken skal rystes let i ca. 5 sekunder før brug ved at vende den op og ned, og beskyttelseshætten skal derefter fjernes. Før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næsespray anvendes første gang, skal den forberedes til brug ved at trykke pumpen ned og give slip på den 6 gange. Hvis næsesprayen ikke har været brugt i over 7 dage, skal den forberedes igen ved at trykke pumpen ned en gang og derefter give slip på den.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Brug af sprayen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Flasken skal rystes forsigtigt før brug i ca. 5 sekunder ved at vende bunden op og ned. Beskyttelseshætten kan derefter fjernes. 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Efter at have pudset næse sprayes suspensionen en gang op i hvert næsebor, mens hovedet holdes nedad (se billedet). Efter hver brug tørres studsen af, og beskyttelseshætten sættes på igen.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noProof/>
          <w:sz w:val="22"/>
          <w:lang w:eastAsia="da-DK"/>
        </w:rPr>
        <w:drawing>
          <wp:inline distT="0" distB="0" distL="0" distR="0" wp14:anchorId="62F0A0D1" wp14:editId="44566670">
            <wp:extent cx="1371600" cy="1790700"/>
            <wp:effectExtent l="0" t="0" r="0" b="0"/>
            <wp:docPr id="2" name="Billede 2" descr="dymista_step_1_sw_high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mista_step_1_sw_high_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Kontraindikationer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Overfølsomhed over for de aktive stoffer eller over for et eller flere af hjælpestofferne anført i pkt. 6.1.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advarsler og forsigtighedsregler vedrørende brugen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Klinisk signifikante lægemiddelinteraktioner er rapporteret ved post-marketing brug hos patienter, som fik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hvilket resulterede i systemiske 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omfattende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og binyrebark</w:t>
      </w:r>
      <w:r>
        <w:rPr>
          <w:sz w:val="24"/>
          <w:szCs w:val="24"/>
        </w:rPr>
        <w:softHyphen/>
        <w:t xml:space="preserve">suppression. Samtidig brug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skal derfor undgås, med mindre den potentielle nytte for patienten opvejer risikoen for systemiske bivirkninger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(se pkt. 4.5).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Systemiske bivirkninger kan forekomme efter brug af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især ved høje doser givet i længere perioder. Disse bivirkninger er langt mindre sandsynlige end ved orale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og de kan individuelt variere mellem patienter og mellem forskellige </w:t>
      </w:r>
      <w:proofErr w:type="spellStart"/>
      <w:r>
        <w:rPr>
          <w:sz w:val="24"/>
          <w:szCs w:val="24"/>
        </w:rPr>
        <w:t>kortikosteroidpræparater</w:t>
      </w:r>
      <w:proofErr w:type="spellEnd"/>
      <w:r>
        <w:rPr>
          <w:sz w:val="24"/>
          <w:szCs w:val="24"/>
        </w:rPr>
        <w:t xml:space="preserve">. Potentielle systemiske bivirkninger kan omfatte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syndrom, </w:t>
      </w:r>
      <w:proofErr w:type="spellStart"/>
      <w:r>
        <w:rPr>
          <w:sz w:val="24"/>
          <w:szCs w:val="24"/>
        </w:rPr>
        <w:t>cushingoide</w:t>
      </w:r>
      <w:proofErr w:type="spellEnd"/>
      <w:r>
        <w:rPr>
          <w:sz w:val="24"/>
          <w:szCs w:val="24"/>
        </w:rPr>
        <w:t xml:space="preserve"> træk, binyrebarksuppression, væksthæmning hos børn og unge, katarakt,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 i sjældne tilfælde en række psykologiske eller adfærdsmæssige forstyrrelser, herunder </w:t>
      </w:r>
      <w:proofErr w:type="spellStart"/>
      <w:r>
        <w:rPr>
          <w:sz w:val="24"/>
          <w:szCs w:val="24"/>
        </w:rPr>
        <w:t>psykomotorisk</w:t>
      </w:r>
      <w:proofErr w:type="spellEnd"/>
      <w:r>
        <w:rPr>
          <w:sz w:val="24"/>
          <w:szCs w:val="24"/>
        </w:rPr>
        <w:t xml:space="preserve"> hyperaktivitet, søvnforstyrrelser, angst, depression eller aggression (især hos børn).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1144A6" w:rsidRDefault="001144A6" w:rsidP="001144A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undergår i vid udstrækning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metabolisme, og derfor er en øget systemisk eksponering sandsynlig efter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hos patienter med svær leversygdom. Dette kan medføre en større hyppighed af systemiske bivirkninger. </w:t>
      </w:r>
    </w:p>
    <w:p w:rsidR="001144A6" w:rsidRDefault="001144A6" w:rsidP="001144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Der skal udvises forsigtighed ved behandling af disse patienter.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med højere doser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end de anbefalede kan medføre klinisk signifikant binyrebarksuppression. Hvis der er tegn på, at der anvendes højere doser end den anbefalede, bør yderligere systemisk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behandling overvejes i perioder med stress eller ved planlagt kirurgi.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Generelt bør dosis af intranasale formuleringer af </w:t>
      </w:r>
      <w:proofErr w:type="spellStart"/>
      <w:r>
        <w:rPr>
          <w:sz w:val="24"/>
          <w:szCs w:val="24"/>
        </w:rPr>
        <w:t>fluticason</w:t>
      </w:r>
      <w:proofErr w:type="spellEnd"/>
      <w:r>
        <w:rPr>
          <w:sz w:val="24"/>
          <w:szCs w:val="24"/>
        </w:rPr>
        <w:t xml:space="preserve"> reduceres til den lavest mulige dosis, der fastholder effektiv kontrol af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-symptomerne. Højere doser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end den anbefalede (se pkt. 4.2) er ikke blevet undersøgt. Som med alle andre intranasale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bør den samlede systemiske belastning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tages i betragtning, når der samtidig ordineres andre former for </w:t>
      </w:r>
      <w:proofErr w:type="spellStart"/>
      <w:r>
        <w:rPr>
          <w:sz w:val="24"/>
          <w:szCs w:val="24"/>
        </w:rPr>
        <w:t>kortikosteroidbehandling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Væksthæmning er rapporteret hos børn, der er behandlet med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i godkendte doser. Da væksten fortsætter hos unge, anbefales det, at væksten af unge i længerevarende behandling med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monitoreres regelmæssigt. Hvis deres vækst aftager, skal behandlingen revurderes med henblik på om muligt at reducere dosis af nasal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til den lavest mulige dosis, der kan fastholde effektiv kontrol med symptomerne.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t xml:space="preserve">Ved brug af systemisk og </w:t>
      </w:r>
      <w:proofErr w:type="spellStart"/>
      <w:r>
        <w:t>topikalt</w:t>
      </w:r>
      <w:proofErr w:type="spellEnd"/>
      <w:r>
        <w:t xml:space="preserve"> </w:t>
      </w:r>
      <w:proofErr w:type="spellStart"/>
      <w:r>
        <w:t>kortikosteroid</w:t>
      </w:r>
      <w:proofErr w:type="spellEnd"/>
      <w: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t>glaukom</w:t>
      </w:r>
      <w:proofErr w:type="spellEnd"/>
      <w:r>
        <w:t xml:space="preserve"> eller sjældne sygdomme såsom central serøs </w:t>
      </w:r>
      <w:proofErr w:type="spellStart"/>
      <w:r>
        <w:t>korioretinopati</w:t>
      </w:r>
      <w:proofErr w:type="spellEnd"/>
      <w:r>
        <w:t xml:space="preserve"> (CSCR), som er indberettet efter brug af systemiske og </w:t>
      </w:r>
      <w:proofErr w:type="spellStart"/>
      <w:r>
        <w:t>topikale</w:t>
      </w:r>
      <w:proofErr w:type="spellEnd"/>
      <w:r>
        <w:t xml:space="preserve"> </w:t>
      </w:r>
      <w:proofErr w:type="spellStart"/>
      <w:r>
        <w:t>kortikosteroider</w:t>
      </w:r>
      <w:proofErr w:type="spellEnd"/>
      <w:r>
        <w:t>.</w:t>
      </w:r>
    </w:p>
    <w:p w:rsidR="00FF36E8" w:rsidRDefault="00FF36E8" w:rsidP="001144A6">
      <w:pPr>
        <w:tabs>
          <w:tab w:val="left" w:pos="851"/>
        </w:tabs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Tæt overvågning er påkrævet hos patienter med synsændringer og patienter, der tidligere har haft forhøjet tryk i øjet,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og/eller katarakt.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Hvis der er grund til at tro, at binyrebarkfunktionen er svækket, skal der udvises forsigtighed ved skifte af patienter fra systemisk steroidbehandling til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patienter, der har tuberkulose, enhver form for ubehandlet infektion, eller som for nylig er blevet opereret eller skadet i næsen eller munden, skal de mulige fordele ved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opvejes mod de mulige risici.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Infektioner i de nasale luftveje skal behandles med antibakterielle eller </w:t>
      </w:r>
      <w:proofErr w:type="spellStart"/>
      <w:r>
        <w:rPr>
          <w:sz w:val="24"/>
          <w:szCs w:val="24"/>
        </w:rPr>
        <w:t>antimykotiske</w:t>
      </w:r>
      <w:proofErr w:type="spellEnd"/>
      <w:r>
        <w:rPr>
          <w:sz w:val="24"/>
          <w:szCs w:val="24"/>
        </w:rPr>
        <w:t xml:space="preserve"> midler, men er ikke en specifik kontraindikation til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1144A6" w:rsidRDefault="001144A6" w:rsidP="001144A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>. Langvarig anvendelse kan medføre ødem af næseslimhinden.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76283E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Interaktion med andre lægemidler og andre former for interaktion</w:t>
      </w:r>
    </w:p>
    <w:p w:rsidR="00FF36E8" w:rsidRPr="00460DF1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460DF1">
        <w:rPr>
          <w:sz w:val="24"/>
          <w:szCs w:val="24"/>
          <w:u w:val="single"/>
        </w:rPr>
        <w:t>Fluticasonpropionat</w:t>
      </w:r>
      <w:proofErr w:type="spellEnd"/>
      <w:r w:rsidRPr="00460DF1">
        <w:rPr>
          <w:sz w:val="24"/>
          <w:szCs w:val="24"/>
          <w:u w:val="single"/>
        </w:rPr>
        <w:t xml:space="preserve"> 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Under normale omstændigheder er lave plasmakoncentrationer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opnået efter intranasal dosering på grund af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 og høj systemisk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medieret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 tarmen og leveren. Derfor er klinisk signifikante lægemiddelinteraktioner medieret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usandsynlige.  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Et interaktionsstudie med raske frivillige har vist, at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(højpotent hæmmer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3A4) i høj grad kan øge plasmakoncentrationerne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som resulterer i markant reducerede koncentrationer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Klinisk signifikante lægemiddelinteraktioner er rapporteret ved post-marketing brug hos patienter, som har fået intranasal eller inhaleret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som resulterede i systemiske virkninger forårsaget af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. Det forventes, at samtidig behandling med andre </w:t>
      </w:r>
      <w:r w:rsidRPr="0072526D">
        <w:rPr>
          <w:sz w:val="24"/>
          <w:szCs w:val="24"/>
        </w:rPr>
        <w:t>CYP3A4-hæmmere</w:t>
      </w:r>
      <w:r>
        <w:rPr>
          <w:sz w:val="24"/>
          <w:szCs w:val="24"/>
        </w:rPr>
        <w:t xml:space="preserve">, herunder </w:t>
      </w:r>
      <w:proofErr w:type="spellStart"/>
      <w:r>
        <w:rPr>
          <w:sz w:val="24"/>
          <w:szCs w:val="24"/>
        </w:rPr>
        <w:t>cobicistat-holdige</w:t>
      </w:r>
      <w:proofErr w:type="spellEnd"/>
      <w:r>
        <w:rPr>
          <w:sz w:val="24"/>
          <w:szCs w:val="24"/>
        </w:rPr>
        <w:t xml:space="preserve"> lægemidler øger risikoen for systemiske bivirkninger. Kombinationen bør undgås, medmindre fordelen opvejer den øgede risiko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-bivirkninger. Patienterne skal i givet fald overvåges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>-bivirkninger.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Studier har vist, at andre inhibitorer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resulterer i ubetydelige (</w:t>
      </w:r>
      <w:proofErr w:type="spellStart"/>
      <w:r>
        <w:rPr>
          <w:sz w:val="24"/>
          <w:szCs w:val="24"/>
        </w:rPr>
        <w:t>erythromyin</w:t>
      </w:r>
      <w:proofErr w:type="spellEnd"/>
      <w:r>
        <w:rPr>
          <w:sz w:val="24"/>
          <w:szCs w:val="24"/>
        </w:rPr>
        <w:t>) og mindre (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 stigninger i den systemiske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uden bemærkelsesværdige reduktioner i koncentrationerne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Alligevel tilrådes forsigtighed ved samtidig administration af en potent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inhibitor (f.eks. 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), da der er potentiale for øget systemisk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FF36E8" w:rsidRPr="00460DF1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460DF1">
        <w:rPr>
          <w:sz w:val="24"/>
          <w:szCs w:val="24"/>
          <w:u w:val="single"/>
        </w:rPr>
        <w:t>Azelastinhydrochlorid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Der er ikke udført specifikke interaktionsstudier med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næsespray. Interaktionsstudier med høje </w:t>
      </w:r>
      <w:r>
        <w:rPr>
          <w:sz w:val="24"/>
          <w:szCs w:val="24"/>
          <w:u w:val="single"/>
        </w:rPr>
        <w:t>orale</w:t>
      </w:r>
      <w:r>
        <w:rPr>
          <w:sz w:val="24"/>
          <w:szCs w:val="24"/>
        </w:rPr>
        <w:t xml:space="preserve"> doser er blevet udført. De har imidlertid ingen relevans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næsespray, da de anbefalede nasale doser medfører meget lav systemisk eksponering. Alligevel skal der udvises forsigtighed, når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gives til patienter, som samtidig tager </w:t>
      </w:r>
      <w:proofErr w:type="spellStart"/>
      <w:r>
        <w:rPr>
          <w:sz w:val="24"/>
          <w:szCs w:val="24"/>
        </w:rPr>
        <w:t>sedativa</w:t>
      </w:r>
      <w:proofErr w:type="spellEnd"/>
      <w:r>
        <w:rPr>
          <w:sz w:val="24"/>
          <w:szCs w:val="24"/>
        </w:rPr>
        <w:t xml:space="preserve"> eller lægemidler med virkning på centralnervesystemet, idet den sedative virkning kan blive forøget. Alkohol kan også forøge denne virkning (se pkt. 4.7). 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ab/>
      </w:r>
      <w:r w:rsidR="001144A6">
        <w:rPr>
          <w:b/>
          <w:sz w:val="24"/>
          <w:szCs w:val="24"/>
        </w:rPr>
        <w:t>Fertilitet, g</w:t>
      </w:r>
      <w:r w:rsidRPr="00EC0B9B">
        <w:rPr>
          <w:b/>
          <w:sz w:val="24"/>
          <w:szCs w:val="24"/>
        </w:rPr>
        <w:t>raviditet og amning</w:t>
      </w:r>
    </w:p>
    <w:p w:rsidR="00FF36E8" w:rsidRPr="00460DF1" w:rsidRDefault="00FF36E8" w:rsidP="00FF36E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>Fertilitet</w:t>
      </w:r>
    </w:p>
    <w:p w:rsidR="00FF36E8" w:rsidRDefault="00FF36E8" w:rsidP="00FF36E8">
      <w:pPr>
        <w:tabs>
          <w:tab w:val="left" w:pos="851"/>
        </w:tabs>
        <w:ind w:left="851" w:hanging="567"/>
        <w:rPr>
          <w:sz w:val="24"/>
          <w:szCs w:val="24"/>
        </w:rPr>
      </w:pPr>
      <w:r>
        <w:rPr>
          <w:sz w:val="24"/>
          <w:szCs w:val="24"/>
        </w:rPr>
        <w:tab/>
        <w:t xml:space="preserve">Der er kun begrænsede data tilgængelige med hensyn til fertilitet (se pkt. 5.3). </w:t>
      </w:r>
    </w:p>
    <w:p w:rsidR="00FF36E8" w:rsidRDefault="00FF36E8" w:rsidP="00FF36E8">
      <w:pPr>
        <w:tabs>
          <w:tab w:val="left" w:pos="851"/>
        </w:tabs>
        <w:ind w:left="851" w:hanging="567"/>
        <w:rPr>
          <w:sz w:val="24"/>
          <w:szCs w:val="24"/>
        </w:rPr>
      </w:pPr>
    </w:p>
    <w:p w:rsidR="00FF36E8" w:rsidRPr="00460DF1" w:rsidRDefault="00FF36E8" w:rsidP="00FF36E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lastRenderedPageBreak/>
        <w:t xml:space="preserve">Graviditet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eller utilstrækkelige data fra anvendelse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til gravide kvinder.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bør derfor kun bruges under graviditeten, hvis den potentielle fordel opvejer den potentielle risiko for fosteret (se pkt. 5.3). 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</w:rPr>
      </w:pPr>
    </w:p>
    <w:p w:rsidR="00FF36E8" w:rsidRPr="00460DF1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>Amning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ukendt, om nasalt administreret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/metabolitter eller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/metabolitter udskilles i human mælk.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skal kun bruges under amning, hvis den potentielle fordel opvejer den potentielle risiko for det nyfødte barn/spædbarnet.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Virkning på evnen til at føre motorkøretøj </w:t>
      </w:r>
      <w:r w:rsidR="001144A6">
        <w:rPr>
          <w:b/>
          <w:sz w:val="24"/>
          <w:szCs w:val="24"/>
        </w:rPr>
        <w:t>og</w:t>
      </w:r>
      <w:r w:rsidRPr="00EC0B9B">
        <w:rPr>
          <w:b/>
          <w:sz w:val="24"/>
          <w:szCs w:val="24"/>
        </w:rPr>
        <w:t xml:space="preserve"> betjene maskiner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FF36E8" w:rsidRDefault="00FF36E8" w:rsidP="00FF36E8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påvirker i mindre grad evnen til at føre motorkøretøj eller betjene maskiner.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kan der i enkeltstående tilfælde forekomme træthed, udmattelse, svimmelhed eller svaghed, som også kan skyldes selve sygdommen. I disse tilfælde kan evnen til at føre motorkøretøj og betjene maskiner være nedsat. Alkohol kan forstærke denne virkning. 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Bivirkninger</w:t>
      </w:r>
    </w:p>
    <w:p w:rsidR="00FF36E8" w:rsidRPr="00920148" w:rsidRDefault="00FF36E8" w:rsidP="00FF36E8">
      <w:pPr>
        <w:pStyle w:val="Sidehoved"/>
        <w:ind w:left="851"/>
        <w:rPr>
          <w:i/>
          <w:iCs/>
          <w:szCs w:val="24"/>
        </w:rPr>
      </w:pPr>
      <w:r w:rsidRPr="00920148">
        <w:rPr>
          <w:szCs w:val="24"/>
        </w:rPr>
        <w:t xml:space="preserve">En almindelig bivirkning efter administration er </w:t>
      </w:r>
      <w:proofErr w:type="spellStart"/>
      <w:r w:rsidRPr="00920148">
        <w:rPr>
          <w:szCs w:val="24"/>
        </w:rPr>
        <w:t>dysgeusi</w:t>
      </w:r>
      <w:proofErr w:type="spellEnd"/>
      <w:r w:rsidRPr="00920148">
        <w:rPr>
          <w:szCs w:val="24"/>
        </w:rPr>
        <w:t xml:space="preserve">, en stof-specifik ubehagelig smag (som ofte skyldes forkert anvendelse, dvs. hovedet holdes for langt bagover under administrationen). </w:t>
      </w:r>
    </w:p>
    <w:p w:rsidR="00FF36E8" w:rsidRPr="00920148" w:rsidRDefault="00FF36E8" w:rsidP="00FF36E8">
      <w:pPr>
        <w:pStyle w:val="Sidehoved"/>
        <w:ind w:left="851"/>
        <w:rPr>
          <w:szCs w:val="24"/>
        </w:rPr>
      </w:pPr>
    </w:p>
    <w:p w:rsidR="00FF36E8" w:rsidRPr="00920148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Bivirkninger er anført nedenfor efter systemorganklasse og hyppighed. Hyppigheden defineres som: 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almindelig </w:t>
      </w:r>
      <w:r w:rsidRPr="00920148">
        <w:rPr>
          <w:szCs w:val="24"/>
        </w:rPr>
        <w:tab/>
        <w:t>(≥ 1/10)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Almindelig </w:t>
      </w:r>
      <w:r w:rsidRPr="00920148">
        <w:rPr>
          <w:szCs w:val="24"/>
        </w:rPr>
        <w:tab/>
        <w:t>(≥</w:t>
      </w:r>
      <w:r w:rsidRPr="00920148">
        <w:rPr>
          <w:b/>
          <w:szCs w:val="24"/>
        </w:rPr>
        <w:t> </w:t>
      </w:r>
      <w:r w:rsidRPr="00920148">
        <w:rPr>
          <w:szCs w:val="24"/>
        </w:rPr>
        <w:t>1/100 til &lt;1/10)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almindelig </w:t>
      </w:r>
      <w:r w:rsidRPr="00920148">
        <w:rPr>
          <w:szCs w:val="24"/>
        </w:rPr>
        <w:tab/>
        <w:t>(≥ 1/1.000 til &lt;1/100)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Sjælden </w:t>
      </w:r>
      <w:r w:rsidRPr="00920148">
        <w:rPr>
          <w:szCs w:val="24"/>
        </w:rPr>
        <w:tab/>
        <w:t>(≥ 1/10.000 til &lt;1/1.000)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sjælden </w:t>
      </w:r>
      <w:r w:rsidRPr="00920148">
        <w:rPr>
          <w:szCs w:val="24"/>
        </w:rPr>
        <w:tab/>
        <w:t>(&lt; 1/10.000)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kendt </w:t>
      </w:r>
      <w:r w:rsidRPr="00920148">
        <w:rPr>
          <w:szCs w:val="24"/>
        </w:rPr>
        <w:tab/>
        <w:t>(kan ikke estimeres ud fra forhåndenværende data)</w:t>
      </w:r>
    </w:p>
    <w:p w:rsidR="00FF36E8" w:rsidRPr="00FA7FA4" w:rsidRDefault="00FF36E8" w:rsidP="00FF36E8">
      <w:pPr>
        <w:pStyle w:val="Sidehoved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71"/>
        <w:gridCol w:w="1350"/>
        <w:gridCol w:w="1469"/>
        <w:gridCol w:w="1017"/>
        <w:gridCol w:w="1770"/>
        <w:gridCol w:w="907"/>
      </w:tblGrid>
      <w:tr w:rsidR="00FF36E8" w:rsidRPr="00920148" w:rsidTr="003B4BCE">
        <w:trPr>
          <w:trHeight w:val="526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  <w:r w:rsidRPr="00920148">
              <w:rPr>
                <w:b/>
                <w:szCs w:val="24"/>
              </w:rPr>
              <w:t>Hyppighed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Meget almindelig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Almindelig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Ikke almindelig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Sjælden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Meget sjælden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Ikke kendt</w:t>
            </w: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  <w:r w:rsidRPr="00920148">
              <w:rPr>
                <w:b/>
                <w:szCs w:val="24"/>
              </w:rPr>
              <w:t>Systemorgan-klasse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Immunsystemet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  <w:r w:rsidRPr="00920148">
              <w:rPr>
                <w:szCs w:val="24"/>
              </w:rPr>
              <w:t xml:space="preserve">Overfølsomhed, herunder </w:t>
            </w:r>
            <w:proofErr w:type="spellStart"/>
            <w:r w:rsidRPr="00920148">
              <w:rPr>
                <w:szCs w:val="24"/>
              </w:rPr>
              <w:t>anafylaktiske</w:t>
            </w:r>
            <w:proofErr w:type="spellEnd"/>
            <w:r w:rsidRPr="00920148">
              <w:rPr>
                <w:szCs w:val="24"/>
              </w:rPr>
              <w:t xml:space="preserve"> reaktioner, </w:t>
            </w:r>
            <w:proofErr w:type="spellStart"/>
            <w:r w:rsidRPr="00920148">
              <w:rPr>
                <w:szCs w:val="24"/>
              </w:rPr>
              <w:t>angioødem</w:t>
            </w:r>
            <w:proofErr w:type="spellEnd"/>
            <w:r w:rsidRPr="00920148">
              <w:rPr>
                <w:szCs w:val="24"/>
              </w:rPr>
              <w:t xml:space="preserve"> (ødem i ansigtet eller tungen og hududslæt), </w:t>
            </w:r>
            <w:proofErr w:type="spellStart"/>
            <w:r w:rsidRPr="00920148">
              <w:rPr>
                <w:szCs w:val="24"/>
              </w:rPr>
              <w:t>bronkospasmer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Nervesystemet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Hovedpine, </w:t>
            </w:r>
          </w:p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dysgeusi</w:t>
            </w:r>
            <w:proofErr w:type="spellEnd"/>
            <w:r w:rsidRPr="00920148">
              <w:rPr>
                <w:szCs w:val="24"/>
              </w:rPr>
              <w:t xml:space="preserve"> (ubehagelig smag), </w:t>
            </w:r>
            <w:r w:rsidRPr="00920148">
              <w:rPr>
                <w:szCs w:val="24"/>
              </w:rPr>
              <w:lastRenderedPageBreak/>
              <w:t>ubehagelig lugt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Svimmelhed, </w:t>
            </w:r>
            <w:proofErr w:type="spellStart"/>
            <w:r w:rsidRPr="00920148">
              <w:rPr>
                <w:szCs w:val="24"/>
              </w:rPr>
              <w:t>somnolens</w:t>
            </w:r>
            <w:proofErr w:type="spellEnd"/>
            <w:r w:rsidRPr="00920148">
              <w:rPr>
                <w:szCs w:val="24"/>
              </w:rPr>
              <w:t xml:space="preserve"> (sløvhed, søvnighed)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Øjne*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Glaukom</w:t>
            </w:r>
            <w:proofErr w:type="spellEnd"/>
            <w:r w:rsidRPr="00920148">
              <w:rPr>
                <w:szCs w:val="24"/>
              </w:rPr>
              <w:t>, øget tryk i øjnene, katarakt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>
              <w:t>Sløret syn (se også pkt. 4.4)</w:t>
            </w: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 xml:space="preserve">Luftveje, thorax og </w:t>
            </w:r>
            <w:proofErr w:type="spellStart"/>
            <w:r w:rsidRPr="00920148">
              <w:rPr>
                <w:b/>
                <w:i/>
                <w:szCs w:val="24"/>
              </w:rPr>
              <w:t>mediastinum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Epistaxis</w:t>
            </w:r>
            <w:proofErr w:type="spellEnd"/>
            <w:r w:rsidRPr="00920148">
              <w:rPr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Ubehag i næsen (herunder irritation, stikkende fornemmelse og kløe i næsen)</w:t>
            </w:r>
          </w:p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  <w:proofErr w:type="spellStart"/>
            <w:r w:rsidRPr="00920148">
              <w:rPr>
                <w:szCs w:val="24"/>
              </w:rPr>
              <w:t>Nysen</w:t>
            </w:r>
            <w:proofErr w:type="spellEnd"/>
            <w:r w:rsidRPr="00920148">
              <w:rPr>
                <w:szCs w:val="24"/>
              </w:rPr>
              <w:t xml:space="preserve">, nasal tørhed, hoste, tør hals, irritation i halsen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Septal</w:t>
            </w:r>
            <w:proofErr w:type="spellEnd"/>
            <w:r w:rsidRPr="00920148">
              <w:rPr>
                <w:szCs w:val="24"/>
              </w:rPr>
              <w:t xml:space="preserve"> perforation i næsen**, </w:t>
            </w:r>
            <w:proofErr w:type="spellStart"/>
            <w:r w:rsidRPr="00920148">
              <w:rPr>
                <w:szCs w:val="24"/>
              </w:rPr>
              <w:t>mucosal</w:t>
            </w:r>
            <w:proofErr w:type="spellEnd"/>
            <w:r w:rsidRPr="00920148">
              <w:rPr>
                <w:szCs w:val="24"/>
              </w:rPr>
              <w:t xml:space="preserve"> erosion</w:t>
            </w:r>
          </w:p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Sår i næsen</w:t>
            </w: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Mave-tarm-kanalen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Tør mund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Kvalme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  <w:tr w:rsidR="00FF36E8" w:rsidRPr="00920148" w:rsidTr="003B4BCE">
        <w:trPr>
          <w:trHeight w:val="694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Hud og subkutane væv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Udslæt, kløe, </w:t>
            </w:r>
            <w:proofErr w:type="spellStart"/>
            <w:r w:rsidRPr="00920148">
              <w:rPr>
                <w:szCs w:val="24"/>
              </w:rPr>
              <w:t>urticaria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Almene symptomer og reaktioner på administrations-stedet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Træthed (udmattelse), svaghed (se pkt. 4.7)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</w:tbl>
    <w:p w:rsidR="00FF36E8" w:rsidRPr="00FA7FA4" w:rsidRDefault="00FF36E8" w:rsidP="00FF36E8">
      <w:pPr>
        <w:pStyle w:val="Sidehoved"/>
        <w:rPr>
          <w:szCs w:val="24"/>
        </w:rPr>
      </w:pPr>
    </w:p>
    <w:p w:rsidR="00FF36E8" w:rsidRPr="00920148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*Et meget lille antal spontane rapporter er blevet identificeret efter en langvarig behandling med intranasal </w:t>
      </w:r>
      <w:proofErr w:type="spellStart"/>
      <w:r w:rsidRPr="00920148">
        <w:rPr>
          <w:szCs w:val="24"/>
        </w:rPr>
        <w:t>fluticasonpropionat</w:t>
      </w:r>
      <w:proofErr w:type="spellEnd"/>
      <w:r w:rsidRPr="00920148">
        <w:rPr>
          <w:szCs w:val="24"/>
        </w:rPr>
        <w:t xml:space="preserve"> næsespray. </w:t>
      </w:r>
    </w:p>
    <w:p w:rsidR="00FF36E8" w:rsidRPr="00920148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** </w:t>
      </w:r>
      <w:proofErr w:type="spellStart"/>
      <w:r w:rsidRPr="00920148">
        <w:rPr>
          <w:szCs w:val="24"/>
        </w:rPr>
        <w:t>Septal</w:t>
      </w:r>
      <w:proofErr w:type="spellEnd"/>
      <w:r w:rsidRPr="00920148">
        <w:rPr>
          <w:szCs w:val="24"/>
        </w:rPr>
        <w:t xml:space="preserve"> perforation i næsen er rapporteret efter brug af intranasale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 xml:space="preserve">. </w:t>
      </w:r>
    </w:p>
    <w:p w:rsidR="00FF36E8" w:rsidRPr="00920148" w:rsidRDefault="00FF36E8" w:rsidP="00FF36E8">
      <w:pPr>
        <w:pStyle w:val="Sidehoved"/>
        <w:ind w:left="851"/>
        <w:rPr>
          <w:szCs w:val="24"/>
        </w:rPr>
      </w:pPr>
    </w:p>
    <w:p w:rsidR="00FF36E8" w:rsidRPr="00920148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Systemiske bivirkninger kan forekomme efter brug af visse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, især når de gives i høje doser i længere perioder (se pkt. 4.4).</w:t>
      </w:r>
    </w:p>
    <w:p w:rsidR="00FF36E8" w:rsidRPr="00920148" w:rsidRDefault="00FF36E8" w:rsidP="00FF36E8">
      <w:pPr>
        <w:pStyle w:val="Sidehoved"/>
        <w:ind w:left="851"/>
        <w:rPr>
          <w:szCs w:val="24"/>
        </w:rPr>
      </w:pPr>
    </w:p>
    <w:p w:rsidR="00FF36E8" w:rsidRPr="00920148" w:rsidRDefault="00FF36E8" w:rsidP="00FF36E8">
      <w:pPr>
        <w:pStyle w:val="Sidehoved"/>
        <w:ind w:left="851"/>
        <w:rPr>
          <w:iCs/>
          <w:szCs w:val="24"/>
        </w:rPr>
      </w:pPr>
      <w:r w:rsidRPr="00920148">
        <w:rPr>
          <w:szCs w:val="24"/>
        </w:rPr>
        <w:t xml:space="preserve">Væksthæmning er rapporteret hos børn behandlet med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. Væksthæmning kan også optræde hos unge (se pkt. 4.4).</w:t>
      </w:r>
    </w:p>
    <w:p w:rsidR="00FF36E8" w:rsidRPr="00920148" w:rsidRDefault="00FF36E8" w:rsidP="00FF36E8">
      <w:pPr>
        <w:pStyle w:val="Sidehoved"/>
        <w:ind w:left="851"/>
        <w:rPr>
          <w:bCs/>
          <w:szCs w:val="24"/>
        </w:rPr>
      </w:pPr>
    </w:p>
    <w:p w:rsidR="00FF36E8" w:rsidRPr="00D62FB0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Osteoporose er set i sjældne tilfælde, når nasale </w:t>
      </w:r>
      <w:proofErr w:type="spellStart"/>
      <w:r w:rsidRPr="00920148">
        <w:rPr>
          <w:szCs w:val="24"/>
        </w:rPr>
        <w:t>glukokortikoider</w:t>
      </w:r>
      <w:proofErr w:type="spellEnd"/>
      <w:r w:rsidRPr="00920148">
        <w:rPr>
          <w:szCs w:val="24"/>
        </w:rPr>
        <w:t xml:space="preserve"> er blevet administreret i længere tid.</w:t>
      </w:r>
    </w:p>
    <w:p w:rsidR="00FF36E8" w:rsidRDefault="00FF36E8" w:rsidP="00FF36E8">
      <w:pPr>
        <w:autoSpaceDE w:val="0"/>
        <w:autoSpaceDN w:val="0"/>
        <w:ind w:left="851"/>
        <w:rPr>
          <w:sz w:val="24"/>
          <w:szCs w:val="24"/>
          <w:u w:val="single"/>
        </w:rPr>
      </w:pPr>
    </w:p>
    <w:p w:rsidR="00FF36E8" w:rsidRPr="003952CE" w:rsidRDefault="00FF36E8" w:rsidP="00FF36E8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FF36E8" w:rsidRPr="003952CE" w:rsidRDefault="00FF36E8" w:rsidP="00FF36E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 w:rsidR="007D2755"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 w:rsidR="007D2755"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FF36E8" w:rsidRDefault="00FF36E8" w:rsidP="00FF36E8">
      <w:pPr>
        <w:tabs>
          <w:tab w:val="left" w:pos="2440"/>
        </w:tabs>
        <w:ind w:left="851"/>
        <w:rPr>
          <w:sz w:val="24"/>
          <w:szCs w:val="24"/>
        </w:rPr>
      </w:pPr>
    </w:p>
    <w:p w:rsidR="00FF36E8" w:rsidRPr="003952CE" w:rsidRDefault="00FF36E8" w:rsidP="00FF36E8">
      <w:pPr>
        <w:tabs>
          <w:tab w:val="left" w:pos="2440"/>
        </w:tabs>
        <w:ind w:left="851"/>
        <w:rPr>
          <w:sz w:val="24"/>
          <w:szCs w:val="24"/>
        </w:rPr>
      </w:pPr>
    </w:p>
    <w:p w:rsidR="00FF36E8" w:rsidRPr="003952CE" w:rsidRDefault="00FF36E8" w:rsidP="00FF36E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lastRenderedPageBreak/>
        <w:t>Lægemiddelstyrelsen</w:t>
      </w:r>
    </w:p>
    <w:p w:rsidR="00FF36E8" w:rsidRPr="003952CE" w:rsidRDefault="00FF36E8" w:rsidP="00FF36E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FF36E8" w:rsidRPr="003952CE" w:rsidRDefault="00FF36E8" w:rsidP="00FF36E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FF36E8" w:rsidRPr="00563082" w:rsidRDefault="00FF36E8" w:rsidP="00FF36E8">
      <w:pPr>
        <w:ind w:left="851"/>
        <w:rPr>
          <w:sz w:val="24"/>
          <w:szCs w:val="24"/>
        </w:rPr>
      </w:pPr>
      <w:r w:rsidRPr="00563082">
        <w:rPr>
          <w:sz w:val="24"/>
          <w:szCs w:val="24"/>
        </w:rPr>
        <w:t xml:space="preserve">Websted: </w:t>
      </w:r>
      <w:hyperlink r:id="rId9" w:history="1">
        <w:r w:rsidRPr="00563082">
          <w:rPr>
            <w:rStyle w:val="Hyperlink"/>
            <w:sz w:val="24"/>
            <w:szCs w:val="24"/>
          </w:rPr>
          <w:t>www.meldenbivirkning.dk</w:t>
        </w:r>
      </w:hyperlink>
    </w:p>
    <w:p w:rsidR="00FF36E8" w:rsidRPr="00563082" w:rsidRDefault="00FF36E8" w:rsidP="00FF36E8">
      <w:pPr>
        <w:pStyle w:val="Sidehoved"/>
        <w:tabs>
          <w:tab w:val="left" w:pos="851"/>
        </w:tabs>
        <w:rPr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Overdosering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Med intranasal administration forventes der ikke nogen overdosering.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tilgængelige data fra patienter vedr. virkningen af akut eller kronisk overdosering med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Intranasal administration af 2 mg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(10 gange den anbefalede daglige dosis) to gange daglig i syv dage hos raske frivillige personer har ingen effekt på </w:t>
      </w:r>
      <w:proofErr w:type="spellStart"/>
      <w:r>
        <w:rPr>
          <w:sz w:val="24"/>
          <w:szCs w:val="24"/>
        </w:rPr>
        <w:t>hypothalamus</w:t>
      </w:r>
      <w:proofErr w:type="spellEnd"/>
      <w:r>
        <w:rPr>
          <w:sz w:val="24"/>
          <w:szCs w:val="24"/>
        </w:rPr>
        <w:t>-hypofyse-binyrebark (HPA)-akse-funktionen.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Administration af højere doser end anbefalet over en længere periode kan medføre midlertidig suppression af binyrebarkfunktionen.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disse patienter skal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fortsætte på en tilstrækkelig dosis til at kontrollere symptomerne. Binyrebarkfunktionen vil genoprettes i løbet af få dage og kan verificeres ved at måle </w:t>
      </w:r>
      <w:proofErr w:type="spellStart"/>
      <w:r>
        <w:rPr>
          <w:sz w:val="24"/>
          <w:szCs w:val="24"/>
        </w:rPr>
        <w:t>cortisol</w:t>
      </w:r>
      <w:proofErr w:type="spellEnd"/>
      <w:r>
        <w:rPr>
          <w:sz w:val="24"/>
          <w:szCs w:val="24"/>
        </w:rPr>
        <w:t xml:space="preserve"> i plasma.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tilfælde af overdosering efter utilsigtet oral indtagelse må forstyrrelser i centralnervesystemet (herunder sløvhed, konfusion, koma,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 og hypotension) forårsaget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forventes baseret på resultaterne i dyrestudier.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disse lidelser skal være symptomatisk. Afhængig af den indtagne mængde anbefales ventrikelskylning. Der er ingen kendt </w:t>
      </w:r>
      <w:proofErr w:type="spellStart"/>
      <w:r>
        <w:rPr>
          <w:sz w:val="24"/>
          <w:szCs w:val="24"/>
        </w:rPr>
        <w:t>antidot</w:t>
      </w:r>
      <w:proofErr w:type="spellEnd"/>
      <w:r>
        <w:rPr>
          <w:sz w:val="24"/>
          <w:szCs w:val="24"/>
        </w:rPr>
        <w:t>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Udlevering</w:t>
      </w:r>
    </w:p>
    <w:p w:rsidR="00FF36E8" w:rsidRPr="00EC0B9B" w:rsidRDefault="00FF36E8" w:rsidP="00FF36E8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FARMAKOLOGISKE EGENSKABER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Farmakodynamiske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1144A6" w:rsidRDefault="001144A6" w:rsidP="001144A6">
      <w:pPr>
        <w:tabs>
          <w:tab w:val="left" w:pos="851"/>
        </w:tabs>
        <w:ind w:left="851"/>
        <w:rPr>
          <w:sz w:val="24"/>
          <w:szCs w:val="24"/>
          <w:highlight w:val="magenta"/>
        </w:rPr>
      </w:pPr>
      <w:proofErr w:type="spellStart"/>
      <w:r w:rsidRPr="00C922B2">
        <w:rPr>
          <w:sz w:val="24"/>
          <w:szCs w:val="24"/>
        </w:rPr>
        <w:t>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Dekongestanter</w:t>
      </w:r>
      <w:proofErr w:type="spellEnd"/>
      <w:r>
        <w:rPr>
          <w:sz w:val="24"/>
          <w:szCs w:val="24"/>
        </w:rPr>
        <w:t xml:space="preserve"> og andre nasale præparater til topisk anvendelse,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fluticason</w:t>
      </w:r>
      <w:proofErr w:type="spellEnd"/>
      <w:r>
        <w:rPr>
          <w:sz w:val="24"/>
          <w:szCs w:val="24"/>
        </w:rPr>
        <w:t xml:space="preserve"> kombinationer. ATC-kode: R 01 AD 58.</w:t>
      </w:r>
    </w:p>
    <w:p w:rsidR="001144A6" w:rsidRDefault="001144A6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</w:p>
    <w:p w:rsidR="00FF36E8" w:rsidRPr="00727021" w:rsidRDefault="00FF36E8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727021">
        <w:rPr>
          <w:b/>
          <w:sz w:val="24"/>
          <w:szCs w:val="24"/>
        </w:rPr>
        <w:t xml:space="preserve">Virkningsmekanisme og </w:t>
      </w:r>
      <w:proofErr w:type="spellStart"/>
      <w:r w:rsidRPr="00727021">
        <w:rPr>
          <w:b/>
          <w:sz w:val="24"/>
          <w:szCs w:val="24"/>
        </w:rPr>
        <w:t>farmakodynamiske</w:t>
      </w:r>
      <w:proofErr w:type="spellEnd"/>
      <w:r w:rsidRPr="00727021">
        <w:rPr>
          <w:b/>
          <w:sz w:val="24"/>
          <w:szCs w:val="24"/>
        </w:rPr>
        <w:t xml:space="preserve"> virkninger </w:t>
      </w:r>
    </w:p>
    <w:p w:rsidR="00FF36E8" w:rsidRPr="00D62FB0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der har forskellige virkningsmekanismer og udviser </w:t>
      </w:r>
      <w:proofErr w:type="spellStart"/>
      <w:r>
        <w:rPr>
          <w:sz w:val="24"/>
          <w:szCs w:val="24"/>
        </w:rPr>
        <w:t>synergistiske</w:t>
      </w:r>
      <w:proofErr w:type="spellEnd"/>
      <w:r>
        <w:rPr>
          <w:sz w:val="24"/>
          <w:szCs w:val="24"/>
        </w:rPr>
        <w:t xml:space="preserve"> virkninger med hensyn til forbedring af symptomerne på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rhinokonjunktivitis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  <w:highlight w:val="green"/>
        </w:rPr>
      </w:pPr>
    </w:p>
    <w:p w:rsidR="00FF36E8" w:rsidRPr="00BA6CCE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t>Fluticasonpropionat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et syntetisk </w:t>
      </w:r>
      <w:proofErr w:type="spellStart"/>
      <w:r>
        <w:rPr>
          <w:sz w:val="24"/>
          <w:szCs w:val="24"/>
        </w:rPr>
        <w:t>trifluorineret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med meget høj affinitet for </w:t>
      </w:r>
      <w:proofErr w:type="spellStart"/>
      <w:r>
        <w:rPr>
          <w:sz w:val="24"/>
          <w:szCs w:val="24"/>
        </w:rPr>
        <w:t>glukokortikoidreceptoren</w:t>
      </w:r>
      <w:proofErr w:type="spellEnd"/>
      <w:r>
        <w:rPr>
          <w:sz w:val="24"/>
          <w:szCs w:val="24"/>
        </w:rPr>
        <w:t xml:space="preserve"> og har en potent antiinflammatorisk virkning; det er f.eks. 3-5 gange mere potent end </w:t>
      </w:r>
      <w:proofErr w:type="spellStart"/>
      <w:r>
        <w:rPr>
          <w:sz w:val="24"/>
          <w:szCs w:val="24"/>
        </w:rPr>
        <w:t>dexamethason</w:t>
      </w:r>
      <w:proofErr w:type="spellEnd"/>
      <w:r>
        <w:rPr>
          <w:sz w:val="24"/>
          <w:szCs w:val="24"/>
        </w:rPr>
        <w:t xml:space="preserve"> til binding af klonet human </w:t>
      </w:r>
      <w:proofErr w:type="spellStart"/>
      <w:r>
        <w:rPr>
          <w:sz w:val="24"/>
          <w:szCs w:val="24"/>
        </w:rPr>
        <w:t>glukokortikoidreceptor</w:t>
      </w:r>
      <w:proofErr w:type="spellEnd"/>
      <w:r>
        <w:rPr>
          <w:sz w:val="24"/>
          <w:szCs w:val="24"/>
        </w:rPr>
        <w:t xml:space="preserve"> og i </w:t>
      </w:r>
      <w:proofErr w:type="spellStart"/>
      <w:r>
        <w:rPr>
          <w:sz w:val="24"/>
          <w:szCs w:val="24"/>
        </w:rPr>
        <w:t>genekspressionstest</w:t>
      </w:r>
      <w:proofErr w:type="spellEnd"/>
      <w:r>
        <w:rPr>
          <w:sz w:val="24"/>
          <w:szCs w:val="24"/>
        </w:rPr>
        <w:t xml:space="preserve">. </w:t>
      </w:r>
    </w:p>
    <w:p w:rsidR="00FF36E8" w:rsidRPr="00FA7FA4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Pr="00BA6CCE" w:rsidRDefault="00FF36E8" w:rsidP="007D2755">
      <w:pPr>
        <w:keepNext/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lastRenderedPageBreak/>
        <w:t>Azelastinhydrochlorid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, et </w:t>
      </w:r>
      <w:proofErr w:type="spellStart"/>
      <w:r>
        <w:rPr>
          <w:sz w:val="24"/>
          <w:szCs w:val="24"/>
        </w:rPr>
        <w:t>phtalazinon</w:t>
      </w:r>
      <w:proofErr w:type="spellEnd"/>
      <w:r>
        <w:rPr>
          <w:sz w:val="24"/>
          <w:szCs w:val="24"/>
        </w:rPr>
        <w:t>-derivat, er klassificeret som et potent langtidsvirkende antiallergisk stof med selektive H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-antagonistiske, </w:t>
      </w:r>
      <w:proofErr w:type="spellStart"/>
      <w:r>
        <w:rPr>
          <w:sz w:val="24"/>
          <w:szCs w:val="24"/>
        </w:rPr>
        <w:t>mastcellestabiliserende</w:t>
      </w:r>
      <w:proofErr w:type="spellEnd"/>
      <w:r>
        <w:rPr>
          <w:sz w:val="24"/>
          <w:szCs w:val="24"/>
        </w:rPr>
        <w:t xml:space="preserve"> og antiinflammatoriske egenskaber. Data fra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sz w:val="24"/>
          <w:szCs w:val="24"/>
        </w:rPr>
        <w:t xml:space="preserve"> (prækliniske)- og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har vist, at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hæmmer syntesen eller frigørelsen af de kemiske </w:t>
      </w:r>
      <w:proofErr w:type="spellStart"/>
      <w:r>
        <w:rPr>
          <w:sz w:val="24"/>
          <w:szCs w:val="24"/>
        </w:rPr>
        <w:t>mediatorer</w:t>
      </w:r>
      <w:proofErr w:type="spellEnd"/>
      <w:r>
        <w:rPr>
          <w:sz w:val="24"/>
          <w:szCs w:val="24"/>
        </w:rPr>
        <w:t xml:space="preserve">, der vides at være involveret i tidlige og sene stadier af allergiske reaktioner, f.eks. </w:t>
      </w:r>
      <w:proofErr w:type="spellStart"/>
      <w:r>
        <w:rPr>
          <w:sz w:val="24"/>
          <w:szCs w:val="24"/>
        </w:rPr>
        <w:t>leukotriener</w:t>
      </w:r>
      <w:proofErr w:type="spellEnd"/>
      <w:r>
        <w:rPr>
          <w:sz w:val="24"/>
          <w:szCs w:val="24"/>
        </w:rPr>
        <w:t xml:space="preserve">, histamin, PAF (blodpladeaktiverende faktor) og serotonin. 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  <w:highlight w:val="green"/>
        </w:rPr>
      </w:pPr>
      <w:r>
        <w:rPr>
          <w:sz w:val="24"/>
          <w:szCs w:val="24"/>
        </w:rPr>
        <w:t>Lindring af nasale allergisymptomer ses inden for 15 minutter efter administration.</w:t>
      </w:r>
    </w:p>
    <w:p w:rsidR="00FF36E8" w:rsidRPr="00FA7FA4" w:rsidRDefault="00FF36E8" w:rsidP="00FF36E8">
      <w:pPr>
        <w:ind w:left="851"/>
        <w:rPr>
          <w:sz w:val="24"/>
          <w:szCs w:val="24"/>
          <w:highlight w:val="green"/>
        </w:rPr>
      </w:pPr>
    </w:p>
    <w:p w:rsidR="001144A6" w:rsidRPr="00FA7FA4" w:rsidRDefault="001144A6" w:rsidP="001144A6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Dymista</w:t>
      </w:r>
      <w:proofErr w:type="spellEnd"/>
      <w:r w:rsidRPr="00FA7FA4">
        <w:rPr>
          <w:sz w:val="24"/>
          <w:szCs w:val="24"/>
          <w:u w:val="single"/>
        </w:rPr>
        <w:t xml:space="preserve"> næsespray</w:t>
      </w:r>
    </w:p>
    <w:p w:rsidR="001144A6" w:rsidRPr="00FA7FA4" w:rsidRDefault="001144A6" w:rsidP="001144A6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 xml:space="preserve">I 4 kliniske studier hos voksne og unge med allergisk </w:t>
      </w:r>
      <w:proofErr w:type="spellStart"/>
      <w:r w:rsidRPr="00FA7FA4">
        <w:rPr>
          <w:sz w:val="24"/>
          <w:szCs w:val="24"/>
        </w:rPr>
        <w:t>rhinitis</w:t>
      </w:r>
      <w:proofErr w:type="spellEnd"/>
      <w:r w:rsidRPr="00FA7FA4">
        <w:rPr>
          <w:sz w:val="24"/>
          <w:szCs w:val="24"/>
        </w:rPr>
        <w:t xml:space="preserve"> gav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en signifikant forbedring af nasale symptomer (</w:t>
      </w:r>
      <w:proofErr w:type="spellStart"/>
      <w:r w:rsidRPr="00FA7FA4">
        <w:rPr>
          <w:sz w:val="24"/>
          <w:szCs w:val="24"/>
        </w:rPr>
        <w:t>rhinorrhoea</w:t>
      </w:r>
      <w:proofErr w:type="spellEnd"/>
      <w:r w:rsidRPr="00FA7FA4">
        <w:rPr>
          <w:sz w:val="24"/>
          <w:szCs w:val="24"/>
        </w:rPr>
        <w:t xml:space="preserve">, nasal kongestion, </w:t>
      </w:r>
      <w:proofErr w:type="spellStart"/>
      <w:r w:rsidRPr="00FA7FA4">
        <w:rPr>
          <w:sz w:val="24"/>
          <w:szCs w:val="24"/>
        </w:rPr>
        <w:t>nysen</w:t>
      </w:r>
      <w:proofErr w:type="spellEnd"/>
      <w:r w:rsidRPr="00FA7FA4">
        <w:rPr>
          <w:sz w:val="24"/>
          <w:szCs w:val="24"/>
        </w:rPr>
        <w:t xml:space="preserve"> og nasal kløe) i en dosis på et pust to gange daglig i hvert næsebor sammenlignet med placebo, </w:t>
      </w: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alene og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 alene. Det forbedrede signifikant de </w:t>
      </w:r>
      <w:proofErr w:type="spellStart"/>
      <w:r w:rsidRPr="00FA7FA4">
        <w:rPr>
          <w:sz w:val="24"/>
          <w:szCs w:val="24"/>
        </w:rPr>
        <w:t>o</w:t>
      </w:r>
      <w:r>
        <w:rPr>
          <w:sz w:val="24"/>
          <w:szCs w:val="24"/>
        </w:rPr>
        <w:t>k</w:t>
      </w:r>
      <w:r w:rsidRPr="00FA7FA4">
        <w:rPr>
          <w:sz w:val="24"/>
          <w:szCs w:val="24"/>
        </w:rPr>
        <w:t>ulære</w:t>
      </w:r>
      <w:proofErr w:type="spellEnd"/>
      <w:r w:rsidRPr="00FA7FA4">
        <w:rPr>
          <w:sz w:val="24"/>
          <w:szCs w:val="24"/>
        </w:rPr>
        <w:t xml:space="preserve"> symptomer (kløe, tåreflåd/rindende øjne og røde øjne) og patienternes sygdomsrelaterede livskvalitet (</w:t>
      </w:r>
      <w:proofErr w:type="spellStart"/>
      <w:r w:rsidRPr="00FA7FA4">
        <w:rPr>
          <w:sz w:val="24"/>
          <w:szCs w:val="24"/>
        </w:rPr>
        <w:t>Rhinoconjunctivitis</w:t>
      </w:r>
      <w:proofErr w:type="spellEnd"/>
      <w:r w:rsidRPr="00FA7FA4">
        <w:rPr>
          <w:sz w:val="24"/>
          <w:szCs w:val="24"/>
        </w:rPr>
        <w:t xml:space="preserve"> </w:t>
      </w:r>
      <w:proofErr w:type="spellStart"/>
      <w:r w:rsidRPr="00FA7FA4">
        <w:rPr>
          <w:sz w:val="24"/>
          <w:szCs w:val="24"/>
        </w:rPr>
        <w:t>Quality</w:t>
      </w:r>
      <w:proofErr w:type="spellEnd"/>
      <w:r w:rsidRPr="00FA7FA4">
        <w:rPr>
          <w:sz w:val="24"/>
          <w:szCs w:val="24"/>
        </w:rPr>
        <w:t xml:space="preserve"> of Life </w:t>
      </w:r>
      <w:proofErr w:type="spellStart"/>
      <w:r w:rsidRPr="00FA7FA4">
        <w:rPr>
          <w:sz w:val="24"/>
          <w:szCs w:val="24"/>
        </w:rPr>
        <w:t>Questionnaire</w:t>
      </w:r>
      <w:proofErr w:type="spellEnd"/>
      <w:r w:rsidRPr="00FA7FA4">
        <w:rPr>
          <w:sz w:val="24"/>
          <w:szCs w:val="24"/>
        </w:rPr>
        <w:t xml:space="preserve"> – RQLQ)</w:t>
      </w:r>
      <w:r w:rsidRPr="00FA7FA4">
        <w:rPr>
          <w:rStyle w:val="Kommentarhenvisning"/>
          <w:sz w:val="24"/>
          <w:szCs w:val="24"/>
        </w:rPr>
        <w:t> i</w:t>
      </w:r>
      <w:r w:rsidRPr="00FA7FA4">
        <w:rPr>
          <w:sz w:val="24"/>
          <w:szCs w:val="24"/>
        </w:rPr>
        <w:t xml:space="preserve"> alle 4 studier.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7D2755" w:rsidRDefault="007D2755" w:rsidP="007D275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Sammenlignet med en allerede markedsført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næsespray blev symptomforbedringen (50 % reduktion i nasale symptomer) nået signifikant tidligere (3 dage og mere)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Dymistas</w:t>
      </w:r>
      <w:proofErr w:type="spellEnd"/>
      <w:r>
        <w:rPr>
          <w:sz w:val="24"/>
          <w:szCs w:val="24"/>
        </w:rPr>
        <w:t xml:space="preserve"> bedre virkning i forhold til </w:t>
      </w:r>
      <w:proofErr w:type="spellStart"/>
      <w:r>
        <w:rPr>
          <w:sz w:val="24"/>
          <w:szCs w:val="24"/>
        </w:rPr>
        <w:t>fluticasonpropionat</w:t>
      </w:r>
      <w:r>
        <w:rPr>
          <w:sz w:val="24"/>
          <w:szCs w:val="24"/>
        </w:rPr>
        <w:softHyphen/>
        <w:t>næsespray</w:t>
      </w:r>
      <w:proofErr w:type="spellEnd"/>
      <w:r>
        <w:rPr>
          <w:sz w:val="24"/>
          <w:szCs w:val="24"/>
        </w:rPr>
        <w:t xml:space="preserve"> blev fastholdt i hele det etårige studie hos patienter med kronisk vedvarende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ikke-allergisk/vasomotorisk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. </w:t>
      </w:r>
    </w:p>
    <w:p w:rsidR="007D2755" w:rsidRDefault="007D2755" w:rsidP="007D2755">
      <w:pPr>
        <w:tabs>
          <w:tab w:val="left" w:pos="851"/>
        </w:tabs>
        <w:ind w:left="851"/>
        <w:rPr>
          <w:sz w:val="24"/>
          <w:szCs w:val="24"/>
        </w:rPr>
      </w:pPr>
    </w:p>
    <w:p w:rsidR="007D2755" w:rsidRDefault="007D2755" w:rsidP="007D275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et eksponeringsstudie med ambrosiapollen blev første statistisk signifikante lindring af nasalsymptomer observeret 5 minutter efter administration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(sammenlignet med placebo). 15 minutter efter administration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rapporterede 60% af patienter en klinisk relevant reduktion af symptomer med en score på mindst 30%.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Pr="0076283E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Farmakokinetiske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FF36E8" w:rsidRPr="00FA7FA4" w:rsidRDefault="00FF36E8" w:rsidP="00FF36E8">
      <w:pPr>
        <w:ind w:left="851"/>
        <w:rPr>
          <w:sz w:val="24"/>
          <w:szCs w:val="24"/>
          <w:u w:val="single"/>
        </w:rPr>
      </w:pPr>
      <w:r w:rsidRPr="00FA7FA4">
        <w:rPr>
          <w:sz w:val="24"/>
          <w:szCs w:val="24"/>
          <w:u w:val="single"/>
        </w:rPr>
        <w:t>Absorption</w:t>
      </w:r>
    </w:p>
    <w:p w:rsidR="00FF36E8" w:rsidRPr="00FA7FA4" w:rsidRDefault="00FF36E8" w:rsidP="00FF36E8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 xml:space="preserve">Efter intranasal administration af to pust med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i hvert næsebor (548 mikrogram </w:t>
      </w: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og 200 mikrogram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>) var den gennemsnitlige (± standardafvigelse) højeste plasmaeksponering (</w:t>
      </w:r>
      <w:proofErr w:type="spellStart"/>
      <w:r w:rsidRPr="00FA7FA4">
        <w:rPr>
          <w:sz w:val="24"/>
          <w:szCs w:val="24"/>
        </w:rPr>
        <w:t>C</w:t>
      </w:r>
      <w:r w:rsidRPr="00FA7FA4">
        <w:rPr>
          <w:sz w:val="24"/>
          <w:szCs w:val="24"/>
          <w:vertAlign w:val="subscript"/>
        </w:rPr>
        <w:t>max</w:t>
      </w:r>
      <w:proofErr w:type="spellEnd"/>
      <w:r w:rsidRPr="00FA7FA4">
        <w:rPr>
          <w:sz w:val="24"/>
          <w:szCs w:val="24"/>
        </w:rPr>
        <w:t xml:space="preserve">) 194,5 ± 74,4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10,3 ± 3,9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, og den gennemsnitlige totale eksponering (AUC) var 4.217 ± 2.618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/ml*time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97,7 ± 43,1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/ml*time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. Den </w:t>
      </w:r>
      <w:proofErr w:type="spellStart"/>
      <w:r w:rsidRPr="00FA7FA4">
        <w:rPr>
          <w:sz w:val="24"/>
          <w:szCs w:val="24"/>
        </w:rPr>
        <w:t>mediane</w:t>
      </w:r>
      <w:proofErr w:type="spellEnd"/>
      <w:r w:rsidRPr="00FA7FA4">
        <w:rPr>
          <w:sz w:val="24"/>
          <w:szCs w:val="24"/>
        </w:rPr>
        <w:t xml:space="preserve"> tid til højeste eksponering (</w:t>
      </w:r>
      <w:proofErr w:type="spellStart"/>
      <w:r w:rsidRPr="00FA7FA4">
        <w:rPr>
          <w:sz w:val="24"/>
          <w:szCs w:val="24"/>
        </w:rPr>
        <w:t>t</w:t>
      </w:r>
      <w:r w:rsidRPr="00FA7FA4">
        <w:rPr>
          <w:sz w:val="24"/>
          <w:szCs w:val="24"/>
          <w:vertAlign w:val="subscript"/>
        </w:rPr>
        <w:t>max</w:t>
      </w:r>
      <w:proofErr w:type="spellEnd"/>
      <w:r w:rsidRPr="00FA7FA4">
        <w:rPr>
          <w:sz w:val="24"/>
          <w:szCs w:val="24"/>
        </w:rPr>
        <w:t xml:space="preserve">) efter en enkelt dosis var 0,5 time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1,0 time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>.</w:t>
      </w:r>
    </w:p>
    <w:p w:rsidR="00FF36E8" w:rsidRDefault="00FF36E8" w:rsidP="00FF36E8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 eksponering for </w:t>
      </w:r>
      <w:proofErr w:type="spellStart"/>
      <w:r>
        <w:rPr>
          <w:sz w:val="24"/>
          <w:szCs w:val="24"/>
        </w:rPr>
        <w:t>fluticason</w:t>
      </w:r>
      <w:r w:rsidRPr="00FA7FA4">
        <w:rPr>
          <w:sz w:val="24"/>
          <w:szCs w:val="24"/>
        </w:rPr>
        <w:t>propionat</w:t>
      </w:r>
      <w:proofErr w:type="spellEnd"/>
      <w:r>
        <w:rPr>
          <w:sz w:val="24"/>
          <w:szCs w:val="24"/>
        </w:rPr>
        <w:t xml:space="preserve"> var ~50 % højere for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sammenlignet med en allerede markedsført </w:t>
      </w:r>
      <w:proofErr w:type="spellStart"/>
      <w:r>
        <w:rPr>
          <w:sz w:val="24"/>
          <w:szCs w:val="24"/>
        </w:rPr>
        <w:t>fluticason</w:t>
      </w:r>
      <w:r w:rsidRPr="00FA7FA4">
        <w:rPr>
          <w:sz w:val="24"/>
          <w:szCs w:val="24"/>
        </w:rPr>
        <w:t>propionat</w:t>
      </w:r>
      <w:r>
        <w:rPr>
          <w:sz w:val="24"/>
          <w:szCs w:val="24"/>
        </w:rPr>
        <w:t>næsespray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var sammenlignelig med en allerede markedsført </w:t>
      </w:r>
      <w:proofErr w:type="spellStart"/>
      <w:r>
        <w:rPr>
          <w:sz w:val="24"/>
          <w:szCs w:val="24"/>
        </w:rPr>
        <w:t>azelastinnæsespray</w:t>
      </w:r>
      <w:proofErr w:type="spellEnd"/>
      <w:r>
        <w:rPr>
          <w:sz w:val="24"/>
          <w:szCs w:val="24"/>
        </w:rPr>
        <w:t xml:space="preserve">, for så vidt angår systemisk eksponering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. Der var ingen tegn på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interaktioner mellem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FF36E8" w:rsidRPr="00BA6CCE" w:rsidRDefault="00FF36E8" w:rsidP="00FF36E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Distribution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har et stort fordelingsvolumen ved </w:t>
      </w:r>
      <w:proofErr w:type="spellStart"/>
      <w:r>
        <w:rPr>
          <w:sz w:val="24"/>
          <w:szCs w:val="24"/>
        </w:rPr>
        <w:t>steady-state</w:t>
      </w:r>
      <w:proofErr w:type="spellEnd"/>
      <w:r>
        <w:rPr>
          <w:sz w:val="24"/>
          <w:szCs w:val="24"/>
        </w:rPr>
        <w:t xml:space="preserve"> (cirka 318 liter). Plasmaproteinbindingen er 91%.</w:t>
      </w:r>
    </w:p>
    <w:p w:rsidR="00FF36E8" w:rsidRDefault="00FF36E8" w:rsidP="00FF36E8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sz w:val="24"/>
          <w:szCs w:val="24"/>
        </w:rPr>
        <w:t xml:space="preserve">Fordelingsvolumen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høj, hvilket indikerer distribution hovedsagelig i det perifere væv. Proteinbindingsniveauet er ca. 80-90 %. Desuden har begge lægemidler brede terapeutiske vinduer. Derfor er lægemiddel fortrængningsreaktioner usandsynlige. 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FF36E8" w:rsidRPr="00BA6CCE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Biotransformation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udskilles hurtigt fra det systemiske kredsløb, hovedsagelig ved lever </w:t>
      </w:r>
      <w:proofErr w:type="spellStart"/>
      <w:r>
        <w:rPr>
          <w:sz w:val="24"/>
          <w:szCs w:val="24"/>
        </w:rPr>
        <w:t>metabolisering</w:t>
      </w:r>
      <w:proofErr w:type="spellEnd"/>
      <w:r>
        <w:rPr>
          <w:sz w:val="24"/>
          <w:szCs w:val="24"/>
        </w:rPr>
        <w:t xml:space="preserve"> til en inaktiv carboxylsyremetabolit, ved hjælp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CYP3A4. Når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indtages oralt, gennemgår det også en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metabolisme.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til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 via forskellige CYP-</w:t>
      </w:r>
      <w:proofErr w:type="spellStart"/>
      <w:r>
        <w:rPr>
          <w:sz w:val="24"/>
          <w:szCs w:val="24"/>
        </w:rPr>
        <w:t>isoenzymer</w:t>
      </w:r>
      <w:proofErr w:type="spellEnd"/>
      <w:r>
        <w:rPr>
          <w:sz w:val="24"/>
          <w:szCs w:val="24"/>
        </w:rPr>
        <w:t>, hovedsagelig CYP3A4, CYP2D6 og CYP2C19.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FF36E8" w:rsidRPr="00BA6CCE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Elimination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Eliminationshastigheden for intravenøst administreret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lineær over doseringsintervallet 250-1.000 mikrogram og er karakteriseret ved en høj </w:t>
      </w:r>
      <w:proofErr w:type="spellStart"/>
      <w:r>
        <w:rPr>
          <w:sz w:val="24"/>
          <w:szCs w:val="24"/>
        </w:rPr>
        <w:t>plasmaclearance</w:t>
      </w:r>
      <w:proofErr w:type="spellEnd"/>
      <w:r>
        <w:rPr>
          <w:sz w:val="24"/>
          <w:szCs w:val="24"/>
        </w:rPr>
        <w:t xml:space="preserve"> (CL = 1,1 l/min.). De højeste plasmakoncentrationer reduceres med ca. 98 % inden for 3-4 timer, og kun lave plasmakoncentrationer blev forbundet med den terminale halveringstid på 7,8 timer. Den </w:t>
      </w:r>
      <w:proofErr w:type="spellStart"/>
      <w:r>
        <w:rPr>
          <w:sz w:val="24"/>
          <w:szCs w:val="24"/>
        </w:rPr>
        <w:t>renale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ubetydelig (&lt; 0,2 %) og mindre end 5 % som carboxylsyremetabolit. Den største eliminationsvej er udskillelse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dets metabolitter i galden.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Eliminationshalveringstider i plasma efter en enkelt dosis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ca. 20-25 timer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og ca. 45 timer for den terapeutisk aktive metabolit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. Udskillelse sker hovedsagelig via fæces. Den vedvarende udskillelse af små mængder af dosis i fæces tyder på, at der sker en vis </w:t>
      </w:r>
      <w:proofErr w:type="spellStart"/>
      <w:r>
        <w:rPr>
          <w:sz w:val="24"/>
          <w:szCs w:val="24"/>
        </w:rPr>
        <w:t>enterohepatisk</w:t>
      </w:r>
      <w:proofErr w:type="spellEnd"/>
      <w:r>
        <w:rPr>
          <w:sz w:val="24"/>
          <w:szCs w:val="24"/>
        </w:rPr>
        <w:t xml:space="preserve"> cirkulation.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C84BE3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</w:r>
      <w:r w:rsidR="001144A6">
        <w:rPr>
          <w:b/>
          <w:sz w:val="24"/>
          <w:szCs w:val="24"/>
        </w:rPr>
        <w:t>Non-</w:t>
      </w:r>
      <w:r w:rsidRPr="00EC0B9B">
        <w:rPr>
          <w:b/>
          <w:sz w:val="24"/>
          <w:szCs w:val="24"/>
        </w:rPr>
        <w:t>kliniske sikkerhedsdata</w:t>
      </w:r>
    </w:p>
    <w:p w:rsidR="00FF36E8" w:rsidRPr="00FA7FA4" w:rsidRDefault="00FF36E8" w:rsidP="00FF36E8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Fluticasonpropionat</w:t>
      </w:r>
      <w:proofErr w:type="spellEnd"/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fund, der blev gjort i de generelle toksikologiske studier var lig dem, der blev gjort med andre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, og er forbundet med overdreven farmakologisk aktivitet. Disse fund er sandsynligvis ikke relevante for mennesker, som får de anbefalede nasale doser, der resulterer i minimal systemisk eksponering. Der er ikke observeret nogen genotoksisk virkning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i konventionelle genotoksiske undersøgelser. Desuden sås der ingen behandlingsrelaterede stigninger i </w:t>
      </w:r>
      <w:proofErr w:type="spellStart"/>
      <w:r>
        <w:rPr>
          <w:sz w:val="24"/>
          <w:szCs w:val="24"/>
        </w:rPr>
        <w:t>incidensen</w:t>
      </w:r>
      <w:proofErr w:type="spellEnd"/>
      <w:r>
        <w:rPr>
          <w:sz w:val="24"/>
          <w:szCs w:val="24"/>
        </w:rPr>
        <w:t xml:space="preserve"> af tumorer i </w:t>
      </w:r>
      <w:proofErr w:type="spellStart"/>
      <w:r>
        <w:rPr>
          <w:sz w:val="24"/>
          <w:szCs w:val="24"/>
        </w:rPr>
        <w:t>to-årige</w:t>
      </w:r>
      <w:proofErr w:type="spellEnd"/>
      <w:r>
        <w:rPr>
          <w:sz w:val="24"/>
          <w:szCs w:val="24"/>
        </w:rPr>
        <w:t xml:space="preserve"> inhalations</w:t>
      </w:r>
      <w:r>
        <w:rPr>
          <w:sz w:val="24"/>
          <w:szCs w:val="24"/>
        </w:rPr>
        <w:softHyphen/>
        <w:t xml:space="preserve">studier hos rotter og mus. 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dyrestudier er det påvist, at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inducerer misdannelser, herunder ganespaltning og intrauterin væksthæmning. Sandsynligvis er heller ikke disse fund relevante for mennesker, som får de anbefalede nasale doser, der resulterer i minimal systemisk eksponering (se pkt. 5.2).</w:t>
      </w:r>
    </w:p>
    <w:p w:rsidR="00FF36E8" w:rsidRPr="00FA7FA4" w:rsidRDefault="00FF36E8" w:rsidP="00FF36E8">
      <w:pPr>
        <w:ind w:left="851"/>
        <w:rPr>
          <w:sz w:val="24"/>
          <w:szCs w:val="24"/>
        </w:rPr>
      </w:pPr>
    </w:p>
    <w:p w:rsidR="00FF36E8" w:rsidRPr="00FA7FA4" w:rsidRDefault="00FF36E8" w:rsidP="00FF36E8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Azelastinhydrochlorid</w:t>
      </w:r>
      <w:proofErr w:type="spellEnd"/>
    </w:p>
    <w:p w:rsidR="00FF36E8" w:rsidRPr="00FA7FA4" w:rsidRDefault="00FF36E8" w:rsidP="00FF36E8">
      <w:pPr>
        <w:ind w:left="851"/>
        <w:rPr>
          <w:sz w:val="24"/>
          <w:szCs w:val="24"/>
        </w:rPr>
      </w:pP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viste intet sensibiliseringspotentiale hos marsvin.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viste intet genotoksisk potentiale i en række </w:t>
      </w:r>
      <w:r w:rsidRPr="00FA7FA4">
        <w:rPr>
          <w:i/>
          <w:sz w:val="24"/>
          <w:szCs w:val="24"/>
        </w:rPr>
        <w:t xml:space="preserve">in </w:t>
      </w:r>
      <w:proofErr w:type="spellStart"/>
      <w:r w:rsidRPr="00FA7FA4">
        <w:rPr>
          <w:i/>
          <w:sz w:val="24"/>
          <w:szCs w:val="24"/>
        </w:rPr>
        <w:t>vitro</w:t>
      </w:r>
      <w:proofErr w:type="spellEnd"/>
      <w:r w:rsidRPr="00FA7FA4">
        <w:rPr>
          <w:sz w:val="24"/>
          <w:szCs w:val="24"/>
        </w:rPr>
        <w:t xml:space="preserve">- og </w:t>
      </w:r>
      <w:r w:rsidRPr="00FA7FA4">
        <w:rPr>
          <w:i/>
          <w:sz w:val="24"/>
          <w:szCs w:val="24"/>
        </w:rPr>
        <w:t xml:space="preserve">in </w:t>
      </w:r>
      <w:proofErr w:type="spellStart"/>
      <w:r w:rsidRPr="00FA7FA4">
        <w:rPr>
          <w:i/>
          <w:sz w:val="24"/>
          <w:szCs w:val="24"/>
        </w:rPr>
        <w:t>vivo</w:t>
      </w:r>
      <w:proofErr w:type="spellEnd"/>
      <w:r w:rsidRPr="00FA7FA4">
        <w:rPr>
          <w:sz w:val="24"/>
          <w:szCs w:val="24"/>
        </w:rPr>
        <w:t xml:space="preserve">-test, og der sås heller ikke noget </w:t>
      </w:r>
      <w:proofErr w:type="spellStart"/>
      <w:r w:rsidRPr="00FA7FA4">
        <w:rPr>
          <w:sz w:val="24"/>
          <w:szCs w:val="24"/>
        </w:rPr>
        <w:t>karcinogent</w:t>
      </w:r>
      <w:proofErr w:type="spellEnd"/>
      <w:r w:rsidRPr="00FA7FA4">
        <w:rPr>
          <w:sz w:val="24"/>
          <w:szCs w:val="24"/>
        </w:rPr>
        <w:t xml:space="preserve"> potentiale hos rotter eller mus. Hos han- og hunrotter medførte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i orale doser over 3 mg/kg/dag et dosisrelateret fald i fertilitetsindekset; der blev ikke fundet nogen stofrelaterede forandringer i de reproduktive organer hos hverken han- eller hunrotter i kroniske toksicitetsstudier. Embryotoksiske og </w:t>
      </w:r>
      <w:proofErr w:type="spellStart"/>
      <w:r w:rsidRPr="00FA7FA4">
        <w:rPr>
          <w:sz w:val="24"/>
          <w:szCs w:val="24"/>
        </w:rPr>
        <w:t>teratogene</w:t>
      </w:r>
      <w:proofErr w:type="spellEnd"/>
      <w:r w:rsidRPr="00FA7FA4">
        <w:rPr>
          <w:sz w:val="24"/>
          <w:szCs w:val="24"/>
        </w:rPr>
        <w:t xml:space="preserve"> virkninger i rotter, mus og kaniner sås kun ved </w:t>
      </w:r>
      <w:proofErr w:type="spellStart"/>
      <w:r w:rsidRPr="00FA7FA4">
        <w:rPr>
          <w:sz w:val="24"/>
          <w:szCs w:val="24"/>
        </w:rPr>
        <w:t>maternelt</w:t>
      </w:r>
      <w:proofErr w:type="spellEnd"/>
      <w:r w:rsidRPr="00FA7FA4">
        <w:rPr>
          <w:sz w:val="24"/>
          <w:szCs w:val="24"/>
        </w:rPr>
        <w:t xml:space="preserve"> toksiske doser (f.eks. misdannelser i skelettet blev observeret hos rotter og mus ved doser på 68,6 mg/kg/dag).</w:t>
      </w:r>
    </w:p>
    <w:p w:rsidR="00FF36E8" w:rsidRDefault="00FF36E8" w:rsidP="00FF36E8">
      <w:pPr>
        <w:ind w:left="851"/>
        <w:rPr>
          <w:sz w:val="24"/>
          <w:szCs w:val="24"/>
        </w:rPr>
      </w:pPr>
    </w:p>
    <w:p w:rsidR="00FF36E8" w:rsidRPr="00FA7FA4" w:rsidRDefault="00FF36E8" w:rsidP="00FF36E8">
      <w:pPr>
        <w:ind w:left="851"/>
        <w:rPr>
          <w:sz w:val="24"/>
          <w:szCs w:val="24"/>
        </w:rPr>
      </w:pPr>
      <w:proofErr w:type="spellStart"/>
      <w:r w:rsidRPr="00FA7FA4">
        <w:rPr>
          <w:sz w:val="24"/>
          <w:szCs w:val="24"/>
          <w:u w:val="single"/>
        </w:rPr>
        <w:t>Dymista</w:t>
      </w:r>
      <w:proofErr w:type="spellEnd"/>
      <w:r w:rsidRPr="00FA7FA4">
        <w:rPr>
          <w:sz w:val="24"/>
          <w:szCs w:val="24"/>
          <w:u w:val="single"/>
        </w:rPr>
        <w:t xml:space="preserve"> næsespray, suspension</w:t>
      </w:r>
      <w:r>
        <w:rPr>
          <w:sz w:val="24"/>
          <w:szCs w:val="24"/>
          <w:u w:val="single"/>
        </w:rPr>
        <w:br/>
      </w:r>
      <w:r w:rsidRPr="00FA7FA4">
        <w:rPr>
          <w:sz w:val="24"/>
          <w:szCs w:val="24"/>
        </w:rPr>
        <w:t xml:space="preserve">Toksicitetsstudier med gentagen intranasal dosering hos rotter i en periode på op til 90 dage og hos hunde i 14 dage med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viste ingen nye bivirkninger sammenlignet med de individuelle komponenter.</w:t>
      </w:r>
    </w:p>
    <w:p w:rsidR="00FF36E8" w:rsidRPr="00FA7FA4" w:rsidRDefault="00FF36E8" w:rsidP="00FF36E8">
      <w:pPr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FARMACEUTISKE OPLYSNINGER</w:t>
      </w:r>
    </w:p>
    <w:p w:rsidR="00FF36E8" w:rsidRPr="00EC0B9B" w:rsidRDefault="00FF36E8" w:rsidP="00FF36E8">
      <w:pPr>
        <w:tabs>
          <w:tab w:val="left" w:pos="851"/>
        </w:tabs>
        <w:rPr>
          <w:b/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Hjælpestoffer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Dinatriumedetat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Glycerol (E422)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Mikrokrystallinsk cellulose (E460)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Carmellosenatrium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Polysorbat</w:t>
      </w:r>
      <w:proofErr w:type="spellEnd"/>
      <w:r>
        <w:rPr>
          <w:sz w:val="24"/>
          <w:szCs w:val="24"/>
        </w:rPr>
        <w:t xml:space="preserve"> 80 (E433)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Benzalkoniumchlorid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Phenylethylalkohol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Renset vand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Uforligeligheder</w:t>
      </w:r>
    </w:p>
    <w:p w:rsidR="00FF36E8" w:rsidRPr="00FA7FA4" w:rsidRDefault="00FF36E8" w:rsidP="00FF36E8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>Ikke relevant.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Opbevaringstid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 ml flasken med 6,4 g suspension: 18 måneder.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 ml flasken med 23 g suspension: 2 år.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rFonts w:cs="Arial"/>
          <w:iCs/>
          <w:sz w:val="24"/>
          <w:szCs w:val="24"/>
        </w:rPr>
      </w:pPr>
      <w:r>
        <w:rPr>
          <w:sz w:val="24"/>
          <w:szCs w:val="24"/>
        </w:rPr>
        <w:t>Efter ibrugtagning: 6 måneder.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opbevaringsforhold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Må ikke opbevares i køleskab eller nedfryses.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Emballagetyp</w:t>
      </w:r>
      <w:proofErr w:type="spellEnd"/>
      <w:r w:rsidRPr="00EC0B9B">
        <w:rPr>
          <w:b/>
          <w:sz w:val="24"/>
          <w:szCs w:val="24"/>
        </w:rPr>
        <w:t xml:space="preserve"> og pakningsstørrelser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Ravfarvet type 1-glasflaske med en spraypumpe, en nasal polypropylen applikator (</w:t>
      </w:r>
      <w:proofErr w:type="spellStart"/>
      <w:r>
        <w:rPr>
          <w:sz w:val="24"/>
          <w:szCs w:val="24"/>
        </w:rPr>
        <w:t>aktuator</w:t>
      </w:r>
      <w:proofErr w:type="spellEnd"/>
      <w:r>
        <w:rPr>
          <w:sz w:val="24"/>
          <w:szCs w:val="24"/>
        </w:rPr>
        <w:t>) og en støvhætte indeholdende 6,4 g (mindst 28 doser) eller 23 g (mindst 120 doser) suspension.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  <w:r w:rsidRPr="00C502BF">
        <w:rPr>
          <w:sz w:val="24"/>
          <w:szCs w:val="24"/>
          <w:u w:val="single"/>
        </w:rPr>
        <w:t>Pakningsstørrelser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 flaske med 6,4 g suspension i 10 ml flasker (mindst 28 doser) og 1 flaske med 23 g suspension i 25 ml flasker (mindst 120 doser).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Multipakninger indeholdende 64 g (10 flasker á 6,4 g) suspension.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Multipakninger indeholdende 69 g (3 flasker á 23 g) suspension. 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Regler for </w:t>
      </w:r>
      <w:r w:rsidR="001144A6">
        <w:rPr>
          <w:b/>
          <w:sz w:val="24"/>
          <w:szCs w:val="24"/>
        </w:rPr>
        <w:t>bortskaffelse</w:t>
      </w:r>
      <w:r w:rsidRPr="00EC0B9B">
        <w:rPr>
          <w:b/>
          <w:sz w:val="24"/>
          <w:szCs w:val="24"/>
        </w:rPr>
        <w:t xml:space="preserve"> og anden håndtering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Ingen særlige forholdsregler. </w:t>
      </w:r>
    </w:p>
    <w:p w:rsidR="00FF36E8" w:rsidRPr="00EC0B9B" w:rsidRDefault="00FF36E8" w:rsidP="00FF36E8">
      <w:pPr>
        <w:tabs>
          <w:tab w:val="left" w:pos="851"/>
        </w:tabs>
        <w:jc w:val="both"/>
        <w:rPr>
          <w:sz w:val="24"/>
          <w:szCs w:val="24"/>
        </w:rPr>
      </w:pPr>
    </w:p>
    <w:p w:rsidR="00FF36E8" w:rsidRPr="00841720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INDEHAVER AF MARKEDSFØRINGSTILLADELSEN</w:t>
      </w:r>
    </w:p>
    <w:p w:rsidR="0003774C" w:rsidRPr="0003774C" w:rsidRDefault="00FF36E8" w:rsidP="0003774C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>
        <w:rPr>
          <w:spacing w:val="-3"/>
          <w:szCs w:val="24"/>
        </w:rPr>
        <w:tab/>
      </w:r>
      <w:proofErr w:type="spellStart"/>
      <w:r w:rsidR="0003774C" w:rsidRPr="0003774C">
        <w:rPr>
          <w:spacing w:val="-3"/>
          <w:sz w:val="24"/>
          <w:szCs w:val="24"/>
        </w:rPr>
        <w:t>Viatris</w:t>
      </w:r>
      <w:proofErr w:type="spellEnd"/>
      <w:r w:rsidR="0003774C" w:rsidRPr="0003774C">
        <w:rPr>
          <w:spacing w:val="-3"/>
          <w:sz w:val="24"/>
          <w:szCs w:val="24"/>
        </w:rPr>
        <w:t xml:space="preserve"> ApS</w:t>
      </w:r>
    </w:p>
    <w:p w:rsidR="0003774C" w:rsidRPr="0003774C" w:rsidRDefault="0003774C" w:rsidP="0003774C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03774C">
        <w:rPr>
          <w:spacing w:val="-3"/>
          <w:sz w:val="24"/>
          <w:szCs w:val="24"/>
        </w:rPr>
        <w:tab/>
        <w:t>Borupvang 1</w:t>
      </w:r>
    </w:p>
    <w:p w:rsidR="00FF36E8" w:rsidRDefault="0003774C" w:rsidP="0003774C">
      <w:pPr>
        <w:tabs>
          <w:tab w:val="left" w:pos="0"/>
          <w:tab w:val="left" w:pos="851"/>
        </w:tabs>
        <w:ind w:left="850" w:hanging="850"/>
        <w:jc w:val="both"/>
        <w:rPr>
          <w:spacing w:val="-3"/>
          <w:szCs w:val="24"/>
        </w:rPr>
      </w:pPr>
      <w:r w:rsidRPr="0003774C">
        <w:rPr>
          <w:spacing w:val="-3"/>
          <w:sz w:val="24"/>
          <w:szCs w:val="24"/>
        </w:rPr>
        <w:tab/>
        <w:t>2750 Ballerup</w:t>
      </w:r>
    </w:p>
    <w:p w:rsidR="0003774C" w:rsidRPr="00EC0B9B" w:rsidRDefault="0003774C" w:rsidP="0003774C">
      <w:pPr>
        <w:tabs>
          <w:tab w:val="left" w:pos="0"/>
          <w:tab w:val="left" w:pos="851"/>
        </w:tabs>
        <w:ind w:left="850" w:hanging="850"/>
        <w:jc w:val="both"/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MARKEDSFØRINGSTILLADELSESNUMMER (</w:t>
      </w:r>
      <w:r w:rsidR="001144A6">
        <w:rPr>
          <w:b/>
          <w:sz w:val="24"/>
          <w:szCs w:val="24"/>
        </w:rPr>
        <w:t>-</w:t>
      </w:r>
      <w:r w:rsidRPr="00EC0B9B">
        <w:rPr>
          <w:b/>
          <w:sz w:val="24"/>
          <w:szCs w:val="24"/>
        </w:rPr>
        <w:t>NUMRE)</w:t>
      </w:r>
    </w:p>
    <w:p w:rsidR="00FF36E8" w:rsidRPr="00EC0B9B" w:rsidRDefault="00FF36E8" w:rsidP="00FF36E8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49785</w:t>
      </w:r>
    </w:p>
    <w:p w:rsidR="00FF36E8" w:rsidRPr="00EC0B9B" w:rsidRDefault="00FF36E8" w:rsidP="00FF36E8">
      <w:pPr>
        <w:tabs>
          <w:tab w:val="left" w:pos="851"/>
        </w:tabs>
        <w:jc w:val="both"/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FØRSTE MARKEDSFØRINGSTILLADELSE</w:t>
      </w:r>
    </w:p>
    <w:p w:rsidR="00FF36E8" w:rsidRDefault="00FF36E8" w:rsidP="00FF36E8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19. februar 2013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7D2755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ÆNDRING AF TEKSTEN</w:t>
      </w:r>
    </w:p>
    <w:p w:rsidR="00FF36E8" w:rsidRPr="00C502BF" w:rsidRDefault="00FF36E8" w:rsidP="00FF36E8">
      <w:pPr>
        <w:tabs>
          <w:tab w:val="left" w:pos="851"/>
        </w:tabs>
        <w:rPr>
          <w:sz w:val="24"/>
          <w:szCs w:val="24"/>
        </w:rPr>
      </w:pPr>
      <w:r w:rsidRPr="00B31DC4">
        <w:rPr>
          <w:sz w:val="24"/>
          <w:szCs w:val="24"/>
        </w:rPr>
        <w:tab/>
      </w:r>
      <w:r w:rsidR="008B481C">
        <w:rPr>
          <w:sz w:val="24"/>
          <w:szCs w:val="24"/>
        </w:rPr>
        <w:t>17</w:t>
      </w:r>
      <w:r w:rsidR="001144A6">
        <w:rPr>
          <w:sz w:val="24"/>
          <w:szCs w:val="24"/>
        </w:rPr>
        <w:t>. maj 2023</w:t>
      </w:r>
    </w:p>
    <w:p w:rsidR="00FF36E8" w:rsidRPr="00E42C99" w:rsidRDefault="00FF36E8" w:rsidP="00FF36E8"/>
    <w:p w:rsidR="00FF36E8" w:rsidRPr="00D77A89" w:rsidRDefault="00FF36E8" w:rsidP="00FF36E8"/>
    <w:p w:rsidR="009260DE" w:rsidRPr="00FF36E8" w:rsidRDefault="009260DE" w:rsidP="00FF36E8"/>
    <w:sectPr w:rsidR="009260DE" w:rsidRPr="00FF36E8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6E8" w:rsidRDefault="00FF36E8">
      <w:r>
        <w:separator/>
      </w:r>
    </w:p>
  </w:endnote>
  <w:endnote w:type="continuationSeparator" w:id="0">
    <w:p w:rsidR="00FF36E8" w:rsidRDefault="00FF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D2755">
      <w:rPr>
        <w:i/>
        <w:noProof/>
        <w:sz w:val="18"/>
        <w:szCs w:val="18"/>
      </w:rPr>
      <w:t>Dymista, næsespray, suspension 137+50 mikrog-dosis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6E8" w:rsidRDefault="00FF36E8">
      <w:r>
        <w:separator/>
      </w:r>
    </w:p>
  </w:footnote>
  <w:footnote w:type="continuationSeparator" w:id="0">
    <w:p w:rsidR="00FF36E8" w:rsidRDefault="00FF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E8"/>
    <w:rsid w:val="000259B9"/>
    <w:rsid w:val="0003774C"/>
    <w:rsid w:val="00041491"/>
    <w:rsid w:val="00050D16"/>
    <w:rsid w:val="00074F2A"/>
    <w:rsid w:val="000815FD"/>
    <w:rsid w:val="000A1CA8"/>
    <w:rsid w:val="000A466B"/>
    <w:rsid w:val="000B058C"/>
    <w:rsid w:val="000E4EE6"/>
    <w:rsid w:val="00106CE8"/>
    <w:rsid w:val="001144A6"/>
    <w:rsid w:val="00123C12"/>
    <w:rsid w:val="001454E2"/>
    <w:rsid w:val="001503B9"/>
    <w:rsid w:val="00186EB3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3082"/>
    <w:rsid w:val="00565F0F"/>
    <w:rsid w:val="00594A86"/>
    <w:rsid w:val="00596D86"/>
    <w:rsid w:val="00637F5A"/>
    <w:rsid w:val="006560B1"/>
    <w:rsid w:val="006756DD"/>
    <w:rsid w:val="00737275"/>
    <w:rsid w:val="00740EEC"/>
    <w:rsid w:val="0077766F"/>
    <w:rsid w:val="0078011A"/>
    <w:rsid w:val="00782AF4"/>
    <w:rsid w:val="00790EE7"/>
    <w:rsid w:val="007B6649"/>
    <w:rsid w:val="007D2755"/>
    <w:rsid w:val="0081546F"/>
    <w:rsid w:val="0082576E"/>
    <w:rsid w:val="00870C75"/>
    <w:rsid w:val="008B481C"/>
    <w:rsid w:val="00907F75"/>
    <w:rsid w:val="009260DE"/>
    <w:rsid w:val="0093258A"/>
    <w:rsid w:val="009C7BA3"/>
    <w:rsid w:val="009D1F5A"/>
    <w:rsid w:val="009F3F2B"/>
    <w:rsid w:val="00B003BF"/>
    <w:rsid w:val="00B373D7"/>
    <w:rsid w:val="00C36276"/>
    <w:rsid w:val="00C42586"/>
    <w:rsid w:val="00C60CCD"/>
    <w:rsid w:val="00C84483"/>
    <w:rsid w:val="00C95551"/>
    <w:rsid w:val="00CB0EE5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169FC"/>
    <w:rsid w:val="00F66D4F"/>
    <w:rsid w:val="00FB6D01"/>
    <w:rsid w:val="00FD5532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FAED9"/>
  <w15:chartTrackingRefBased/>
  <w15:docId w15:val="{0AC28B3C-28C6-4FEA-A72F-17EBF2D6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4A6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FF36E8"/>
    <w:pPr>
      <w:spacing w:before="120" w:after="120"/>
      <w:jc w:val="both"/>
    </w:pPr>
    <w:rPr>
      <w:sz w:val="22"/>
      <w:lang w:eastAsia="da-DK"/>
    </w:rPr>
  </w:style>
  <w:style w:type="paragraph" w:styleId="NormalWeb">
    <w:name w:val="Normal (Web)"/>
    <w:basedOn w:val="Normal"/>
    <w:semiHidden/>
    <w:unhideWhenUsed/>
    <w:rsid w:val="00FF36E8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F3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6</TotalTime>
  <Pages>11</Pages>
  <Words>2864</Words>
  <Characters>19353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2020090071_x000d_
SPC opdat. pkt. 4.4, 5.1</dc:description>
  <cp:lastModifiedBy>Marianne Ott Jensen</cp:lastModifiedBy>
  <cp:revision>4</cp:revision>
  <cp:lastPrinted>2012-08-22T08:53:00Z</cp:lastPrinted>
  <dcterms:created xsi:type="dcterms:W3CDTF">2023-05-02T10:54:00Z</dcterms:created>
  <dcterms:modified xsi:type="dcterms:W3CDTF">2023-05-17T07:21:00Z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