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E8" w:rsidRDefault="00FF36E8" w:rsidP="00FF36E8">
      <w:r>
        <w:rPr>
          <w:noProof/>
          <w:lang w:eastAsia="da-DK"/>
        </w:rPr>
        <w:drawing>
          <wp:inline distT="0" distB="0" distL="0" distR="0" wp14:anchorId="20D8F7EC" wp14:editId="3EABE157">
            <wp:extent cx="2466975" cy="685800"/>
            <wp:effectExtent l="0" t="0" r="9525" b="0"/>
            <wp:docPr id="3" name="Billede 3" descr="C:\Users\AMMO.DKLMMU\Desktop\Logo - Ko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MO.DKLMMU\Desktop\Logo - Kop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C12" w:rsidRDefault="00123C12" w:rsidP="00FF36E8"/>
    <w:p w:rsidR="00FF36E8" w:rsidRPr="00FA7FA4" w:rsidRDefault="009F71E2" w:rsidP="00FF36E8">
      <w:pPr>
        <w:pStyle w:val="Titel"/>
        <w:jc w:val="right"/>
      </w:pPr>
      <w:r>
        <w:t>6</w:t>
      </w:r>
      <w:r w:rsidR="00FD0DB6">
        <w:t>. februar 202</w:t>
      </w:r>
      <w:r>
        <w:t>6</w:t>
      </w:r>
    </w:p>
    <w:p w:rsidR="00E05DAA" w:rsidRDefault="00E05DAA" w:rsidP="00FF36E8">
      <w:pPr>
        <w:pStyle w:val="Titel"/>
        <w:jc w:val="left"/>
        <w:rPr>
          <w:b w:val="0"/>
        </w:rPr>
      </w:pPr>
    </w:p>
    <w:p w:rsidR="009F71E2" w:rsidRDefault="009F71E2" w:rsidP="00FF36E8">
      <w:pPr>
        <w:pStyle w:val="Titel"/>
        <w:jc w:val="left"/>
        <w:rPr>
          <w:b w:val="0"/>
        </w:rPr>
      </w:pPr>
    </w:p>
    <w:p w:rsidR="009F71E2" w:rsidRDefault="009F71E2" w:rsidP="00FF36E8">
      <w:pPr>
        <w:pStyle w:val="Titel"/>
        <w:jc w:val="left"/>
        <w:rPr>
          <w:b w:val="0"/>
        </w:rPr>
      </w:pPr>
    </w:p>
    <w:p w:rsidR="00FF36E8" w:rsidRPr="00EC0B9B" w:rsidRDefault="00FF36E8" w:rsidP="00FF36E8">
      <w:pPr>
        <w:jc w:val="center"/>
        <w:rPr>
          <w:b/>
          <w:sz w:val="24"/>
          <w:szCs w:val="24"/>
        </w:rPr>
      </w:pPr>
      <w:r w:rsidRPr="00EC0B9B">
        <w:rPr>
          <w:b/>
          <w:sz w:val="24"/>
          <w:szCs w:val="24"/>
        </w:rPr>
        <w:t>PRODUKTRESUMÉ</w:t>
      </w:r>
    </w:p>
    <w:p w:rsidR="00FF36E8" w:rsidRPr="00EC0B9B" w:rsidRDefault="00FF36E8" w:rsidP="00FF36E8">
      <w:pPr>
        <w:jc w:val="center"/>
        <w:rPr>
          <w:b/>
          <w:sz w:val="24"/>
          <w:szCs w:val="24"/>
        </w:rPr>
      </w:pPr>
    </w:p>
    <w:p w:rsidR="00FF36E8" w:rsidRPr="00EC0B9B" w:rsidRDefault="00FF36E8" w:rsidP="00FF36E8">
      <w:pPr>
        <w:jc w:val="center"/>
        <w:rPr>
          <w:b/>
          <w:sz w:val="24"/>
          <w:szCs w:val="24"/>
        </w:rPr>
      </w:pPr>
      <w:r w:rsidRPr="00EC0B9B">
        <w:rPr>
          <w:b/>
          <w:sz w:val="24"/>
          <w:szCs w:val="24"/>
        </w:rPr>
        <w:t>for</w:t>
      </w:r>
    </w:p>
    <w:p w:rsidR="00FF36E8" w:rsidRPr="00EC0B9B" w:rsidRDefault="00FF36E8" w:rsidP="00FF36E8">
      <w:pPr>
        <w:jc w:val="center"/>
        <w:rPr>
          <w:b/>
          <w:sz w:val="24"/>
          <w:szCs w:val="24"/>
        </w:rPr>
      </w:pPr>
    </w:p>
    <w:p w:rsidR="00FF36E8" w:rsidRPr="0049104B" w:rsidRDefault="00FF36E8" w:rsidP="00FF36E8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Dymista</w:t>
      </w:r>
      <w:proofErr w:type="spellEnd"/>
      <w:r>
        <w:rPr>
          <w:b/>
          <w:sz w:val="24"/>
          <w:szCs w:val="24"/>
        </w:rPr>
        <w:t>, næsespray, suspension</w:t>
      </w:r>
    </w:p>
    <w:p w:rsidR="00FF36E8" w:rsidRPr="00EC0B9B" w:rsidRDefault="00FF36E8" w:rsidP="00FF36E8">
      <w:pPr>
        <w:jc w:val="both"/>
        <w:rPr>
          <w:sz w:val="24"/>
          <w:szCs w:val="24"/>
        </w:rPr>
      </w:pPr>
    </w:p>
    <w:p w:rsidR="00FF36E8" w:rsidRPr="00EC0B9B" w:rsidRDefault="00FF36E8" w:rsidP="00FF36E8">
      <w:pPr>
        <w:jc w:val="both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0.</w:t>
      </w:r>
      <w:r w:rsidRPr="00C84483">
        <w:rPr>
          <w:b/>
          <w:sz w:val="24"/>
          <w:szCs w:val="24"/>
        </w:rPr>
        <w:tab/>
        <w:t>D.SP.NR.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28101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1.</w:t>
      </w:r>
      <w:r w:rsidRPr="00C84483">
        <w:rPr>
          <w:b/>
          <w:sz w:val="24"/>
          <w:szCs w:val="24"/>
        </w:rPr>
        <w:tab/>
        <w:t>LÆGEMIDLETS NAVN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Dymista</w:t>
      </w:r>
      <w:proofErr w:type="spellEnd"/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2.</w:t>
      </w:r>
      <w:r w:rsidRPr="00C84483">
        <w:rPr>
          <w:b/>
          <w:sz w:val="24"/>
          <w:szCs w:val="24"/>
        </w:rPr>
        <w:tab/>
        <w:t>KVALITATIV OG KVANTITATIV SAMMENSÆTNING</w:t>
      </w:r>
    </w:p>
    <w:p w:rsidR="0064195B" w:rsidRDefault="0064195B" w:rsidP="0064195B">
      <w:pPr>
        <w:pStyle w:val="EMEAEnBodyText"/>
        <w:tabs>
          <w:tab w:val="left" w:pos="851"/>
        </w:tabs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Hvert gram suspension indeholder 1000 mikrogram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365 mikro</w:t>
      </w:r>
      <w:r w:rsidR="006F42FD">
        <w:rPr>
          <w:sz w:val="24"/>
          <w:szCs w:val="24"/>
        </w:rPr>
        <w:softHyphen/>
      </w:r>
      <w:r>
        <w:rPr>
          <w:sz w:val="24"/>
          <w:szCs w:val="24"/>
        </w:rPr>
        <w:t xml:space="preserve">gram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>.</w:t>
      </w:r>
    </w:p>
    <w:p w:rsidR="0064195B" w:rsidRDefault="0064195B" w:rsidP="0064195B">
      <w:pPr>
        <w:pStyle w:val="EMEAEnBodyText"/>
        <w:tabs>
          <w:tab w:val="left" w:pos="851"/>
        </w:tabs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Et pust (0,14 g) indeholder 137 mikrogram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(svarende til 125 mikro</w:t>
      </w:r>
      <w:r w:rsidR="006F42FD">
        <w:rPr>
          <w:sz w:val="24"/>
          <w:szCs w:val="24"/>
        </w:rPr>
        <w:softHyphen/>
      </w:r>
      <w:r>
        <w:rPr>
          <w:sz w:val="24"/>
          <w:szCs w:val="24"/>
        </w:rPr>
        <w:t xml:space="preserve">gram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) og 50 mikrogram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>.</w:t>
      </w:r>
    </w:p>
    <w:p w:rsidR="0064195B" w:rsidRDefault="0064195B" w:rsidP="0064195B">
      <w:pPr>
        <w:pStyle w:val="EMEAEnBodyText"/>
        <w:tabs>
          <w:tab w:val="left" w:pos="851"/>
        </w:tabs>
        <w:autoSpaceDE w:val="0"/>
        <w:autoSpaceDN w:val="0"/>
        <w:adjustRightInd w:val="0"/>
        <w:spacing w:before="0" w:after="0"/>
        <w:ind w:left="851"/>
        <w:jc w:val="left"/>
        <w:rPr>
          <w:sz w:val="24"/>
          <w:szCs w:val="24"/>
        </w:rPr>
      </w:pPr>
    </w:p>
    <w:p w:rsidR="0064195B" w:rsidRDefault="0064195B" w:rsidP="0064195B">
      <w:pPr>
        <w:pStyle w:val="EMEAEnBodyText"/>
        <w:tabs>
          <w:tab w:val="left" w:pos="851"/>
        </w:tabs>
        <w:autoSpaceDE w:val="0"/>
        <w:autoSpaceDN w:val="0"/>
        <w:adjustRightInd w:val="0"/>
        <w:spacing w:before="0" w:after="0"/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Hjælpestof, som behandleren skal være opmærksom på:</w:t>
      </w:r>
    </w:p>
    <w:p w:rsidR="0064195B" w:rsidRDefault="0064195B" w:rsidP="0064195B">
      <w:pPr>
        <w:pStyle w:val="EMEAEnBodyText"/>
        <w:tabs>
          <w:tab w:val="left" w:pos="851"/>
        </w:tabs>
        <w:autoSpaceDE w:val="0"/>
        <w:autoSpaceDN w:val="0"/>
        <w:adjustRightInd w:val="0"/>
        <w:spacing w:before="0" w:after="0"/>
        <w:ind w:left="851"/>
        <w:rPr>
          <w:iCs/>
          <w:sz w:val="24"/>
          <w:szCs w:val="24"/>
        </w:rPr>
      </w:pPr>
      <w:r>
        <w:rPr>
          <w:sz w:val="24"/>
          <w:szCs w:val="24"/>
        </w:rPr>
        <w:t xml:space="preserve">Et pust (0,14 g) indeholder 0,014 mg </w:t>
      </w:r>
      <w:proofErr w:type="spellStart"/>
      <w:r>
        <w:rPr>
          <w:sz w:val="24"/>
          <w:szCs w:val="24"/>
        </w:rPr>
        <w:t>benzalkoniumchlorid</w:t>
      </w:r>
      <w:proofErr w:type="spellEnd"/>
      <w:r>
        <w:rPr>
          <w:sz w:val="24"/>
          <w:szCs w:val="24"/>
        </w:rPr>
        <w:t>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Alle hjælpestoffer er anført under pkt. 6.1.</w:t>
      </w:r>
      <w:r>
        <w:rPr>
          <w:rStyle w:val="Kommentarhenvisning"/>
          <w:sz w:val="24"/>
          <w:szCs w:val="24"/>
        </w:rPr>
        <w:t xml:space="preserve"> 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3.</w:t>
      </w:r>
      <w:r w:rsidRPr="00C84483">
        <w:rPr>
          <w:b/>
          <w:sz w:val="24"/>
          <w:szCs w:val="24"/>
        </w:rPr>
        <w:tab/>
        <w:t>LÆGEMIDDELFORM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Næsespray, suspension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Hvid, homogen suspension.</w:t>
      </w:r>
    </w:p>
    <w:p w:rsidR="00FF36E8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</w:t>
      </w:r>
      <w:r w:rsidRPr="00C84483">
        <w:rPr>
          <w:b/>
          <w:sz w:val="24"/>
          <w:szCs w:val="24"/>
        </w:rPr>
        <w:tab/>
        <w:t>KLINISKE OPLYSNINGER</w:t>
      </w:r>
    </w:p>
    <w:p w:rsidR="007448A8" w:rsidRPr="00C84483" w:rsidRDefault="007448A8" w:rsidP="007448A8">
      <w:pPr>
        <w:tabs>
          <w:tab w:val="left" w:pos="851"/>
        </w:tabs>
        <w:ind w:left="851"/>
        <w:rPr>
          <w:b/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C84483">
        <w:rPr>
          <w:b/>
          <w:sz w:val="24"/>
          <w:szCs w:val="24"/>
        </w:rPr>
        <w:t>4.1</w:t>
      </w:r>
      <w:r w:rsidRPr="00C84483">
        <w:rPr>
          <w:b/>
          <w:sz w:val="24"/>
          <w:szCs w:val="24"/>
        </w:rPr>
        <w:tab/>
        <w:t>Terapeutiske indikationer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Lindring af symptomer på moderat til svær sæsonbetinget og vedvarende allergisk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, hvor monoterapi med enten intranasal antihistamin eller </w:t>
      </w:r>
      <w:proofErr w:type="spellStart"/>
      <w:r>
        <w:rPr>
          <w:sz w:val="24"/>
          <w:szCs w:val="24"/>
        </w:rPr>
        <w:t>glukokortikoid</w:t>
      </w:r>
      <w:proofErr w:type="spellEnd"/>
      <w:r>
        <w:rPr>
          <w:sz w:val="24"/>
          <w:szCs w:val="24"/>
        </w:rPr>
        <w:t xml:space="preserve"> ikke vurderes tilstrækkelig. 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4.2</w:t>
      </w:r>
      <w:r w:rsidRPr="00C84483">
        <w:rPr>
          <w:b/>
          <w:sz w:val="24"/>
          <w:szCs w:val="24"/>
        </w:rPr>
        <w:tab/>
        <w:t xml:space="preserve">Dosering og </w:t>
      </w:r>
      <w:r>
        <w:rPr>
          <w:b/>
          <w:sz w:val="24"/>
          <w:szCs w:val="24"/>
        </w:rPr>
        <w:t>administration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Regelmæssig brug er essentiel for fuld terapeutisk effekt.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Undgå kontakt med øjnene. </w:t>
      </w:r>
    </w:p>
    <w:p w:rsidR="00AA10C7" w:rsidRDefault="00AA10C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Pr="005A1E93" w:rsidRDefault="00FF36E8" w:rsidP="00FF36E8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Dosering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Voksne og unge (12 år og ældre)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Et pust i hvert næsebor to gange daglig (morgen og aften).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  <w:highlight w:val="yellow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Børn under 12 år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er ikke anbefalet til børn under 12 år, da sikkerhed og virkning i denne aldersgruppe ikke er fastlagt.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Ældre</w:t>
      </w: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Dosisjustering er ikke nødvendig i denne population.</w:t>
      </w: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  <w:u w:val="single"/>
        </w:rPr>
      </w:pP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outlineLvl w:val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Nedsat nyre- og leverfunktion</w:t>
      </w:r>
    </w:p>
    <w:p w:rsidR="00FF36E8" w:rsidRDefault="00FF36E8" w:rsidP="00FF36E8">
      <w:pPr>
        <w:tabs>
          <w:tab w:val="left" w:pos="851"/>
        </w:tabs>
        <w:ind w:left="851"/>
        <w:rPr>
          <w:i/>
          <w:sz w:val="24"/>
          <w:szCs w:val="24"/>
        </w:rPr>
      </w:pPr>
      <w:r>
        <w:rPr>
          <w:sz w:val="24"/>
          <w:szCs w:val="24"/>
        </w:rPr>
        <w:t>Der foreligger ingen data for patienter med nedsat nyre- og leverfunktion.</w:t>
      </w:r>
    </w:p>
    <w:p w:rsidR="00FF36E8" w:rsidRPr="007448A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FF36E8" w:rsidRPr="005A1E93" w:rsidRDefault="00FF36E8" w:rsidP="00FF36E8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Behandlingsvarighed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er egnet til brug i lang tid.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Varigheden af behandlingen bør svare til den periode, hvor patienten er eksponeret for allergener.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Pr="005A1E93" w:rsidRDefault="00FF36E8" w:rsidP="00FF36E8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Administrationsmetode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næsespray er kun til nasal anvendelse. 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  <w:highlight w:val="green"/>
        </w:rPr>
      </w:pPr>
    </w:p>
    <w:p w:rsidR="00FF36E8" w:rsidRPr="005A1E93" w:rsidRDefault="00FF36E8" w:rsidP="00FF36E8">
      <w:pPr>
        <w:tabs>
          <w:tab w:val="left" w:pos="0"/>
          <w:tab w:val="left" w:pos="851"/>
        </w:tabs>
        <w:ind w:left="851"/>
        <w:rPr>
          <w:b/>
          <w:sz w:val="24"/>
          <w:szCs w:val="24"/>
        </w:rPr>
      </w:pPr>
      <w:r w:rsidRPr="005A1E93">
        <w:rPr>
          <w:b/>
          <w:sz w:val="24"/>
          <w:szCs w:val="24"/>
        </w:rPr>
        <w:t>Brugsanvisning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Forberedelse af sprayen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Flasken skal rystes let i ca. 5 sekunder før brug ved at vende den op og ned, og beskyttelseshætten skal derefter fjernes. Før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næsespray anvendes første gang, skal den forberedes til brug ved at trykke pumpen ned og give slip på den 6 gange. Hvis næsesprayen ikke har været brugt i over 7 dage, skal den forberedes igen ved at trykke pumpen ned en gang og derefter give slip på den.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Brug af sprayen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Flasken skal rystes forsigtigt før brug i ca. 5 sekunder ved at vende bunden op og ned. Beskyttelseshætten kan derefter fjernes. 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Efter at have pudset næse sprayes suspensionen en gang op i hvert næsebor, mens hovedet </w:t>
      </w:r>
      <w:r w:rsidR="0064195B">
        <w:rPr>
          <w:sz w:val="24"/>
          <w:szCs w:val="24"/>
        </w:rPr>
        <w:t>vippes</w:t>
      </w:r>
      <w:r>
        <w:rPr>
          <w:sz w:val="24"/>
          <w:szCs w:val="24"/>
        </w:rPr>
        <w:t xml:space="preserve"> nedad (se billedet). Efter hver brug tørres studsen af, og beskyttelseshætten sættes på igen.</w:t>
      </w: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0"/>
          <w:tab w:val="left" w:pos="851"/>
        </w:tabs>
        <w:ind w:left="851"/>
        <w:rPr>
          <w:sz w:val="24"/>
          <w:szCs w:val="24"/>
        </w:rPr>
      </w:pPr>
      <w:r>
        <w:rPr>
          <w:noProof/>
          <w:sz w:val="22"/>
          <w:lang w:eastAsia="da-DK"/>
        </w:rPr>
        <w:drawing>
          <wp:inline distT="0" distB="0" distL="0" distR="0" wp14:anchorId="62F0A0D1" wp14:editId="44566670">
            <wp:extent cx="1371600" cy="1790700"/>
            <wp:effectExtent l="0" t="0" r="0" b="0"/>
            <wp:docPr id="2" name="Billede 2" descr="dymista_step_1_sw_high_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mista_step_1_sw_high_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79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lastRenderedPageBreak/>
        <w:t>4.3</w:t>
      </w:r>
      <w:r w:rsidRPr="00C84483">
        <w:rPr>
          <w:b/>
          <w:sz w:val="24"/>
          <w:szCs w:val="24"/>
        </w:rPr>
        <w:tab/>
        <w:t>Kontraindikationer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Overfølsomhed over for de aktive stoffer eller over for et eller flere af hjælpestofferne anført i pkt. 6.1.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4.4</w:t>
      </w:r>
      <w:r w:rsidRPr="00C84483">
        <w:rPr>
          <w:b/>
          <w:sz w:val="24"/>
          <w:szCs w:val="24"/>
        </w:rPr>
        <w:tab/>
        <w:t>Særlige advarsler og forsigtighedsregler vedrørende brugen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Klinisk signifikante lægemiddelinteraktioner er rapporteret ved post-marketing brug hos patienter, som fik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, hvilket resulterede i systemiske virkninger forårsaget af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omfattende </w:t>
      </w:r>
      <w:proofErr w:type="spellStart"/>
      <w:r>
        <w:rPr>
          <w:sz w:val="24"/>
          <w:szCs w:val="24"/>
        </w:rPr>
        <w:t>Cushings</w:t>
      </w:r>
      <w:proofErr w:type="spellEnd"/>
      <w:r>
        <w:rPr>
          <w:sz w:val="24"/>
          <w:szCs w:val="24"/>
        </w:rPr>
        <w:t xml:space="preserve"> syndrom og binyrebark</w:t>
      </w:r>
      <w:r>
        <w:rPr>
          <w:sz w:val="24"/>
          <w:szCs w:val="24"/>
        </w:rPr>
        <w:softHyphen/>
        <w:t xml:space="preserve">suppression. Samtidig brug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 skal derfor undgås, med mindre den potentielle nytte for patienten opvejer risikoen for systemiske bivirkninger forårsaget af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(se pkt. 4.5).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Systemiske bivirkninger kan forekomme efter brug af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, især ved høje doser givet i længere perioder. Disse bivirkninger er langt mindre sandsynlige end ved orale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, og de kan individuelt variere mellem patienter og mellem forskellige </w:t>
      </w:r>
      <w:proofErr w:type="spellStart"/>
      <w:r>
        <w:rPr>
          <w:sz w:val="24"/>
          <w:szCs w:val="24"/>
        </w:rPr>
        <w:t>kortikosteroidpræparater</w:t>
      </w:r>
      <w:proofErr w:type="spellEnd"/>
      <w:r>
        <w:rPr>
          <w:sz w:val="24"/>
          <w:szCs w:val="24"/>
        </w:rPr>
        <w:t xml:space="preserve">. Potentielle systemiske bivirkninger kan omfatte </w:t>
      </w:r>
      <w:proofErr w:type="spellStart"/>
      <w:r>
        <w:rPr>
          <w:sz w:val="24"/>
          <w:szCs w:val="24"/>
        </w:rPr>
        <w:t>Cushings</w:t>
      </w:r>
      <w:proofErr w:type="spellEnd"/>
      <w:r>
        <w:rPr>
          <w:sz w:val="24"/>
          <w:szCs w:val="24"/>
        </w:rPr>
        <w:t xml:space="preserve"> syndrom, </w:t>
      </w:r>
      <w:proofErr w:type="spellStart"/>
      <w:r>
        <w:rPr>
          <w:sz w:val="24"/>
          <w:szCs w:val="24"/>
        </w:rPr>
        <w:t>cushingoide</w:t>
      </w:r>
      <w:proofErr w:type="spellEnd"/>
      <w:r>
        <w:rPr>
          <w:sz w:val="24"/>
          <w:szCs w:val="24"/>
        </w:rPr>
        <w:t xml:space="preserve"> træk, binyrebarksuppression, væksthæmning hos børn og unge, katarakt, </w:t>
      </w:r>
      <w:proofErr w:type="spellStart"/>
      <w:r>
        <w:rPr>
          <w:sz w:val="24"/>
          <w:szCs w:val="24"/>
        </w:rPr>
        <w:t>glaukom</w:t>
      </w:r>
      <w:proofErr w:type="spellEnd"/>
      <w:r>
        <w:rPr>
          <w:sz w:val="24"/>
          <w:szCs w:val="24"/>
        </w:rPr>
        <w:t xml:space="preserve"> og i sjældne tilfælde en række psykologiske eller adfærdsmæssige forstyrrelser, herunder </w:t>
      </w:r>
      <w:proofErr w:type="spellStart"/>
      <w:r>
        <w:rPr>
          <w:sz w:val="24"/>
          <w:szCs w:val="24"/>
        </w:rPr>
        <w:t>psykomotorisk</w:t>
      </w:r>
      <w:proofErr w:type="spellEnd"/>
      <w:r>
        <w:rPr>
          <w:sz w:val="24"/>
          <w:szCs w:val="24"/>
        </w:rPr>
        <w:t xml:space="preserve"> hyperaktivitet, søvnforstyrrelser, angst, depression eller aggression (især hos børn).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1144A6" w:rsidRDefault="001144A6" w:rsidP="001144A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undergår i vid udstrækning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metabolisme, og derfor er en øget systemisk eksponering sandsynlig efter intranasal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hos patienter med svær leversygdom. Dette kan medføre en større hyppighed af systemiske bivirkninger. </w:t>
      </w:r>
    </w:p>
    <w:p w:rsidR="001144A6" w:rsidRDefault="001144A6" w:rsidP="001144A6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Der skal udvises forsigtighed ved behandling af disse patienter.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Behandling med højere doser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end de anbefalede kan medføre klinisk signifikant binyrebarksuppression. Hvis der er tegn på, at der anvendes højere doser end den anbefalede, bør yderligere systemisk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 behandling overvejes i perioder med stress eller ved planlagt kirurgi.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Generelt bør dosis af intranasale formuleringer af </w:t>
      </w:r>
      <w:proofErr w:type="spellStart"/>
      <w:r>
        <w:rPr>
          <w:sz w:val="24"/>
          <w:szCs w:val="24"/>
        </w:rPr>
        <w:t>fluticason</w:t>
      </w:r>
      <w:proofErr w:type="spellEnd"/>
      <w:r>
        <w:rPr>
          <w:sz w:val="24"/>
          <w:szCs w:val="24"/>
        </w:rPr>
        <w:t xml:space="preserve"> reduceres til den lavest mulige dosis, der fastholder effektiv kontrol af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-symptomerne. Højere doser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end den anbefalede (se pkt. 4.2) er ikke blevet undersøgt. Som med alle andre intranasale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bør den samlede systemiske belastning af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tages i betragtning, når der samtidig ordineres andre former for </w:t>
      </w:r>
      <w:proofErr w:type="spellStart"/>
      <w:r>
        <w:rPr>
          <w:sz w:val="24"/>
          <w:szCs w:val="24"/>
        </w:rPr>
        <w:t>kortikosteroidbehandling</w:t>
      </w:r>
      <w:proofErr w:type="spellEnd"/>
      <w:r>
        <w:rPr>
          <w:sz w:val="24"/>
          <w:szCs w:val="24"/>
        </w:rPr>
        <w:t>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Væksthæmning er rapporteret hos børn, der er behandlet med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i godkendte doser. Da væksten fortsætter hos unge, anbefales det, at væksten af unge i længerevarende behandling med nasale </w:t>
      </w:r>
      <w:proofErr w:type="spellStart"/>
      <w:r>
        <w:rPr>
          <w:sz w:val="24"/>
          <w:szCs w:val="24"/>
        </w:rPr>
        <w:t>kortikosteroider</w:t>
      </w:r>
      <w:proofErr w:type="spellEnd"/>
      <w:r>
        <w:rPr>
          <w:sz w:val="24"/>
          <w:szCs w:val="24"/>
        </w:rPr>
        <w:t xml:space="preserve"> monitoreres regelmæssigt. Hvis deres vækst aftager, skal behandlingen revurderes med henblik på om muligt at reducere dosis af nasal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 til den lavest mulige dosis, der kan fastholde effektiv kontrol med symptomerne.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t xml:space="preserve">Ved brug af systemisk og </w:t>
      </w:r>
      <w:proofErr w:type="spellStart"/>
      <w:r>
        <w:t>topikalt</w:t>
      </w:r>
      <w:proofErr w:type="spellEnd"/>
      <w:r>
        <w:t xml:space="preserve"> </w:t>
      </w:r>
      <w:proofErr w:type="spellStart"/>
      <w:r>
        <w:t>kortikosteroid</w:t>
      </w:r>
      <w:proofErr w:type="spellEnd"/>
      <w:r>
        <w:t xml:space="preserve"> kan der blive indberettet synsforstyrrelser. Ved symptomer som sløret syn eller andre synsforstyrrelser bør det overvejes at henvise patienten til oftalmolog med henblik på vurdering af de mulige årsager; disse kan være grå stær, </w:t>
      </w:r>
      <w:proofErr w:type="spellStart"/>
      <w:r>
        <w:t>glaukom</w:t>
      </w:r>
      <w:proofErr w:type="spellEnd"/>
      <w:r>
        <w:t xml:space="preserve"> eller sjældne sygdomme såsom central serøs </w:t>
      </w:r>
      <w:proofErr w:type="spellStart"/>
      <w:r>
        <w:t>korioretinopati</w:t>
      </w:r>
      <w:proofErr w:type="spellEnd"/>
      <w:r>
        <w:t xml:space="preserve"> (CSCR), som er indberettet efter brug af systemiske og </w:t>
      </w:r>
      <w:proofErr w:type="spellStart"/>
      <w:r>
        <w:t>topikale</w:t>
      </w:r>
      <w:proofErr w:type="spellEnd"/>
      <w:r>
        <w:t xml:space="preserve"> </w:t>
      </w:r>
      <w:proofErr w:type="spellStart"/>
      <w:r>
        <w:t>kortikosteroider</w:t>
      </w:r>
      <w:proofErr w:type="spellEnd"/>
      <w:r>
        <w:t>.</w:t>
      </w:r>
    </w:p>
    <w:p w:rsidR="00FF36E8" w:rsidRDefault="00FF36E8" w:rsidP="007448A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Tæt overvågning er påkrævet hos patienter med synsændringer og patienter, der tidligere har haft forhøjet tryk i øjet, </w:t>
      </w:r>
      <w:proofErr w:type="spellStart"/>
      <w:r>
        <w:rPr>
          <w:sz w:val="24"/>
          <w:szCs w:val="24"/>
        </w:rPr>
        <w:t>glaukom</w:t>
      </w:r>
      <w:proofErr w:type="spellEnd"/>
      <w:r>
        <w:rPr>
          <w:sz w:val="24"/>
          <w:szCs w:val="24"/>
        </w:rPr>
        <w:t xml:space="preserve"> og/eller katarakt.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Hvis der er grund til at tro, at binyrebarkfunktionen er svækket, skal der udvises forsigtighed ved skifte af patienter fra systemisk steroidbehandling til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Hos patienter, der har tuberkulose, enhver form for ubehandlet infektion, eller som for nylig er blevet opereret eller skadet i næsen eller munden, skal de mulige fordele ved behandling med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opvejes mod de mulige risici.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Infektioner i de nasale luftveje skal behandles med antibakterielle eller </w:t>
      </w:r>
      <w:proofErr w:type="spellStart"/>
      <w:r>
        <w:rPr>
          <w:sz w:val="24"/>
          <w:szCs w:val="24"/>
        </w:rPr>
        <w:t>antimykotiske</w:t>
      </w:r>
      <w:proofErr w:type="spellEnd"/>
      <w:r>
        <w:rPr>
          <w:sz w:val="24"/>
          <w:szCs w:val="24"/>
        </w:rPr>
        <w:t xml:space="preserve"> midler, men er ikke en specifik kontraindikation til behandling med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>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1144A6" w:rsidRDefault="001144A6" w:rsidP="001144A6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indeholder </w:t>
      </w:r>
      <w:proofErr w:type="spellStart"/>
      <w:r>
        <w:rPr>
          <w:sz w:val="24"/>
          <w:szCs w:val="24"/>
        </w:rPr>
        <w:t>benzalkoniumchlorid</w:t>
      </w:r>
      <w:proofErr w:type="spellEnd"/>
      <w:r>
        <w:rPr>
          <w:sz w:val="24"/>
          <w:szCs w:val="24"/>
        </w:rPr>
        <w:t>. Langvarig anvendelse kan medføre ødem af næseslimhinden.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4.5</w:t>
      </w:r>
      <w:r w:rsidRPr="00C84483">
        <w:rPr>
          <w:b/>
          <w:sz w:val="24"/>
          <w:szCs w:val="24"/>
        </w:rPr>
        <w:tab/>
        <w:t>Interaktion med andre lægemidler og andre former for interaktion</w:t>
      </w:r>
    </w:p>
    <w:p w:rsidR="006F42FD" w:rsidRDefault="006F42FD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FF36E8" w:rsidRPr="00460DF1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460DF1">
        <w:rPr>
          <w:sz w:val="24"/>
          <w:szCs w:val="24"/>
          <w:u w:val="single"/>
        </w:rPr>
        <w:t>Fluticasonpropionat</w:t>
      </w:r>
      <w:proofErr w:type="spellEnd"/>
      <w:r w:rsidRPr="00460DF1">
        <w:rPr>
          <w:sz w:val="24"/>
          <w:szCs w:val="24"/>
          <w:u w:val="single"/>
        </w:rPr>
        <w:t xml:space="preserve"> 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Under normale omstændigheder er lave plasmakoncentrationer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opnået efter intranasal dosering på grund af omfattende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 og høj systemisk </w:t>
      </w:r>
      <w:proofErr w:type="spellStart"/>
      <w:r>
        <w:rPr>
          <w:sz w:val="24"/>
          <w:szCs w:val="24"/>
        </w:rPr>
        <w:t>clearance</w:t>
      </w:r>
      <w:proofErr w:type="spellEnd"/>
      <w:r>
        <w:rPr>
          <w:sz w:val="24"/>
          <w:szCs w:val="24"/>
        </w:rPr>
        <w:t xml:space="preserve"> medieret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i tarmen og leveren. Derfor er klinisk signifikante lægemiddelinteraktioner medieret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usandsynlige.  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Et interaktionsstudie med raske frivillige har vist, at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 (højpotent hæmmer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3A4) i høj grad kan øge plasmakoncentrationerne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, som resulterer i markant reducerede koncentrationer af </w:t>
      </w:r>
      <w:proofErr w:type="spellStart"/>
      <w:r>
        <w:rPr>
          <w:sz w:val="24"/>
          <w:szCs w:val="24"/>
        </w:rPr>
        <w:t>serumcortisol</w:t>
      </w:r>
      <w:proofErr w:type="spellEnd"/>
      <w:r>
        <w:rPr>
          <w:sz w:val="24"/>
          <w:szCs w:val="24"/>
        </w:rPr>
        <w:t xml:space="preserve">. Klinisk signifikante lægemiddelinteraktioner er rapporteret ved post-marketing brug hos patienter, som har fået intranasal eller inhaleret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ritonavir</w:t>
      </w:r>
      <w:proofErr w:type="spellEnd"/>
      <w:r>
        <w:rPr>
          <w:sz w:val="24"/>
          <w:szCs w:val="24"/>
        </w:rPr>
        <w:t xml:space="preserve">, som resulterede i systemiske virkninger forårsaget af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. Det forventes, at samtidig behandling med andre </w:t>
      </w:r>
      <w:r w:rsidRPr="0072526D">
        <w:rPr>
          <w:sz w:val="24"/>
          <w:szCs w:val="24"/>
        </w:rPr>
        <w:t>CYP3A4-hæmmere</w:t>
      </w:r>
      <w:r>
        <w:rPr>
          <w:sz w:val="24"/>
          <w:szCs w:val="24"/>
        </w:rPr>
        <w:t xml:space="preserve">, herunder </w:t>
      </w:r>
      <w:proofErr w:type="spellStart"/>
      <w:r>
        <w:rPr>
          <w:sz w:val="24"/>
          <w:szCs w:val="24"/>
        </w:rPr>
        <w:t>cobicistat-holdige</w:t>
      </w:r>
      <w:proofErr w:type="spellEnd"/>
      <w:r>
        <w:rPr>
          <w:sz w:val="24"/>
          <w:szCs w:val="24"/>
        </w:rPr>
        <w:t xml:space="preserve"> lægemidler øger risikoen for systemiske bivirkninger. Kombinationen bør undgås, medmindre fordelen opvejer den øgede risiko for systemiske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-bivirkninger. Patienterne skal i givet fald overvåges for systemiske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>-bivirkninger.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Studier har vist, at andre inhibitorer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resulterer i ubetydelige (</w:t>
      </w:r>
      <w:proofErr w:type="spellStart"/>
      <w:r>
        <w:rPr>
          <w:sz w:val="24"/>
          <w:szCs w:val="24"/>
        </w:rPr>
        <w:t>erythromyin</w:t>
      </w:r>
      <w:proofErr w:type="spellEnd"/>
      <w:r>
        <w:rPr>
          <w:sz w:val="24"/>
          <w:szCs w:val="24"/>
        </w:rPr>
        <w:t>) og mindre (</w:t>
      </w:r>
      <w:proofErr w:type="spellStart"/>
      <w:r>
        <w:rPr>
          <w:sz w:val="24"/>
          <w:szCs w:val="24"/>
        </w:rPr>
        <w:t>ketoconazol</w:t>
      </w:r>
      <w:proofErr w:type="spellEnd"/>
      <w:r>
        <w:rPr>
          <w:sz w:val="24"/>
          <w:szCs w:val="24"/>
        </w:rPr>
        <w:t xml:space="preserve">) stigninger i den systemiske eksponering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uden bemærkelsesværdige reduktioner i koncentrationerne af </w:t>
      </w:r>
      <w:proofErr w:type="spellStart"/>
      <w:r>
        <w:rPr>
          <w:sz w:val="24"/>
          <w:szCs w:val="24"/>
        </w:rPr>
        <w:t>serumcortisol</w:t>
      </w:r>
      <w:proofErr w:type="spellEnd"/>
      <w:r>
        <w:rPr>
          <w:sz w:val="24"/>
          <w:szCs w:val="24"/>
        </w:rPr>
        <w:t xml:space="preserve">. Alligevel tilrådes forsigtighed ved samtidig administration af en potent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3A4 inhibitor (f.eks. </w:t>
      </w:r>
      <w:proofErr w:type="spellStart"/>
      <w:r>
        <w:rPr>
          <w:sz w:val="24"/>
          <w:szCs w:val="24"/>
        </w:rPr>
        <w:t>ketoconazol</w:t>
      </w:r>
      <w:proofErr w:type="spellEnd"/>
      <w:r>
        <w:rPr>
          <w:sz w:val="24"/>
          <w:szCs w:val="24"/>
        </w:rPr>
        <w:t xml:space="preserve">), da der er potentiale for øget systemisk eksponering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. 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</w:p>
    <w:p w:rsidR="00FF36E8" w:rsidRPr="00460DF1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460DF1">
        <w:rPr>
          <w:sz w:val="24"/>
          <w:szCs w:val="24"/>
          <w:u w:val="single"/>
        </w:rPr>
        <w:t>Azelastinhydrochlorid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  <w:highlight w:val="lightGray"/>
        </w:rPr>
      </w:pPr>
      <w:r>
        <w:rPr>
          <w:sz w:val="24"/>
          <w:szCs w:val="24"/>
        </w:rPr>
        <w:t xml:space="preserve">Der er ikke udført specifikke interaktionsstudier med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næsespray. Interaktionsstudier med høje </w:t>
      </w:r>
      <w:r>
        <w:rPr>
          <w:sz w:val="24"/>
          <w:szCs w:val="24"/>
          <w:u w:val="single"/>
        </w:rPr>
        <w:t>orale</w:t>
      </w:r>
      <w:r>
        <w:rPr>
          <w:sz w:val="24"/>
          <w:szCs w:val="24"/>
        </w:rPr>
        <w:t xml:space="preserve"> doser er blevet udført. De har imidlertid ingen relevans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næsespray, da de anbefalede nasale doser medfører meget lav systemisk eksponering. Alligevel skal der udvises forsigtighed, når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gives til patienter, som samtidig tager </w:t>
      </w:r>
      <w:proofErr w:type="spellStart"/>
      <w:r>
        <w:rPr>
          <w:sz w:val="24"/>
          <w:szCs w:val="24"/>
        </w:rPr>
        <w:t>sedativa</w:t>
      </w:r>
      <w:proofErr w:type="spellEnd"/>
      <w:r>
        <w:rPr>
          <w:sz w:val="24"/>
          <w:szCs w:val="24"/>
        </w:rPr>
        <w:t xml:space="preserve"> eller lægemidler med virkning på centralnervesystemet, idet den sedative virkning kan blive forøget. Alkohol kan også forøge denne virkning (se pkt. 4.7). 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4.6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Fertilitet, g</w:t>
      </w:r>
      <w:r w:rsidRPr="00C84483">
        <w:rPr>
          <w:b/>
          <w:sz w:val="24"/>
          <w:szCs w:val="24"/>
        </w:rPr>
        <w:t>raviditet og amning</w:t>
      </w:r>
    </w:p>
    <w:p w:rsidR="006F42FD" w:rsidRDefault="006F42FD" w:rsidP="00FF36E8">
      <w:pPr>
        <w:tabs>
          <w:tab w:val="left" w:pos="851"/>
        </w:tabs>
        <w:ind w:left="851"/>
        <w:rPr>
          <w:sz w:val="24"/>
          <w:szCs w:val="24"/>
          <w:u w:val="single"/>
        </w:rPr>
      </w:pPr>
    </w:p>
    <w:p w:rsidR="00FF36E8" w:rsidRPr="006F42FD" w:rsidRDefault="00FF36E8" w:rsidP="006F42FD">
      <w:pPr>
        <w:ind w:left="851"/>
        <w:rPr>
          <w:sz w:val="24"/>
          <w:szCs w:val="24"/>
          <w:u w:val="single"/>
        </w:rPr>
      </w:pPr>
      <w:r w:rsidRPr="006F42FD">
        <w:rPr>
          <w:sz w:val="24"/>
          <w:szCs w:val="24"/>
          <w:u w:val="single"/>
        </w:rPr>
        <w:t>Fertilitet</w:t>
      </w:r>
    </w:p>
    <w:p w:rsidR="00FF36E8" w:rsidRPr="006F42FD" w:rsidRDefault="00FF36E8" w:rsidP="006F42FD">
      <w:pPr>
        <w:ind w:left="851"/>
        <w:rPr>
          <w:sz w:val="24"/>
          <w:szCs w:val="24"/>
        </w:rPr>
      </w:pPr>
      <w:r w:rsidRPr="006F42FD">
        <w:rPr>
          <w:sz w:val="24"/>
          <w:szCs w:val="24"/>
        </w:rPr>
        <w:t xml:space="preserve">Der er kun begrænsede data tilgængelige med hensyn til fertilitet (se pkt. 5.3). </w:t>
      </w:r>
    </w:p>
    <w:p w:rsidR="00FF36E8" w:rsidRPr="006F42FD" w:rsidRDefault="00FF36E8" w:rsidP="006F42FD">
      <w:pPr>
        <w:ind w:left="851"/>
        <w:rPr>
          <w:sz w:val="24"/>
          <w:szCs w:val="24"/>
        </w:rPr>
      </w:pPr>
    </w:p>
    <w:p w:rsidR="00FF36E8" w:rsidRPr="006F42FD" w:rsidRDefault="00FF36E8" w:rsidP="006F42FD">
      <w:pPr>
        <w:ind w:left="851"/>
        <w:rPr>
          <w:sz w:val="24"/>
          <w:szCs w:val="24"/>
          <w:u w:val="single"/>
        </w:rPr>
      </w:pPr>
      <w:r w:rsidRPr="006F42FD">
        <w:rPr>
          <w:sz w:val="24"/>
          <w:szCs w:val="24"/>
          <w:u w:val="single"/>
        </w:rPr>
        <w:t xml:space="preserve">Graviditet </w:t>
      </w:r>
    </w:p>
    <w:p w:rsidR="00FF36E8" w:rsidRPr="006F42FD" w:rsidRDefault="00FF36E8" w:rsidP="006F42FD">
      <w:pPr>
        <w:ind w:left="851"/>
        <w:rPr>
          <w:sz w:val="24"/>
          <w:szCs w:val="24"/>
        </w:rPr>
      </w:pPr>
      <w:r w:rsidRPr="006F42FD">
        <w:rPr>
          <w:sz w:val="24"/>
          <w:szCs w:val="24"/>
        </w:rPr>
        <w:t xml:space="preserve">Der er ingen eller utilstrækkelige data fra anvendelse af </w:t>
      </w:r>
      <w:proofErr w:type="spellStart"/>
      <w:r w:rsidRPr="006F42FD">
        <w:rPr>
          <w:sz w:val="24"/>
          <w:szCs w:val="24"/>
        </w:rPr>
        <w:t>azelastinhydrochlorid</w:t>
      </w:r>
      <w:proofErr w:type="spellEnd"/>
      <w:r w:rsidRPr="006F42FD">
        <w:rPr>
          <w:sz w:val="24"/>
          <w:szCs w:val="24"/>
        </w:rPr>
        <w:t xml:space="preserve"> og </w:t>
      </w:r>
      <w:proofErr w:type="spellStart"/>
      <w:r w:rsidRPr="006F42FD">
        <w:rPr>
          <w:sz w:val="24"/>
          <w:szCs w:val="24"/>
        </w:rPr>
        <w:t>fluticasonpropionat</w:t>
      </w:r>
      <w:proofErr w:type="spellEnd"/>
      <w:r w:rsidRPr="006F42FD">
        <w:rPr>
          <w:sz w:val="24"/>
          <w:szCs w:val="24"/>
        </w:rPr>
        <w:t xml:space="preserve"> til gravide kvinder. </w:t>
      </w:r>
      <w:proofErr w:type="spellStart"/>
      <w:r w:rsidRPr="006F42FD">
        <w:rPr>
          <w:sz w:val="24"/>
          <w:szCs w:val="24"/>
        </w:rPr>
        <w:t>Dymista</w:t>
      </w:r>
      <w:proofErr w:type="spellEnd"/>
      <w:r w:rsidRPr="006F42FD">
        <w:rPr>
          <w:sz w:val="24"/>
          <w:szCs w:val="24"/>
        </w:rPr>
        <w:t xml:space="preserve"> bør derfor kun bruges under graviditeten, hvis den potentielle fordel opvejer den potentielle risiko for fosteret (se pkt. 5.3). </w:t>
      </w:r>
    </w:p>
    <w:p w:rsidR="00FF36E8" w:rsidRPr="006F42FD" w:rsidRDefault="00FF36E8" w:rsidP="006F42FD">
      <w:pPr>
        <w:ind w:left="851"/>
        <w:rPr>
          <w:i/>
          <w:sz w:val="24"/>
          <w:szCs w:val="24"/>
        </w:rPr>
      </w:pPr>
    </w:p>
    <w:p w:rsidR="00FF36E8" w:rsidRPr="006F42FD" w:rsidRDefault="00FF36E8" w:rsidP="006F42FD">
      <w:pPr>
        <w:ind w:left="851"/>
        <w:rPr>
          <w:sz w:val="24"/>
          <w:szCs w:val="24"/>
          <w:u w:val="single"/>
        </w:rPr>
      </w:pPr>
      <w:r w:rsidRPr="006F42FD">
        <w:rPr>
          <w:sz w:val="24"/>
          <w:szCs w:val="24"/>
          <w:u w:val="single"/>
        </w:rPr>
        <w:t>Amning</w:t>
      </w:r>
    </w:p>
    <w:p w:rsidR="00FF36E8" w:rsidRPr="006F42FD" w:rsidRDefault="00FF36E8" w:rsidP="006F42FD">
      <w:pPr>
        <w:ind w:left="851"/>
        <w:rPr>
          <w:sz w:val="24"/>
          <w:szCs w:val="24"/>
        </w:rPr>
      </w:pPr>
      <w:r w:rsidRPr="006F42FD">
        <w:rPr>
          <w:sz w:val="24"/>
          <w:szCs w:val="24"/>
        </w:rPr>
        <w:t xml:space="preserve">Det er ukendt, om nasalt administreret </w:t>
      </w:r>
      <w:proofErr w:type="spellStart"/>
      <w:r w:rsidRPr="006F42FD">
        <w:rPr>
          <w:sz w:val="24"/>
          <w:szCs w:val="24"/>
        </w:rPr>
        <w:t>azelastinhydrochlorid</w:t>
      </w:r>
      <w:proofErr w:type="spellEnd"/>
      <w:r w:rsidRPr="006F42FD">
        <w:rPr>
          <w:sz w:val="24"/>
          <w:szCs w:val="24"/>
        </w:rPr>
        <w:t xml:space="preserve">/metabolitter eller </w:t>
      </w:r>
      <w:proofErr w:type="spellStart"/>
      <w:r w:rsidRPr="006F42FD">
        <w:rPr>
          <w:sz w:val="24"/>
          <w:szCs w:val="24"/>
        </w:rPr>
        <w:t>fluticasonpropionat</w:t>
      </w:r>
      <w:proofErr w:type="spellEnd"/>
      <w:r w:rsidRPr="006F42FD">
        <w:rPr>
          <w:sz w:val="24"/>
          <w:szCs w:val="24"/>
        </w:rPr>
        <w:t xml:space="preserve">/metabolitter udskilles i human </w:t>
      </w:r>
      <w:r w:rsidR="0064195B" w:rsidRPr="006F42FD">
        <w:rPr>
          <w:sz w:val="24"/>
          <w:szCs w:val="24"/>
        </w:rPr>
        <w:t>moder</w:t>
      </w:r>
      <w:r w:rsidRPr="006F42FD">
        <w:rPr>
          <w:sz w:val="24"/>
          <w:szCs w:val="24"/>
        </w:rPr>
        <w:t xml:space="preserve">mælk. </w:t>
      </w:r>
      <w:proofErr w:type="spellStart"/>
      <w:r w:rsidRPr="006F42FD">
        <w:rPr>
          <w:sz w:val="24"/>
          <w:szCs w:val="24"/>
        </w:rPr>
        <w:t>Dymista</w:t>
      </w:r>
      <w:proofErr w:type="spellEnd"/>
      <w:r w:rsidRPr="006F42FD">
        <w:rPr>
          <w:sz w:val="24"/>
          <w:szCs w:val="24"/>
        </w:rPr>
        <w:t xml:space="preserve"> skal kun bruges under amning, hvis den potentielle fordel opvejer den potentielle risiko for det nyfødte barn/spædbarnet.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4.7</w:t>
      </w:r>
      <w:r w:rsidRPr="00C84483">
        <w:rPr>
          <w:b/>
          <w:sz w:val="24"/>
          <w:szCs w:val="24"/>
        </w:rPr>
        <w:tab/>
        <w:t xml:space="preserve">Virkning på evnen til at føre motorkøretøj </w:t>
      </w:r>
      <w:r>
        <w:rPr>
          <w:b/>
          <w:sz w:val="24"/>
          <w:szCs w:val="24"/>
        </w:rPr>
        <w:t>og</w:t>
      </w:r>
      <w:r w:rsidRPr="00C84483">
        <w:rPr>
          <w:b/>
          <w:sz w:val="24"/>
          <w:szCs w:val="24"/>
        </w:rPr>
        <w:t xml:space="preserve"> betjene maskiner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Ikke mærkning.</w:t>
      </w:r>
    </w:p>
    <w:p w:rsidR="00FF36E8" w:rsidRDefault="00FF36E8" w:rsidP="00FF36E8">
      <w:pPr>
        <w:tabs>
          <w:tab w:val="left" w:pos="851"/>
        </w:tabs>
        <w:ind w:left="851"/>
        <w:rPr>
          <w:i/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påvirker i mindre grad evnen til at føre motorkøretøj eller betjene maskiner.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Ved brug af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kan der i enkeltstående tilfælde forekomme træthed, udmattelse, svimmelhed eller svaghed, som også kan skyldes selve sygdommen. I disse tilfælde kan evnen til at føre motorkøretøj og betjene maskiner være nedsat. Alkohol kan forstærke denne virkning. 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4.8</w:t>
      </w:r>
      <w:r w:rsidRPr="00C84483">
        <w:rPr>
          <w:b/>
          <w:sz w:val="24"/>
          <w:szCs w:val="24"/>
        </w:rPr>
        <w:tab/>
        <w:t>Bivirkninger</w:t>
      </w:r>
    </w:p>
    <w:p w:rsidR="00FF36E8" w:rsidRPr="00920148" w:rsidRDefault="00FF36E8" w:rsidP="00FF36E8">
      <w:pPr>
        <w:pStyle w:val="Sidehoved"/>
        <w:ind w:left="851"/>
        <w:rPr>
          <w:i/>
          <w:iCs/>
          <w:szCs w:val="24"/>
        </w:rPr>
      </w:pPr>
      <w:r w:rsidRPr="00920148">
        <w:rPr>
          <w:szCs w:val="24"/>
        </w:rPr>
        <w:t xml:space="preserve">En almindelig bivirkning efter administration er </w:t>
      </w:r>
      <w:proofErr w:type="spellStart"/>
      <w:r w:rsidRPr="00920148">
        <w:rPr>
          <w:szCs w:val="24"/>
        </w:rPr>
        <w:t>dysgeusi</w:t>
      </w:r>
      <w:proofErr w:type="spellEnd"/>
      <w:r w:rsidRPr="00920148">
        <w:rPr>
          <w:szCs w:val="24"/>
        </w:rPr>
        <w:t xml:space="preserve">, en stof-specifik ubehagelig smag (som ofte skyldes forkert anvendelse, dvs. hovedet holdes for langt bagover under administrationen). </w:t>
      </w:r>
    </w:p>
    <w:p w:rsidR="00FF36E8" w:rsidRPr="00920148" w:rsidRDefault="00FF36E8" w:rsidP="00FF36E8">
      <w:pPr>
        <w:pStyle w:val="Sidehoved"/>
        <w:ind w:left="851"/>
        <w:rPr>
          <w:szCs w:val="24"/>
        </w:rPr>
      </w:pPr>
    </w:p>
    <w:p w:rsidR="00FF36E8" w:rsidRPr="00920148" w:rsidRDefault="00FF36E8" w:rsidP="00FF36E8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Bivirkninger er anført nedenfor efter systemorganklasse og hyppighed. Hyppigheden defineres som: 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Meget almindelig </w:t>
      </w:r>
      <w:r w:rsidRPr="00920148">
        <w:rPr>
          <w:szCs w:val="24"/>
        </w:rPr>
        <w:tab/>
        <w:t>(≥ 1/10)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Almindelig </w:t>
      </w:r>
      <w:r w:rsidRPr="00920148">
        <w:rPr>
          <w:szCs w:val="24"/>
        </w:rPr>
        <w:tab/>
        <w:t>(≥</w:t>
      </w:r>
      <w:r w:rsidRPr="00920148">
        <w:rPr>
          <w:b/>
          <w:szCs w:val="24"/>
        </w:rPr>
        <w:t> </w:t>
      </w:r>
      <w:r w:rsidRPr="00920148">
        <w:rPr>
          <w:szCs w:val="24"/>
        </w:rPr>
        <w:t>1/100 til &lt;1/10)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Ikke almindelig </w:t>
      </w:r>
      <w:r w:rsidRPr="00920148">
        <w:rPr>
          <w:szCs w:val="24"/>
        </w:rPr>
        <w:tab/>
        <w:t>(≥ 1/1.000 til &lt;1/100)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Sjælden </w:t>
      </w:r>
      <w:r w:rsidRPr="00920148">
        <w:rPr>
          <w:szCs w:val="24"/>
        </w:rPr>
        <w:tab/>
        <w:t>(≥ 1/10.000 til &lt;1/1.000)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Meget sjælden </w:t>
      </w:r>
      <w:r w:rsidRPr="00920148">
        <w:rPr>
          <w:szCs w:val="24"/>
        </w:rPr>
        <w:tab/>
        <w:t>(&lt; 1/10.000)</w:t>
      </w:r>
    </w:p>
    <w:p w:rsidR="00FF36E8" w:rsidRPr="00920148" w:rsidRDefault="00FF36E8" w:rsidP="00FF36E8">
      <w:pPr>
        <w:pStyle w:val="Sidehoved"/>
        <w:tabs>
          <w:tab w:val="clear" w:pos="4819"/>
          <w:tab w:val="left" w:pos="2694"/>
        </w:tabs>
        <w:ind w:left="851"/>
        <w:rPr>
          <w:szCs w:val="24"/>
        </w:rPr>
      </w:pPr>
      <w:r w:rsidRPr="00920148">
        <w:rPr>
          <w:szCs w:val="24"/>
        </w:rPr>
        <w:t xml:space="preserve">Ikke kendt </w:t>
      </w:r>
      <w:r w:rsidRPr="00920148">
        <w:rPr>
          <w:szCs w:val="24"/>
        </w:rPr>
        <w:tab/>
        <w:t>(kan ikke estimeres ud fra forhåndenværende data)</w:t>
      </w:r>
    </w:p>
    <w:p w:rsidR="00FF36E8" w:rsidRPr="00FA7FA4" w:rsidRDefault="00FF36E8" w:rsidP="00FF36E8">
      <w:pPr>
        <w:pStyle w:val="Sidehoved"/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271"/>
        <w:gridCol w:w="1350"/>
        <w:gridCol w:w="1469"/>
        <w:gridCol w:w="1017"/>
        <w:gridCol w:w="1770"/>
        <w:gridCol w:w="907"/>
      </w:tblGrid>
      <w:tr w:rsidR="00FF36E8" w:rsidRPr="00AA10C7" w:rsidTr="006F42FD">
        <w:trPr>
          <w:trHeight w:val="526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  <w:r w:rsidRPr="00AA10C7">
              <w:rPr>
                <w:b/>
                <w:sz w:val="22"/>
                <w:szCs w:val="22"/>
              </w:rPr>
              <w:t>Hyppighed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Meget almindelig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Almindelig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Ikke almindelig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Sjælden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Meget sjælden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Ikke kendt</w:t>
            </w: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  <w:r w:rsidRPr="00AA10C7">
              <w:rPr>
                <w:b/>
                <w:sz w:val="22"/>
                <w:szCs w:val="22"/>
              </w:rPr>
              <w:t>Systemorgan-klasse</w:t>
            </w:r>
          </w:p>
        </w:tc>
        <w:tc>
          <w:tcPr>
            <w:tcW w:w="6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Immunsystemet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 xml:space="preserve">Overfølsomhed, herunder </w:t>
            </w:r>
            <w:proofErr w:type="spellStart"/>
            <w:r w:rsidRPr="00AA10C7">
              <w:rPr>
                <w:sz w:val="22"/>
                <w:szCs w:val="22"/>
              </w:rPr>
              <w:t>anafylaktiske</w:t>
            </w:r>
            <w:proofErr w:type="spellEnd"/>
            <w:r w:rsidRPr="00AA10C7">
              <w:rPr>
                <w:sz w:val="22"/>
                <w:szCs w:val="22"/>
              </w:rPr>
              <w:t xml:space="preserve"> reaktioner, </w:t>
            </w:r>
            <w:proofErr w:type="spellStart"/>
            <w:r w:rsidRPr="00AA10C7">
              <w:rPr>
                <w:sz w:val="22"/>
                <w:szCs w:val="22"/>
              </w:rPr>
              <w:t>angioødem</w:t>
            </w:r>
            <w:proofErr w:type="spellEnd"/>
            <w:r w:rsidRPr="00AA10C7">
              <w:rPr>
                <w:sz w:val="22"/>
                <w:szCs w:val="22"/>
              </w:rPr>
              <w:t xml:space="preserve"> (ødem i ansigtet eller tungen og hududslæt), </w:t>
            </w:r>
            <w:proofErr w:type="spellStart"/>
            <w:r w:rsidRPr="00AA10C7">
              <w:rPr>
                <w:sz w:val="22"/>
                <w:szCs w:val="22"/>
              </w:rPr>
              <w:t>bronkospasmer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Nervesystemet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 xml:space="preserve">Hovedpine, </w:t>
            </w:r>
          </w:p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AA10C7">
              <w:rPr>
                <w:sz w:val="22"/>
                <w:szCs w:val="22"/>
              </w:rPr>
              <w:t>dysgeusi</w:t>
            </w:r>
            <w:proofErr w:type="spellEnd"/>
            <w:r w:rsidRPr="00AA10C7">
              <w:rPr>
                <w:sz w:val="22"/>
                <w:szCs w:val="22"/>
              </w:rPr>
              <w:t xml:space="preserve"> (ubehagelig smag), ubehagelig lugt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 xml:space="preserve">Svimmelhed, </w:t>
            </w:r>
            <w:proofErr w:type="spellStart"/>
            <w:r w:rsidRPr="00AA10C7">
              <w:rPr>
                <w:sz w:val="22"/>
                <w:szCs w:val="22"/>
              </w:rPr>
              <w:t>somnolens</w:t>
            </w:r>
            <w:proofErr w:type="spellEnd"/>
            <w:r w:rsidRPr="00AA10C7">
              <w:rPr>
                <w:sz w:val="22"/>
                <w:szCs w:val="22"/>
              </w:rPr>
              <w:t xml:space="preserve"> (sløvhed, søvnighed)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Øjne*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AA10C7">
              <w:rPr>
                <w:sz w:val="22"/>
                <w:szCs w:val="22"/>
              </w:rPr>
              <w:t>Glaukom</w:t>
            </w:r>
            <w:proofErr w:type="spellEnd"/>
            <w:r w:rsidRPr="00AA10C7">
              <w:rPr>
                <w:sz w:val="22"/>
                <w:szCs w:val="22"/>
              </w:rPr>
              <w:t>, øget tryk i øjnene, katarakt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Sløret syn (se også pkt. 4.4)</w:t>
            </w: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 xml:space="preserve">Luftveje, thorax og </w:t>
            </w:r>
            <w:proofErr w:type="spellStart"/>
            <w:r w:rsidRPr="00AA10C7">
              <w:rPr>
                <w:b/>
                <w:i/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AA10C7">
              <w:rPr>
                <w:sz w:val="22"/>
                <w:szCs w:val="22"/>
              </w:rPr>
              <w:t>Epistaxis</w:t>
            </w:r>
            <w:proofErr w:type="spellEnd"/>
            <w:r w:rsidRPr="00AA10C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Ubehag i næsen (herunder irritation, stikkende fornemmelse og kløe i næsen)</w:t>
            </w:r>
          </w:p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  <w:proofErr w:type="spellStart"/>
            <w:r w:rsidRPr="00AA10C7">
              <w:rPr>
                <w:sz w:val="22"/>
                <w:szCs w:val="22"/>
              </w:rPr>
              <w:t>Nysen</w:t>
            </w:r>
            <w:proofErr w:type="spellEnd"/>
            <w:r w:rsidRPr="00AA10C7">
              <w:rPr>
                <w:sz w:val="22"/>
                <w:szCs w:val="22"/>
              </w:rPr>
              <w:t xml:space="preserve">, nasal tørhed, hoste, tør hals, irritation i halsen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b/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proofErr w:type="spellStart"/>
            <w:r w:rsidRPr="00AA10C7">
              <w:rPr>
                <w:sz w:val="22"/>
                <w:szCs w:val="22"/>
              </w:rPr>
              <w:t>Septal</w:t>
            </w:r>
            <w:proofErr w:type="spellEnd"/>
            <w:r w:rsidRPr="00AA10C7">
              <w:rPr>
                <w:sz w:val="22"/>
                <w:szCs w:val="22"/>
              </w:rPr>
              <w:t xml:space="preserve"> perforation i næsen**, </w:t>
            </w:r>
            <w:proofErr w:type="spellStart"/>
            <w:r w:rsidRPr="00AA10C7">
              <w:rPr>
                <w:sz w:val="22"/>
                <w:szCs w:val="22"/>
              </w:rPr>
              <w:t>mucosal</w:t>
            </w:r>
            <w:proofErr w:type="spellEnd"/>
            <w:r w:rsidRPr="00AA10C7">
              <w:rPr>
                <w:sz w:val="22"/>
                <w:szCs w:val="22"/>
              </w:rPr>
              <w:t xml:space="preserve"> erosion</w:t>
            </w:r>
          </w:p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Sår i næsen</w:t>
            </w: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Mave-tarm-kanalen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Tør mund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Kvalme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FF36E8" w:rsidRPr="00AA10C7" w:rsidTr="006F42FD">
        <w:trPr>
          <w:trHeight w:val="694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Hud og subkutane væv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 xml:space="preserve">Udslæt, kløe, </w:t>
            </w:r>
            <w:proofErr w:type="spellStart"/>
            <w:r w:rsidRPr="00AA10C7">
              <w:rPr>
                <w:sz w:val="22"/>
                <w:szCs w:val="22"/>
              </w:rPr>
              <w:t>urticaria</w:t>
            </w:r>
            <w:proofErr w:type="spellEnd"/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</w:tr>
      <w:tr w:rsidR="00FF36E8" w:rsidRPr="00AA10C7" w:rsidTr="006F42FD">
        <w:trPr>
          <w:trHeight w:val="527"/>
        </w:trPr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b/>
                <w:i/>
                <w:sz w:val="22"/>
                <w:szCs w:val="22"/>
              </w:rPr>
            </w:pPr>
            <w:r w:rsidRPr="00AA10C7">
              <w:rPr>
                <w:b/>
                <w:i/>
                <w:sz w:val="22"/>
                <w:szCs w:val="22"/>
              </w:rPr>
              <w:t>Almene symptomer og reaktioner på administrations-stedet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  <w:r w:rsidRPr="00AA10C7">
              <w:rPr>
                <w:sz w:val="22"/>
                <w:szCs w:val="22"/>
              </w:rPr>
              <w:t>Træthed (udmattelse), svaghed (se pkt. 4.7)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E8" w:rsidRPr="00AA10C7" w:rsidRDefault="00FF36E8" w:rsidP="003B4BCE">
            <w:pPr>
              <w:pStyle w:val="Sidehoved"/>
              <w:rPr>
                <w:sz w:val="22"/>
                <w:szCs w:val="22"/>
              </w:rPr>
            </w:pPr>
          </w:p>
        </w:tc>
      </w:tr>
    </w:tbl>
    <w:p w:rsidR="00FF36E8" w:rsidRPr="00920148" w:rsidRDefault="00FF36E8" w:rsidP="00AA10C7">
      <w:pPr>
        <w:pStyle w:val="Sidehoved"/>
        <w:ind w:left="426" w:hanging="426"/>
        <w:rPr>
          <w:szCs w:val="24"/>
        </w:rPr>
      </w:pPr>
      <w:r w:rsidRPr="00920148">
        <w:rPr>
          <w:szCs w:val="24"/>
        </w:rPr>
        <w:t>*</w:t>
      </w:r>
      <w:r w:rsidR="00AA10C7">
        <w:rPr>
          <w:szCs w:val="24"/>
        </w:rPr>
        <w:tab/>
      </w:r>
      <w:r w:rsidRPr="00920148">
        <w:rPr>
          <w:szCs w:val="24"/>
        </w:rPr>
        <w:t xml:space="preserve">Et meget lille antal spontane rapporter er blevet identificeret efter en langvarig behandling med intranasal </w:t>
      </w:r>
      <w:proofErr w:type="spellStart"/>
      <w:r w:rsidRPr="00920148">
        <w:rPr>
          <w:szCs w:val="24"/>
        </w:rPr>
        <w:t>fluticasonpropionat</w:t>
      </w:r>
      <w:proofErr w:type="spellEnd"/>
      <w:r w:rsidRPr="00920148">
        <w:rPr>
          <w:szCs w:val="24"/>
        </w:rPr>
        <w:t xml:space="preserve"> næsespray. </w:t>
      </w:r>
    </w:p>
    <w:p w:rsidR="00FF36E8" w:rsidRPr="00920148" w:rsidRDefault="00FF36E8" w:rsidP="00AA10C7">
      <w:pPr>
        <w:pStyle w:val="Sidehoved"/>
        <w:ind w:left="426" w:hanging="426"/>
        <w:rPr>
          <w:szCs w:val="24"/>
        </w:rPr>
      </w:pPr>
      <w:r w:rsidRPr="00920148">
        <w:rPr>
          <w:szCs w:val="24"/>
        </w:rPr>
        <w:t xml:space="preserve">** </w:t>
      </w:r>
      <w:r w:rsidR="00AA10C7">
        <w:rPr>
          <w:szCs w:val="24"/>
        </w:rPr>
        <w:tab/>
      </w:r>
      <w:proofErr w:type="spellStart"/>
      <w:r w:rsidRPr="00920148">
        <w:rPr>
          <w:szCs w:val="24"/>
        </w:rPr>
        <w:t>Septal</w:t>
      </w:r>
      <w:proofErr w:type="spellEnd"/>
      <w:r w:rsidRPr="00920148">
        <w:rPr>
          <w:szCs w:val="24"/>
        </w:rPr>
        <w:t xml:space="preserve"> perforation i næsen er rapporteret efter brug af intranasale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 xml:space="preserve">. </w:t>
      </w:r>
    </w:p>
    <w:p w:rsidR="00FF36E8" w:rsidRPr="00920148" w:rsidRDefault="00FF36E8" w:rsidP="00FF36E8">
      <w:pPr>
        <w:pStyle w:val="Sidehoved"/>
        <w:ind w:left="851"/>
        <w:rPr>
          <w:szCs w:val="24"/>
        </w:rPr>
      </w:pPr>
    </w:p>
    <w:p w:rsidR="00FF36E8" w:rsidRPr="00920148" w:rsidRDefault="00FF36E8" w:rsidP="00FF36E8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Systemiske bivirkninger kan forekomme efter brug af visse 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>, især når de gives i høje doser i længere perioder (se pkt. 4.4).</w:t>
      </w:r>
    </w:p>
    <w:p w:rsidR="00FF36E8" w:rsidRPr="00920148" w:rsidRDefault="00FF36E8" w:rsidP="00FF36E8">
      <w:pPr>
        <w:pStyle w:val="Sidehoved"/>
        <w:ind w:left="851"/>
        <w:rPr>
          <w:szCs w:val="24"/>
        </w:rPr>
      </w:pPr>
    </w:p>
    <w:p w:rsidR="00FF36E8" w:rsidRPr="00920148" w:rsidRDefault="00FF36E8" w:rsidP="00FF36E8">
      <w:pPr>
        <w:pStyle w:val="Sidehoved"/>
        <w:ind w:left="851"/>
        <w:rPr>
          <w:iCs/>
          <w:szCs w:val="24"/>
        </w:rPr>
      </w:pPr>
      <w:r w:rsidRPr="00920148">
        <w:rPr>
          <w:szCs w:val="24"/>
        </w:rPr>
        <w:t xml:space="preserve">Væksthæmning er rapporteret hos børn behandlet med nasale </w:t>
      </w:r>
      <w:proofErr w:type="spellStart"/>
      <w:r w:rsidRPr="00920148">
        <w:rPr>
          <w:szCs w:val="24"/>
        </w:rPr>
        <w:t>kortikosteroider</w:t>
      </w:r>
      <w:proofErr w:type="spellEnd"/>
      <w:r w:rsidRPr="00920148">
        <w:rPr>
          <w:szCs w:val="24"/>
        </w:rPr>
        <w:t>. Væksthæmning kan også optræde hos unge (se pkt. 4.4).</w:t>
      </w:r>
    </w:p>
    <w:p w:rsidR="00FF36E8" w:rsidRPr="00920148" w:rsidRDefault="00FF36E8" w:rsidP="00FF36E8">
      <w:pPr>
        <w:pStyle w:val="Sidehoved"/>
        <w:ind w:left="851"/>
        <w:rPr>
          <w:bCs/>
          <w:szCs w:val="24"/>
        </w:rPr>
      </w:pPr>
    </w:p>
    <w:p w:rsidR="00FF36E8" w:rsidRPr="00D62FB0" w:rsidRDefault="00FF36E8" w:rsidP="00FF36E8">
      <w:pPr>
        <w:pStyle w:val="Sidehoved"/>
        <w:ind w:left="851"/>
        <w:rPr>
          <w:szCs w:val="24"/>
        </w:rPr>
      </w:pPr>
      <w:r w:rsidRPr="00920148">
        <w:rPr>
          <w:szCs w:val="24"/>
        </w:rPr>
        <w:t xml:space="preserve">Osteoporose er set i sjældne tilfælde, når nasale </w:t>
      </w:r>
      <w:proofErr w:type="spellStart"/>
      <w:r w:rsidRPr="00920148">
        <w:rPr>
          <w:szCs w:val="24"/>
        </w:rPr>
        <w:t>glukokortikoider</w:t>
      </w:r>
      <w:proofErr w:type="spellEnd"/>
      <w:r w:rsidRPr="00920148">
        <w:rPr>
          <w:szCs w:val="24"/>
        </w:rPr>
        <w:t xml:space="preserve"> er blevet administreret i længere tid.</w:t>
      </w:r>
    </w:p>
    <w:p w:rsidR="00FF36E8" w:rsidRDefault="00FF36E8" w:rsidP="00FF36E8">
      <w:pPr>
        <w:autoSpaceDE w:val="0"/>
        <w:autoSpaceDN w:val="0"/>
        <w:ind w:left="851"/>
        <w:rPr>
          <w:sz w:val="24"/>
          <w:szCs w:val="24"/>
          <w:u w:val="single"/>
        </w:rPr>
      </w:pPr>
    </w:p>
    <w:p w:rsidR="00FF36E8" w:rsidRPr="003952CE" w:rsidRDefault="00FF36E8" w:rsidP="00FF36E8">
      <w:pPr>
        <w:autoSpaceDE w:val="0"/>
        <w:autoSpaceDN w:val="0"/>
        <w:ind w:left="851"/>
        <w:rPr>
          <w:sz w:val="24"/>
          <w:szCs w:val="24"/>
          <w:u w:val="single"/>
        </w:rPr>
      </w:pPr>
      <w:r w:rsidRPr="003952CE">
        <w:rPr>
          <w:sz w:val="24"/>
          <w:szCs w:val="24"/>
          <w:u w:val="single"/>
        </w:rPr>
        <w:t>Indberetning af formodede bivirkninger</w:t>
      </w:r>
    </w:p>
    <w:p w:rsidR="00FF36E8" w:rsidRPr="003952CE" w:rsidRDefault="00FF36E8" w:rsidP="00FF36E8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3952CE">
        <w:rPr>
          <w:sz w:val="24"/>
          <w:szCs w:val="24"/>
        </w:rPr>
        <w:t>risk</w:t>
      </w:r>
      <w:proofErr w:type="spellEnd"/>
      <w:r w:rsidRPr="003952CE">
        <w:rPr>
          <w:sz w:val="24"/>
          <w:szCs w:val="24"/>
        </w:rPr>
        <w:t xml:space="preserve">-forholdet for lægemidlet. </w:t>
      </w:r>
      <w:r w:rsidR="007D2755">
        <w:rPr>
          <w:sz w:val="24"/>
          <w:szCs w:val="24"/>
        </w:rPr>
        <w:t>S</w:t>
      </w:r>
      <w:r w:rsidRPr="003952CE">
        <w:rPr>
          <w:sz w:val="24"/>
          <w:szCs w:val="24"/>
        </w:rPr>
        <w:t>undhedsperson</w:t>
      </w:r>
      <w:r w:rsidR="007D2755">
        <w:rPr>
          <w:sz w:val="24"/>
          <w:szCs w:val="24"/>
        </w:rPr>
        <w:t>er</w:t>
      </w:r>
      <w:r w:rsidRPr="003952CE">
        <w:rPr>
          <w:sz w:val="24"/>
          <w:szCs w:val="24"/>
        </w:rPr>
        <w:t xml:space="preserve"> anmodes om at indberette alle formodede bivirkninger via:</w:t>
      </w:r>
    </w:p>
    <w:p w:rsidR="00FF36E8" w:rsidRPr="003952CE" w:rsidRDefault="00FF36E8" w:rsidP="00FF36E8">
      <w:pPr>
        <w:tabs>
          <w:tab w:val="left" w:pos="2440"/>
        </w:tabs>
        <w:ind w:left="851"/>
        <w:rPr>
          <w:sz w:val="24"/>
          <w:szCs w:val="24"/>
        </w:rPr>
      </w:pPr>
    </w:p>
    <w:p w:rsidR="00FF36E8" w:rsidRPr="003952CE" w:rsidRDefault="00FF36E8" w:rsidP="00FF36E8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Lægemiddelstyrelsen</w:t>
      </w:r>
    </w:p>
    <w:p w:rsidR="00FF36E8" w:rsidRPr="003952CE" w:rsidRDefault="00FF36E8" w:rsidP="00FF36E8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Axel Heides Gade 1</w:t>
      </w:r>
    </w:p>
    <w:p w:rsidR="00FF36E8" w:rsidRPr="003952CE" w:rsidRDefault="00FF36E8" w:rsidP="00FF36E8">
      <w:pPr>
        <w:ind w:left="851"/>
        <w:rPr>
          <w:sz w:val="24"/>
          <w:szCs w:val="24"/>
        </w:rPr>
      </w:pPr>
      <w:r w:rsidRPr="003952CE">
        <w:rPr>
          <w:sz w:val="24"/>
          <w:szCs w:val="24"/>
        </w:rPr>
        <w:t>DK-2300 København S</w:t>
      </w:r>
    </w:p>
    <w:p w:rsidR="00FF36E8" w:rsidRPr="00563082" w:rsidRDefault="00FF36E8" w:rsidP="00FF36E8">
      <w:pPr>
        <w:ind w:left="851"/>
        <w:rPr>
          <w:sz w:val="24"/>
          <w:szCs w:val="24"/>
        </w:rPr>
      </w:pPr>
      <w:r w:rsidRPr="00563082">
        <w:rPr>
          <w:sz w:val="24"/>
          <w:szCs w:val="24"/>
        </w:rPr>
        <w:t xml:space="preserve">Websted: </w:t>
      </w:r>
      <w:hyperlink r:id="rId9" w:history="1">
        <w:r w:rsidRPr="00563082">
          <w:rPr>
            <w:rStyle w:val="Hyperlink"/>
            <w:sz w:val="24"/>
            <w:szCs w:val="24"/>
          </w:rPr>
          <w:t>www.meldenbivirkning.dk</w:t>
        </w:r>
      </w:hyperlink>
    </w:p>
    <w:p w:rsidR="00FF36E8" w:rsidRPr="00563082" w:rsidRDefault="00FF36E8" w:rsidP="00FF36E8">
      <w:pPr>
        <w:pStyle w:val="Sidehoved"/>
        <w:tabs>
          <w:tab w:val="left" w:pos="851"/>
        </w:tabs>
        <w:rPr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4.9</w:t>
      </w:r>
      <w:r w:rsidRPr="00C84483">
        <w:rPr>
          <w:b/>
          <w:sz w:val="24"/>
          <w:szCs w:val="24"/>
        </w:rPr>
        <w:tab/>
        <w:t>Overdosering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Med intranasal administration forventes der ikke nogen overdosering.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Der er ingen tilgængelige data fra patienter vedr. virkningen af akut eller kronisk overdosering med intranasal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Intranasal administration af 2 mg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(10 gange den anbefalede daglige dosis) to gange daglig i syv dage hos raske frivillige personer har ingen effekt på </w:t>
      </w:r>
      <w:proofErr w:type="spellStart"/>
      <w:r>
        <w:rPr>
          <w:sz w:val="24"/>
          <w:szCs w:val="24"/>
        </w:rPr>
        <w:t>hypothalamus</w:t>
      </w:r>
      <w:proofErr w:type="spellEnd"/>
      <w:r>
        <w:rPr>
          <w:sz w:val="24"/>
          <w:szCs w:val="24"/>
        </w:rPr>
        <w:t>-hypofyse-binyrebark (HPA)-akse-funktionen.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Administration af højere doser end anbefalet over en længere periode kan medføre midlertidig suppression af binyrebarkfunktionen.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Hos disse patienter skal behandling med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fortsætte på en tilstrækkelig dosis til at kontrollere symptomerne. Binyrebarkfunktionen vil genoprettes i løbet af få dage og kan verificeres ved at måle </w:t>
      </w:r>
      <w:proofErr w:type="spellStart"/>
      <w:r>
        <w:rPr>
          <w:sz w:val="24"/>
          <w:szCs w:val="24"/>
        </w:rPr>
        <w:t>cortisol</w:t>
      </w:r>
      <w:proofErr w:type="spellEnd"/>
      <w:r>
        <w:rPr>
          <w:sz w:val="24"/>
          <w:szCs w:val="24"/>
        </w:rPr>
        <w:t xml:space="preserve"> i plasma.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 tilfælde af overdosering efter utilsigtet oral indtagelse må forstyrrelser i centralnervesystemet (herunder sløvhed, konfusion, koma, </w:t>
      </w:r>
      <w:proofErr w:type="spellStart"/>
      <w:r>
        <w:rPr>
          <w:sz w:val="24"/>
          <w:szCs w:val="24"/>
        </w:rPr>
        <w:t>takykardi</w:t>
      </w:r>
      <w:proofErr w:type="spellEnd"/>
      <w:r>
        <w:rPr>
          <w:sz w:val="24"/>
          <w:szCs w:val="24"/>
        </w:rPr>
        <w:t xml:space="preserve"> og hypotension) forårsaget af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forventes baseret på resultaterne i dyrestudier.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Behandling af disse lidelser skal være symptomatisk. Afhængig af den indtagne mængde anbefales ventrikelskylning. Der er ingen kendt </w:t>
      </w:r>
      <w:proofErr w:type="spellStart"/>
      <w:r>
        <w:rPr>
          <w:sz w:val="24"/>
          <w:szCs w:val="24"/>
        </w:rPr>
        <w:t>antidot</w:t>
      </w:r>
      <w:proofErr w:type="spellEnd"/>
      <w:r>
        <w:rPr>
          <w:sz w:val="24"/>
          <w:szCs w:val="24"/>
        </w:rPr>
        <w:t>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4.10</w:t>
      </w:r>
      <w:r w:rsidRPr="00C84483">
        <w:rPr>
          <w:b/>
          <w:sz w:val="24"/>
          <w:szCs w:val="24"/>
        </w:rPr>
        <w:tab/>
        <w:t>Udlevering</w:t>
      </w:r>
    </w:p>
    <w:p w:rsidR="00FF36E8" w:rsidRPr="00EC0B9B" w:rsidRDefault="00FF36E8" w:rsidP="00FF36E8">
      <w:pPr>
        <w:tabs>
          <w:tab w:val="left" w:pos="851"/>
        </w:tabs>
        <w:ind w:left="851" w:hanging="851"/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B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</w:t>
      </w:r>
      <w:r w:rsidRPr="00C84483">
        <w:rPr>
          <w:b/>
          <w:sz w:val="24"/>
          <w:szCs w:val="24"/>
        </w:rPr>
        <w:tab/>
        <w:t>FARMAKOLOGISKE EGENSKABER</w:t>
      </w:r>
    </w:p>
    <w:p w:rsidR="007448A8" w:rsidRPr="00C84483" w:rsidRDefault="007448A8" w:rsidP="007448A8">
      <w:pPr>
        <w:tabs>
          <w:tab w:val="left" w:pos="851"/>
        </w:tabs>
        <w:ind w:left="851"/>
        <w:rPr>
          <w:sz w:val="24"/>
          <w:szCs w:val="24"/>
        </w:rPr>
      </w:pPr>
    </w:p>
    <w:p w:rsidR="007448A8" w:rsidRPr="00C84483" w:rsidRDefault="007448A8" w:rsidP="007448A8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5.1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Farmakodynamiske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1144A6" w:rsidRPr="006316AC" w:rsidRDefault="006316AC" w:rsidP="006316AC">
      <w:pPr>
        <w:tabs>
          <w:tab w:val="left" w:pos="851"/>
        </w:tabs>
        <w:ind w:left="851"/>
        <w:rPr>
          <w:sz w:val="24"/>
          <w:szCs w:val="24"/>
        </w:rPr>
      </w:pPr>
      <w:bookmarkStart w:id="0" w:name="_GoBack"/>
      <w:proofErr w:type="spellStart"/>
      <w:r>
        <w:rPr>
          <w:sz w:val="24"/>
          <w:szCs w:val="24"/>
        </w:rPr>
        <w:t>Farmakoterapeutisk</w:t>
      </w:r>
      <w:proofErr w:type="spellEnd"/>
      <w:r>
        <w:rPr>
          <w:sz w:val="24"/>
          <w:szCs w:val="24"/>
        </w:rPr>
        <w:t xml:space="preserve"> klassifikation</w:t>
      </w:r>
      <w:r w:rsidR="001144A6" w:rsidRPr="00C922B2">
        <w:rPr>
          <w:sz w:val="24"/>
          <w:szCs w:val="24"/>
        </w:rPr>
        <w:t>:</w:t>
      </w:r>
      <w:r w:rsidR="001144A6">
        <w:rPr>
          <w:sz w:val="24"/>
          <w:szCs w:val="24"/>
        </w:rPr>
        <w:t xml:space="preserve"> </w:t>
      </w:r>
      <w:proofErr w:type="spellStart"/>
      <w:r w:rsidR="001144A6">
        <w:rPr>
          <w:sz w:val="24"/>
          <w:szCs w:val="24"/>
        </w:rPr>
        <w:t>Dekongestanter</w:t>
      </w:r>
      <w:proofErr w:type="spellEnd"/>
      <w:r w:rsidR="001144A6">
        <w:rPr>
          <w:sz w:val="24"/>
          <w:szCs w:val="24"/>
        </w:rPr>
        <w:t xml:space="preserve"> og andre nasale præparater til topisk anvendelse, </w:t>
      </w:r>
      <w:proofErr w:type="spellStart"/>
      <w:r w:rsidR="001144A6">
        <w:rPr>
          <w:sz w:val="24"/>
          <w:szCs w:val="24"/>
        </w:rPr>
        <w:t>kortikosteroider</w:t>
      </w:r>
      <w:proofErr w:type="spellEnd"/>
      <w:r w:rsidR="001144A6">
        <w:rPr>
          <w:sz w:val="24"/>
          <w:szCs w:val="24"/>
        </w:rPr>
        <w:t>/</w:t>
      </w:r>
      <w:proofErr w:type="spellStart"/>
      <w:r w:rsidR="001144A6">
        <w:rPr>
          <w:sz w:val="24"/>
          <w:szCs w:val="24"/>
        </w:rPr>
        <w:t>fluticason</w:t>
      </w:r>
      <w:proofErr w:type="spellEnd"/>
      <w:r w:rsidR="001144A6">
        <w:rPr>
          <w:sz w:val="24"/>
          <w:szCs w:val="24"/>
        </w:rPr>
        <w:t xml:space="preserve"> kombinationer</w:t>
      </w:r>
      <w:r w:rsidR="00AA10C7">
        <w:rPr>
          <w:sz w:val="24"/>
          <w:szCs w:val="24"/>
        </w:rPr>
        <w:t>,</w:t>
      </w:r>
      <w:r w:rsidR="001144A6">
        <w:rPr>
          <w:sz w:val="24"/>
          <w:szCs w:val="24"/>
        </w:rPr>
        <w:t xml:space="preserve"> ATC-kode: R01AD58.</w:t>
      </w:r>
    </w:p>
    <w:bookmarkEnd w:id="0"/>
    <w:p w:rsidR="001144A6" w:rsidRDefault="001144A6" w:rsidP="00FF36E8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</w:p>
    <w:p w:rsidR="00FF36E8" w:rsidRPr="00727021" w:rsidRDefault="00FF36E8" w:rsidP="00FF36E8">
      <w:pPr>
        <w:tabs>
          <w:tab w:val="left" w:pos="851"/>
        </w:tabs>
        <w:ind w:left="851"/>
        <w:outlineLvl w:val="0"/>
        <w:rPr>
          <w:b/>
          <w:sz w:val="24"/>
          <w:szCs w:val="24"/>
        </w:rPr>
      </w:pPr>
      <w:r w:rsidRPr="00727021">
        <w:rPr>
          <w:b/>
          <w:sz w:val="24"/>
          <w:szCs w:val="24"/>
        </w:rPr>
        <w:t xml:space="preserve">Virkningsmekanisme og </w:t>
      </w:r>
      <w:proofErr w:type="spellStart"/>
      <w:r w:rsidRPr="00727021">
        <w:rPr>
          <w:b/>
          <w:sz w:val="24"/>
          <w:szCs w:val="24"/>
        </w:rPr>
        <w:t>farmakodynamiske</w:t>
      </w:r>
      <w:proofErr w:type="spellEnd"/>
      <w:r w:rsidRPr="00727021">
        <w:rPr>
          <w:b/>
          <w:sz w:val="24"/>
          <w:szCs w:val="24"/>
        </w:rPr>
        <w:t xml:space="preserve"> virkninger </w:t>
      </w:r>
    </w:p>
    <w:p w:rsidR="00FF36E8" w:rsidRPr="00D62FB0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indeholder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, der har forskellige virkningsmekanismer og udviser </w:t>
      </w:r>
      <w:proofErr w:type="spellStart"/>
      <w:r>
        <w:rPr>
          <w:sz w:val="24"/>
          <w:szCs w:val="24"/>
        </w:rPr>
        <w:t>synergistiske</w:t>
      </w:r>
      <w:proofErr w:type="spellEnd"/>
      <w:r>
        <w:rPr>
          <w:sz w:val="24"/>
          <w:szCs w:val="24"/>
        </w:rPr>
        <w:t xml:space="preserve"> virkninger med hensyn til forbedring af symptomerne på allergisk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rhinokonjunktivitis</w:t>
      </w:r>
      <w:proofErr w:type="spellEnd"/>
      <w:r>
        <w:rPr>
          <w:sz w:val="24"/>
          <w:szCs w:val="24"/>
        </w:rPr>
        <w:t>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  <w:highlight w:val="green"/>
        </w:rPr>
      </w:pPr>
    </w:p>
    <w:p w:rsidR="00FF36E8" w:rsidRPr="00BA6CCE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proofErr w:type="spellStart"/>
      <w:r w:rsidRPr="00BA6CCE">
        <w:rPr>
          <w:sz w:val="24"/>
          <w:szCs w:val="24"/>
          <w:u w:val="single"/>
        </w:rPr>
        <w:t>Fluticasonpropionat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et syntetisk </w:t>
      </w:r>
      <w:proofErr w:type="spellStart"/>
      <w:r>
        <w:rPr>
          <w:sz w:val="24"/>
          <w:szCs w:val="24"/>
        </w:rPr>
        <w:t>trifluorineret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kortikosteroid</w:t>
      </w:r>
      <w:proofErr w:type="spellEnd"/>
      <w:r>
        <w:rPr>
          <w:sz w:val="24"/>
          <w:szCs w:val="24"/>
        </w:rPr>
        <w:t xml:space="preserve"> med meget høj affinitet for </w:t>
      </w:r>
      <w:proofErr w:type="spellStart"/>
      <w:r>
        <w:rPr>
          <w:sz w:val="24"/>
          <w:szCs w:val="24"/>
        </w:rPr>
        <w:t>glukokortikoidreceptoren</w:t>
      </w:r>
      <w:proofErr w:type="spellEnd"/>
      <w:r>
        <w:rPr>
          <w:sz w:val="24"/>
          <w:szCs w:val="24"/>
        </w:rPr>
        <w:t xml:space="preserve"> og har en potent antiinflammatorisk virkning; det er f.eks. 3-5 gange mere potent end </w:t>
      </w:r>
      <w:proofErr w:type="spellStart"/>
      <w:r>
        <w:rPr>
          <w:sz w:val="24"/>
          <w:szCs w:val="24"/>
        </w:rPr>
        <w:t>dexamethason</w:t>
      </w:r>
      <w:proofErr w:type="spellEnd"/>
      <w:r>
        <w:rPr>
          <w:sz w:val="24"/>
          <w:szCs w:val="24"/>
        </w:rPr>
        <w:t xml:space="preserve"> til binding af klonet human </w:t>
      </w:r>
      <w:proofErr w:type="spellStart"/>
      <w:r>
        <w:rPr>
          <w:sz w:val="24"/>
          <w:szCs w:val="24"/>
        </w:rPr>
        <w:t>glukokortikoidreceptor</w:t>
      </w:r>
      <w:proofErr w:type="spellEnd"/>
      <w:r>
        <w:rPr>
          <w:sz w:val="24"/>
          <w:szCs w:val="24"/>
        </w:rPr>
        <w:t xml:space="preserve"> og i </w:t>
      </w:r>
      <w:proofErr w:type="spellStart"/>
      <w:r>
        <w:rPr>
          <w:sz w:val="24"/>
          <w:szCs w:val="24"/>
        </w:rPr>
        <w:t>genekspressionstest</w:t>
      </w:r>
      <w:proofErr w:type="spellEnd"/>
      <w:r>
        <w:rPr>
          <w:sz w:val="24"/>
          <w:szCs w:val="24"/>
        </w:rPr>
        <w:t xml:space="preserve">. </w:t>
      </w:r>
    </w:p>
    <w:p w:rsidR="00FF36E8" w:rsidRPr="00FA7FA4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Pr="006F42FD" w:rsidRDefault="00FF36E8" w:rsidP="006F42FD">
      <w:pPr>
        <w:ind w:left="851"/>
        <w:rPr>
          <w:sz w:val="24"/>
          <w:szCs w:val="24"/>
          <w:u w:val="single"/>
        </w:rPr>
      </w:pPr>
      <w:proofErr w:type="spellStart"/>
      <w:r w:rsidRPr="006F42FD">
        <w:rPr>
          <w:sz w:val="24"/>
          <w:szCs w:val="24"/>
          <w:u w:val="single"/>
        </w:rPr>
        <w:t>Azelastinhydrochlorid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, et </w:t>
      </w:r>
      <w:proofErr w:type="spellStart"/>
      <w:r>
        <w:rPr>
          <w:sz w:val="24"/>
          <w:szCs w:val="24"/>
        </w:rPr>
        <w:t>phtalazinon</w:t>
      </w:r>
      <w:proofErr w:type="spellEnd"/>
      <w:r>
        <w:rPr>
          <w:sz w:val="24"/>
          <w:szCs w:val="24"/>
        </w:rPr>
        <w:t>-derivat, er klassificeret som et potent langtidsvirkende antiallergisk stof med selektive H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-antagonistiske, </w:t>
      </w:r>
      <w:proofErr w:type="spellStart"/>
      <w:r>
        <w:rPr>
          <w:sz w:val="24"/>
          <w:szCs w:val="24"/>
        </w:rPr>
        <w:t>mastcellestabiliserende</w:t>
      </w:r>
      <w:proofErr w:type="spellEnd"/>
      <w:r>
        <w:rPr>
          <w:sz w:val="24"/>
          <w:szCs w:val="24"/>
        </w:rPr>
        <w:t xml:space="preserve"> og antiinflammatoriske egenskaber. Data fra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vivo</w:t>
      </w:r>
      <w:proofErr w:type="spellEnd"/>
      <w:r>
        <w:rPr>
          <w:sz w:val="24"/>
          <w:szCs w:val="24"/>
        </w:rPr>
        <w:t xml:space="preserve"> (prækliniske)- og </w:t>
      </w:r>
      <w:r>
        <w:rPr>
          <w:i/>
          <w:sz w:val="24"/>
          <w:szCs w:val="24"/>
        </w:rPr>
        <w:t xml:space="preserve">in </w:t>
      </w:r>
      <w:proofErr w:type="spellStart"/>
      <w:r>
        <w:rPr>
          <w:i/>
          <w:sz w:val="24"/>
          <w:szCs w:val="24"/>
        </w:rPr>
        <w:t>vitro</w:t>
      </w:r>
      <w:proofErr w:type="spellEnd"/>
      <w:r>
        <w:rPr>
          <w:sz w:val="24"/>
          <w:szCs w:val="24"/>
        </w:rPr>
        <w:t xml:space="preserve">-studier har vist, at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hæmmer syntesen eller frigørelsen af de kemiske </w:t>
      </w:r>
      <w:proofErr w:type="spellStart"/>
      <w:r>
        <w:rPr>
          <w:sz w:val="24"/>
          <w:szCs w:val="24"/>
        </w:rPr>
        <w:t>mediatorer</w:t>
      </w:r>
      <w:proofErr w:type="spellEnd"/>
      <w:r>
        <w:rPr>
          <w:sz w:val="24"/>
          <w:szCs w:val="24"/>
        </w:rPr>
        <w:t xml:space="preserve">, der vides at være involveret i tidlige og sene stadier af allergiske reaktioner, f.eks. </w:t>
      </w:r>
      <w:proofErr w:type="spellStart"/>
      <w:r>
        <w:rPr>
          <w:sz w:val="24"/>
          <w:szCs w:val="24"/>
        </w:rPr>
        <w:t>leukotriener</w:t>
      </w:r>
      <w:proofErr w:type="spellEnd"/>
      <w:r>
        <w:rPr>
          <w:sz w:val="24"/>
          <w:szCs w:val="24"/>
        </w:rPr>
        <w:t xml:space="preserve">, histamin, PAF (blodpladeaktiverende faktor) og serotonin. </w:t>
      </w: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rPr>
          <w:i/>
          <w:sz w:val="24"/>
          <w:szCs w:val="24"/>
          <w:highlight w:val="green"/>
        </w:rPr>
      </w:pPr>
      <w:r>
        <w:rPr>
          <w:sz w:val="24"/>
          <w:szCs w:val="24"/>
        </w:rPr>
        <w:t>Lindring af nasale allergisymptomer ses inden for 15 minutter efter administration.</w:t>
      </w:r>
    </w:p>
    <w:p w:rsidR="00FF36E8" w:rsidRPr="00FA7FA4" w:rsidRDefault="00FF36E8" w:rsidP="00FF36E8">
      <w:pPr>
        <w:ind w:left="851"/>
        <w:rPr>
          <w:sz w:val="24"/>
          <w:szCs w:val="24"/>
          <w:highlight w:val="green"/>
        </w:rPr>
      </w:pPr>
    </w:p>
    <w:p w:rsidR="001144A6" w:rsidRPr="00FA7FA4" w:rsidRDefault="001144A6" w:rsidP="001144A6">
      <w:pPr>
        <w:ind w:left="851"/>
        <w:rPr>
          <w:sz w:val="24"/>
          <w:szCs w:val="24"/>
          <w:u w:val="single"/>
        </w:rPr>
      </w:pPr>
      <w:proofErr w:type="spellStart"/>
      <w:r w:rsidRPr="00FA7FA4">
        <w:rPr>
          <w:sz w:val="24"/>
          <w:szCs w:val="24"/>
          <w:u w:val="single"/>
        </w:rPr>
        <w:t>Dymista</w:t>
      </w:r>
      <w:proofErr w:type="spellEnd"/>
      <w:r w:rsidRPr="00FA7FA4">
        <w:rPr>
          <w:sz w:val="24"/>
          <w:szCs w:val="24"/>
          <w:u w:val="single"/>
        </w:rPr>
        <w:t xml:space="preserve"> næsespray</w:t>
      </w:r>
    </w:p>
    <w:p w:rsidR="001144A6" w:rsidRPr="00FA7FA4" w:rsidRDefault="001144A6" w:rsidP="001144A6">
      <w:pPr>
        <w:ind w:left="851"/>
        <w:rPr>
          <w:sz w:val="24"/>
          <w:szCs w:val="24"/>
        </w:rPr>
      </w:pPr>
      <w:r w:rsidRPr="00FA7FA4">
        <w:rPr>
          <w:sz w:val="24"/>
          <w:szCs w:val="24"/>
        </w:rPr>
        <w:t xml:space="preserve">I 4 kliniske studier hos voksne og unge med allergisk </w:t>
      </w:r>
      <w:proofErr w:type="spellStart"/>
      <w:r w:rsidRPr="00FA7FA4">
        <w:rPr>
          <w:sz w:val="24"/>
          <w:szCs w:val="24"/>
        </w:rPr>
        <w:t>rhinitis</w:t>
      </w:r>
      <w:proofErr w:type="spellEnd"/>
      <w:r w:rsidRPr="00FA7FA4">
        <w:rPr>
          <w:sz w:val="24"/>
          <w:szCs w:val="24"/>
        </w:rPr>
        <w:t xml:space="preserve"> gav </w:t>
      </w:r>
      <w:proofErr w:type="spellStart"/>
      <w:r w:rsidRPr="00FA7FA4">
        <w:rPr>
          <w:sz w:val="24"/>
          <w:szCs w:val="24"/>
        </w:rPr>
        <w:t>Dymista</w:t>
      </w:r>
      <w:proofErr w:type="spellEnd"/>
      <w:r w:rsidRPr="00FA7FA4">
        <w:rPr>
          <w:sz w:val="24"/>
          <w:szCs w:val="24"/>
        </w:rPr>
        <w:t xml:space="preserve"> en signifikant forbedring af nasale symptomer (</w:t>
      </w:r>
      <w:proofErr w:type="spellStart"/>
      <w:r w:rsidRPr="00FA7FA4">
        <w:rPr>
          <w:sz w:val="24"/>
          <w:szCs w:val="24"/>
        </w:rPr>
        <w:t>rhinorrhoea</w:t>
      </w:r>
      <w:proofErr w:type="spellEnd"/>
      <w:r w:rsidRPr="00FA7FA4">
        <w:rPr>
          <w:sz w:val="24"/>
          <w:szCs w:val="24"/>
        </w:rPr>
        <w:t xml:space="preserve">, nasal kongestion, </w:t>
      </w:r>
      <w:proofErr w:type="spellStart"/>
      <w:r w:rsidRPr="00FA7FA4">
        <w:rPr>
          <w:sz w:val="24"/>
          <w:szCs w:val="24"/>
        </w:rPr>
        <w:t>nysen</w:t>
      </w:r>
      <w:proofErr w:type="spellEnd"/>
      <w:r w:rsidRPr="00FA7FA4">
        <w:rPr>
          <w:sz w:val="24"/>
          <w:szCs w:val="24"/>
        </w:rPr>
        <w:t xml:space="preserve"> og nasal kløe) i en dosis på et pust to gange daglig i hvert næsebor sammenlignet med placebo, </w:t>
      </w:r>
      <w:proofErr w:type="spellStart"/>
      <w:r w:rsidRPr="00FA7FA4">
        <w:rPr>
          <w:sz w:val="24"/>
          <w:szCs w:val="24"/>
        </w:rPr>
        <w:t>azelastinhydrochlorid</w:t>
      </w:r>
      <w:proofErr w:type="spellEnd"/>
      <w:r w:rsidRPr="00FA7FA4">
        <w:rPr>
          <w:sz w:val="24"/>
          <w:szCs w:val="24"/>
        </w:rPr>
        <w:t xml:space="preserve"> alene og </w:t>
      </w:r>
      <w:proofErr w:type="spellStart"/>
      <w:r w:rsidRPr="00FA7FA4">
        <w:rPr>
          <w:sz w:val="24"/>
          <w:szCs w:val="24"/>
        </w:rPr>
        <w:t>fluticasonpropionat</w:t>
      </w:r>
      <w:proofErr w:type="spellEnd"/>
      <w:r w:rsidRPr="00FA7FA4">
        <w:rPr>
          <w:sz w:val="24"/>
          <w:szCs w:val="24"/>
        </w:rPr>
        <w:t xml:space="preserve"> alene. Det forbedrede signifikant de </w:t>
      </w:r>
      <w:proofErr w:type="spellStart"/>
      <w:r w:rsidRPr="00FA7FA4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Pr="00FA7FA4">
        <w:rPr>
          <w:sz w:val="24"/>
          <w:szCs w:val="24"/>
        </w:rPr>
        <w:t>ulære</w:t>
      </w:r>
      <w:proofErr w:type="spellEnd"/>
      <w:r w:rsidRPr="00FA7FA4">
        <w:rPr>
          <w:sz w:val="24"/>
          <w:szCs w:val="24"/>
        </w:rPr>
        <w:t xml:space="preserve"> symptomer (kløe, tåreflåd/rindende øjne og røde øjne) og patienternes sygdomsrelaterede livskvalitet (</w:t>
      </w:r>
      <w:proofErr w:type="spellStart"/>
      <w:r w:rsidRPr="00FA7FA4">
        <w:rPr>
          <w:sz w:val="24"/>
          <w:szCs w:val="24"/>
        </w:rPr>
        <w:t>Rhinoconjunctivitis</w:t>
      </w:r>
      <w:proofErr w:type="spellEnd"/>
      <w:r w:rsidRPr="00FA7FA4">
        <w:rPr>
          <w:sz w:val="24"/>
          <w:szCs w:val="24"/>
        </w:rPr>
        <w:t xml:space="preserve"> </w:t>
      </w:r>
      <w:proofErr w:type="spellStart"/>
      <w:r w:rsidRPr="00FA7FA4">
        <w:rPr>
          <w:sz w:val="24"/>
          <w:szCs w:val="24"/>
        </w:rPr>
        <w:t>Quality</w:t>
      </w:r>
      <w:proofErr w:type="spellEnd"/>
      <w:r w:rsidRPr="00FA7FA4">
        <w:rPr>
          <w:sz w:val="24"/>
          <w:szCs w:val="24"/>
        </w:rPr>
        <w:t xml:space="preserve"> of Life </w:t>
      </w:r>
      <w:proofErr w:type="spellStart"/>
      <w:r w:rsidRPr="00FA7FA4">
        <w:rPr>
          <w:sz w:val="24"/>
          <w:szCs w:val="24"/>
        </w:rPr>
        <w:t>Questionnaire</w:t>
      </w:r>
      <w:proofErr w:type="spellEnd"/>
      <w:r w:rsidRPr="00FA7FA4">
        <w:rPr>
          <w:sz w:val="24"/>
          <w:szCs w:val="24"/>
        </w:rPr>
        <w:t xml:space="preserve"> – RQLQ)</w:t>
      </w:r>
      <w:r w:rsidRPr="00FA7FA4">
        <w:rPr>
          <w:rStyle w:val="Kommentarhenvisning"/>
          <w:sz w:val="24"/>
          <w:szCs w:val="24"/>
        </w:rPr>
        <w:t> i</w:t>
      </w:r>
      <w:r w:rsidRPr="00FA7FA4">
        <w:rPr>
          <w:sz w:val="24"/>
          <w:szCs w:val="24"/>
        </w:rPr>
        <w:t xml:space="preserve"> alle 4 studier.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7D2755" w:rsidRDefault="007D2755" w:rsidP="007D275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Sammenlignet med en allerede markedsført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næsespray blev symptomforbedringen (50 % reduktion i nasale symptomer) nået signifikant tidligere (3</w:t>
      </w:r>
      <w:r w:rsidR="00AA10C7">
        <w:rPr>
          <w:sz w:val="24"/>
          <w:szCs w:val="24"/>
        </w:rPr>
        <w:t> </w:t>
      </w:r>
      <w:r>
        <w:rPr>
          <w:sz w:val="24"/>
          <w:szCs w:val="24"/>
        </w:rPr>
        <w:t xml:space="preserve">dage og mere) med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Dymistas</w:t>
      </w:r>
      <w:proofErr w:type="spellEnd"/>
      <w:r>
        <w:rPr>
          <w:sz w:val="24"/>
          <w:szCs w:val="24"/>
        </w:rPr>
        <w:t xml:space="preserve"> bedre virkning i forhold til </w:t>
      </w:r>
      <w:proofErr w:type="spellStart"/>
      <w:r>
        <w:rPr>
          <w:sz w:val="24"/>
          <w:szCs w:val="24"/>
        </w:rPr>
        <w:t>fluticasonpropionat</w:t>
      </w:r>
      <w:r>
        <w:rPr>
          <w:sz w:val="24"/>
          <w:szCs w:val="24"/>
        </w:rPr>
        <w:softHyphen/>
        <w:t>næsespray</w:t>
      </w:r>
      <w:proofErr w:type="spellEnd"/>
      <w:r>
        <w:rPr>
          <w:sz w:val="24"/>
          <w:szCs w:val="24"/>
        </w:rPr>
        <w:t xml:space="preserve"> blev fastholdt i hele det etårige studie hos patienter med kronisk vedvarende allergisk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 og ikke-allergisk/vasomotorisk </w:t>
      </w:r>
      <w:proofErr w:type="spellStart"/>
      <w:r>
        <w:rPr>
          <w:sz w:val="24"/>
          <w:szCs w:val="24"/>
        </w:rPr>
        <w:t>rhinitis</w:t>
      </w:r>
      <w:proofErr w:type="spellEnd"/>
      <w:r>
        <w:rPr>
          <w:sz w:val="24"/>
          <w:szCs w:val="24"/>
        </w:rPr>
        <w:t xml:space="preserve">. </w:t>
      </w:r>
    </w:p>
    <w:p w:rsidR="007D2755" w:rsidRDefault="007D2755" w:rsidP="007D2755">
      <w:pPr>
        <w:tabs>
          <w:tab w:val="left" w:pos="851"/>
        </w:tabs>
        <w:ind w:left="851"/>
        <w:rPr>
          <w:sz w:val="24"/>
          <w:szCs w:val="24"/>
        </w:rPr>
      </w:pPr>
    </w:p>
    <w:p w:rsidR="007D2755" w:rsidRDefault="007D2755" w:rsidP="007D2755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 et eksponeringsstudie med ambrosiapollen blev første statistisk signifikante lindring af nasalsymptomer observeret 5 minutter efter administration af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(sammenlignet med placebo). 15 minutter efter administration af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rapporterede 60% af patienter en klinisk relevant reduktion af symptomer med en score på mindst 30%.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5.2</w:t>
      </w:r>
      <w:r w:rsidRPr="00C84483">
        <w:rPr>
          <w:b/>
          <w:sz w:val="24"/>
          <w:szCs w:val="24"/>
        </w:rPr>
        <w:tab/>
      </w:r>
      <w:proofErr w:type="spellStart"/>
      <w:r w:rsidRPr="00C84483">
        <w:rPr>
          <w:b/>
          <w:sz w:val="24"/>
          <w:szCs w:val="24"/>
        </w:rPr>
        <w:t>Farmakokinetiske</w:t>
      </w:r>
      <w:proofErr w:type="spellEnd"/>
      <w:r w:rsidRPr="00C84483">
        <w:rPr>
          <w:b/>
          <w:sz w:val="24"/>
          <w:szCs w:val="24"/>
        </w:rPr>
        <w:t xml:space="preserve"> egenskaber</w:t>
      </w:r>
    </w:p>
    <w:p w:rsidR="006F42FD" w:rsidRDefault="006F42FD" w:rsidP="00FF36E8">
      <w:pPr>
        <w:ind w:left="851"/>
        <w:rPr>
          <w:sz w:val="24"/>
          <w:szCs w:val="24"/>
          <w:u w:val="single"/>
        </w:rPr>
      </w:pPr>
    </w:p>
    <w:p w:rsidR="00FF36E8" w:rsidRPr="00FA7FA4" w:rsidRDefault="00FF36E8" w:rsidP="00FF36E8">
      <w:pPr>
        <w:ind w:left="851"/>
        <w:rPr>
          <w:sz w:val="24"/>
          <w:szCs w:val="24"/>
          <w:u w:val="single"/>
        </w:rPr>
      </w:pPr>
      <w:r w:rsidRPr="00FA7FA4">
        <w:rPr>
          <w:sz w:val="24"/>
          <w:szCs w:val="24"/>
          <w:u w:val="single"/>
        </w:rPr>
        <w:t>Absorption</w:t>
      </w:r>
    </w:p>
    <w:p w:rsidR="00FF36E8" w:rsidRPr="00FA7FA4" w:rsidRDefault="00FF36E8" w:rsidP="00FF36E8">
      <w:pPr>
        <w:ind w:left="851"/>
        <w:rPr>
          <w:sz w:val="24"/>
          <w:szCs w:val="24"/>
        </w:rPr>
      </w:pPr>
      <w:r w:rsidRPr="00FA7FA4">
        <w:rPr>
          <w:sz w:val="24"/>
          <w:szCs w:val="24"/>
        </w:rPr>
        <w:t xml:space="preserve">Efter intranasal administration af to pust med </w:t>
      </w:r>
      <w:proofErr w:type="spellStart"/>
      <w:r w:rsidRPr="00FA7FA4">
        <w:rPr>
          <w:sz w:val="24"/>
          <w:szCs w:val="24"/>
        </w:rPr>
        <w:t>Dymista</w:t>
      </w:r>
      <w:proofErr w:type="spellEnd"/>
      <w:r w:rsidRPr="00FA7FA4">
        <w:rPr>
          <w:sz w:val="24"/>
          <w:szCs w:val="24"/>
        </w:rPr>
        <w:t xml:space="preserve"> i hvert næsebor (548 mikrogram </w:t>
      </w:r>
      <w:proofErr w:type="spellStart"/>
      <w:r w:rsidRPr="00FA7FA4">
        <w:rPr>
          <w:sz w:val="24"/>
          <w:szCs w:val="24"/>
        </w:rPr>
        <w:t>azelastinhydrochlorid</w:t>
      </w:r>
      <w:proofErr w:type="spellEnd"/>
      <w:r w:rsidRPr="00FA7FA4">
        <w:rPr>
          <w:sz w:val="24"/>
          <w:szCs w:val="24"/>
        </w:rPr>
        <w:t xml:space="preserve"> og 200 mikrogram </w:t>
      </w:r>
      <w:proofErr w:type="spellStart"/>
      <w:r w:rsidRPr="00FA7FA4">
        <w:rPr>
          <w:sz w:val="24"/>
          <w:szCs w:val="24"/>
        </w:rPr>
        <w:t>fluticasonpropionat</w:t>
      </w:r>
      <w:proofErr w:type="spellEnd"/>
      <w:r w:rsidRPr="00FA7FA4">
        <w:rPr>
          <w:sz w:val="24"/>
          <w:szCs w:val="24"/>
        </w:rPr>
        <w:t>) var den gennemsnitlige (±</w:t>
      </w:r>
      <w:r w:rsidR="00AA10C7">
        <w:rPr>
          <w:sz w:val="24"/>
          <w:szCs w:val="24"/>
        </w:rPr>
        <w:t> </w:t>
      </w:r>
      <w:r w:rsidRPr="00FA7FA4">
        <w:rPr>
          <w:sz w:val="24"/>
          <w:szCs w:val="24"/>
        </w:rPr>
        <w:t>standardafvigelse) højeste plasmaeksponering (</w:t>
      </w:r>
      <w:proofErr w:type="spellStart"/>
      <w:r w:rsidRPr="00FA7FA4">
        <w:rPr>
          <w:sz w:val="24"/>
          <w:szCs w:val="24"/>
        </w:rPr>
        <w:t>C</w:t>
      </w:r>
      <w:r w:rsidRPr="00FA7FA4">
        <w:rPr>
          <w:sz w:val="24"/>
          <w:szCs w:val="24"/>
          <w:vertAlign w:val="subscript"/>
        </w:rPr>
        <w:t>max</w:t>
      </w:r>
      <w:proofErr w:type="spellEnd"/>
      <w:r w:rsidRPr="00FA7FA4">
        <w:rPr>
          <w:sz w:val="24"/>
          <w:szCs w:val="24"/>
        </w:rPr>
        <w:t xml:space="preserve">) 194,5 ± 74,4 </w:t>
      </w:r>
      <w:proofErr w:type="spellStart"/>
      <w:r w:rsidRPr="00FA7FA4">
        <w:rPr>
          <w:sz w:val="24"/>
          <w:szCs w:val="24"/>
        </w:rPr>
        <w:t>pg</w:t>
      </w:r>
      <w:proofErr w:type="spellEnd"/>
      <w:r w:rsidRPr="00FA7FA4">
        <w:rPr>
          <w:sz w:val="24"/>
          <w:szCs w:val="24"/>
        </w:rPr>
        <w:t xml:space="preserve">/ml for </w:t>
      </w:r>
      <w:proofErr w:type="spellStart"/>
      <w:r w:rsidRPr="00FA7FA4">
        <w:rPr>
          <w:sz w:val="24"/>
          <w:szCs w:val="24"/>
        </w:rPr>
        <w:t>azelastin</w:t>
      </w:r>
      <w:proofErr w:type="spellEnd"/>
      <w:r w:rsidRPr="00FA7FA4">
        <w:rPr>
          <w:sz w:val="24"/>
          <w:szCs w:val="24"/>
        </w:rPr>
        <w:t xml:space="preserve"> og 10,3 ± 3,9 </w:t>
      </w:r>
      <w:proofErr w:type="spellStart"/>
      <w:r w:rsidRPr="00FA7FA4">
        <w:rPr>
          <w:sz w:val="24"/>
          <w:szCs w:val="24"/>
        </w:rPr>
        <w:t>pg</w:t>
      </w:r>
      <w:proofErr w:type="spellEnd"/>
      <w:r w:rsidRPr="00FA7FA4">
        <w:rPr>
          <w:sz w:val="24"/>
          <w:szCs w:val="24"/>
        </w:rPr>
        <w:t xml:space="preserve">/ml for </w:t>
      </w:r>
      <w:proofErr w:type="spellStart"/>
      <w:r w:rsidRPr="00FA7FA4">
        <w:rPr>
          <w:sz w:val="24"/>
          <w:szCs w:val="24"/>
        </w:rPr>
        <w:t>fluticasonpropionat</w:t>
      </w:r>
      <w:proofErr w:type="spellEnd"/>
      <w:r w:rsidRPr="00FA7FA4">
        <w:rPr>
          <w:sz w:val="24"/>
          <w:szCs w:val="24"/>
        </w:rPr>
        <w:t xml:space="preserve">, og den gennemsnitlige totale eksponering (AUC) var 4.217 ± 2.618 </w:t>
      </w:r>
      <w:proofErr w:type="spellStart"/>
      <w:r w:rsidRPr="00FA7FA4">
        <w:rPr>
          <w:sz w:val="24"/>
          <w:szCs w:val="24"/>
        </w:rPr>
        <w:t>pg</w:t>
      </w:r>
      <w:proofErr w:type="spellEnd"/>
      <w:r w:rsidRPr="00FA7FA4">
        <w:rPr>
          <w:sz w:val="24"/>
          <w:szCs w:val="24"/>
        </w:rPr>
        <w:t xml:space="preserve">/ml*time for </w:t>
      </w:r>
      <w:proofErr w:type="spellStart"/>
      <w:r w:rsidRPr="00FA7FA4">
        <w:rPr>
          <w:sz w:val="24"/>
          <w:szCs w:val="24"/>
        </w:rPr>
        <w:t>azelastin</w:t>
      </w:r>
      <w:proofErr w:type="spellEnd"/>
      <w:r w:rsidRPr="00FA7FA4">
        <w:rPr>
          <w:sz w:val="24"/>
          <w:szCs w:val="24"/>
        </w:rPr>
        <w:t xml:space="preserve"> og 97,7 ± 43,1 </w:t>
      </w:r>
      <w:proofErr w:type="spellStart"/>
      <w:r w:rsidRPr="00FA7FA4">
        <w:rPr>
          <w:sz w:val="24"/>
          <w:szCs w:val="24"/>
        </w:rPr>
        <w:t>pg</w:t>
      </w:r>
      <w:proofErr w:type="spellEnd"/>
      <w:r w:rsidRPr="00FA7FA4">
        <w:rPr>
          <w:sz w:val="24"/>
          <w:szCs w:val="24"/>
        </w:rPr>
        <w:t xml:space="preserve">/ml*time for </w:t>
      </w:r>
      <w:proofErr w:type="spellStart"/>
      <w:r w:rsidRPr="00FA7FA4">
        <w:rPr>
          <w:sz w:val="24"/>
          <w:szCs w:val="24"/>
        </w:rPr>
        <w:t>fluticasonpropionat</w:t>
      </w:r>
      <w:proofErr w:type="spellEnd"/>
      <w:r w:rsidRPr="00FA7FA4">
        <w:rPr>
          <w:sz w:val="24"/>
          <w:szCs w:val="24"/>
        </w:rPr>
        <w:t xml:space="preserve">. Den </w:t>
      </w:r>
      <w:proofErr w:type="spellStart"/>
      <w:r w:rsidRPr="00FA7FA4">
        <w:rPr>
          <w:sz w:val="24"/>
          <w:szCs w:val="24"/>
        </w:rPr>
        <w:t>mediane</w:t>
      </w:r>
      <w:proofErr w:type="spellEnd"/>
      <w:r w:rsidRPr="00FA7FA4">
        <w:rPr>
          <w:sz w:val="24"/>
          <w:szCs w:val="24"/>
        </w:rPr>
        <w:t xml:space="preserve"> tid til højeste eksponering (</w:t>
      </w:r>
      <w:proofErr w:type="spellStart"/>
      <w:r w:rsidRPr="00FA7FA4">
        <w:rPr>
          <w:sz w:val="24"/>
          <w:szCs w:val="24"/>
        </w:rPr>
        <w:t>t</w:t>
      </w:r>
      <w:r w:rsidRPr="00FA7FA4">
        <w:rPr>
          <w:sz w:val="24"/>
          <w:szCs w:val="24"/>
          <w:vertAlign w:val="subscript"/>
        </w:rPr>
        <w:t>max</w:t>
      </w:r>
      <w:proofErr w:type="spellEnd"/>
      <w:r w:rsidRPr="00FA7FA4">
        <w:rPr>
          <w:sz w:val="24"/>
          <w:szCs w:val="24"/>
        </w:rPr>
        <w:t xml:space="preserve">) efter en enkelt dosis var 0,5 time for </w:t>
      </w:r>
      <w:proofErr w:type="spellStart"/>
      <w:r w:rsidRPr="00FA7FA4">
        <w:rPr>
          <w:sz w:val="24"/>
          <w:szCs w:val="24"/>
        </w:rPr>
        <w:t>azelastin</w:t>
      </w:r>
      <w:proofErr w:type="spellEnd"/>
      <w:r w:rsidRPr="00FA7FA4">
        <w:rPr>
          <w:sz w:val="24"/>
          <w:szCs w:val="24"/>
        </w:rPr>
        <w:t xml:space="preserve"> og 1,0 time for </w:t>
      </w:r>
      <w:proofErr w:type="spellStart"/>
      <w:r w:rsidRPr="00FA7FA4">
        <w:rPr>
          <w:sz w:val="24"/>
          <w:szCs w:val="24"/>
        </w:rPr>
        <w:t>fluticasonpropionat</w:t>
      </w:r>
      <w:proofErr w:type="spellEnd"/>
      <w:r w:rsidRPr="00FA7FA4">
        <w:rPr>
          <w:sz w:val="24"/>
          <w:szCs w:val="24"/>
        </w:rPr>
        <w:t>.</w:t>
      </w:r>
    </w:p>
    <w:p w:rsidR="00FF36E8" w:rsidRDefault="00FF36E8" w:rsidP="00FF36E8">
      <w:pPr>
        <w:pStyle w:val="NormalWeb"/>
        <w:tabs>
          <w:tab w:val="left" w:pos="851"/>
        </w:tabs>
        <w:spacing w:before="0" w:beforeAutospacing="0" w:after="0" w:afterAutospacing="0"/>
        <w:ind w:left="851"/>
      </w:pP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Systemisk eksponering for </w:t>
      </w:r>
      <w:proofErr w:type="spellStart"/>
      <w:r>
        <w:rPr>
          <w:sz w:val="24"/>
          <w:szCs w:val="24"/>
        </w:rPr>
        <w:t>fluticason</w:t>
      </w:r>
      <w:r w:rsidRPr="00FA7FA4">
        <w:rPr>
          <w:sz w:val="24"/>
          <w:szCs w:val="24"/>
        </w:rPr>
        <w:t>propionat</w:t>
      </w:r>
      <w:proofErr w:type="spellEnd"/>
      <w:r>
        <w:rPr>
          <w:sz w:val="24"/>
          <w:szCs w:val="24"/>
        </w:rPr>
        <w:t xml:space="preserve"> var ~50 % højere for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sammenlignet med en allerede markedsført </w:t>
      </w:r>
      <w:proofErr w:type="spellStart"/>
      <w:r>
        <w:rPr>
          <w:sz w:val="24"/>
          <w:szCs w:val="24"/>
        </w:rPr>
        <w:t>fluticason</w:t>
      </w:r>
      <w:r w:rsidRPr="00FA7FA4">
        <w:rPr>
          <w:sz w:val="24"/>
          <w:szCs w:val="24"/>
        </w:rPr>
        <w:t>propionat</w:t>
      </w:r>
      <w:r>
        <w:rPr>
          <w:sz w:val="24"/>
          <w:szCs w:val="24"/>
        </w:rPr>
        <w:t>næsespray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Dymista</w:t>
      </w:r>
      <w:proofErr w:type="spellEnd"/>
      <w:r>
        <w:rPr>
          <w:sz w:val="24"/>
          <w:szCs w:val="24"/>
        </w:rPr>
        <w:t xml:space="preserve"> var sammenlignelig med en allerede markedsført </w:t>
      </w:r>
      <w:proofErr w:type="spellStart"/>
      <w:r>
        <w:rPr>
          <w:sz w:val="24"/>
          <w:szCs w:val="24"/>
        </w:rPr>
        <w:t>azelastinnæsespray</w:t>
      </w:r>
      <w:proofErr w:type="spellEnd"/>
      <w:r>
        <w:rPr>
          <w:sz w:val="24"/>
          <w:szCs w:val="24"/>
        </w:rPr>
        <w:t xml:space="preserve">, for så vidt angår systemisk eksponering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. Der var ingen tegn på </w:t>
      </w:r>
      <w:proofErr w:type="spellStart"/>
      <w:r>
        <w:rPr>
          <w:sz w:val="24"/>
          <w:szCs w:val="24"/>
        </w:rPr>
        <w:t>farmakokinetiske</w:t>
      </w:r>
      <w:proofErr w:type="spellEnd"/>
      <w:r>
        <w:rPr>
          <w:sz w:val="24"/>
          <w:szCs w:val="24"/>
        </w:rPr>
        <w:t xml:space="preserve"> interaktioner mellem </w:t>
      </w:r>
      <w:proofErr w:type="spellStart"/>
      <w:r>
        <w:rPr>
          <w:sz w:val="24"/>
          <w:szCs w:val="24"/>
        </w:rPr>
        <w:t>azelastinhydrochlorid</w:t>
      </w:r>
      <w:proofErr w:type="spellEnd"/>
      <w:r>
        <w:rPr>
          <w:sz w:val="24"/>
          <w:szCs w:val="24"/>
        </w:rPr>
        <w:t xml:space="preserve"> og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>.</w:t>
      </w:r>
    </w:p>
    <w:p w:rsidR="00FF36E8" w:rsidRDefault="00FF36E8" w:rsidP="00FF36E8">
      <w:pPr>
        <w:pStyle w:val="NormalWeb"/>
        <w:tabs>
          <w:tab w:val="left" w:pos="851"/>
        </w:tabs>
        <w:spacing w:before="0" w:beforeAutospacing="0" w:after="0" w:afterAutospacing="0"/>
        <w:ind w:left="851"/>
      </w:pPr>
    </w:p>
    <w:p w:rsidR="00FF36E8" w:rsidRPr="00BA6CCE" w:rsidRDefault="00FF36E8" w:rsidP="00FF36E8">
      <w:pPr>
        <w:tabs>
          <w:tab w:val="left" w:pos="851"/>
        </w:tabs>
        <w:ind w:left="851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Distribution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har et stort fordelingsvolumen ved </w:t>
      </w:r>
      <w:proofErr w:type="spellStart"/>
      <w:r>
        <w:rPr>
          <w:sz w:val="24"/>
          <w:szCs w:val="24"/>
        </w:rPr>
        <w:t>steady-state</w:t>
      </w:r>
      <w:proofErr w:type="spellEnd"/>
      <w:r>
        <w:rPr>
          <w:sz w:val="24"/>
          <w:szCs w:val="24"/>
        </w:rPr>
        <w:t xml:space="preserve"> (cirka 318 liter). Plasmaproteinbindingen er 91%.</w:t>
      </w:r>
    </w:p>
    <w:p w:rsidR="00FF36E8" w:rsidRDefault="00FF36E8" w:rsidP="00FF36E8">
      <w:pPr>
        <w:tabs>
          <w:tab w:val="left" w:pos="851"/>
        </w:tabs>
        <w:ind w:left="851"/>
        <w:rPr>
          <w:i/>
          <w:sz w:val="24"/>
          <w:szCs w:val="24"/>
        </w:rPr>
      </w:pPr>
      <w:r>
        <w:rPr>
          <w:sz w:val="24"/>
          <w:szCs w:val="24"/>
        </w:rPr>
        <w:t xml:space="preserve">Fordelingsvolumen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er høj, hvilket indikerer distribution hovedsagelig i det perifere væv. Proteinbindingsniveauet er ca. 80-90 %. Desuden har begge lægemidler brede terapeutiske vinduer. Derfor er lægemiddel fortrængningsreaktioner usandsynlige. </w:t>
      </w:r>
    </w:p>
    <w:p w:rsidR="00AA10C7" w:rsidRDefault="00AA10C7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</w:p>
    <w:p w:rsidR="00FF36E8" w:rsidRPr="00BA6CCE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Biotransformation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udskilles hurtigt fra det systemiske kredsløb, hovedsagelig ved lever </w:t>
      </w:r>
      <w:proofErr w:type="spellStart"/>
      <w:r>
        <w:rPr>
          <w:sz w:val="24"/>
          <w:szCs w:val="24"/>
        </w:rPr>
        <w:t>metabolisering</w:t>
      </w:r>
      <w:proofErr w:type="spellEnd"/>
      <w:r>
        <w:rPr>
          <w:sz w:val="24"/>
          <w:szCs w:val="24"/>
        </w:rPr>
        <w:t xml:space="preserve"> til en inaktiv carboxylsyremetabolit, ved hjælp af </w:t>
      </w:r>
      <w:proofErr w:type="spellStart"/>
      <w:r>
        <w:rPr>
          <w:sz w:val="24"/>
          <w:szCs w:val="24"/>
        </w:rPr>
        <w:t>cytochrom</w:t>
      </w:r>
      <w:proofErr w:type="spellEnd"/>
      <w:r>
        <w:rPr>
          <w:sz w:val="24"/>
          <w:szCs w:val="24"/>
        </w:rPr>
        <w:t xml:space="preserve"> P450 CYP3A4. Når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indtages oralt, gennemgår det også en omfattende </w:t>
      </w:r>
      <w:proofErr w:type="spellStart"/>
      <w:r>
        <w:rPr>
          <w:sz w:val="24"/>
          <w:szCs w:val="24"/>
        </w:rPr>
        <w:t>first-pass</w:t>
      </w:r>
      <w:proofErr w:type="spellEnd"/>
      <w:r>
        <w:rPr>
          <w:sz w:val="24"/>
          <w:szCs w:val="24"/>
        </w:rPr>
        <w:t xml:space="preserve"> metabolisme.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metaboliseres</w:t>
      </w:r>
      <w:proofErr w:type="spellEnd"/>
      <w:r>
        <w:rPr>
          <w:sz w:val="24"/>
          <w:szCs w:val="24"/>
        </w:rPr>
        <w:t xml:space="preserve"> til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desmethylazelastin</w:t>
      </w:r>
      <w:proofErr w:type="spellEnd"/>
      <w:r>
        <w:rPr>
          <w:sz w:val="24"/>
          <w:szCs w:val="24"/>
        </w:rPr>
        <w:t xml:space="preserve"> via forskellige CYP-</w:t>
      </w:r>
      <w:proofErr w:type="spellStart"/>
      <w:r>
        <w:rPr>
          <w:sz w:val="24"/>
          <w:szCs w:val="24"/>
        </w:rPr>
        <w:t>isoenzymer</w:t>
      </w:r>
      <w:proofErr w:type="spellEnd"/>
      <w:r>
        <w:rPr>
          <w:sz w:val="24"/>
          <w:szCs w:val="24"/>
        </w:rPr>
        <w:t>, hovedsagelig CYP3A4, CYP2D6 og CYP2C19.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</w:p>
    <w:p w:rsidR="00FF36E8" w:rsidRPr="00BA6CCE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  <w:u w:val="single"/>
        </w:rPr>
      </w:pPr>
      <w:r w:rsidRPr="00BA6CCE">
        <w:rPr>
          <w:sz w:val="24"/>
          <w:szCs w:val="24"/>
          <w:u w:val="single"/>
        </w:rPr>
        <w:t>Elimination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Eliminationshastigheden for intravenøst administreret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lineær over doseringsintervallet 250-1.000 mikrogram og er karakteriseret ved en høj </w:t>
      </w:r>
      <w:proofErr w:type="spellStart"/>
      <w:r>
        <w:rPr>
          <w:sz w:val="24"/>
          <w:szCs w:val="24"/>
        </w:rPr>
        <w:t>plasmaclearance</w:t>
      </w:r>
      <w:proofErr w:type="spellEnd"/>
      <w:r>
        <w:rPr>
          <w:sz w:val="24"/>
          <w:szCs w:val="24"/>
        </w:rPr>
        <w:t xml:space="preserve"> (CL = 1,1 l/min.). De højeste plasmakoncentrationer reduceres med ca. 98 % inden for 3-4 timer, og kun lave plasmakoncentrationer blev forbundet med den terminale halveringstid på 7,8 timer. Den </w:t>
      </w:r>
      <w:proofErr w:type="spellStart"/>
      <w:r>
        <w:rPr>
          <w:sz w:val="24"/>
          <w:szCs w:val="24"/>
        </w:rPr>
        <w:t>renale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clearance</w:t>
      </w:r>
      <w:proofErr w:type="spellEnd"/>
      <w:r>
        <w:rPr>
          <w:sz w:val="24"/>
          <w:szCs w:val="24"/>
        </w:rPr>
        <w:t xml:space="preserve">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er ubetydelig (&lt; 0,2 %) og mindre end 5 % som carboxylsyremetabolit. Den største eliminationsvej er udskillelse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og dets metabolitter i galden. 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Eliminationshalveringstider i plasma efter en enkelt dosis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er ca. 20-25 timer for </w:t>
      </w:r>
      <w:proofErr w:type="spellStart"/>
      <w:r>
        <w:rPr>
          <w:sz w:val="24"/>
          <w:szCs w:val="24"/>
        </w:rPr>
        <w:t>azelastin</w:t>
      </w:r>
      <w:proofErr w:type="spellEnd"/>
      <w:r>
        <w:rPr>
          <w:sz w:val="24"/>
          <w:szCs w:val="24"/>
        </w:rPr>
        <w:t xml:space="preserve"> og ca. 45 timer for den terapeutisk aktive metabolit </w:t>
      </w:r>
      <w:r>
        <w:rPr>
          <w:i/>
          <w:sz w:val="24"/>
          <w:szCs w:val="24"/>
        </w:rPr>
        <w:t>N</w:t>
      </w:r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desmethylazelastin</w:t>
      </w:r>
      <w:proofErr w:type="spellEnd"/>
      <w:r>
        <w:rPr>
          <w:sz w:val="24"/>
          <w:szCs w:val="24"/>
        </w:rPr>
        <w:t xml:space="preserve">. Udskillelse sker hovedsagelig via fæces. Den vedvarende udskillelse af små mængder af dosis i fæces tyder på, at der sker en vis </w:t>
      </w:r>
      <w:proofErr w:type="spellStart"/>
      <w:r>
        <w:rPr>
          <w:sz w:val="24"/>
          <w:szCs w:val="24"/>
        </w:rPr>
        <w:t>enterohepatisk</w:t>
      </w:r>
      <w:proofErr w:type="spellEnd"/>
      <w:r>
        <w:rPr>
          <w:sz w:val="24"/>
          <w:szCs w:val="24"/>
        </w:rPr>
        <w:t xml:space="preserve"> cirkulation.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5.3</w:t>
      </w:r>
      <w:r w:rsidRPr="00C84483">
        <w:rPr>
          <w:b/>
          <w:sz w:val="24"/>
          <w:szCs w:val="24"/>
        </w:rPr>
        <w:tab/>
      </w:r>
      <w:r>
        <w:rPr>
          <w:b/>
          <w:sz w:val="24"/>
          <w:szCs w:val="24"/>
        </w:rPr>
        <w:t>Non-</w:t>
      </w:r>
      <w:r w:rsidRPr="00C84483">
        <w:rPr>
          <w:b/>
          <w:sz w:val="24"/>
          <w:szCs w:val="24"/>
        </w:rPr>
        <w:t>kliniske sikkerhedsdata</w:t>
      </w:r>
    </w:p>
    <w:p w:rsidR="007448A8" w:rsidRDefault="007448A8" w:rsidP="00FF36E8">
      <w:pPr>
        <w:ind w:left="851"/>
        <w:rPr>
          <w:sz w:val="24"/>
          <w:szCs w:val="24"/>
          <w:u w:val="single"/>
        </w:rPr>
      </w:pPr>
    </w:p>
    <w:p w:rsidR="00FF36E8" w:rsidRPr="00FA7FA4" w:rsidRDefault="00FF36E8" w:rsidP="00FF36E8">
      <w:pPr>
        <w:ind w:left="851"/>
        <w:rPr>
          <w:sz w:val="24"/>
          <w:szCs w:val="24"/>
          <w:u w:val="single"/>
        </w:rPr>
      </w:pPr>
      <w:proofErr w:type="spellStart"/>
      <w:r w:rsidRPr="00FA7FA4">
        <w:rPr>
          <w:sz w:val="24"/>
          <w:szCs w:val="24"/>
          <w:u w:val="single"/>
        </w:rPr>
        <w:t>Fluticasonpropionat</w:t>
      </w:r>
      <w:proofErr w:type="spellEnd"/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De fund, der blev gjort i de generelle toksikologiske studier var lig dem, der blev gjort med andre </w:t>
      </w:r>
      <w:proofErr w:type="spellStart"/>
      <w:r>
        <w:rPr>
          <w:sz w:val="24"/>
          <w:szCs w:val="24"/>
        </w:rPr>
        <w:t>glukokortikoider</w:t>
      </w:r>
      <w:proofErr w:type="spellEnd"/>
      <w:r>
        <w:rPr>
          <w:sz w:val="24"/>
          <w:szCs w:val="24"/>
        </w:rPr>
        <w:t xml:space="preserve">, og er forbundet med overdreven farmakologisk aktivitet. Disse fund er sandsynligvis ikke relevante for mennesker, som får de anbefalede nasale doser, der resulterer i minimal systemisk eksponering. Der er ikke observeret nogen genotoksisk virkning af </w:t>
      </w:r>
      <w:proofErr w:type="spellStart"/>
      <w:r>
        <w:rPr>
          <w:sz w:val="24"/>
          <w:szCs w:val="24"/>
        </w:rPr>
        <w:t>fluticasonpropionat</w:t>
      </w:r>
      <w:proofErr w:type="spellEnd"/>
      <w:r>
        <w:rPr>
          <w:sz w:val="24"/>
          <w:szCs w:val="24"/>
        </w:rPr>
        <w:t xml:space="preserve"> i konventionelle genotoksiske undersøgelser. Desuden sås der ingen behandlingsrelaterede stigninger i </w:t>
      </w:r>
      <w:proofErr w:type="spellStart"/>
      <w:r>
        <w:rPr>
          <w:sz w:val="24"/>
          <w:szCs w:val="24"/>
        </w:rPr>
        <w:t>incidensen</w:t>
      </w:r>
      <w:proofErr w:type="spellEnd"/>
      <w:r>
        <w:rPr>
          <w:sz w:val="24"/>
          <w:szCs w:val="24"/>
        </w:rPr>
        <w:t xml:space="preserve"> af tumorer i </w:t>
      </w:r>
      <w:proofErr w:type="spellStart"/>
      <w:r>
        <w:rPr>
          <w:sz w:val="24"/>
          <w:szCs w:val="24"/>
        </w:rPr>
        <w:t>to-årige</w:t>
      </w:r>
      <w:proofErr w:type="spellEnd"/>
      <w:r>
        <w:rPr>
          <w:sz w:val="24"/>
          <w:szCs w:val="24"/>
        </w:rPr>
        <w:t xml:space="preserve"> inhalations</w:t>
      </w:r>
      <w:r>
        <w:rPr>
          <w:sz w:val="24"/>
          <w:szCs w:val="24"/>
        </w:rPr>
        <w:softHyphen/>
        <w:t xml:space="preserve">studier hos rotter og mus. </w:t>
      </w:r>
    </w:p>
    <w:p w:rsidR="00FF36E8" w:rsidRDefault="00FF36E8" w:rsidP="00FF36E8">
      <w:pPr>
        <w:tabs>
          <w:tab w:val="left" w:pos="851"/>
        </w:tabs>
        <w:autoSpaceDE w:val="0"/>
        <w:autoSpaceDN w:val="0"/>
        <w:adjustRightInd w:val="0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 dyrestudier er det påvist, at </w:t>
      </w:r>
      <w:proofErr w:type="spellStart"/>
      <w:r>
        <w:rPr>
          <w:sz w:val="24"/>
          <w:szCs w:val="24"/>
        </w:rPr>
        <w:t>glukokortikoider</w:t>
      </w:r>
      <w:proofErr w:type="spellEnd"/>
      <w:r>
        <w:rPr>
          <w:sz w:val="24"/>
          <w:szCs w:val="24"/>
        </w:rPr>
        <w:t xml:space="preserve"> inducerer misdannelser, herunder ganespaltning og intrauterin væksthæmning. Sandsynligvis er heller ikke disse fund relevante for mennesker, som får de anbefalede nasale doser, der resulterer i minimal systemisk eksponering (se pkt. 5.2).</w:t>
      </w:r>
    </w:p>
    <w:p w:rsidR="00FF36E8" w:rsidRPr="00FA7FA4" w:rsidRDefault="00FF36E8" w:rsidP="00FF36E8">
      <w:pPr>
        <w:ind w:left="851"/>
        <w:rPr>
          <w:sz w:val="24"/>
          <w:szCs w:val="24"/>
        </w:rPr>
      </w:pPr>
    </w:p>
    <w:p w:rsidR="00FF36E8" w:rsidRPr="00FA7FA4" w:rsidRDefault="00FF36E8" w:rsidP="00FF36E8">
      <w:pPr>
        <w:ind w:left="851"/>
        <w:rPr>
          <w:sz w:val="24"/>
          <w:szCs w:val="24"/>
          <w:u w:val="single"/>
        </w:rPr>
      </w:pPr>
      <w:proofErr w:type="spellStart"/>
      <w:r w:rsidRPr="00FA7FA4">
        <w:rPr>
          <w:sz w:val="24"/>
          <w:szCs w:val="24"/>
          <w:u w:val="single"/>
        </w:rPr>
        <w:t>Azelastinhydrochlorid</w:t>
      </w:r>
      <w:proofErr w:type="spellEnd"/>
    </w:p>
    <w:p w:rsidR="00FF36E8" w:rsidRPr="00FA7FA4" w:rsidRDefault="00FF36E8" w:rsidP="00FF36E8">
      <w:pPr>
        <w:ind w:left="851"/>
        <w:rPr>
          <w:sz w:val="24"/>
          <w:szCs w:val="24"/>
        </w:rPr>
      </w:pPr>
      <w:proofErr w:type="spellStart"/>
      <w:r w:rsidRPr="00FA7FA4">
        <w:rPr>
          <w:sz w:val="24"/>
          <w:szCs w:val="24"/>
        </w:rPr>
        <w:t>Azelastinhydrochlorid</w:t>
      </w:r>
      <w:proofErr w:type="spellEnd"/>
      <w:r w:rsidRPr="00FA7FA4">
        <w:rPr>
          <w:sz w:val="24"/>
          <w:szCs w:val="24"/>
        </w:rPr>
        <w:t xml:space="preserve"> viste intet sensibiliseringspotentiale hos marsvin. </w:t>
      </w:r>
      <w:proofErr w:type="spellStart"/>
      <w:r w:rsidRPr="00FA7FA4">
        <w:rPr>
          <w:sz w:val="24"/>
          <w:szCs w:val="24"/>
        </w:rPr>
        <w:t>Azelastin</w:t>
      </w:r>
      <w:proofErr w:type="spellEnd"/>
      <w:r w:rsidRPr="00FA7FA4">
        <w:rPr>
          <w:sz w:val="24"/>
          <w:szCs w:val="24"/>
        </w:rPr>
        <w:t xml:space="preserve"> viste intet genotoksisk potentiale i en række </w:t>
      </w:r>
      <w:r w:rsidRPr="00FA7FA4">
        <w:rPr>
          <w:i/>
          <w:sz w:val="24"/>
          <w:szCs w:val="24"/>
        </w:rPr>
        <w:t xml:space="preserve">in </w:t>
      </w:r>
      <w:proofErr w:type="spellStart"/>
      <w:r w:rsidRPr="00FA7FA4">
        <w:rPr>
          <w:i/>
          <w:sz w:val="24"/>
          <w:szCs w:val="24"/>
        </w:rPr>
        <w:t>vitro</w:t>
      </w:r>
      <w:proofErr w:type="spellEnd"/>
      <w:r w:rsidRPr="00FA7FA4">
        <w:rPr>
          <w:sz w:val="24"/>
          <w:szCs w:val="24"/>
        </w:rPr>
        <w:t xml:space="preserve">- og </w:t>
      </w:r>
      <w:r w:rsidRPr="00FA7FA4">
        <w:rPr>
          <w:i/>
          <w:sz w:val="24"/>
          <w:szCs w:val="24"/>
        </w:rPr>
        <w:t xml:space="preserve">in </w:t>
      </w:r>
      <w:proofErr w:type="spellStart"/>
      <w:r w:rsidRPr="00FA7FA4">
        <w:rPr>
          <w:i/>
          <w:sz w:val="24"/>
          <w:szCs w:val="24"/>
        </w:rPr>
        <w:t>vivo</w:t>
      </w:r>
      <w:proofErr w:type="spellEnd"/>
      <w:r w:rsidRPr="00FA7FA4">
        <w:rPr>
          <w:sz w:val="24"/>
          <w:szCs w:val="24"/>
        </w:rPr>
        <w:t xml:space="preserve">-test, og der sås heller ikke noget </w:t>
      </w:r>
      <w:proofErr w:type="spellStart"/>
      <w:r w:rsidRPr="00FA7FA4">
        <w:rPr>
          <w:sz w:val="24"/>
          <w:szCs w:val="24"/>
        </w:rPr>
        <w:t>karcinogent</w:t>
      </w:r>
      <w:proofErr w:type="spellEnd"/>
      <w:r w:rsidRPr="00FA7FA4">
        <w:rPr>
          <w:sz w:val="24"/>
          <w:szCs w:val="24"/>
        </w:rPr>
        <w:t xml:space="preserve"> potentiale hos rotter eller mus. Hos han- og hunrotter medførte </w:t>
      </w:r>
      <w:proofErr w:type="spellStart"/>
      <w:r w:rsidRPr="00FA7FA4">
        <w:rPr>
          <w:sz w:val="24"/>
          <w:szCs w:val="24"/>
        </w:rPr>
        <w:t>azelastin</w:t>
      </w:r>
      <w:proofErr w:type="spellEnd"/>
      <w:r w:rsidRPr="00FA7FA4">
        <w:rPr>
          <w:sz w:val="24"/>
          <w:szCs w:val="24"/>
        </w:rPr>
        <w:t xml:space="preserve"> i orale doser over 3 mg/kg/dag et dosisrelateret fald i fertilitetsindekset; der blev ikke fundet nogen stofrelaterede forandringer i de reproduktive organer hos hverken han- eller hunrotter i kroniske toksicitetsstudier. Embryotoksiske og </w:t>
      </w:r>
      <w:proofErr w:type="spellStart"/>
      <w:r w:rsidRPr="00FA7FA4">
        <w:rPr>
          <w:sz w:val="24"/>
          <w:szCs w:val="24"/>
        </w:rPr>
        <w:t>teratogene</w:t>
      </w:r>
      <w:proofErr w:type="spellEnd"/>
      <w:r w:rsidRPr="00FA7FA4">
        <w:rPr>
          <w:sz w:val="24"/>
          <w:szCs w:val="24"/>
        </w:rPr>
        <w:t xml:space="preserve"> virkninger i rotter, mus og kaniner sås kun ved </w:t>
      </w:r>
      <w:proofErr w:type="spellStart"/>
      <w:r w:rsidRPr="00FA7FA4">
        <w:rPr>
          <w:sz w:val="24"/>
          <w:szCs w:val="24"/>
        </w:rPr>
        <w:t>maternelt</w:t>
      </w:r>
      <w:proofErr w:type="spellEnd"/>
      <w:r w:rsidRPr="00FA7FA4">
        <w:rPr>
          <w:sz w:val="24"/>
          <w:szCs w:val="24"/>
        </w:rPr>
        <w:t xml:space="preserve"> toksiske doser (f.eks. misdannelser i skelettet blev observeret hos rotter og mus ved doser på 68,6 mg/kg/dag).</w:t>
      </w:r>
    </w:p>
    <w:p w:rsidR="00FF36E8" w:rsidRDefault="00FF36E8" w:rsidP="00FF36E8">
      <w:pPr>
        <w:ind w:left="851"/>
        <w:rPr>
          <w:sz w:val="24"/>
          <w:szCs w:val="24"/>
        </w:rPr>
      </w:pPr>
    </w:p>
    <w:p w:rsidR="00FF36E8" w:rsidRPr="00FA7FA4" w:rsidRDefault="00FF36E8" w:rsidP="00FF36E8">
      <w:pPr>
        <w:ind w:left="851"/>
        <w:rPr>
          <w:sz w:val="24"/>
          <w:szCs w:val="24"/>
        </w:rPr>
      </w:pPr>
      <w:proofErr w:type="spellStart"/>
      <w:r w:rsidRPr="00FA7FA4">
        <w:rPr>
          <w:sz w:val="24"/>
          <w:szCs w:val="24"/>
          <w:u w:val="single"/>
        </w:rPr>
        <w:t>Dymista</w:t>
      </w:r>
      <w:proofErr w:type="spellEnd"/>
      <w:r w:rsidRPr="00FA7FA4">
        <w:rPr>
          <w:sz w:val="24"/>
          <w:szCs w:val="24"/>
          <w:u w:val="single"/>
        </w:rPr>
        <w:t xml:space="preserve"> næsespray, suspension</w:t>
      </w:r>
      <w:r>
        <w:rPr>
          <w:sz w:val="24"/>
          <w:szCs w:val="24"/>
          <w:u w:val="single"/>
        </w:rPr>
        <w:br/>
      </w:r>
      <w:r w:rsidRPr="00FA7FA4">
        <w:rPr>
          <w:sz w:val="24"/>
          <w:szCs w:val="24"/>
        </w:rPr>
        <w:t xml:space="preserve">Toksicitetsstudier med gentagen intranasal dosering hos rotter i en periode på op til 90 dage og hos hunde i 14 dage med </w:t>
      </w:r>
      <w:proofErr w:type="spellStart"/>
      <w:r w:rsidRPr="00FA7FA4">
        <w:rPr>
          <w:sz w:val="24"/>
          <w:szCs w:val="24"/>
        </w:rPr>
        <w:t>Dymista</w:t>
      </w:r>
      <w:proofErr w:type="spellEnd"/>
      <w:r w:rsidRPr="00FA7FA4">
        <w:rPr>
          <w:sz w:val="24"/>
          <w:szCs w:val="24"/>
        </w:rPr>
        <w:t xml:space="preserve"> viste ingen nye bivirkninger sammenlignet med de individuelle komponenter.</w:t>
      </w:r>
    </w:p>
    <w:p w:rsidR="00FF36E8" w:rsidRPr="00FA7FA4" w:rsidRDefault="00FF36E8" w:rsidP="00FF36E8">
      <w:pPr>
        <w:rPr>
          <w:sz w:val="24"/>
          <w:szCs w:val="24"/>
        </w:rPr>
      </w:pP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</w:t>
      </w:r>
      <w:r w:rsidRPr="00C84483">
        <w:rPr>
          <w:b/>
          <w:sz w:val="24"/>
          <w:szCs w:val="24"/>
        </w:rPr>
        <w:tab/>
        <w:t>FARMACEUTISKE OPLYSNINGER</w:t>
      </w:r>
    </w:p>
    <w:p w:rsidR="007448A8" w:rsidRPr="00BA09F1" w:rsidRDefault="007448A8" w:rsidP="007448A8">
      <w:pPr>
        <w:tabs>
          <w:tab w:val="left" w:pos="851"/>
        </w:tabs>
        <w:ind w:left="851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6.1</w:t>
      </w:r>
      <w:r w:rsidRPr="00C84483">
        <w:rPr>
          <w:b/>
          <w:sz w:val="24"/>
          <w:szCs w:val="24"/>
        </w:rPr>
        <w:tab/>
        <w:t>Hjælpestoffer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Dinatriumedetat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Glycerol (E422)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Mikrokrystallinsk cellulose (E460)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Carmellosenatrium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Polysorbat</w:t>
      </w:r>
      <w:proofErr w:type="spellEnd"/>
      <w:r>
        <w:rPr>
          <w:sz w:val="24"/>
          <w:szCs w:val="24"/>
        </w:rPr>
        <w:t xml:space="preserve"> 80 (E433)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Benzalkoniumchlorid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Phenylethylalkohol</w:t>
      </w:r>
      <w:proofErr w:type="spellEnd"/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Renset vand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6.2</w:t>
      </w:r>
      <w:r w:rsidRPr="00C84483">
        <w:rPr>
          <w:b/>
          <w:sz w:val="24"/>
          <w:szCs w:val="24"/>
        </w:rPr>
        <w:tab/>
        <w:t>Uforligeligheder</w:t>
      </w:r>
    </w:p>
    <w:p w:rsidR="00FF36E8" w:rsidRPr="00FA7FA4" w:rsidRDefault="00FF36E8" w:rsidP="00FF36E8">
      <w:pPr>
        <w:ind w:left="851"/>
        <w:rPr>
          <w:sz w:val="24"/>
          <w:szCs w:val="24"/>
        </w:rPr>
      </w:pPr>
      <w:r w:rsidRPr="00FA7FA4">
        <w:rPr>
          <w:sz w:val="24"/>
          <w:szCs w:val="24"/>
        </w:rPr>
        <w:t>Ikke relevant.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6.3</w:t>
      </w:r>
      <w:r w:rsidRPr="00C84483">
        <w:rPr>
          <w:b/>
          <w:sz w:val="24"/>
          <w:szCs w:val="24"/>
        </w:rPr>
        <w:tab/>
        <w:t>Opbevaringstid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10 ml flaske med 6,4 g suspension: 18 måneder.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25 ml flaske med 23 g suspension: 2 år.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</w:p>
    <w:p w:rsidR="00FF36E8" w:rsidRDefault="00FF36E8" w:rsidP="00FF36E8">
      <w:pPr>
        <w:tabs>
          <w:tab w:val="left" w:pos="851"/>
        </w:tabs>
        <w:ind w:left="851"/>
        <w:rPr>
          <w:rFonts w:cs="Arial"/>
          <w:iCs/>
          <w:sz w:val="24"/>
          <w:szCs w:val="24"/>
        </w:rPr>
      </w:pPr>
      <w:r>
        <w:rPr>
          <w:sz w:val="24"/>
          <w:szCs w:val="24"/>
        </w:rPr>
        <w:t>Efter ibrugtagning: 6 måneder.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6.4</w:t>
      </w:r>
      <w:r w:rsidRPr="00C84483">
        <w:rPr>
          <w:b/>
          <w:sz w:val="24"/>
          <w:szCs w:val="24"/>
        </w:rPr>
        <w:tab/>
        <w:t>Særlige opbevaringsforhold</w:t>
      </w:r>
    </w:p>
    <w:p w:rsidR="00FF36E8" w:rsidRDefault="00FF36E8" w:rsidP="00FF36E8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Må ikke opbevares i køleskab eller nedfryses.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6.5</w:t>
      </w:r>
      <w:r w:rsidRPr="00C84483">
        <w:rPr>
          <w:b/>
          <w:sz w:val="24"/>
          <w:szCs w:val="24"/>
        </w:rPr>
        <w:tab/>
        <w:t>Emballagetype og pakningsstørrelser</w:t>
      </w:r>
    </w:p>
    <w:p w:rsidR="0064195B" w:rsidRDefault="0064195B" w:rsidP="0064195B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Ravfarvet type 1-glasflaske med en spraypumpe, en nasal polypropylen applikator (</w:t>
      </w:r>
      <w:proofErr w:type="spellStart"/>
      <w:r>
        <w:rPr>
          <w:sz w:val="24"/>
          <w:szCs w:val="24"/>
        </w:rPr>
        <w:t>aktuator</w:t>
      </w:r>
      <w:proofErr w:type="spellEnd"/>
      <w:r>
        <w:rPr>
          <w:sz w:val="24"/>
          <w:szCs w:val="24"/>
        </w:rPr>
        <w:t>) og en støvhætte indeholdende 6,4 g (mindst 28 pust) eller 23 g (mindst 120 pust) suspension.</w:t>
      </w:r>
    </w:p>
    <w:p w:rsidR="0064195B" w:rsidRDefault="0064195B" w:rsidP="0064195B">
      <w:pPr>
        <w:tabs>
          <w:tab w:val="left" w:pos="851"/>
        </w:tabs>
        <w:ind w:left="851"/>
        <w:outlineLvl w:val="0"/>
        <w:rPr>
          <w:sz w:val="24"/>
          <w:szCs w:val="24"/>
        </w:rPr>
      </w:pPr>
    </w:p>
    <w:p w:rsidR="0064195B" w:rsidRDefault="0064195B" w:rsidP="0064195B">
      <w:pPr>
        <w:tabs>
          <w:tab w:val="left" w:pos="851"/>
        </w:tabs>
        <w:ind w:left="851"/>
        <w:outlineLvl w:val="0"/>
        <w:rPr>
          <w:i/>
          <w:sz w:val="24"/>
          <w:szCs w:val="24"/>
        </w:rPr>
      </w:pPr>
      <w:r>
        <w:rPr>
          <w:sz w:val="24"/>
          <w:szCs w:val="24"/>
          <w:u w:val="single"/>
        </w:rPr>
        <w:t>Pakningsstørrelser</w:t>
      </w:r>
    </w:p>
    <w:p w:rsidR="0064195B" w:rsidRDefault="0064195B" w:rsidP="0064195B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 flaske med 6,4 g suspension i 10 ml flasker (mindst 28 pust) og 1 flaske med 23 g suspension i 25 ml flasker (mindst 120 pust).</w:t>
      </w:r>
    </w:p>
    <w:p w:rsidR="0064195B" w:rsidRDefault="0064195B" w:rsidP="0064195B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Sampakninger</w:t>
      </w:r>
      <w:proofErr w:type="spellEnd"/>
      <w:r>
        <w:rPr>
          <w:sz w:val="24"/>
          <w:szCs w:val="24"/>
        </w:rPr>
        <w:t xml:space="preserve"> indeholdende 64 g (10 flasker á 6,4 g) suspension. </w:t>
      </w:r>
    </w:p>
    <w:p w:rsidR="0064195B" w:rsidRDefault="0064195B" w:rsidP="0064195B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>
        <w:rPr>
          <w:sz w:val="24"/>
          <w:szCs w:val="24"/>
        </w:rPr>
        <w:t>Sampakninger</w:t>
      </w:r>
      <w:proofErr w:type="spellEnd"/>
      <w:r>
        <w:rPr>
          <w:sz w:val="24"/>
          <w:szCs w:val="24"/>
        </w:rPr>
        <w:t xml:space="preserve"> indeholdende 69 g (3 flasker á 23 g) suspension. </w:t>
      </w:r>
    </w:p>
    <w:p w:rsidR="0064195B" w:rsidRDefault="0064195B" w:rsidP="0064195B">
      <w:pPr>
        <w:tabs>
          <w:tab w:val="left" w:pos="851"/>
        </w:tabs>
        <w:ind w:left="851"/>
        <w:outlineLvl w:val="0"/>
        <w:rPr>
          <w:sz w:val="24"/>
          <w:szCs w:val="24"/>
        </w:rPr>
      </w:pPr>
      <w:r>
        <w:rPr>
          <w:sz w:val="24"/>
          <w:szCs w:val="24"/>
        </w:rPr>
        <w:t>Ikke alle pakningsstørrelser er nødvendigvis markedsført.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6.6</w:t>
      </w:r>
      <w:r w:rsidRPr="00C84483">
        <w:rPr>
          <w:b/>
          <w:sz w:val="24"/>
          <w:szCs w:val="24"/>
        </w:rPr>
        <w:tab/>
        <w:t xml:space="preserve">Regler for </w:t>
      </w:r>
      <w:r>
        <w:rPr>
          <w:b/>
          <w:sz w:val="24"/>
          <w:szCs w:val="24"/>
        </w:rPr>
        <w:t>bortskaffelse</w:t>
      </w:r>
      <w:r w:rsidRPr="00C84483">
        <w:rPr>
          <w:b/>
          <w:sz w:val="24"/>
          <w:szCs w:val="24"/>
        </w:rPr>
        <w:t xml:space="preserve"> og anden håndtering</w:t>
      </w:r>
    </w:p>
    <w:p w:rsidR="00FF36E8" w:rsidRDefault="00FF36E8" w:rsidP="00FF36E8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 xml:space="preserve">Ingen særlige forholdsregler. </w:t>
      </w:r>
    </w:p>
    <w:p w:rsidR="00FF36E8" w:rsidRPr="00EC0B9B" w:rsidRDefault="00FF36E8" w:rsidP="00FF36E8">
      <w:pPr>
        <w:tabs>
          <w:tab w:val="left" w:pos="851"/>
        </w:tabs>
        <w:jc w:val="both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7.</w:t>
      </w:r>
      <w:r w:rsidRPr="00C84483">
        <w:rPr>
          <w:b/>
          <w:sz w:val="24"/>
          <w:szCs w:val="24"/>
        </w:rPr>
        <w:tab/>
        <w:t>INDEHAVER AF MARKEDSFØRINGSTILLADELSEN</w:t>
      </w:r>
    </w:p>
    <w:p w:rsidR="0003774C" w:rsidRPr="006F42FD" w:rsidRDefault="0003774C" w:rsidP="006F42FD">
      <w:pPr>
        <w:ind w:left="851"/>
        <w:rPr>
          <w:sz w:val="24"/>
          <w:szCs w:val="24"/>
        </w:rPr>
      </w:pPr>
      <w:proofErr w:type="spellStart"/>
      <w:r w:rsidRPr="006F42FD">
        <w:rPr>
          <w:sz w:val="24"/>
          <w:szCs w:val="24"/>
        </w:rPr>
        <w:t>Viatris</w:t>
      </w:r>
      <w:proofErr w:type="spellEnd"/>
      <w:r w:rsidRPr="006F42FD">
        <w:rPr>
          <w:sz w:val="24"/>
          <w:szCs w:val="24"/>
        </w:rPr>
        <w:t xml:space="preserve"> ApS</w:t>
      </w:r>
    </w:p>
    <w:p w:rsidR="0003774C" w:rsidRPr="006F42FD" w:rsidRDefault="0003774C" w:rsidP="006F42FD">
      <w:pPr>
        <w:ind w:left="851"/>
        <w:rPr>
          <w:sz w:val="24"/>
          <w:szCs w:val="24"/>
        </w:rPr>
      </w:pPr>
      <w:r w:rsidRPr="006F42FD">
        <w:rPr>
          <w:sz w:val="24"/>
          <w:szCs w:val="24"/>
        </w:rPr>
        <w:t>Borupvang 1</w:t>
      </w:r>
    </w:p>
    <w:p w:rsidR="00FF36E8" w:rsidRPr="006F42FD" w:rsidRDefault="0003774C" w:rsidP="006F42FD">
      <w:pPr>
        <w:ind w:left="851"/>
        <w:rPr>
          <w:sz w:val="24"/>
          <w:szCs w:val="24"/>
        </w:rPr>
      </w:pPr>
      <w:r w:rsidRPr="006F42FD">
        <w:rPr>
          <w:sz w:val="24"/>
          <w:szCs w:val="24"/>
        </w:rPr>
        <w:t>2750 Ballerup</w:t>
      </w:r>
    </w:p>
    <w:p w:rsidR="0003774C" w:rsidRPr="00EC0B9B" w:rsidRDefault="0003774C" w:rsidP="0003774C">
      <w:pPr>
        <w:tabs>
          <w:tab w:val="left" w:pos="0"/>
          <w:tab w:val="left" w:pos="851"/>
        </w:tabs>
        <w:ind w:left="850" w:hanging="850"/>
        <w:jc w:val="both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8.</w:t>
      </w:r>
      <w:r w:rsidRPr="00C84483">
        <w:rPr>
          <w:b/>
          <w:sz w:val="24"/>
          <w:szCs w:val="24"/>
        </w:rPr>
        <w:tab/>
        <w:t>MARKEDSFØRINGSTILLADELSESNUMMER (</w:t>
      </w:r>
      <w:r>
        <w:rPr>
          <w:b/>
          <w:sz w:val="24"/>
          <w:szCs w:val="24"/>
        </w:rPr>
        <w:t>-</w:t>
      </w:r>
      <w:r w:rsidRPr="00C84483">
        <w:rPr>
          <w:b/>
          <w:sz w:val="24"/>
          <w:szCs w:val="24"/>
        </w:rPr>
        <w:t>NUMRE)</w:t>
      </w:r>
    </w:p>
    <w:p w:rsidR="00FF36E8" w:rsidRPr="00EC0B9B" w:rsidRDefault="00FF36E8" w:rsidP="00FF36E8">
      <w:pPr>
        <w:tabs>
          <w:tab w:val="left" w:pos="851"/>
        </w:tabs>
        <w:ind w:left="851" w:hanging="851"/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49785</w:t>
      </w:r>
    </w:p>
    <w:p w:rsidR="00FF36E8" w:rsidRPr="00EC0B9B" w:rsidRDefault="00FF36E8" w:rsidP="00FF36E8">
      <w:pPr>
        <w:tabs>
          <w:tab w:val="left" w:pos="851"/>
        </w:tabs>
        <w:jc w:val="both"/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9.</w:t>
      </w:r>
      <w:r w:rsidRPr="00C84483">
        <w:rPr>
          <w:b/>
          <w:sz w:val="24"/>
          <w:szCs w:val="24"/>
        </w:rPr>
        <w:tab/>
        <w:t>DATO FOR FØRSTE MARKEDSFØRINGSTILLADELSE</w:t>
      </w:r>
    </w:p>
    <w:p w:rsidR="00FF36E8" w:rsidRDefault="00FF36E8" w:rsidP="00FF36E8">
      <w:pPr>
        <w:tabs>
          <w:tab w:val="left" w:pos="851"/>
        </w:tabs>
        <w:rPr>
          <w:sz w:val="24"/>
          <w:szCs w:val="24"/>
        </w:rPr>
      </w:pPr>
      <w:r w:rsidRPr="00EC0B9B">
        <w:rPr>
          <w:sz w:val="24"/>
          <w:szCs w:val="24"/>
        </w:rPr>
        <w:tab/>
      </w:r>
      <w:r>
        <w:rPr>
          <w:sz w:val="24"/>
          <w:szCs w:val="24"/>
        </w:rPr>
        <w:t>19. februar 2013</w:t>
      </w:r>
    </w:p>
    <w:p w:rsidR="00FF36E8" w:rsidRPr="00EC0B9B" w:rsidRDefault="00FF36E8" w:rsidP="00FF36E8">
      <w:pPr>
        <w:tabs>
          <w:tab w:val="left" w:pos="851"/>
        </w:tabs>
        <w:rPr>
          <w:sz w:val="24"/>
          <w:szCs w:val="24"/>
        </w:rPr>
      </w:pPr>
    </w:p>
    <w:p w:rsidR="007448A8" w:rsidRPr="00C84483" w:rsidRDefault="007448A8" w:rsidP="007448A8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C84483">
        <w:rPr>
          <w:b/>
          <w:sz w:val="24"/>
          <w:szCs w:val="24"/>
        </w:rPr>
        <w:t>10.</w:t>
      </w:r>
      <w:r w:rsidRPr="00C84483">
        <w:rPr>
          <w:b/>
          <w:sz w:val="24"/>
          <w:szCs w:val="24"/>
        </w:rPr>
        <w:tab/>
        <w:t>DATO FOR ÆNDRING AF TEKSTEN</w:t>
      </w:r>
    </w:p>
    <w:p w:rsidR="009260DE" w:rsidRPr="006F42FD" w:rsidRDefault="00FF36E8" w:rsidP="006F42FD">
      <w:pPr>
        <w:tabs>
          <w:tab w:val="left" w:pos="851"/>
        </w:tabs>
        <w:rPr>
          <w:sz w:val="24"/>
          <w:szCs w:val="24"/>
        </w:rPr>
      </w:pPr>
      <w:r w:rsidRPr="00B31DC4">
        <w:rPr>
          <w:sz w:val="24"/>
          <w:szCs w:val="24"/>
        </w:rPr>
        <w:tab/>
      </w:r>
      <w:r w:rsidR="00D93DFC">
        <w:rPr>
          <w:sz w:val="24"/>
          <w:szCs w:val="24"/>
        </w:rPr>
        <w:t>6</w:t>
      </w:r>
      <w:r w:rsidR="00FD0DB6">
        <w:rPr>
          <w:sz w:val="24"/>
          <w:szCs w:val="24"/>
        </w:rPr>
        <w:t>. februar 202</w:t>
      </w:r>
      <w:r w:rsidR="00D93DFC">
        <w:rPr>
          <w:sz w:val="24"/>
          <w:szCs w:val="24"/>
        </w:rPr>
        <w:t>6</w:t>
      </w:r>
    </w:p>
    <w:sectPr w:rsidR="009260DE" w:rsidRPr="006F42FD" w:rsidSect="000259B9">
      <w:footerReference w:type="default" r:id="rId10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6E8" w:rsidRDefault="00FF36E8">
      <w:r>
        <w:separator/>
      </w:r>
    </w:p>
  </w:endnote>
  <w:endnote w:type="continuationSeparator" w:id="0">
    <w:p w:rsidR="00FF36E8" w:rsidRDefault="00FF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59B9" w:rsidRDefault="000259B9">
    <w:pPr>
      <w:pStyle w:val="Sidefod"/>
      <w:pBdr>
        <w:bottom w:val="single" w:sz="6" w:space="1" w:color="auto"/>
      </w:pBdr>
    </w:pPr>
  </w:p>
  <w:p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9F71E2">
      <w:rPr>
        <w:i/>
        <w:noProof/>
        <w:sz w:val="18"/>
        <w:szCs w:val="18"/>
      </w:rPr>
      <w:t>Dymista, næsespray, suspension 137+50 mikrog-pust.docx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6E8" w:rsidRDefault="00FF36E8">
      <w:r>
        <w:separator/>
      </w:r>
    </w:p>
  </w:footnote>
  <w:footnote w:type="continuationSeparator" w:id="0">
    <w:p w:rsidR="00FF36E8" w:rsidRDefault="00FF3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6E8"/>
    <w:rsid w:val="000259B9"/>
    <w:rsid w:val="0003774C"/>
    <w:rsid w:val="00041491"/>
    <w:rsid w:val="00050D16"/>
    <w:rsid w:val="00074F2A"/>
    <w:rsid w:val="000815FD"/>
    <w:rsid w:val="000A1CA8"/>
    <w:rsid w:val="000A466B"/>
    <w:rsid w:val="000B058C"/>
    <w:rsid w:val="000E4EE6"/>
    <w:rsid w:val="00106CE8"/>
    <w:rsid w:val="001144A6"/>
    <w:rsid w:val="00123C12"/>
    <w:rsid w:val="001454E2"/>
    <w:rsid w:val="001503B9"/>
    <w:rsid w:val="00186EB3"/>
    <w:rsid w:val="00206CE8"/>
    <w:rsid w:val="0021526C"/>
    <w:rsid w:val="00283A2B"/>
    <w:rsid w:val="002B30AD"/>
    <w:rsid w:val="002C2C01"/>
    <w:rsid w:val="00352633"/>
    <w:rsid w:val="003A29AE"/>
    <w:rsid w:val="003A32D7"/>
    <w:rsid w:val="003B4074"/>
    <w:rsid w:val="003C769A"/>
    <w:rsid w:val="003F1838"/>
    <w:rsid w:val="0045746C"/>
    <w:rsid w:val="0049104B"/>
    <w:rsid w:val="004E3B12"/>
    <w:rsid w:val="004F006C"/>
    <w:rsid w:val="00532310"/>
    <w:rsid w:val="00560ECC"/>
    <w:rsid w:val="00563082"/>
    <w:rsid w:val="00565F0F"/>
    <w:rsid w:val="00594A86"/>
    <w:rsid w:val="00596D86"/>
    <w:rsid w:val="006316AC"/>
    <w:rsid w:val="00637F5A"/>
    <w:rsid w:val="0064195B"/>
    <w:rsid w:val="006560B1"/>
    <w:rsid w:val="006756DD"/>
    <w:rsid w:val="006F42FD"/>
    <w:rsid w:val="00737275"/>
    <w:rsid w:val="00740EEC"/>
    <w:rsid w:val="007448A8"/>
    <w:rsid w:val="0077766F"/>
    <w:rsid w:val="0078011A"/>
    <w:rsid w:val="00782AF4"/>
    <w:rsid w:val="00790EE7"/>
    <w:rsid w:val="007B6649"/>
    <w:rsid w:val="007D2755"/>
    <w:rsid w:val="0081546F"/>
    <w:rsid w:val="0082576E"/>
    <w:rsid w:val="00870C75"/>
    <w:rsid w:val="008B481C"/>
    <w:rsid w:val="00907F75"/>
    <w:rsid w:val="009260DE"/>
    <w:rsid w:val="0093258A"/>
    <w:rsid w:val="009C7BA3"/>
    <w:rsid w:val="009D1F5A"/>
    <w:rsid w:val="009F3F2B"/>
    <w:rsid w:val="009F71E2"/>
    <w:rsid w:val="00AA10C7"/>
    <w:rsid w:val="00B003BF"/>
    <w:rsid w:val="00B373D7"/>
    <w:rsid w:val="00C36276"/>
    <w:rsid w:val="00C42586"/>
    <w:rsid w:val="00C60CCD"/>
    <w:rsid w:val="00C84483"/>
    <w:rsid w:val="00C95551"/>
    <w:rsid w:val="00CB0EE5"/>
    <w:rsid w:val="00CB20D7"/>
    <w:rsid w:val="00D020B0"/>
    <w:rsid w:val="00D11748"/>
    <w:rsid w:val="00D366CF"/>
    <w:rsid w:val="00D93DFC"/>
    <w:rsid w:val="00E05DAA"/>
    <w:rsid w:val="00E108AA"/>
    <w:rsid w:val="00E31812"/>
    <w:rsid w:val="00E3749A"/>
    <w:rsid w:val="00E7437F"/>
    <w:rsid w:val="00E865B8"/>
    <w:rsid w:val="00EC0B9B"/>
    <w:rsid w:val="00ED5E9F"/>
    <w:rsid w:val="00F169FC"/>
    <w:rsid w:val="00F66D4F"/>
    <w:rsid w:val="00FB6D01"/>
    <w:rsid w:val="00FD0DB6"/>
    <w:rsid w:val="00FD5532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BF731"/>
  <w15:chartTrackingRefBased/>
  <w15:docId w15:val="{0AC28B3C-28C6-4FEA-A72F-17EBF2D6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44A6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customStyle="1" w:styleId="EMEAEnBodyText">
    <w:name w:val="EMEA En Body Text"/>
    <w:basedOn w:val="Normal"/>
    <w:rsid w:val="00FF36E8"/>
    <w:pPr>
      <w:spacing w:before="120" w:after="120"/>
      <w:jc w:val="both"/>
    </w:pPr>
    <w:rPr>
      <w:sz w:val="22"/>
      <w:lang w:eastAsia="da-DK"/>
    </w:rPr>
  </w:style>
  <w:style w:type="paragraph" w:styleId="NormalWeb">
    <w:name w:val="Normal (Web)"/>
    <w:basedOn w:val="Normal"/>
    <w:semiHidden/>
    <w:unhideWhenUsed/>
    <w:rsid w:val="00FF36E8"/>
    <w:pPr>
      <w:spacing w:before="100" w:beforeAutospacing="1" w:after="100" w:afterAutospacing="1"/>
    </w:pPr>
    <w:rPr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FF3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eldenbivirkning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11</Pages>
  <Words>2863</Words>
  <Characters>19371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Gitte Jørgensen</dc:creator>
  <cp:keywords/>
  <dc:description>2024102329, filnavn ændret fra dosis til pust</dc:description>
  <cp:lastModifiedBy>Gitte Jørgensen</cp:lastModifiedBy>
  <cp:revision>7</cp:revision>
  <cp:lastPrinted>2012-08-22T08:53:00Z</cp:lastPrinted>
  <dcterms:created xsi:type="dcterms:W3CDTF">2026-02-06T09:58:00Z</dcterms:created>
  <dcterms:modified xsi:type="dcterms:W3CDTF">2026-02-06T10:35:00Z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ewTemplateConverted">
    <vt:lpwstr>SPC Hum.dotm</vt:lpwstr>
  </property>
  <property fmtid="{D5CDD505-2E9C-101B-9397-08002B2CF9AE}" pid="3" name="ConvertedFromMacroDocument">
    <vt:lpwstr>True</vt:lpwstr>
  </property>
</Properties>
</file>