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F9F7C" w14:textId="77777777" w:rsidR="009260DE" w:rsidRPr="00CE778C" w:rsidRDefault="0021526C" w:rsidP="009260DE">
      <w:pPr>
        <w:rPr>
          <w:sz w:val="24"/>
          <w:szCs w:val="24"/>
        </w:rPr>
      </w:pPr>
      <w:bookmarkStart w:id="0" w:name="_GoBack"/>
      <w:bookmarkEnd w:id="0"/>
      <w:r w:rsidRPr="00CE778C">
        <w:rPr>
          <w:noProof/>
          <w:sz w:val="24"/>
          <w:szCs w:val="24"/>
          <w:lang w:eastAsia="da-DK"/>
        </w:rPr>
        <w:drawing>
          <wp:anchor distT="0" distB="0" distL="114300" distR="114300" simplePos="0" relativeHeight="251658240" behindDoc="0" locked="0" layoutInCell="1" allowOverlap="1" wp14:anchorId="49B0AB98" wp14:editId="19B3CA2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E778C">
        <w:rPr>
          <w:sz w:val="24"/>
          <w:szCs w:val="24"/>
        </w:rPr>
        <w:br w:type="textWrapping" w:clear="all"/>
      </w:r>
    </w:p>
    <w:p w14:paraId="38CE9287" w14:textId="3D26EBBA" w:rsidR="009260DE" w:rsidRPr="001D7285" w:rsidRDefault="009260DE" w:rsidP="009260DE">
      <w:pPr>
        <w:pStyle w:val="Titel"/>
        <w:tabs>
          <w:tab w:val="right" w:pos="9356"/>
        </w:tabs>
        <w:jc w:val="left"/>
        <w:rPr>
          <w:b w:val="0"/>
          <w:szCs w:val="24"/>
          <w:lang w:eastAsia="en-US"/>
        </w:rPr>
      </w:pPr>
      <w:r w:rsidRPr="00CE778C">
        <w:rPr>
          <w:b w:val="0"/>
          <w:szCs w:val="24"/>
          <w:lang w:eastAsia="en-US"/>
        </w:rPr>
        <w:tab/>
      </w:r>
      <w:r w:rsidR="001D7285">
        <w:rPr>
          <w:szCs w:val="24"/>
        </w:rPr>
        <w:t>19. februar 2025</w:t>
      </w:r>
    </w:p>
    <w:p w14:paraId="67D8161D" w14:textId="77777777" w:rsidR="009260DE" w:rsidRPr="001D7285" w:rsidRDefault="009260DE" w:rsidP="009260DE">
      <w:pPr>
        <w:pStyle w:val="Titel"/>
        <w:tabs>
          <w:tab w:val="left" w:pos="8222"/>
        </w:tabs>
        <w:jc w:val="left"/>
        <w:rPr>
          <w:b w:val="0"/>
          <w:szCs w:val="24"/>
        </w:rPr>
      </w:pPr>
    </w:p>
    <w:p w14:paraId="67D5534A" w14:textId="77777777" w:rsidR="009260DE" w:rsidRPr="001D7285" w:rsidRDefault="009260DE" w:rsidP="009260DE">
      <w:pPr>
        <w:pStyle w:val="Titel"/>
        <w:jc w:val="left"/>
        <w:rPr>
          <w:b w:val="0"/>
          <w:szCs w:val="24"/>
        </w:rPr>
      </w:pPr>
    </w:p>
    <w:p w14:paraId="7DE92847" w14:textId="77777777" w:rsidR="009260DE" w:rsidRPr="001D7285" w:rsidRDefault="009260DE" w:rsidP="009260DE">
      <w:pPr>
        <w:pStyle w:val="Titel"/>
        <w:jc w:val="left"/>
        <w:rPr>
          <w:b w:val="0"/>
          <w:szCs w:val="24"/>
        </w:rPr>
      </w:pPr>
    </w:p>
    <w:p w14:paraId="74BB294C" w14:textId="77777777" w:rsidR="009260DE" w:rsidRPr="001D7285" w:rsidRDefault="009260DE" w:rsidP="009260DE">
      <w:pPr>
        <w:jc w:val="center"/>
        <w:rPr>
          <w:b/>
          <w:sz w:val="24"/>
          <w:szCs w:val="24"/>
        </w:rPr>
      </w:pPr>
      <w:r w:rsidRPr="001D7285">
        <w:rPr>
          <w:b/>
          <w:sz w:val="24"/>
          <w:szCs w:val="24"/>
        </w:rPr>
        <w:t>PRODUKTRESUMÉ</w:t>
      </w:r>
    </w:p>
    <w:p w14:paraId="4B2C2C0A" w14:textId="77777777" w:rsidR="009260DE" w:rsidRPr="001D7285" w:rsidRDefault="009260DE" w:rsidP="009260DE">
      <w:pPr>
        <w:jc w:val="center"/>
        <w:rPr>
          <w:b/>
          <w:sz w:val="24"/>
          <w:szCs w:val="24"/>
        </w:rPr>
      </w:pPr>
    </w:p>
    <w:p w14:paraId="78A256F8" w14:textId="77777777" w:rsidR="009260DE" w:rsidRPr="001D7285" w:rsidRDefault="009260DE" w:rsidP="009260DE">
      <w:pPr>
        <w:jc w:val="center"/>
        <w:rPr>
          <w:b/>
          <w:sz w:val="24"/>
          <w:szCs w:val="24"/>
        </w:rPr>
      </w:pPr>
      <w:r w:rsidRPr="001D7285">
        <w:rPr>
          <w:b/>
          <w:sz w:val="24"/>
          <w:szCs w:val="24"/>
        </w:rPr>
        <w:t>for</w:t>
      </w:r>
    </w:p>
    <w:p w14:paraId="06EF520C" w14:textId="77777777" w:rsidR="000B058C" w:rsidRPr="001D7285" w:rsidRDefault="000B058C" w:rsidP="009260DE">
      <w:pPr>
        <w:jc w:val="center"/>
        <w:rPr>
          <w:b/>
          <w:sz w:val="24"/>
          <w:szCs w:val="24"/>
        </w:rPr>
      </w:pPr>
    </w:p>
    <w:p w14:paraId="262B43D8" w14:textId="4A5762BE" w:rsidR="009260DE" w:rsidRPr="001D7285" w:rsidRDefault="00477E76" w:rsidP="009260DE">
      <w:pPr>
        <w:jc w:val="center"/>
        <w:rPr>
          <w:b/>
          <w:sz w:val="24"/>
          <w:szCs w:val="24"/>
        </w:rPr>
      </w:pPr>
      <w:r w:rsidRPr="001D7285">
        <w:rPr>
          <w:b/>
          <w:sz w:val="24"/>
          <w:szCs w:val="24"/>
        </w:rPr>
        <w:t xml:space="preserve">Edoxaban </w:t>
      </w:r>
      <w:r w:rsidR="00BC493D" w:rsidRPr="001D7285">
        <w:rPr>
          <w:b/>
          <w:sz w:val="24"/>
          <w:szCs w:val="24"/>
        </w:rPr>
        <w:t>"</w:t>
      </w:r>
      <w:r w:rsidRPr="001D7285">
        <w:rPr>
          <w:b/>
          <w:sz w:val="24"/>
          <w:szCs w:val="24"/>
        </w:rPr>
        <w:t>Zentiva</w:t>
      </w:r>
      <w:r w:rsidR="00BC493D" w:rsidRPr="001D7285">
        <w:rPr>
          <w:b/>
          <w:sz w:val="24"/>
          <w:szCs w:val="24"/>
        </w:rPr>
        <w:t>"</w:t>
      </w:r>
      <w:r w:rsidRPr="001D7285">
        <w:rPr>
          <w:b/>
          <w:sz w:val="24"/>
          <w:szCs w:val="24"/>
        </w:rPr>
        <w:t>, filmovertrukne tabletter</w:t>
      </w:r>
    </w:p>
    <w:p w14:paraId="64D672C2" w14:textId="77777777" w:rsidR="009260DE" w:rsidRPr="001D7285" w:rsidRDefault="009260DE" w:rsidP="009260DE">
      <w:pPr>
        <w:jc w:val="both"/>
        <w:rPr>
          <w:sz w:val="24"/>
          <w:szCs w:val="24"/>
        </w:rPr>
      </w:pPr>
    </w:p>
    <w:p w14:paraId="11FD6CA6" w14:textId="77777777" w:rsidR="009260DE" w:rsidRPr="001D7285" w:rsidRDefault="009260DE" w:rsidP="009260DE">
      <w:pPr>
        <w:jc w:val="both"/>
        <w:rPr>
          <w:sz w:val="24"/>
          <w:szCs w:val="24"/>
        </w:rPr>
      </w:pPr>
    </w:p>
    <w:p w14:paraId="423DCC8F" w14:textId="77777777" w:rsidR="009260DE" w:rsidRPr="001D7285" w:rsidRDefault="009260DE" w:rsidP="009260DE">
      <w:pPr>
        <w:tabs>
          <w:tab w:val="left" w:pos="851"/>
        </w:tabs>
        <w:ind w:left="851" w:hanging="851"/>
        <w:rPr>
          <w:b/>
          <w:sz w:val="24"/>
          <w:szCs w:val="24"/>
        </w:rPr>
      </w:pPr>
      <w:r w:rsidRPr="001D7285">
        <w:rPr>
          <w:b/>
          <w:sz w:val="24"/>
          <w:szCs w:val="24"/>
        </w:rPr>
        <w:t>0.</w:t>
      </w:r>
      <w:r w:rsidRPr="001D7285">
        <w:rPr>
          <w:b/>
          <w:sz w:val="24"/>
          <w:szCs w:val="24"/>
        </w:rPr>
        <w:tab/>
        <w:t>D.SP.NR.</w:t>
      </w:r>
    </w:p>
    <w:p w14:paraId="57DD62E3" w14:textId="2A56AACE" w:rsidR="009260DE" w:rsidRPr="00CE778C" w:rsidRDefault="00477E76" w:rsidP="009260DE">
      <w:pPr>
        <w:tabs>
          <w:tab w:val="left" w:pos="851"/>
        </w:tabs>
        <w:ind w:left="851"/>
        <w:rPr>
          <w:sz w:val="24"/>
          <w:szCs w:val="24"/>
        </w:rPr>
      </w:pPr>
      <w:r w:rsidRPr="00CE778C">
        <w:rPr>
          <w:sz w:val="24"/>
          <w:szCs w:val="24"/>
        </w:rPr>
        <w:t>33652</w:t>
      </w:r>
    </w:p>
    <w:p w14:paraId="63278F9B" w14:textId="77777777" w:rsidR="009260DE" w:rsidRPr="00CE778C" w:rsidRDefault="009260DE" w:rsidP="009260DE">
      <w:pPr>
        <w:tabs>
          <w:tab w:val="left" w:pos="851"/>
        </w:tabs>
        <w:ind w:left="851"/>
        <w:rPr>
          <w:sz w:val="24"/>
          <w:szCs w:val="24"/>
        </w:rPr>
      </w:pPr>
    </w:p>
    <w:p w14:paraId="7FBD11C9" w14:textId="77777777" w:rsidR="009260DE" w:rsidRPr="00CE778C" w:rsidRDefault="009260DE" w:rsidP="009260DE">
      <w:pPr>
        <w:tabs>
          <w:tab w:val="left" w:pos="851"/>
        </w:tabs>
        <w:ind w:left="851" w:hanging="851"/>
        <w:rPr>
          <w:b/>
          <w:sz w:val="24"/>
          <w:szCs w:val="24"/>
        </w:rPr>
      </w:pPr>
      <w:r w:rsidRPr="00CE778C">
        <w:rPr>
          <w:b/>
          <w:sz w:val="24"/>
          <w:szCs w:val="24"/>
        </w:rPr>
        <w:t>1.</w:t>
      </w:r>
      <w:r w:rsidRPr="00CE778C">
        <w:rPr>
          <w:b/>
          <w:sz w:val="24"/>
          <w:szCs w:val="24"/>
        </w:rPr>
        <w:tab/>
        <w:t>LÆGEMIDLETS NAVN</w:t>
      </w:r>
    </w:p>
    <w:p w14:paraId="13603C1E" w14:textId="35EB610F" w:rsidR="009260DE" w:rsidRPr="00CE778C" w:rsidRDefault="00477E76" w:rsidP="009260DE">
      <w:pPr>
        <w:tabs>
          <w:tab w:val="left" w:pos="851"/>
        </w:tabs>
        <w:ind w:left="851"/>
        <w:rPr>
          <w:sz w:val="24"/>
          <w:szCs w:val="24"/>
        </w:rPr>
      </w:pPr>
      <w:r w:rsidRPr="00CE778C">
        <w:rPr>
          <w:sz w:val="24"/>
          <w:szCs w:val="24"/>
        </w:rPr>
        <w:t xml:space="preserve">Edoxaban </w:t>
      </w:r>
      <w:r w:rsidR="00BC493D">
        <w:rPr>
          <w:sz w:val="24"/>
          <w:szCs w:val="24"/>
        </w:rPr>
        <w:t>"</w:t>
      </w:r>
      <w:r w:rsidRPr="00CE778C">
        <w:rPr>
          <w:sz w:val="24"/>
          <w:szCs w:val="24"/>
        </w:rPr>
        <w:t>Zentiva</w:t>
      </w:r>
      <w:r w:rsidR="00BC493D">
        <w:rPr>
          <w:sz w:val="24"/>
          <w:szCs w:val="24"/>
        </w:rPr>
        <w:t>"</w:t>
      </w:r>
    </w:p>
    <w:p w14:paraId="6DEEF42E" w14:textId="77777777" w:rsidR="009260DE" w:rsidRPr="00CE778C" w:rsidRDefault="009260DE" w:rsidP="009260DE">
      <w:pPr>
        <w:tabs>
          <w:tab w:val="left" w:pos="851"/>
        </w:tabs>
        <w:ind w:left="851"/>
        <w:rPr>
          <w:sz w:val="24"/>
          <w:szCs w:val="24"/>
        </w:rPr>
      </w:pPr>
    </w:p>
    <w:p w14:paraId="031A8C24" w14:textId="77777777" w:rsidR="009260DE" w:rsidRPr="00CE778C" w:rsidRDefault="009260DE" w:rsidP="009260DE">
      <w:pPr>
        <w:tabs>
          <w:tab w:val="left" w:pos="851"/>
        </w:tabs>
        <w:ind w:left="851" w:hanging="851"/>
        <w:rPr>
          <w:b/>
          <w:sz w:val="24"/>
          <w:szCs w:val="24"/>
        </w:rPr>
      </w:pPr>
      <w:r w:rsidRPr="00CE778C">
        <w:rPr>
          <w:b/>
          <w:sz w:val="24"/>
          <w:szCs w:val="24"/>
        </w:rPr>
        <w:t>2.</w:t>
      </w:r>
      <w:r w:rsidRPr="00CE778C">
        <w:rPr>
          <w:b/>
          <w:sz w:val="24"/>
          <w:szCs w:val="24"/>
        </w:rPr>
        <w:tab/>
        <w:t>KVALITATIV OG KVANTITATIV SAMMENSÆTNING</w:t>
      </w:r>
    </w:p>
    <w:p w14:paraId="4FA04FCE" w14:textId="77777777" w:rsidR="00A75091" w:rsidRPr="00CE778C" w:rsidRDefault="00A75091" w:rsidP="006E6856">
      <w:pPr>
        <w:ind w:left="851"/>
        <w:rPr>
          <w:sz w:val="24"/>
          <w:szCs w:val="24"/>
        </w:rPr>
      </w:pPr>
      <w:r w:rsidRPr="00CE778C">
        <w:rPr>
          <w:sz w:val="24"/>
          <w:szCs w:val="24"/>
        </w:rPr>
        <w:t>Hver 15 mg filmovertrukket tablet indeholder 15 mg edoxaban (som tosilat monohydrat).</w:t>
      </w:r>
    </w:p>
    <w:p w14:paraId="54226EE5" w14:textId="77777777" w:rsidR="00A75091" w:rsidRPr="00CE778C" w:rsidRDefault="00A75091" w:rsidP="006E6856">
      <w:pPr>
        <w:ind w:left="851"/>
        <w:rPr>
          <w:sz w:val="24"/>
          <w:szCs w:val="24"/>
        </w:rPr>
      </w:pPr>
      <w:r w:rsidRPr="00CE778C">
        <w:rPr>
          <w:sz w:val="24"/>
          <w:szCs w:val="24"/>
        </w:rPr>
        <w:t>Hver 30 mg filmovertrukket tablet indeholder 30 mg edoxaban (som tosilat monohydrat).</w:t>
      </w:r>
    </w:p>
    <w:p w14:paraId="480537F5" w14:textId="77777777" w:rsidR="00A75091" w:rsidRPr="00CE778C" w:rsidRDefault="00A75091" w:rsidP="006E6856">
      <w:pPr>
        <w:ind w:left="851"/>
        <w:rPr>
          <w:sz w:val="24"/>
          <w:szCs w:val="24"/>
        </w:rPr>
      </w:pPr>
      <w:r w:rsidRPr="00CE778C">
        <w:rPr>
          <w:sz w:val="24"/>
          <w:szCs w:val="24"/>
        </w:rPr>
        <w:t>Hver 60 mg filmovertrukket tablet indeholder 60 mg edoxaban (som tosilat monohydrat).</w:t>
      </w:r>
    </w:p>
    <w:p w14:paraId="0B409A02" w14:textId="77777777" w:rsidR="00A75091" w:rsidRPr="00CE778C" w:rsidRDefault="00A75091" w:rsidP="006E6856">
      <w:pPr>
        <w:ind w:left="851"/>
        <w:rPr>
          <w:sz w:val="24"/>
          <w:szCs w:val="24"/>
        </w:rPr>
      </w:pPr>
    </w:p>
    <w:p w14:paraId="4860F6B3" w14:textId="77777777" w:rsidR="00A75091" w:rsidRPr="00CE778C" w:rsidRDefault="00A75091" w:rsidP="006E6856">
      <w:pPr>
        <w:ind w:left="851"/>
        <w:rPr>
          <w:sz w:val="24"/>
          <w:szCs w:val="24"/>
          <w:lang w:eastAsia="da-DK"/>
        </w:rPr>
      </w:pPr>
      <w:r w:rsidRPr="00CE778C">
        <w:rPr>
          <w:sz w:val="24"/>
          <w:szCs w:val="24"/>
        </w:rPr>
        <w:t>Alle hjælpestoffer er anført under pkt. 6.1.</w:t>
      </w:r>
    </w:p>
    <w:p w14:paraId="1B2E57A5" w14:textId="77777777" w:rsidR="009260DE" w:rsidRPr="00CE778C" w:rsidRDefault="009260DE" w:rsidP="009260DE">
      <w:pPr>
        <w:tabs>
          <w:tab w:val="left" w:pos="851"/>
        </w:tabs>
        <w:ind w:left="851"/>
        <w:rPr>
          <w:sz w:val="24"/>
          <w:szCs w:val="24"/>
        </w:rPr>
      </w:pPr>
    </w:p>
    <w:p w14:paraId="5BE51BAC" w14:textId="77777777" w:rsidR="009260DE" w:rsidRPr="00CE778C" w:rsidRDefault="009260DE" w:rsidP="009260DE">
      <w:pPr>
        <w:tabs>
          <w:tab w:val="left" w:pos="851"/>
        </w:tabs>
        <w:ind w:left="851" w:hanging="851"/>
        <w:rPr>
          <w:b/>
          <w:sz w:val="24"/>
          <w:szCs w:val="24"/>
        </w:rPr>
      </w:pPr>
      <w:r w:rsidRPr="00CE778C">
        <w:rPr>
          <w:b/>
          <w:sz w:val="24"/>
          <w:szCs w:val="24"/>
        </w:rPr>
        <w:t>3.</w:t>
      </w:r>
      <w:r w:rsidRPr="00CE778C">
        <w:rPr>
          <w:b/>
          <w:sz w:val="24"/>
          <w:szCs w:val="24"/>
        </w:rPr>
        <w:tab/>
        <w:t>LÆGEMIDDELFORM</w:t>
      </w:r>
    </w:p>
    <w:p w14:paraId="2B062701" w14:textId="41EC619B" w:rsidR="00A75091" w:rsidRPr="00CE778C" w:rsidRDefault="00A75091" w:rsidP="006E6856">
      <w:pPr>
        <w:ind w:left="851"/>
        <w:rPr>
          <w:sz w:val="24"/>
          <w:szCs w:val="24"/>
          <w:lang w:eastAsia="da-DK"/>
        </w:rPr>
      </w:pPr>
      <w:r w:rsidRPr="00CE778C">
        <w:rPr>
          <w:sz w:val="24"/>
          <w:szCs w:val="24"/>
        </w:rPr>
        <w:t>Filmovertruk</w:t>
      </w:r>
      <w:r w:rsidR="00CE778C">
        <w:rPr>
          <w:sz w:val="24"/>
          <w:szCs w:val="24"/>
        </w:rPr>
        <w:t>ne</w:t>
      </w:r>
      <w:r w:rsidRPr="00CE778C">
        <w:rPr>
          <w:sz w:val="24"/>
          <w:szCs w:val="24"/>
        </w:rPr>
        <w:t xml:space="preserve"> tablet</w:t>
      </w:r>
      <w:r w:rsidR="00CE778C">
        <w:rPr>
          <w:sz w:val="24"/>
          <w:szCs w:val="24"/>
        </w:rPr>
        <w:t>ter</w:t>
      </w:r>
    </w:p>
    <w:p w14:paraId="26132296" w14:textId="77777777" w:rsidR="00A75091" w:rsidRPr="00CE778C" w:rsidRDefault="00A75091" w:rsidP="006E6856">
      <w:pPr>
        <w:ind w:left="851"/>
        <w:rPr>
          <w:sz w:val="24"/>
          <w:szCs w:val="24"/>
        </w:rPr>
      </w:pPr>
    </w:p>
    <w:p w14:paraId="4722AA6F" w14:textId="29B10BF7" w:rsidR="00A75091" w:rsidRPr="00CE778C" w:rsidRDefault="00A75091" w:rsidP="006E6856">
      <w:pPr>
        <w:ind w:left="851"/>
        <w:rPr>
          <w:sz w:val="24"/>
          <w:szCs w:val="24"/>
        </w:rPr>
      </w:pPr>
      <w:r w:rsidRPr="00CE778C">
        <w:rPr>
          <w:sz w:val="24"/>
          <w:szCs w:val="24"/>
        </w:rPr>
        <w:t xml:space="preserve">Edoxaban </w:t>
      </w:r>
      <w:r w:rsidR="00BC493D">
        <w:rPr>
          <w:sz w:val="24"/>
          <w:szCs w:val="24"/>
        </w:rPr>
        <w:t>"</w:t>
      </w:r>
      <w:r w:rsidRPr="00CE778C">
        <w:rPr>
          <w:sz w:val="24"/>
          <w:szCs w:val="24"/>
        </w:rPr>
        <w:t>Zentiva</w:t>
      </w:r>
      <w:r w:rsidR="00BC493D">
        <w:rPr>
          <w:sz w:val="24"/>
          <w:szCs w:val="24"/>
        </w:rPr>
        <w:t>"</w:t>
      </w:r>
      <w:r w:rsidRPr="00CE778C">
        <w:rPr>
          <w:sz w:val="24"/>
          <w:szCs w:val="24"/>
        </w:rPr>
        <w:t xml:space="preserve"> 15 mg: Rød til brun, rund, bikonveks </w:t>
      </w:r>
      <w:r w:rsidR="00BC493D">
        <w:rPr>
          <w:sz w:val="24"/>
          <w:szCs w:val="24"/>
        </w:rPr>
        <w:t>filmovertrukket</w:t>
      </w:r>
      <w:r w:rsidRPr="00CE778C">
        <w:rPr>
          <w:sz w:val="24"/>
          <w:szCs w:val="24"/>
        </w:rPr>
        <w:t xml:space="preserve"> tablet med en diameter på ca. 6,5 mm.</w:t>
      </w:r>
    </w:p>
    <w:p w14:paraId="17F14B47" w14:textId="0824D155" w:rsidR="00A75091" w:rsidRPr="00CE778C" w:rsidRDefault="00A75091" w:rsidP="006E6856">
      <w:pPr>
        <w:ind w:left="851"/>
        <w:rPr>
          <w:sz w:val="24"/>
          <w:szCs w:val="24"/>
        </w:rPr>
      </w:pPr>
      <w:r w:rsidRPr="00CE778C">
        <w:rPr>
          <w:sz w:val="24"/>
          <w:szCs w:val="24"/>
        </w:rPr>
        <w:t xml:space="preserve">Edoxaban </w:t>
      </w:r>
      <w:r w:rsidR="00BC493D">
        <w:rPr>
          <w:sz w:val="24"/>
          <w:szCs w:val="24"/>
        </w:rPr>
        <w:t>"</w:t>
      </w:r>
      <w:r w:rsidRPr="00CE778C">
        <w:rPr>
          <w:sz w:val="24"/>
          <w:szCs w:val="24"/>
        </w:rPr>
        <w:t>Zentiva</w:t>
      </w:r>
      <w:r w:rsidR="00BC493D">
        <w:rPr>
          <w:sz w:val="24"/>
          <w:szCs w:val="24"/>
        </w:rPr>
        <w:t>"</w:t>
      </w:r>
      <w:r w:rsidRPr="00CE778C">
        <w:rPr>
          <w:sz w:val="24"/>
          <w:szCs w:val="24"/>
        </w:rPr>
        <w:t xml:space="preserve"> 30 mg: Pink, rund, bikonveks, </w:t>
      </w:r>
      <w:r w:rsidR="00BC493D">
        <w:rPr>
          <w:sz w:val="24"/>
          <w:szCs w:val="24"/>
        </w:rPr>
        <w:t>filmovertrukket</w:t>
      </w:r>
      <w:r w:rsidRPr="00CE778C">
        <w:rPr>
          <w:sz w:val="24"/>
          <w:szCs w:val="24"/>
        </w:rPr>
        <w:t xml:space="preserve"> tablet præget med </w:t>
      </w:r>
      <w:r w:rsidR="00BC493D">
        <w:rPr>
          <w:sz w:val="24"/>
          <w:szCs w:val="24"/>
        </w:rPr>
        <w:t>"</w:t>
      </w:r>
      <w:r w:rsidRPr="00CE778C">
        <w:rPr>
          <w:sz w:val="24"/>
          <w:szCs w:val="24"/>
        </w:rPr>
        <w:t>Z</w:t>
      </w:r>
      <w:r w:rsidR="00BC493D">
        <w:rPr>
          <w:sz w:val="24"/>
          <w:szCs w:val="24"/>
        </w:rPr>
        <w:t>"</w:t>
      </w:r>
      <w:r w:rsidRPr="00CE778C">
        <w:rPr>
          <w:sz w:val="24"/>
          <w:szCs w:val="24"/>
        </w:rPr>
        <w:t xml:space="preserve"> på den ene side og en diameter på ca. 8,0 mm.</w:t>
      </w:r>
    </w:p>
    <w:p w14:paraId="1EE1AC4D" w14:textId="6BA8116A" w:rsidR="00A75091" w:rsidRPr="00CE778C" w:rsidRDefault="00A75091" w:rsidP="006E6856">
      <w:pPr>
        <w:ind w:left="851"/>
        <w:rPr>
          <w:sz w:val="24"/>
          <w:szCs w:val="24"/>
          <w:lang w:val="nb-NO"/>
        </w:rPr>
      </w:pPr>
      <w:r w:rsidRPr="00CE778C">
        <w:rPr>
          <w:sz w:val="24"/>
          <w:szCs w:val="24"/>
          <w:lang w:val="nb-NO"/>
        </w:rPr>
        <w:t xml:space="preserve">Edoxaban </w:t>
      </w:r>
      <w:r w:rsidR="00BC493D">
        <w:rPr>
          <w:sz w:val="24"/>
          <w:szCs w:val="24"/>
          <w:lang w:val="nb-NO"/>
        </w:rPr>
        <w:t>"</w:t>
      </w:r>
      <w:r w:rsidRPr="00CE778C">
        <w:rPr>
          <w:sz w:val="24"/>
          <w:szCs w:val="24"/>
          <w:lang w:val="nb-NO"/>
        </w:rPr>
        <w:t>Zentiva</w:t>
      </w:r>
      <w:r w:rsidR="00BC493D">
        <w:rPr>
          <w:sz w:val="24"/>
          <w:szCs w:val="24"/>
          <w:lang w:val="nb-NO"/>
        </w:rPr>
        <w:t>"</w:t>
      </w:r>
      <w:r w:rsidRPr="00CE778C">
        <w:rPr>
          <w:sz w:val="24"/>
          <w:szCs w:val="24"/>
          <w:lang w:val="nb-NO"/>
        </w:rPr>
        <w:t xml:space="preserve"> 60 mg: Gul, rund, bikonveks, </w:t>
      </w:r>
      <w:r w:rsidR="00BC493D">
        <w:rPr>
          <w:sz w:val="24"/>
          <w:szCs w:val="24"/>
          <w:lang w:val="nb-NO"/>
        </w:rPr>
        <w:t>filmovertrukket</w:t>
      </w:r>
      <w:r w:rsidRPr="00CE778C">
        <w:rPr>
          <w:sz w:val="24"/>
          <w:szCs w:val="24"/>
          <w:lang w:val="nb-NO"/>
        </w:rPr>
        <w:t xml:space="preserve"> tablet med en diameter på ca. 10,5 mm.</w:t>
      </w:r>
    </w:p>
    <w:p w14:paraId="276475CA" w14:textId="77777777" w:rsidR="009260DE" w:rsidRPr="00CE778C" w:rsidRDefault="009260DE" w:rsidP="009260DE">
      <w:pPr>
        <w:tabs>
          <w:tab w:val="left" w:pos="851"/>
        </w:tabs>
        <w:ind w:left="851"/>
        <w:rPr>
          <w:sz w:val="24"/>
          <w:szCs w:val="24"/>
        </w:rPr>
      </w:pPr>
    </w:p>
    <w:p w14:paraId="540781F3" w14:textId="77777777" w:rsidR="009260DE" w:rsidRPr="00CE778C" w:rsidRDefault="009260DE" w:rsidP="009260DE">
      <w:pPr>
        <w:tabs>
          <w:tab w:val="left" w:pos="851"/>
        </w:tabs>
        <w:ind w:left="851"/>
        <w:rPr>
          <w:sz w:val="24"/>
          <w:szCs w:val="24"/>
        </w:rPr>
      </w:pPr>
    </w:p>
    <w:p w14:paraId="3F1130A0" w14:textId="77777777" w:rsidR="009260DE" w:rsidRPr="00CE778C" w:rsidRDefault="009260DE" w:rsidP="009260DE">
      <w:pPr>
        <w:tabs>
          <w:tab w:val="left" w:pos="851"/>
        </w:tabs>
        <w:ind w:left="851" w:hanging="851"/>
        <w:rPr>
          <w:b/>
          <w:sz w:val="24"/>
          <w:szCs w:val="24"/>
        </w:rPr>
      </w:pPr>
      <w:r w:rsidRPr="00CE778C">
        <w:rPr>
          <w:b/>
          <w:sz w:val="24"/>
          <w:szCs w:val="24"/>
        </w:rPr>
        <w:t>4.</w:t>
      </w:r>
      <w:r w:rsidRPr="00CE778C">
        <w:rPr>
          <w:b/>
          <w:sz w:val="24"/>
          <w:szCs w:val="24"/>
        </w:rPr>
        <w:tab/>
        <w:t>KLINISKE OPLYSNINGER</w:t>
      </w:r>
    </w:p>
    <w:p w14:paraId="118352CE" w14:textId="77777777" w:rsidR="009260DE" w:rsidRPr="00CE778C" w:rsidRDefault="009260DE" w:rsidP="009260DE">
      <w:pPr>
        <w:tabs>
          <w:tab w:val="left" w:pos="851"/>
        </w:tabs>
        <w:ind w:left="851"/>
        <w:rPr>
          <w:b/>
          <w:sz w:val="24"/>
          <w:szCs w:val="24"/>
        </w:rPr>
      </w:pPr>
    </w:p>
    <w:p w14:paraId="760C52CB" w14:textId="77777777" w:rsidR="009260DE" w:rsidRPr="00CE778C" w:rsidRDefault="009260DE" w:rsidP="009260DE">
      <w:pPr>
        <w:tabs>
          <w:tab w:val="left" w:pos="851"/>
        </w:tabs>
        <w:ind w:left="851" w:hanging="851"/>
        <w:rPr>
          <w:b/>
          <w:sz w:val="24"/>
          <w:szCs w:val="24"/>
          <w:u w:val="single"/>
        </w:rPr>
      </w:pPr>
      <w:r w:rsidRPr="00CE778C">
        <w:rPr>
          <w:b/>
          <w:sz w:val="24"/>
          <w:szCs w:val="24"/>
        </w:rPr>
        <w:t>4.1</w:t>
      </w:r>
      <w:r w:rsidRPr="00CE778C">
        <w:rPr>
          <w:b/>
          <w:sz w:val="24"/>
          <w:szCs w:val="24"/>
        </w:rPr>
        <w:tab/>
        <w:t>Terapeutiske indikationer</w:t>
      </w:r>
    </w:p>
    <w:p w14:paraId="47A92256" w14:textId="7B930699" w:rsidR="00A75091" w:rsidRPr="00CE778C" w:rsidRDefault="00A75091" w:rsidP="006E6856">
      <w:pPr>
        <w:ind w:left="851"/>
        <w:rPr>
          <w:sz w:val="24"/>
          <w:szCs w:val="24"/>
        </w:rPr>
      </w:pPr>
      <w:r w:rsidRPr="00CE778C">
        <w:rPr>
          <w:sz w:val="24"/>
          <w:szCs w:val="24"/>
        </w:rPr>
        <w:t xml:space="preserve">Edoxaban </w:t>
      </w:r>
      <w:r w:rsidR="00BC493D">
        <w:rPr>
          <w:sz w:val="24"/>
          <w:szCs w:val="24"/>
        </w:rPr>
        <w:t>"</w:t>
      </w:r>
      <w:r w:rsidRPr="00CE778C">
        <w:rPr>
          <w:sz w:val="24"/>
          <w:szCs w:val="24"/>
        </w:rPr>
        <w:t>Zentiva</w:t>
      </w:r>
      <w:r w:rsidR="00BC493D">
        <w:rPr>
          <w:sz w:val="24"/>
          <w:szCs w:val="24"/>
        </w:rPr>
        <w:t>"</w:t>
      </w:r>
      <w:r w:rsidRPr="00CE778C">
        <w:rPr>
          <w:sz w:val="24"/>
          <w:szCs w:val="24"/>
        </w:rPr>
        <w:t xml:space="preserve"> er indiceret til forebyggelse af apopleksi og systemisk emboli hos voksne patienter med nonvalvulær atrieflimren (NVAF) med en eller flere risikofaktorer, såsom kongestivt hjertesvigt,</w:t>
      </w:r>
      <w:r w:rsidR="00CE778C">
        <w:rPr>
          <w:sz w:val="24"/>
          <w:szCs w:val="24"/>
        </w:rPr>
        <w:t xml:space="preserve"> </w:t>
      </w:r>
      <w:r w:rsidRPr="00CE778C">
        <w:rPr>
          <w:sz w:val="24"/>
          <w:szCs w:val="24"/>
        </w:rPr>
        <w:t>hypertension, alder ≥ 75 år, diabetes mellitus, tidligere apopleksi eller transitorisk iskæmisk anfald</w:t>
      </w:r>
      <w:r w:rsidR="00CE778C">
        <w:rPr>
          <w:sz w:val="24"/>
          <w:szCs w:val="24"/>
        </w:rPr>
        <w:t xml:space="preserve"> </w:t>
      </w:r>
      <w:r w:rsidRPr="00CE778C">
        <w:rPr>
          <w:sz w:val="24"/>
          <w:szCs w:val="24"/>
        </w:rPr>
        <w:t>(TIA).</w:t>
      </w:r>
    </w:p>
    <w:p w14:paraId="3E9719C7" w14:textId="77777777" w:rsidR="00A75091" w:rsidRPr="00CE778C" w:rsidRDefault="00A75091" w:rsidP="006E6856">
      <w:pPr>
        <w:ind w:left="851"/>
        <w:rPr>
          <w:sz w:val="24"/>
          <w:szCs w:val="24"/>
        </w:rPr>
      </w:pPr>
    </w:p>
    <w:p w14:paraId="2A12116D" w14:textId="5760A9E8" w:rsidR="00A75091" w:rsidRPr="00CE778C" w:rsidRDefault="00A75091" w:rsidP="006E6856">
      <w:pPr>
        <w:ind w:left="851"/>
        <w:rPr>
          <w:sz w:val="24"/>
          <w:szCs w:val="24"/>
        </w:rPr>
      </w:pPr>
      <w:r w:rsidRPr="00CE778C">
        <w:rPr>
          <w:sz w:val="24"/>
          <w:szCs w:val="24"/>
        </w:rPr>
        <w:t xml:space="preserve">Edoxaban </w:t>
      </w:r>
      <w:r w:rsidR="00BC493D">
        <w:rPr>
          <w:sz w:val="24"/>
          <w:szCs w:val="24"/>
        </w:rPr>
        <w:t>"</w:t>
      </w:r>
      <w:r w:rsidRPr="00CE778C">
        <w:rPr>
          <w:sz w:val="24"/>
          <w:szCs w:val="24"/>
        </w:rPr>
        <w:t>Zentiva</w:t>
      </w:r>
      <w:r w:rsidR="00BC493D">
        <w:rPr>
          <w:sz w:val="24"/>
          <w:szCs w:val="24"/>
        </w:rPr>
        <w:t>"</w:t>
      </w:r>
      <w:r w:rsidRPr="00CE778C">
        <w:rPr>
          <w:sz w:val="24"/>
          <w:szCs w:val="24"/>
        </w:rPr>
        <w:t xml:space="preserve"> er indiceret til behandling af dyb venetrombose (DVT) og lungeemboli (LE) samt til</w:t>
      </w:r>
      <w:r w:rsidR="00CE778C">
        <w:rPr>
          <w:sz w:val="24"/>
          <w:szCs w:val="24"/>
        </w:rPr>
        <w:t xml:space="preserve"> </w:t>
      </w:r>
      <w:r w:rsidRPr="00CE778C">
        <w:rPr>
          <w:sz w:val="24"/>
          <w:szCs w:val="24"/>
        </w:rPr>
        <w:t>forebyggelse af recidiverende DVT og LE hos voksne (se pkt. 4.4 for hæmodynamisk ustabile LE patienter).</w:t>
      </w:r>
    </w:p>
    <w:p w14:paraId="60718FA5" w14:textId="77777777" w:rsidR="009260DE" w:rsidRPr="00CE778C" w:rsidRDefault="009260DE" w:rsidP="009260DE">
      <w:pPr>
        <w:tabs>
          <w:tab w:val="left" w:pos="851"/>
        </w:tabs>
        <w:ind w:left="851"/>
        <w:rPr>
          <w:sz w:val="24"/>
          <w:szCs w:val="24"/>
        </w:rPr>
      </w:pPr>
    </w:p>
    <w:p w14:paraId="7FA09F47" w14:textId="77777777" w:rsidR="009260DE" w:rsidRPr="00CE778C" w:rsidRDefault="009260DE" w:rsidP="009260DE">
      <w:pPr>
        <w:tabs>
          <w:tab w:val="left" w:pos="851"/>
        </w:tabs>
        <w:ind w:left="851" w:hanging="851"/>
        <w:rPr>
          <w:b/>
          <w:sz w:val="24"/>
          <w:szCs w:val="24"/>
        </w:rPr>
      </w:pPr>
      <w:r w:rsidRPr="00CE778C">
        <w:rPr>
          <w:b/>
          <w:sz w:val="24"/>
          <w:szCs w:val="24"/>
        </w:rPr>
        <w:t>4.2</w:t>
      </w:r>
      <w:r w:rsidRPr="00CE778C">
        <w:rPr>
          <w:b/>
          <w:sz w:val="24"/>
          <w:szCs w:val="24"/>
        </w:rPr>
        <w:tab/>
        <w:t xml:space="preserve">Dosering og </w:t>
      </w:r>
      <w:r w:rsidR="002C1EC0" w:rsidRPr="00CE778C">
        <w:rPr>
          <w:b/>
          <w:sz w:val="24"/>
          <w:szCs w:val="24"/>
        </w:rPr>
        <w:t>administration</w:t>
      </w:r>
    </w:p>
    <w:p w14:paraId="19EA4AB8" w14:textId="77777777" w:rsidR="00CE778C" w:rsidRDefault="00CE778C" w:rsidP="006E6856">
      <w:pPr>
        <w:ind w:left="851"/>
        <w:rPr>
          <w:rFonts w:eastAsia="MS Mincho"/>
          <w:sz w:val="24"/>
          <w:szCs w:val="24"/>
          <w:lang w:eastAsia="fr-FR"/>
        </w:rPr>
      </w:pPr>
    </w:p>
    <w:p w14:paraId="1DF28F83" w14:textId="1D09BED2" w:rsidR="00A75091" w:rsidRPr="00CE778C" w:rsidRDefault="00A75091" w:rsidP="006E6856">
      <w:pPr>
        <w:ind w:left="851"/>
        <w:rPr>
          <w:rFonts w:eastAsia="MS Mincho"/>
          <w:sz w:val="24"/>
          <w:szCs w:val="24"/>
          <w:u w:val="single"/>
          <w:lang w:eastAsia="fr-FR"/>
        </w:rPr>
      </w:pPr>
      <w:r w:rsidRPr="00CE778C">
        <w:rPr>
          <w:rFonts w:eastAsia="MS Mincho"/>
          <w:sz w:val="24"/>
          <w:szCs w:val="24"/>
          <w:u w:val="single"/>
          <w:lang w:eastAsia="fr-FR"/>
        </w:rPr>
        <w:t>Dosering</w:t>
      </w:r>
    </w:p>
    <w:p w14:paraId="7D78551A" w14:textId="77777777" w:rsidR="00A75091" w:rsidRPr="00CE778C" w:rsidRDefault="00A75091" w:rsidP="006E6856">
      <w:pPr>
        <w:ind w:left="851"/>
        <w:rPr>
          <w:rFonts w:eastAsia="MS Mincho"/>
          <w:i/>
          <w:iCs/>
          <w:sz w:val="24"/>
          <w:szCs w:val="24"/>
          <w:lang w:eastAsia="fr-FR"/>
        </w:rPr>
      </w:pPr>
      <w:r w:rsidRPr="00CE778C">
        <w:rPr>
          <w:rFonts w:eastAsia="MS Mincho"/>
          <w:i/>
          <w:iCs/>
          <w:sz w:val="24"/>
          <w:szCs w:val="24"/>
          <w:lang w:eastAsia="fr-FR"/>
        </w:rPr>
        <w:t>Forebyggelse af apopleksi og systemisk emboli</w:t>
      </w:r>
    </w:p>
    <w:p w14:paraId="0C65AF59" w14:textId="77777777" w:rsidR="00A75091" w:rsidRPr="00CE778C" w:rsidRDefault="00A75091" w:rsidP="006E6856">
      <w:pPr>
        <w:ind w:left="851"/>
        <w:rPr>
          <w:rFonts w:eastAsia="MS Mincho"/>
          <w:sz w:val="24"/>
          <w:szCs w:val="24"/>
          <w:lang w:eastAsia="fr-FR"/>
        </w:rPr>
      </w:pPr>
      <w:r w:rsidRPr="00CE778C">
        <w:rPr>
          <w:rFonts w:eastAsia="MS Mincho"/>
          <w:sz w:val="24"/>
          <w:szCs w:val="24"/>
          <w:lang w:eastAsia="fr-FR"/>
        </w:rPr>
        <w:t>Den anbefalede dosis er 60 mg edoxaban en gang dagligt.</w:t>
      </w:r>
    </w:p>
    <w:p w14:paraId="3404A833" w14:textId="77777777" w:rsidR="00A75091" w:rsidRPr="00CE778C" w:rsidRDefault="00A75091" w:rsidP="006E6856">
      <w:pPr>
        <w:ind w:left="851"/>
        <w:rPr>
          <w:rFonts w:eastAsia="MS Mincho"/>
          <w:sz w:val="24"/>
          <w:szCs w:val="24"/>
          <w:lang w:eastAsia="fr-FR"/>
        </w:rPr>
      </w:pPr>
      <w:r w:rsidRPr="00CE778C">
        <w:rPr>
          <w:rFonts w:eastAsia="MS Mincho"/>
          <w:sz w:val="24"/>
          <w:szCs w:val="24"/>
          <w:lang w:eastAsia="fr-FR"/>
        </w:rPr>
        <w:t>Behandling med edoxaban hos patienter med NVAF bør være langvarig.</w:t>
      </w:r>
    </w:p>
    <w:p w14:paraId="31B56F37" w14:textId="77777777" w:rsidR="00A75091" w:rsidRPr="00CE778C" w:rsidRDefault="00A75091" w:rsidP="006E6856">
      <w:pPr>
        <w:ind w:left="851"/>
        <w:rPr>
          <w:rFonts w:eastAsia="MS Mincho"/>
          <w:i/>
          <w:iCs/>
          <w:sz w:val="24"/>
          <w:szCs w:val="24"/>
          <w:lang w:eastAsia="fr-FR"/>
        </w:rPr>
      </w:pPr>
    </w:p>
    <w:p w14:paraId="18785DC9" w14:textId="77777777" w:rsidR="00A75091" w:rsidRPr="00CE778C" w:rsidRDefault="00A75091" w:rsidP="006E6856">
      <w:pPr>
        <w:ind w:left="851"/>
        <w:rPr>
          <w:rFonts w:eastAsia="MS Mincho"/>
          <w:i/>
          <w:iCs/>
          <w:sz w:val="24"/>
          <w:szCs w:val="24"/>
          <w:lang w:eastAsia="fr-FR"/>
        </w:rPr>
      </w:pPr>
      <w:r w:rsidRPr="00CE778C">
        <w:rPr>
          <w:rFonts w:eastAsia="MS Mincho"/>
          <w:i/>
          <w:iCs/>
          <w:sz w:val="24"/>
          <w:szCs w:val="24"/>
          <w:lang w:eastAsia="fr-FR"/>
        </w:rPr>
        <w:t>Behandling af DVT, behandling af LE og forebyggelse af recidiverende DVT og LE (VTE)</w:t>
      </w:r>
    </w:p>
    <w:p w14:paraId="0932DE6D" w14:textId="1C44F1AB" w:rsidR="00A75091" w:rsidRPr="00CE778C" w:rsidRDefault="00A75091" w:rsidP="006E6856">
      <w:pPr>
        <w:ind w:left="851"/>
        <w:rPr>
          <w:rFonts w:eastAsia="MS Mincho"/>
          <w:sz w:val="24"/>
          <w:szCs w:val="24"/>
          <w:lang w:eastAsia="fr-FR"/>
        </w:rPr>
      </w:pPr>
      <w:r w:rsidRPr="00CE778C">
        <w:rPr>
          <w:rFonts w:eastAsia="MS Mincho"/>
          <w:sz w:val="24"/>
          <w:szCs w:val="24"/>
          <w:lang w:eastAsia="fr-FR"/>
        </w:rPr>
        <w:t>Den anbefalede dosis er 60 mg edoxaban en gang dagligt efter indledende anvendelse af parenteral</w:t>
      </w:r>
      <w:r w:rsidR="00CE778C">
        <w:rPr>
          <w:rFonts w:eastAsia="MS Mincho"/>
          <w:sz w:val="24"/>
          <w:szCs w:val="24"/>
          <w:lang w:eastAsia="fr-FR"/>
        </w:rPr>
        <w:t xml:space="preserve"> </w:t>
      </w:r>
      <w:r w:rsidRPr="00CE778C">
        <w:rPr>
          <w:rFonts w:eastAsia="MS Mincho"/>
          <w:sz w:val="24"/>
          <w:szCs w:val="24"/>
          <w:lang w:eastAsia="fr-FR"/>
        </w:rPr>
        <w:t>antikoagulation i mindst 5 dage (se pkt. 5.1). Edoxaban og indledende parenteral antikoagulation må</w:t>
      </w:r>
      <w:r w:rsidR="00CE778C">
        <w:rPr>
          <w:rFonts w:eastAsia="MS Mincho"/>
          <w:sz w:val="24"/>
          <w:szCs w:val="24"/>
          <w:lang w:eastAsia="fr-FR"/>
        </w:rPr>
        <w:t xml:space="preserve"> </w:t>
      </w:r>
      <w:r w:rsidRPr="00CE778C">
        <w:rPr>
          <w:rFonts w:eastAsia="MS Mincho"/>
          <w:sz w:val="24"/>
          <w:szCs w:val="24"/>
          <w:lang w:eastAsia="fr-FR"/>
        </w:rPr>
        <w:t>ikke administreres samtidigt.</w:t>
      </w:r>
    </w:p>
    <w:p w14:paraId="7F8B9FEF" w14:textId="77777777" w:rsidR="00A75091" w:rsidRPr="00CE778C" w:rsidRDefault="00A75091" w:rsidP="006E6856">
      <w:pPr>
        <w:ind w:left="851"/>
        <w:rPr>
          <w:rFonts w:eastAsia="MS Mincho"/>
          <w:sz w:val="24"/>
          <w:szCs w:val="24"/>
          <w:lang w:eastAsia="fr-FR"/>
        </w:rPr>
      </w:pPr>
    </w:p>
    <w:p w14:paraId="3778327F" w14:textId="5EEAFB91" w:rsidR="00A75091" w:rsidRPr="00CE778C" w:rsidRDefault="00A75091" w:rsidP="006E6856">
      <w:pPr>
        <w:ind w:left="851"/>
        <w:rPr>
          <w:rFonts w:eastAsia="MS Mincho"/>
          <w:sz w:val="24"/>
          <w:szCs w:val="24"/>
          <w:lang w:eastAsia="fr-FR"/>
        </w:rPr>
      </w:pPr>
      <w:r w:rsidRPr="00CE778C">
        <w:rPr>
          <w:rFonts w:eastAsia="MS Mincho"/>
          <w:sz w:val="24"/>
          <w:szCs w:val="24"/>
          <w:lang w:eastAsia="fr-FR"/>
        </w:rPr>
        <w:t>Behandlingsvarigheden for behandling af DVT og LE (venøs tromboemboli (VTE)), og forebyggelse</w:t>
      </w:r>
      <w:r w:rsidR="00CE778C">
        <w:rPr>
          <w:rFonts w:eastAsia="MS Mincho"/>
          <w:sz w:val="24"/>
          <w:szCs w:val="24"/>
          <w:lang w:eastAsia="fr-FR"/>
        </w:rPr>
        <w:t xml:space="preserve"> </w:t>
      </w:r>
      <w:r w:rsidRPr="00CE778C">
        <w:rPr>
          <w:rFonts w:eastAsia="MS Mincho"/>
          <w:sz w:val="24"/>
          <w:szCs w:val="24"/>
          <w:lang w:eastAsia="fr-FR"/>
        </w:rPr>
        <w:t>af recidiverende VTE bør tilpasses individuelt efter omhyggelig afvejning af fordele ved behandling</w:t>
      </w:r>
      <w:r w:rsidR="00CE778C">
        <w:rPr>
          <w:rFonts w:eastAsia="MS Mincho"/>
          <w:sz w:val="24"/>
          <w:szCs w:val="24"/>
          <w:lang w:eastAsia="fr-FR"/>
        </w:rPr>
        <w:t xml:space="preserve"> </w:t>
      </w:r>
      <w:r w:rsidRPr="00CE778C">
        <w:rPr>
          <w:rFonts w:eastAsia="MS Mincho"/>
          <w:sz w:val="24"/>
          <w:szCs w:val="24"/>
          <w:lang w:eastAsia="fr-FR"/>
        </w:rPr>
        <w:t>mod risikoen for blødning (se pkt. 4.4). En kort behandlingsvarighed (mindst 3 måneder) bør baseres</w:t>
      </w:r>
      <w:r w:rsidR="00CE778C">
        <w:rPr>
          <w:rFonts w:eastAsia="MS Mincho"/>
          <w:sz w:val="24"/>
          <w:szCs w:val="24"/>
          <w:lang w:eastAsia="fr-FR"/>
        </w:rPr>
        <w:t xml:space="preserve"> </w:t>
      </w:r>
      <w:r w:rsidRPr="00CE778C">
        <w:rPr>
          <w:rFonts w:eastAsia="MS Mincho"/>
          <w:sz w:val="24"/>
          <w:szCs w:val="24"/>
          <w:lang w:eastAsia="fr-FR"/>
        </w:rPr>
        <w:t>på forbigående risikofaktorer (f.eks. nylig operation, traume, immobilisering) og længere varighed bør</w:t>
      </w:r>
      <w:r w:rsidR="00CE778C">
        <w:rPr>
          <w:rFonts w:eastAsia="MS Mincho"/>
          <w:sz w:val="24"/>
          <w:szCs w:val="24"/>
          <w:lang w:eastAsia="fr-FR"/>
        </w:rPr>
        <w:t xml:space="preserve"> </w:t>
      </w:r>
      <w:r w:rsidRPr="00CE778C">
        <w:rPr>
          <w:rFonts w:eastAsia="MS Mincho"/>
          <w:sz w:val="24"/>
          <w:szCs w:val="24"/>
          <w:lang w:eastAsia="fr-FR"/>
        </w:rPr>
        <w:t>baseres på permanente risikofaktorer eller idiopatisk DVT eller LE.</w:t>
      </w:r>
    </w:p>
    <w:p w14:paraId="1935F1E7" w14:textId="77777777" w:rsidR="00A75091" w:rsidRPr="00CE778C" w:rsidRDefault="00A75091" w:rsidP="006E6856">
      <w:pPr>
        <w:ind w:left="851"/>
        <w:rPr>
          <w:rFonts w:eastAsia="MS Mincho"/>
          <w:sz w:val="24"/>
          <w:szCs w:val="24"/>
          <w:lang w:eastAsia="fr-FR"/>
        </w:rPr>
      </w:pPr>
    </w:p>
    <w:p w14:paraId="71E99436" w14:textId="61117E21" w:rsidR="00A75091" w:rsidRPr="00CE778C" w:rsidRDefault="00A75091" w:rsidP="006E6856">
      <w:pPr>
        <w:ind w:left="851"/>
        <w:rPr>
          <w:rFonts w:eastAsia="MS Mincho"/>
          <w:sz w:val="24"/>
          <w:szCs w:val="24"/>
          <w:lang w:eastAsia="fr-FR"/>
        </w:rPr>
      </w:pPr>
      <w:r w:rsidRPr="00CE778C">
        <w:rPr>
          <w:rFonts w:eastAsia="MS Mincho"/>
          <w:sz w:val="24"/>
          <w:szCs w:val="24"/>
          <w:lang w:eastAsia="fr-FR"/>
        </w:rPr>
        <w:t>For NVAF og VTE er den anbefalede dosis 30 mg edoxaban en gang dagligt hos patienter med én</w:t>
      </w:r>
      <w:r w:rsidR="00CE778C">
        <w:rPr>
          <w:rFonts w:eastAsia="MS Mincho"/>
          <w:sz w:val="24"/>
          <w:szCs w:val="24"/>
          <w:lang w:eastAsia="fr-FR"/>
        </w:rPr>
        <w:t xml:space="preserve"> </w:t>
      </w:r>
      <w:r w:rsidRPr="00CE778C">
        <w:rPr>
          <w:rFonts w:eastAsia="MS Mincho"/>
          <w:sz w:val="24"/>
          <w:szCs w:val="24"/>
          <w:lang w:eastAsia="fr-FR"/>
        </w:rPr>
        <w:t>eller flere af følgende kliniske faktorer:</w:t>
      </w:r>
    </w:p>
    <w:p w14:paraId="28E7C0EC" w14:textId="77777777" w:rsidR="00A75091" w:rsidRPr="00CE778C" w:rsidRDefault="00A75091" w:rsidP="00CE778C">
      <w:pPr>
        <w:pStyle w:val="Listeafsnit"/>
        <w:numPr>
          <w:ilvl w:val="0"/>
          <w:numId w:val="21"/>
        </w:numPr>
        <w:ind w:left="1276" w:hanging="425"/>
        <w:rPr>
          <w:rFonts w:eastAsia="MS Mincho"/>
          <w:lang w:eastAsia="fr-FR"/>
        </w:rPr>
      </w:pPr>
      <w:r w:rsidRPr="00CE778C">
        <w:rPr>
          <w:rFonts w:eastAsia="MS Mincho"/>
          <w:lang w:eastAsia="fr-FR"/>
        </w:rPr>
        <w:t>Moderat eller svært nedsat nyrefunktion (kreatininclearance, CrCl) 15 - 50 ml/min.).</w:t>
      </w:r>
    </w:p>
    <w:p w14:paraId="5DE0E763" w14:textId="77777777" w:rsidR="00A75091" w:rsidRPr="00CE778C" w:rsidRDefault="00A75091" w:rsidP="00CE778C">
      <w:pPr>
        <w:pStyle w:val="Listeafsnit"/>
        <w:numPr>
          <w:ilvl w:val="0"/>
          <w:numId w:val="21"/>
        </w:numPr>
        <w:ind w:left="1276" w:hanging="425"/>
        <w:rPr>
          <w:rFonts w:eastAsia="MS Mincho"/>
          <w:lang w:eastAsia="fr-FR"/>
        </w:rPr>
      </w:pPr>
      <w:r w:rsidRPr="00CE778C">
        <w:rPr>
          <w:rFonts w:eastAsia="MS Mincho"/>
          <w:lang w:eastAsia="fr-FR"/>
        </w:rPr>
        <w:t>Lav legemsvægt ≤ 60 kg.</w:t>
      </w:r>
    </w:p>
    <w:p w14:paraId="1819B003" w14:textId="77777777" w:rsidR="00A75091" w:rsidRPr="00CE778C" w:rsidRDefault="00A75091" w:rsidP="00CE778C">
      <w:pPr>
        <w:pStyle w:val="Listeafsnit"/>
        <w:numPr>
          <w:ilvl w:val="0"/>
          <w:numId w:val="21"/>
        </w:numPr>
        <w:ind w:left="1276" w:hanging="425"/>
        <w:rPr>
          <w:rFonts w:eastAsia="MS Mincho"/>
          <w:lang w:eastAsia="fr-FR"/>
        </w:rPr>
      </w:pPr>
      <w:r w:rsidRPr="00CE778C">
        <w:rPr>
          <w:rFonts w:eastAsia="MS Mincho"/>
          <w:lang w:eastAsia="fr-FR"/>
        </w:rPr>
        <w:t>Anvendelse sammen med følgende P-glykoprotein (P-</w:t>
      </w:r>
      <w:proofErr w:type="gramStart"/>
      <w:r w:rsidRPr="00CE778C">
        <w:rPr>
          <w:rFonts w:eastAsia="MS Mincho"/>
          <w:lang w:eastAsia="fr-FR"/>
        </w:rPr>
        <w:t>gp)-</w:t>
      </w:r>
      <w:proofErr w:type="gramEnd"/>
      <w:r w:rsidRPr="00CE778C">
        <w:rPr>
          <w:rFonts w:eastAsia="MS Mincho"/>
          <w:lang w:eastAsia="fr-FR"/>
        </w:rPr>
        <w:t>hæmmere: ciclosporin, dronedaron, erythromycin eller ketoconazol.</w:t>
      </w:r>
    </w:p>
    <w:p w14:paraId="2C821DE9" w14:textId="77777777" w:rsidR="00A75091" w:rsidRPr="00CE778C" w:rsidRDefault="00A75091" w:rsidP="006E6856">
      <w:pPr>
        <w:ind w:left="851"/>
        <w:rPr>
          <w:rFonts w:eastAsia="MS Mincho"/>
          <w:sz w:val="24"/>
          <w:szCs w:val="24"/>
          <w:lang w:eastAsia="fr-FR"/>
        </w:rPr>
      </w:pPr>
    </w:p>
    <w:p w14:paraId="16C23DAD" w14:textId="77777777" w:rsidR="00A75091" w:rsidRPr="00CE778C" w:rsidRDefault="00A75091" w:rsidP="00A75091">
      <w:pPr>
        <w:suppressAutoHyphens/>
        <w:rPr>
          <w:rFonts w:eastAsia="MS Mincho"/>
          <w:b/>
          <w:bCs/>
          <w:color w:val="000000" w:themeColor="text1"/>
          <w:sz w:val="24"/>
          <w:szCs w:val="24"/>
          <w:lang w:eastAsia="fr-FR"/>
        </w:rPr>
      </w:pPr>
      <w:r w:rsidRPr="00CE778C">
        <w:rPr>
          <w:rFonts w:eastAsia="MS Mincho"/>
          <w:b/>
          <w:bCs/>
          <w:color w:val="000000" w:themeColor="text1"/>
          <w:sz w:val="24"/>
          <w:szCs w:val="24"/>
          <w:lang w:eastAsia="fr-FR"/>
        </w:rPr>
        <w:t>Tabel 1: Sammenfatning af dosering ved NVAF og VTE (DVT og LE)</w:t>
      </w:r>
    </w:p>
    <w:p w14:paraId="34C4DB02" w14:textId="77777777" w:rsidR="00A75091" w:rsidRPr="00CE778C" w:rsidRDefault="00A75091" w:rsidP="00A75091">
      <w:pPr>
        <w:suppressAutoHyphens/>
        <w:rPr>
          <w:rFonts w:eastAsia="MS Mincho"/>
          <w:b/>
          <w:bCs/>
          <w:color w:val="000000" w:themeColor="text1"/>
          <w:sz w:val="24"/>
          <w:szCs w:val="24"/>
          <w:lang w:eastAsia="fr-FR"/>
        </w:rPr>
      </w:pPr>
    </w:p>
    <w:tbl>
      <w:tblPr>
        <w:tblStyle w:val="Tabel-Gitter"/>
        <w:tblW w:w="5000" w:type="pct"/>
        <w:tblInd w:w="0" w:type="dxa"/>
        <w:tblLook w:val="04A0" w:firstRow="1" w:lastRow="0" w:firstColumn="1" w:lastColumn="0" w:noHBand="0" w:noVBand="1"/>
      </w:tblPr>
      <w:tblGrid>
        <w:gridCol w:w="2763"/>
        <w:gridCol w:w="4292"/>
        <w:gridCol w:w="2573"/>
      </w:tblGrid>
      <w:tr w:rsidR="00A75091" w:rsidRPr="00CE778C" w14:paraId="09CF843E" w14:textId="77777777" w:rsidTr="006E6856">
        <w:trPr>
          <w:trHeight w:val="283"/>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12A84D" w14:textId="77777777" w:rsidR="00A75091" w:rsidRPr="00CE778C" w:rsidRDefault="00A75091">
            <w:pPr>
              <w:suppressAutoHyphens/>
              <w:jc w:val="center"/>
              <w:rPr>
                <w:rFonts w:ascii="Times New Roman" w:eastAsia="MS Mincho" w:hAnsi="Times New Roman"/>
                <w:b/>
                <w:bCs/>
                <w:color w:val="000000" w:themeColor="text1"/>
                <w:sz w:val="24"/>
                <w:szCs w:val="24"/>
                <w:lang w:eastAsia="fr-FR"/>
              </w:rPr>
            </w:pPr>
            <w:r w:rsidRPr="00CE778C">
              <w:rPr>
                <w:rFonts w:ascii="Times New Roman" w:eastAsia="MS Mincho" w:hAnsi="Times New Roman"/>
                <w:b/>
                <w:bCs/>
                <w:color w:val="000000" w:themeColor="text1"/>
                <w:sz w:val="24"/>
                <w:szCs w:val="24"/>
                <w:lang w:eastAsia="fr-FR"/>
              </w:rPr>
              <w:t>Sammenfatning af retningslinjer for dosering</w:t>
            </w:r>
          </w:p>
        </w:tc>
      </w:tr>
      <w:tr w:rsidR="00A75091" w:rsidRPr="00CE778C" w14:paraId="6D2A9601" w14:textId="77777777" w:rsidTr="006E6856">
        <w:trPr>
          <w:trHeight w:val="283"/>
        </w:trPr>
        <w:tc>
          <w:tcPr>
            <w:tcW w:w="1435" w:type="pct"/>
            <w:tcBorders>
              <w:top w:val="single" w:sz="4" w:space="0" w:color="auto"/>
              <w:left w:val="single" w:sz="4" w:space="0" w:color="auto"/>
              <w:bottom w:val="single" w:sz="4" w:space="0" w:color="auto"/>
              <w:right w:val="single" w:sz="4" w:space="0" w:color="auto"/>
            </w:tcBorders>
            <w:vAlign w:val="center"/>
            <w:hideMark/>
          </w:tcPr>
          <w:p w14:paraId="7910F225" w14:textId="77777777" w:rsidR="00A75091" w:rsidRPr="00CE778C" w:rsidRDefault="00A75091">
            <w:pPr>
              <w:suppressAutoHyphens/>
              <w:rPr>
                <w:rFonts w:ascii="Times New Roman" w:eastAsia="MS Mincho" w:hAnsi="Times New Roman"/>
                <w:color w:val="000000" w:themeColor="text1"/>
                <w:sz w:val="24"/>
                <w:szCs w:val="24"/>
                <w:lang w:val="en-GB" w:eastAsia="fr-FR"/>
              </w:rPr>
            </w:pPr>
            <w:r w:rsidRPr="00CE778C">
              <w:rPr>
                <w:rFonts w:ascii="Times New Roman" w:eastAsia="MS Mincho" w:hAnsi="Times New Roman"/>
                <w:color w:val="000000" w:themeColor="text1"/>
                <w:sz w:val="24"/>
                <w:szCs w:val="24"/>
                <w:lang w:eastAsia="fr-FR"/>
              </w:rPr>
              <w:t>Anbefalet dosis</w:t>
            </w:r>
          </w:p>
        </w:tc>
        <w:tc>
          <w:tcPr>
            <w:tcW w:w="2229" w:type="pct"/>
            <w:tcBorders>
              <w:top w:val="single" w:sz="4" w:space="0" w:color="auto"/>
              <w:left w:val="single" w:sz="4" w:space="0" w:color="auto"/>
              <w:bottom w:val="single" w:sz="4" w:space="0" w:color="auto"/>
              <w:right w:val="single" w:sz="4" w:space="0" w:color="auto"/>
            </w:tcBorders>
            <w:vAlign w:val="center"/>
          </w:tcPr>
          <w:p w14:paraId="1A267B6A" w14:textId="77777777" w:rsidR="00A75091" w:rsidRPr="00CE778C" w:rsidRDefault="00A75091">
            <w:pPr>
              <w:suppressAutoHyphens/>
              <w:rPr>
                <w:rFonts w:ascii="Times New Roman" w:eastAsia="MS Mincho" w:hAnsi="Times New Roman"/>
                <w:color w:val="000000" w:themeColor="text1"/>
                <w:sz w:val="24"/>
                <w:szCs w:val="24"/>
                <w:lang w:val="en-GB" w:eastAsia="fr-FR"/>
              </w:rPr>
            </w:pPr>
          </w:p>
        </w:tc>
        <w:tc>
          <w:tcPr>
            <w:tcW w:w="1336" w:type="pct"/>
            <w:tcBorders>
              <w:top w:val="single" w:sz="4" w:space="0" w:color="auto"/>
              <w:left w:val="single" w:sz="4" w:space="0" w:color="auto"/>
              <w:bottom w:val="single" w:sz="4" w:space="0" w:color="auto"/>
              <w:right w:val="single" w:sz="4" w:space="0" w:color="auto"/>
            </w:tcBorders>
            <w:vAlign w:val="center"/>
            <w:hideMark/>
          </w:tcPr>
          <w:p w14:paraId="515962A8" w14:textId="77777777" w:rsidR="00A75091" w:rsidRPr="00CE778C" w:rsidRDefault="00A75091">
            <w:pPr>
              <w:suppressAutoHyphens/>
              <w:jc w:val="center"/>
              <w:rPr>
                <w:rFonts w:ascii="Times New Roman" w:eastAsia="MS Mincho" w:hAnsi="Times New Roman"/>
                <w:color w:val="000000" w:themeColor="text1"/>
                <w:sz w:val="24"/>
                <w:szCs w:val="24"/>
                <w:lang w:eastAsia="fr-FR"/>
              </w:rPr>
            </w:pPr>
            <w:r w:rsidRPr="00CE778C">
              <w:rPr>
                <w:rFonts w:ascii="Times New Roman" w:eastAsia="MS Mincho" w:hAnsi="Times New Roman"/>
                <w:color w:val="000000" w:themeColor="text1"/>
                <w:sz w:val="24"/>
                <w:szCs w:val="24"/>
                <w:lang w:eastAsia="fr-FR"/>
              </w:rPr>
              <w:t>60 mg edoxaban én gang dagligt</w:t>
            </w:r>
          </w:p>
        </w:tc>
      </w:tr>
      <w:tr w:rsidR="00A75091" w:rsidRPr="00CE778C" w14:paraId="709084E4" w14:textId="77777777" w:rsidTr="006E6856">
        <w:trPr>
          <w:trHeight w:val="283"/>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C98F70" w14:textId="77777777" w:rsidR="00A75091" w:rsidRPr="00CE778C" w:rsidRDefault="00A75091">
            <w:pPr>
              <w:suppressAutoHyphens/>
              <w:jc w:val="center"/>
              <w:rPr>
                <w:rFonts w:ascii="Times New Roman" w:eastAsia="MS Mincho" w:hAnsi="Times New Roman"/>
                <w:color w:val="000000" w:themeColor="text1"/>
                <w:sz w:val="24"/>
                <w:szCs w:val="24"/>
                <w:lang w:eastAsia="fr-FR"/>
              </w:rPr>
            </w:pPr>
            <w:r w:rsidRPr="00CE778C">
              <w:rPr>
                <w:rFonts w:ascii="Times New Roman" w:eastAsia="MS Mincho" w:hAnsi="Times New Roman"/>
                <w:color w:val="000000" w:themeColor="text1"/>
                <w:sz w:val="24"/>
                <w:szCs w:val="24"/>
                <w:lang w:eastAsia="fr-FR"/>
              </w:rPr>
              <w:t>Dosisanbefaling for patienter med en eller flere af følgende kliniske faktorer:</w:t>
            </w:r>
          </w:p>
        </w:tc>
      </w:tr>
      <w:tr w:rsidR="00A75091" w:rsidRPr="00CE778C" w14:paraId="0F6FCEDF" w14:textId="77777777" w:rsidTr="006E6856">
        <w:trPr>
          <w:trHeight w:val="283"/>
        </w:trPr>
        <w:tc>
          <w:tcPr>
            <w:tcW w:w="1435" w:type="pct"/>
            <w:tcBorders>
              <w:top w:val="single" w:sz="4" w:space="0" w:color="auto"/>
              <w:left w:val="single" w:sz="4" w:space="0" w:color="auto"/>
              <w:bottom w:val="single" w:sz="4" w:space="0" w:color="auto"/>
              <w:right w:val="single" w:sz="4" w:space="0" w:color="auto"/>
            </w:tcBorders>
            <w:vAlign w:val="center"/>
            <w:hideMark/>
          </w:tcPr>
          <w:p w14:paraId="73470A6C" w14:textId="77777777" w:rsidR="00A75091" w:rsidRPr="00CE778C" w:rsidRDefault="00A75091">
            <w:pPr>
              <w:suppressAutoHyphens/>
              <w:rPr>
                <w:rFonts w:ascii="Times New Roman" w:eastAsia="MS Mincho" w:hAnsi="Times New Roman"/>
                <w:color w:val="000000" w:themeColor="text1"/>
                <w:sz w:val="24"/>
                <w:szCs w:val="24"/>
                <w:lang w:val="en-GB" w:eastAsia="fr-FR"/>
              </w:rPr>
            </w:pPr>
            <w:r w:rsidRPr="00CE778C">
              <w:rPr>
                <w:rFonts w:ascii="Times New Roman" w:eastAsia="MS Mincho" w:hAnsi="Times New Roman"/>
                <w:color w:val="000000" w:themeColor="text1"/>
                <w:sz w:val="24"/>
                <w:szCs w:val="24"/>
                <w:lang w:eastAsia="fr-FR"/>
              </w:rPr>
              <w:t>Nedsat nyrefunktion</w:t>
            </w:r>
          </w:p>
        </w:tc>
        <w:tc>
          <w:tcPr>
            <w:tcW w:w="2229" w:type="pct"/>
            <w:tcBorders>
              <w:top w:val="single" w:sz="4" w:space="0" w:color="auto"/>
              <w:left w:val="single" w:sz="4" w:space="0" w:color="auto"/>
              <w:bottom w:val="single" w:sz="4" w:space="0" w:color="auto"/>
              <w:right w:val="single" w:sz="4" w:space="0" w:color="auto"/>
            </w:tcBorders>
            <w:vAlign w:val="center"/>
            <w:hideMark/>
          </w:tcPr>
          <w:p w14:paraId="0767CB26" w14:textId="77777777" w:rsidR="00A75091" w:rsidRPr="00CE778C" w:rsidRDefault="00A75091">
            <w:pPr>
              <w:suppressAutoHyphens/>
              <w:rPr>
                <w:rFonts w:ascii="Times New Roman" w:eastAsia="MS Mincho" w:hAnsi="Times New Roman"/>
                <w:i/>
                <w:iCs/>
                <w:color w:val="000000" w:themeColor="text1"/>
                <w:sz w:val="24"/>
                <w:szCs w:val="24"/>
                <w:lang w:eastAsia="fr-FR"/>
              </w:rPr>
            </w:pPr>
            <w:r w:rsidRPr="00CE778C">
              <w:rPr>
                <w:rFonts w:ascii="Times New Roman" w:eastAsia="MS Mincho" w:hAnsi="Times New Roman"/>
                <w:i/>
                <w:iCs/>
                <w:color w:val="000000" w:themeColor="text1"/>
                <w:sz w:val="24"/>
                <w:szCs w:val="24"/>
                <w:lang w:eastAsia="fr-FR"/>
              </w:rPr>
              <w:t>Moderat eller svært (CrCl 15</w:t>
            </w:r>
            <w:r w:rsidRPr="00CE778C">
              <w:rPr>
                <w:rFonts w:ascii="Times New Roman" w:eastAsia="MS Mincho" w:hAnsi="Times New Roman"/>
                <w:i/>
                <w:iCs/>
                <w:color w:val="000000" w:themeColor="text1"/>
                <w:sz w:val="24"/>
                <w:szCs w:val="24"/>
                <w:lang w:eastAsia="fr-FR"/>
              </w:rPr>
              <w:noBreakHyphen/>
              <w:t>50 mL/min)</w:t>
            </w:r>
          </w:p>
        </w:tc>
        <w:tc>
          <w:tcPr>
            <w:tcW w:w="1336" w:type="pct"/>
            <w:vMerge w:val="restart"/>
            <w:tcBorders>
              <w:top w:val="single" w:sz="4" w:space="0" w:color="auto"/>
              <w:left w:val="single" w:sz="4" w:space="0" w:color="auto"/>
              <w:bottom w:val="single" w:sz="4" w:space="0" w:color="auto"/>
              <w:right w:val="single" w:sz="4" w:space="0" w:color="auto"/>
            </w:tcBorders>
            <w:vAlign w:val="center"/>
            <w:hideMark/>
          </w:tcPr>
          <w:p w14:paraId="33E9124C" w14:textId="77777777" w:rsidR="00A75091" w:rsidRPr="00CE778C" w:rsidRDefault="00A75091">
            <w:pPr>
              <w:suppressAutoHyphens/>
              <w:jc w:val="center"/>
              <w:rPr>
                <w:rFonts w:ascii="Times New Roman" w:eastAsia="MS Mincho" w:hAnsi="Times New Roman"/>
                <w:color w:val="000000" w:themeColor="text1"/>
                <w:sz w:val="24"/>
                <w:szCs w:val="24"/>
                <w:lang w:eastAsia="fr-FR"/>
              </w:rPr>
            </w:pPr>
            <w:r w:rsidRPr="00CE778C">
              <w:rPr>
                <w:rFonts w:ascii="Times New Roman" w:eastAsia="MS Mincho" w:hAnsi="Times New Roman"/>
                <w:color w:val="000000" w:themeColor="text1"/>
                <w:sz w:val="24"/>
                <w:szCs w:val="24"/>
                <w:lang w:eastAsia="fr-FR"/>
              </w:rPr>
              <w:t>30 mg edoxaban én gang dagligt</w:t>
            </w:r>
          </w:p>
        </w:tc>
      </w:tr>
      <w:tr w:rsidR="00A75091" w:rsidRPr="00CE778C" w14:paraId="33E8B21E" w14:textId="77777777" w:rsidTr="006E6856">
        <w:trPr>
          <w:trHeight w:val="283"/>
        </w:trPr>
        <w:tc>
          <w:tcPr>
            <w:tcW w:w="1435" w:type="pct"/>
            <w:tcBorders>
              <w:top w:val="single" w:sz="4" w:space="0" w:color="auto"/>
              <w:left w:val="single" w:sz="4" w:space="0" w:color="auto"/>
              <w:bottom w:val="single" w:sz="4" w:space="0" w:color="auto"/>
              <w:right w:val="single" w:sz="4" w:space="0" w:color="auto"/>
            </w:tcBorders>
            <w:vAlign w:val="center"/>
            <w:hideMark/>
          </w:tcPr>
          <w:p w14:paraId="4F5FEBA5" w14:textId="77777777" w:rsidR="00A75091" w:rsidRPr="00CE778C" w:rsidRDefault="00A75091">
            <w:pPr>
              <w:suppressAutoHyphens/>
              <w:rPr>
                <w:rFonts w:ascii="Times New Roman" w:eastAsia="MS Mincho" w:hAnsi="Times New Roman"/>
                <w:color w:val="000000" w:themeColor="text1"/>
                <w:sz w:val="24"/>
                <w:szCs w:val="24"/>
                <w:lang w:val="en-GB" w:eastAsia="fr-FR"/>
              </w:rPr>
            </w:pPr>
            <w:r w:rsidRPr="00CE778C">
              <w:rPr>
                <w:rFonts w:ascii="Times New Roman" w:eastAsia="MS Mincho" w:hAnsi="Times New Roman"/>
                <w:color w:val="000000" w:themeColor="text1"/>
                <w:sz w:val="24"/>
                <w:szCs w:val="24"/>
                <w:lang w:eastAsia="fr-FR"/>
              </w:rPr>
              <w:t>Lav legemsvægt</w:t>
            </w:r>
          </w:p>
        </w:tc>
        <w:tc>
          <w:tcPr>
            <w:tcW w:w="2229" w:type="pct"/>
            <w:tcBorders>
              <w:top w:val="single" w:sz="4" w:space="0" w:color="auto"/>
              <w:left w:val="single" w:sz="4" w:space="0" w:color="auto"/>
              <w:bottom w:val="single" w:sz="4" w:space="0" w:color="auto"/>
              <w:right w:val="single" w:sz="4" w:space="0" w:color="auto"/>
            </w:tcBorders>
            <w:vAlign w:val="center"/>
            <w:hideMark/>
          </w:tcPr>
          <w:p w14:paraId="2DE00058" w14:textId="77777777" w:rsidR="00A75091" w:rsidRPr="00CE778C" w:rsidRDefault="00A75091">
            <w:pPr>
              <w:suppressAutoHyphens/>
              <w:rPr>
                <w:rFonts w:ascii="Times New Roman" w:eastAsia="MS Mincho" w:hAnsi="Times New Roman"/>
                <w:i/>
                <w:iCs/>
                <w:color w:val="000000" w:themeColor="text1"/>
                <w:sz w:val="24"/>
                <w:szCs w:val="24"/>
                <w:lang w:val="en-GB" w:eastAsia="fr-FR"/>
              </w:rPr>
            </w:pPr>
            <w:r w:rsidRPr="00CE778C">
              <w:rPr>
                <w:rFonts w:ascii="Times New Roman" w:eastAsia="MS Mincho" w:hAnsi="Times New Roman"/>
                <w:i/>
                <w:iCs/>
                <w:color w:val="000000" w:themeColor="text1"/>
                <w:sz w:val="24"/>
                <w:szCs w:val="24"/>
                <w:lang w:eastAsia="fr-FR"/>
              </w:rPr>
              <w:t>≤ 60 kg</w:t>
            </w:r>
          </w:p>
        </w:tc>
        <w:tc>
          <w:tcPr>
            <w:tcW w:w="1336" w:type="pct"/>
            <w:vMerge/>
            <w:tcBorders>
              <w:top w:val="single" w:sz="4" w:space="0" w:color="auto"/>
              <w:left w:val="single" w:sz="4" w:space="0" w:color="auto"/>
              <w:bottom w:val="single" w:sz="4" w:space="0" w:color="auto"/>
              <w:right w:val="single" w:sz="4" w:space="0" w:color="auto"/>
            </w:tcBorders>
            <w:vAlign w:val="center"/>
            <w:hideMark/>
          </w:tcPr>
          <w:p w14:paraId="0579FCED" w14:textId="77777777" w:rsidR="00A75091" w:rsidRPr="00CE778C" w:rsidRDefault="00A75091">
            <w:pPr>
              <w:rPr>
                <w:rFonts w:ascii="Times New Roman" w:eastAsia="MS Mincho" w:hAnsi="Times New Roman"/>
                <w:color w:val="000000" w:themeColor="text1"/>
                <w:sz w:val="24"/>
                <w:szCs w:val="24"/>
                <w:lang w:eastAsia="fr-FR"/>
              </w:rPr>
            </w:pPr>
          </w:p>
        </w:tc>
      </w:tr>
      <w:tr w:rsidR="00A75091" w:rsidRPr="00CE778C" w14:paraId="3907DF1C" w14:textId="77777777" w:rsidTr="006E6856">
        <w:trPr>
          <w:trHeight w:val="283"/>
        </w:trPr>
        <w:tc>
          <w:tcPr>
            <w:tcW w:w="1435" w:type="pct"/>
            <w:tcBorders>
              <w:top w:val="single" w:sz="4" w:space="0" w:color="auto"/>
              <w:left w:val="single" w:sz="4" w:space="0" w:color="auto"/>
              <w:bottom w:val="single" w:sz="4" w:space="0" w:color="auto"/>
              <w:right w:val="single" w:sz="4" w:space="0" w:color="auto"/>
            </w:tcBorders>
            <w:vAlign w:val="center"/>
            <w:hideMark/>
          </w:tcPr>
          <w:p w14:paraId="0105EE36" w14:textId="77777777" w:rsidR="00A75091" w:rsidRPr="00CE778C" w:rsidRDefault="00A75091">
            <w:pPr>
              <w:suppressAutoHyphens/>
              <w:rPr>
                <w:rFonts w:ascii="Times New Roman" w:eastAsia="MS Mincho" w:hAnsi="Times New Roman"/>
                <w:color w:val="000000" w:themeColor="text1"/>
                <w:sz w:val="24"/>
                <w:szCs w:val="24"/>
                <w:lang w:val="en-GB" w:eastAsia="fr-FR"/>
              </w:rPr>
            </w:pPr>
            <w:r w:rsidRPr="00CE778C">
              <w:rPr>
                <w:rFonts w:ascii="Times New Roman" w:eastAsia="MS Mincho" w:hAnsi="Times New Roman"/>
                <w:color w:val="000000" w:themeColor="text1"/>
                <w:sz w:val="24"/>
                <w:szCs w:val="24"/>
                <w:lang w:eastAsia="fr-FR"/>
              </w:rPr>
              <w:t>P-gp-hæmmere</w:t>
            </w:r>
          </w:p>
        </w:tc>
        <w:tc>
          <w:tcPr>
            <w:tcW w:w="2229" w:type="pct"/>
            <w:tcBorders>
              <w:top w:val="single" w:sz="4" w:space="0" w:color="auto"/>
              <w:left w:val="single" w:sz="4" w:space="0" w:color="auto"/>
              <w:bottom w:val="single" w:sz="4" w:space="0" w:color="auto"/>
              <w:right w:val="single" w:sz="4" w:space="0" w:color="auto"/>
            </w:tcBorders>
            <w:vAlign w:val="center"/>
            <w:hideMark/>
          </w:tcPr>
          <w:p w14:paraId="5B9041C4" w14:textId="77777777" w:rsidR="00A75091" w:rsidRPr="00CE778C" w:rsidRDefault="00A75091">
            <w:pPr>
              <w:suppressAutoHyphens/>
              <w:rPr>
                <w:rFonts w:ascii="Times New Roman" w:eastAsia="MS Mincho" w:hAnsi="Times New Roman"/>
                <w:i/>
                <w:iCs/>
                <w:color w:val="000000" w:themeColor="text1"/>
                <w:sz w:val="24"/>
                <w:szCs w:val="24"/>
                <w:lang w:eastAsia="fr-FR"/>
              </w:rPr>
            </w:pPr>
            <w:r w:rsidRPr="00CE778C">
              <w:rPr>
                <w:rFonts w:ascii="Times New Roman" w:eastAsia="MS Mincho" w:hAnsi="Times New Roman"/>
                <w:i/>
                <w:iCs/>
                <w:color w:val="000000" w:themeColor="text1"/>
                <w:sz w:val="24"/>
                <w:szCs w:val="24"/>
                <w:lang w:eastAsia="fr-FR"/>
              </w:rPr>
              <w:t>Ciclosporin, dronedaron, erythromycin,</w:t>
            </w:r>
          </w:p>
          <w:p w14:paraId="4837E63A" w14:textId="77777777" w:rsidR="00A75091" w:rsidRPr="00CE778C" w:rsidRDefault="00A75091">
            <w:pPr>
              <w:suppressAutoHyphens/>
              <w:rPr>
                <w:rFonts w:ascii="Times New Roman" w:eastAsia="MS Mincho" w:hAnsi="Times New Roman"/>
                <w:i/>
                <w:iCs/>
                <w:color w:val="000000" w:themeColor="text1"/>
                <w:sz w:val="24"/>
                <w:szCs w:val="24"/>
                <w:lang w:val="en-GB" w:eastAsia="fr-FR"/>
              </w:rPr>
            </w:pPr>
            <w:r w:rsidRPr="00CE778C">
              <w:rPr>
                <w:rFonts w:ascii="Times New Roman" w:eastAsia="MS Mincho" w:hAnsi="Times New Roman"/>
                <w:i/>
                <w:iCs/>
                <w:color w:val="000000" w:themeColor="text1"/>
                <w:sz w:val="24"/>
                <w:szCs w:val="24"/>
                <w:lang w:eastAsia="fr-FR"/>
              </w:rPr>
              <w:t>ketoconazol</w:t>
            </w:r>
          </w:p>
        </w:tc>
        <w:tc>
          <w:tcPr>
            <w:tcW w:w="1336" w:type="pct"/>
            <w:vMerge/>
            <w:tcBorders>
              <w:top w:val="single" w:sz="4" w:space="0" w:color="auto"/>
              <w:left w:val="single" w:sz="4" w:space="0" w:color="auto"/>
              <w:bottom w:val="single" w:sz="4" w:space="0" w:color="auto"/>
              <w:right w:val="single" w:sz="4" w:space="0" w:color="auto"/>
            </w:tcBorders>
            <w:vAlign w:val="center"/>
            <w:hideMark/>
          </w:tcPr>
          <w:p w14:paraId="23882533" w14:textId="77777777" w:rsidR="00A75091" w:rsidRPr="00CE778C" w:rsidRDefault="00A75091">
            <w:pPr>
              <w:rPr>
                <w:rFonts w:ascii="Times New Roman" w:eastAsia="MS Mincho" w:hAnsi="Times New Roman"/>
                <w:color w:val="000000" w:themeColor="text1"/>
                <w:sz w:val="24"/>
                <w:szCs w:val="24"/>
                <w:lang w:eastAsia="fr-FR"/>
              </w:rPr>
            </w:pPr>
          </w:p>
        </w:tc>
      </w:tr>
    </w:tbl>
    <w:p w14:paraId="7E06F6E1" w14:textId="77777777" w:rsidR="00A75091" w:rsidRPr="00CE778C" w:rsidRDefault="00A75091" w:rsidP="00A75091">
      <w:pPr>
        <w:suppressAutoHyphens/>
        <w:rPr>
          <w:rFonts w:eastAsia="MS Mincho"/>
          <w:bCs/>
          <w:color w:val="000000" w:themeColor="text1"/>
          <w:sz w:val="24"/>
          <w:szCs w:val="24"/>
          <w:lang w:eastAsia="fr-FR"/>
        </w:rPr>
      </w:pPr>
    </w:p>
    <w:p w14:paraId="6C3A2167" w14:textId="77777777" w:rsidR="00A75091" w:rsidRPr="00CE778C" w:rsidRDefault="00A75091" w:rsidP="006E6856">
      <w:pPr>
        <w:ind w:left="851"/>
        <w:rPr>
          <w:rFonts w:eastAsia="MS Mincho"/>
          <w:i/>
          <w:sz w:val="24"/>
          <w:szCs w:val="24"/>
          <w:lang w:eastAsia="fr-FR"/>
        </w:rPr>
      </w:pPr>
      <w:r w:rsidRPr="00CE778C">
        <w:rPr>
          <w:rFonts w:eastAsia="MS Mincho"/>
          <w:i/>
          <w:sz w:val="24"/>
          <w:szCs w:val="24"/>
          <w:lang w:eastAsia="fr-FR"/>
        </w:rPr>
        <w:t>Glemt dosis</w:t>
      </w:r>
    </w:p>
    <w:p w14:paraId="2EB5C034" w14:textId="39D3BDAC" w:rsidR="00A75091" w:rsidRPr="00CE778C" w:rsidRDefault="00A75091" w:rsidP="006E6856">
      <w:pPr>
        <w:ind w:left="851"/>
        <w:rPr>
          <w:rFonts w:eastAsia="MS Mincho"/>
          <w:sz w:val="24"/>
          <w:szCs w:val="24"/>
          <w:lang w:eastAsia="fr-FR"/>
        </w:rPr>
      </w:pPr>
      <w:r w:rsidRPr="00CE778C">
        <w:rPr>
          <w:rFonts w:eastAsia="MS Mincho"/>
          <w:sz w:val="24"/>
          <w:szCs w:val="24"/>
          <w:lang w:eastAsia="fr-FR"/>
        </w:rPr>
        <w:t>Hvis der glemmes en dosis af edoxaban, skal dosis straks tages, og den næste dag skal der fortsættes</w:t>
      </w:r>
      <w:r w:rsidR="00CE778C">
        <w:rPr>
          <w:rFonts w:eastAsia="MS Mincho"/>
          <w:sz w:val="24"/>
          <w:szCs w:val="24"/>
          <w:lang w:eastAsia="fr-FR"/>
        </w:rPr>
        <w:t xml:space="preserve"> </w:t>
      </w:r>
      <w:r w:rsidRPr="00CE778C">
        <w:rPr>
          <w:rFonts w:eastAsia="MS Mincho"/>
          <w:sz w:val="24"/>
          <w:szCs w:val="24"/>
          <w:lang w:eastAsia="fr-FR"/>
        </w:rPr>
        <w:t>med den anbefalede indtagelse en gang dagligt. Patienten må ikke tage en dosis, der er dobbelt så stor</w:t>
      </w:r>
      <w:r w:rsidR="00CE778C">
        <w:rPr>
          <w:rFonts w:eastAsia="MS Mincho"/>
          <w:sz w:val="24"/>
          <w:szCs w:val="24"/>
          <w:lang w:eastAsia="fr-FR"/>
        </w:rPr>
        <w:t xml:space="preserve"> </w:t>
      </w:r>
      <w:r w:rsidRPr="00CE778C">
        <w:rPr>
          <w:rFonts w:eastAsia="MS Mincho"/>
          <w:sz w:val="24"/>
          <w:szCs w:val="24"/>
          <w:lang w:eastAsia="fr-FR"/>
        </w:rPr>
        <w:t>som den ordinerede, på den samme dag som erstatning for den glemte dosis.</w:t>
      </w:r>
    </w:p>
    <w:p w14:paraId="0D9B50CD" w14:textId="77777777" w:rsidR="00A75091" w:rsidRPr="00CE778C" w:rsidRDefault="00A75091" w:rsidP="006E6856">
      <w:pPr>
        <w:ind w:left="851"/>
        <w:rPr>
          <w:rFonts w:eastAsia="MS Mincho"/>
          <w:sz w:val="24"/>
          <w:szCs w:val="24"/>
          <w:lang w:eastAsia="fr-FR"/>
        </w:rPr>
      </w:pPr>
    </w:p>
    <w:p w14:paraId="1A778E02" w14:textId="77777777" w:rsidR="00A75091" w:rsidRPr="00CE778C" w:rsidRDefault="00A75091" w:rsidP="006E6856">
      <w:pPr>
        <w:ind w:left="851"/>
        <w:rPr>
          <w:rFonts w:eastAsia="MS Mincho"/>
          <w:i/>
          <w:sz w:val="24"/>
          <w:szCs w:val="24"/>
          <w:lang w:eastAsia="fr-FR"/>
        </w:rPr>
      </w:pPr>
      <w:r w:rsidRPr="00CE778C">
        <w:rPr>
          <w:rFonts w:eastAsia="MS Mincho"/>
          <w:i/>
          <w:sz w:val="24"/>
          <w:szCs w:val="24"/>
          <w:lang w:eastAsia="fr-FR"/>
        </w:rPr>
        <w:t>Skift til og fra edoxaban</w:t>
      </w:r>
    </w:p>
    <w:p w14:paraId="5DBDF551" w14:textId="723F1496" w:rsidR="00A75091" w:rsidRPr="00CE778C" w:rsidRDefault="00A75091" w:rsidP="006E6856">
      <w:pPr>
        <w:ind w:left="851"/>
        <w:rPr>
          <w:rFonts w:eastAsia="MS Mincho"/>
          <w:sz w:val="24"/>
          <w:szCs w:val="24"/>
          <w:lang w:eastAsia="fr-FR"/>
        </w:rPr>
      </w:pPr>
      <w:r w:rsidRPr="00CE778C">
        <w:rPr>
          <w:rFonts w:eastAsia="MS Mincho"/>
          <w:sz w:val="24"/>
          <w:szCs w:val="24"/>
          <w:lang w:eastAsia="fr-FR"/>
        </w:rPr>
        <w:t>Fortsat behandling med antikoagulantia er vigtig for patienter med NVAF og VTE. Der kan være</w:t>
      </w:r>
      <w:r w:rsidR="00CE778C">
        <w:rPr>
          <w:rFonts w:eastAsia="MS Mincho"/>
          <w:sz w:val="24"/>
          <w:szCs w:val="24"/>
          <w:lang w:eastAsia="fr-FR"/>
        </w:rPr>
        <w:t xml:space="preserve"> </w:t>
      </w:r>
      <w:r w:rsidRPr="00CE778C">
        <w:rPr>
          <w:rFonts w:eastAsia="MS Mincho"/>
          <w:sz w:val="24"/>
          <w:szCs w:val="24"/>
          <w:lang w:eastAsia="fr-FR"/>
        </w:rPr>
        <w:t>situationer, der kræver en ændring i behandlingen med antikoagulantia (tabel 2).</w:t>
      </w:r>
    </w:p>
    <w:p w14:paraId="5B79005D" w14:textId="77777777" w:rsidR="00A75091" w:rsidRPr="00CE778C" w:rsidRDefault="00A75091" w:rsidP="006E6856">
      <w:pPr>
        <w:ind w:left="851"/>
        <w:rPr>
          <w:rFonts w:eastAsia="MS Mincho"/>
          <w:sz w:val="24"/>
          <w:szCs w:val="24"/>
          <w:lang w:eastAsia="fr-FR"/>
        </w:rPr>
      </w:pPr>
    </w:p>
    <w:p w14:paraId="4C0FC4C1" w14:textId="77777777" w:rsidR="00A75091" w:rsidRPr="00CE778C" w:rsidRDefault="00A75091" w:rsidP="00A75091">
      <w:pPr>
        <w:keepNext/>
        <w:suppressAutoHyphens/>
        <w:rPr>
          <w:rFonts w:eastAsia="MS Mincho"/>
          <w:b/>
          <w:bCs/>
          <w:color w:val="000000" w:themeColor="text1"/>
          <w:sz w:val="24"/>
          <w:szCs w:val="24"/>
          <w:lang w:eastAsia="fr-FR"/>
        </w:rPr>
      </w:pPr>
      <w:r w:rsidRPr="00CE778C">
        <w:rPr>
          <w:rFonts w:eastAsia="MS Mincho"/>
          <w:b/>
          <w:bCs/>
          <w:color w:val="000000" w:themeColor="text1"/>
          <w:sz w:val="24"/>
          <w:szCs w:val="24"/>
          <w:lang w:eastAsia="fr-FR"/>
        </w:rPr>
        <w:lastRenderedPageBreak/>
        <w:t>Tabel 2: Skift af antikoagulantia-behandling ved NVAF og VTE (DVT og LE)</w:t>
      </w:r>
    </w:p>
    <w:p w14:paraId="13FBF935" w14:textId="77777777" w:rsidR="00A75091" w:rsidRPr="00CE778C" w:rsidRDefault="00A75091" w:rsidP="00A75091">
      <w:pPr>
        <w:keepNext/>
        <w:suppressAutoHyphens/>
        <w:rPr>
          <w:rFonts w:eastAsia="MS Mincho"/>
          <w:b/>
          <w:bCs/>
          <w:color w:val="000000" w:themeColor="text1"/>
          <w:sz w:val="24"/>
          <w:szCs w:val="24"/>
          <w:lang w:eastAsia="fr-FR"/>
        </w:rPr>
      </w:pPr>
    </w:p>
    <w:tbl>
      <w:tblPr>
        <w:tblStyle w:val="Tabel-Gitter"/>
        <w:tblW w:w="5000" w:type="pct"/>
        <w:jc w:val="center"/>
        <w:tblInd w:w="0" w:type="dxa"/>
        <w:tblLook w:val="04A0" w:firstRow="1" w:lastRow="0" w:firstColumn="1" w:lastColumn="0" w:noHBand="0" w:noVBand="1"/>
      </w:tblPr>
      <w:tblGrid>
        <w:gridCol w:w="2790"/>
        <w:gridCol w:w="1177"/>
        <w:gridCol w:w="5661"/>
      </w:tblGrid>
      <w:tr w:rsidR="00A75091" w:rsidRPr="00CE778C" w14:paraId="0080CE8D" w14:textId="77777777" w:rsidTr="006E6856">
        <w:trPr>
          <w:trHeight w:val="283"/>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94189B" w14:textId="77777777" w:rsidR="00A75091" w:rsidRPr="00CE778C" w:rsidRDefault="00A75091">
            <w:pPr>
              <w:keepNext/>
              <w:suppressAutoHyphens/>
              <w:jc w:val="center"/>
              <w:rPr>
                <w:rFonts w:ascii="Times New Roman" w:eastAsia="MS Mincho" w:hAnsi="Times New Roman"/>
                <w:b/>
                <w:bCs/>
                <w:color w:val="000000" w:themeColor="text1"/>
                <w:sz w:val="24"/>
                <w:szCs w:val="24"/>
                <w:lang w:val="en-GB" w:eastAsia="fr-FR"/>
              </w:rPr>
            </w:pPr>
            <w:r w:rsidRPr="00CE778C">
              <w:rPr>
                <w:rFonts w:ascii="Times New Roman" w:eastAsia="MS Mincho" w:hAnsi="Times New Roman"/>
                <w:b/>
                <w:bCs/>
                <w:color w:val="000000" w:themeColor="text1"/>
                <w:sz w:val="24"/>
                <w:szCs w:val="24"/>
                <w:lang w:eastAsia="fr-FR"/>
              </w:rPr>
              <w:t>Skift til edoxaban</w:t>
            </w:r>
          </w:p>
        </w:tc>
      </w:tr>
      <w:tr w:rsidR="00A75091" w:rsidRPr="00CE778C" w14:paraId="5930FBBE" w14:textId="77777777" w:rsidTr="006E6856">
        <w:trPr>
          <w:trHeight w:val="283"/>
          <w:tblHeader/>
          <w:jc w:val="center"/>
        </w:trPr>
        <w:tc>
          <w:tcPr>
            <w:tcW w:w="1449" w:type="pct"/>
            <w:tcBorders>
              <w:top w:val="single" w:sz="4" w:space="0" w:color="auto"/>
              <w:left w:val="single" w:sz="4" w:space="0" w:color="auto"/>
              <w:bottom w:val="single" w:sz="4" w:space="0" w:color="auto"/>
              <w:right w:val="single" w:sz="4" w:space="0" w:color="auto"/>
            </w:tcBorders>
            <w:hideMark/>
          </w:tcPr>
          <w:p w14:paraId="68809B56" w14:textId="77777777" w:rsidR="00A75091" w:rsidRPr="00CE778C" w:rsidRDefault="00A75091">
            <w:pPr>
              <w:keepNext/>
              <w:suppressAutoHyphens/>
              <w:rPr>
                <w:rFonts w:ascii="Times New Roman" w:eastAsia="MS Mincho" w:hAnsi="Times New Roman"/>
                <w:b/>
                <w:bCs/>
                <w:color w:val="000000" w:themeColor="text1"/>
                <w:sz w:val="24"/>
                <w:szCs w:val="24"/>
                <w:lang w:val="en-GB" w:eastAsia="fr-FR"/>
              </w:rPr>
            </w:pPr>
            <w:r w:rsidRPr="00CE778C">
              <w:rPr>
                <w:rFonts w:ascii="Times New Roman" w:hAnsi="Times New Roman"/>
                <w:b/>
                <w:bCs/>
                <w:sz w:val="24"/>
                <w:szCs w:val="24"/>
                <w:lang w:eastAsia="ru-RU"/>
              </w:rPr>
              <w:t>Fra</w:t>
            </w:r>
          </w:p>
        </w:tc>
        <w:tc>
          <w:tcPr>
            <w:tcW w:w="611" w:type="pct"/>
            <w:tcBorders>
              <w:top w:val="single" w:sz="4" w:space="0" w:color="auto"/>
              <w:left w:val="single" w:sz="4" w:space="0" w:color="auto"/>
              <w:bottom w:val="single" w:sz="4" w:space="0" w:color="auto"/>
              <w:right w:val="single" w:sz="4" w:space="0" w:color="auto"/>
            </w:tcBorders>
            <w:hideMark/>
          </w:tcPr>
          <w:p w14:paraId="28D42137" w14:textId="77777777" w:rsidR="00A75091" w:rsidRPr="00CE778C" w:rsidRDefault="00A75091">
            <w:pPr>
              <w:keepNext/>
              <w:suppressAutoHyphens/>
              <w:rPr>
                <w:rFonts w:ascii="Times New Roman" w:eastAsia="MS Mincho" w:hAnsi="Times New Roman"/>
                <w:b/>
                <w:bCs/>
                <w:color w:val="000000" w:themeColor="text1"/>
                <w:sz w:val="24"/>
                <w:szCs w:val="24"/>
                <w:lang w:val="en-GB" w:eastAsia="fr-FR"/>
              </w:rPr>
            </w:pPr>
            <w:r w:rsidRPr="00CE778C">
              <w:rPr>
                <w:rFonts w:ascii="Times New Roman" w:hAnsi="Times New Roman"/>
                <w:b/>
                <w:bCs/>
                <w:sz w:val="24"/>
                <w:szCs w:val="24"/>
                <w:lang w:eastAsia="ru-RU"/>
              </w:rPr>
              <w:t>Til</w:t>
            </w:r>
          </w:p>
        </w:tc>
        <w:tc>
          <w:tcPr>
            <w:tcW w:w="2940" w:type="pct"/>
            <w:tcBorders>
              <w:top w:val="single" w:sz="4" w:space="0" w:color="auto"/>
              <w:left w:val="single" w:sz="4" w:space="0" w:color="auto"/>
              <w:bottom w:val="single" w:sz="4" w:space="0" w:color="auto"/>
              <w:right w:val="single" w:sz="4" w:space="0" w:color="auto"/>
            </w:tcBorders>
            <w:hideMark/>
          </w:tcPr>
          <w:p w14:paraId="6D0AFA4B" w14:textId="77777777" w:rsidR="00A75091" w:rsidRPr="00CE778C" w:rsidRDefault="00A75091">
            <w:pPr>
              <w:keepNext/>
              <w:suppressAutoHyphens/>
              <w:rPr>
                <w:rFonts w:ascii="Times New Roman" w:eastAsia="MS Mincho" w:hAnsi="Times New Roman"/>
                <w:b/>
                <w:bCs/>
                <w:color w:val="000000" w:themeColor="text1"/>
                <w:sz w:val="24"/>
                <w:szCs w:val="24"/>
                <w:lang w:val="en-GB" w:eastAsia="fr-FR"/>
              </w:rPr>
            </w:pPr>
            <w:r w:rsidRPr="00CE778C">
              <w:rPr>
                <w:rFonts w:ascii="Times New Roman" w:hAnsi="Times New Roman"/>
                <w:b/>
                <w:bCs/>
                <w:sz w:val="24"/>
                <w:szCs w:val="24"/>
                <w:lang w:eastAsia="ru-RU"/>
              </w:rPr>
              <w:t>Anbefaling</w:t>
            </w:r>
          </w:p>
        </w:tc>
      </w:tr>
      <w:tr w:rsidR="00A75091" w:rsidRPr="00CE778C" w14:paraId="4F3BEE8A" w14:textId="77777777" w:rsidTr="006E6856">
        <w:trPr>
          <w:trHeight w:val="283"/>
          <w:jc w:val="center"/>
        </w:trPr>
        <w:tc>
          <w:tcPr>
            <w:tcW w:w="1449" w:type="pct"/>
            <w:tcBorders>
              <w:top w:val="single" w:sz="4" w:space="0" w:color="auto"/>
              <w:left w:val="single" w:sz="4" w:space="0" w:color="auto"/>
              <w:bottom w:val="single" w:sz="4" w:space="0" w:color="auto"/>
              <w:right w:val="single" w:sz="4" w:space="0" w:color="auto"/>
            </w:tcBorders>
            <w:vAlign w:val="center"/>
            <w:hideMark/>
          </w:tcPr>
          <w:p w14:paraId="47368276" w14:textId="77777777" w:rsidR="00A75091" w:rsidRPr="00CE778C" w:rsidRDefault="00A75091">
            <w:pPr>
              <w:keepNext/>
              <w:suppressAutoHyphens/>
              <w:rPr>
                <w:rFonts w:ascii="Times New Roman" w:eastAsia="MS Mincho" w:hAnsi="Times New Roman"/>
                <w:color w:val="000000" w:themeColor="text1"/>
                <w:sz w:val="24"/>
                <w:szCs w:val="24"/>
                <w:lang w:val="en-GB" w:eastAsia="fr-FR"/>
              </w:rPr>
            </w:pPr>
            <w:r w:rsidRPr="00CE778C">
              <w:rPr>
                <w:rFonts w:ascii="Times New Roman" w:eastAsia="MS Mincho" w:hAnsi="Times New Roman"/>
                <w:color w:val="000000" w:themeColor="text1"/>
                <w:sz w:val="24"/>
                <w:szCs w:val="24"/>
                <w:lang w:eastAsia="fr-FR"/>
              </w:rPr>
              <w:t>K-vitaminantagonist (VKA)</w:t>
            </w:r>
          </w:p>
        </w:tc>
        <w:tc>
          <w:tcPr>
            <w:tcW w:w="611" w:type="pct"/>
            <w:tcBorders>
              <w:top w:val="single" w:sz="4" w:space="0" w:color="auto"/>
              <w:left w:val="single" w:sz="4" w:space="0" w:color="auto"/>
              <w:bottom w:val="single" w:sz="4" w:space="0" w:color="auto"/>
              <w:right w:val="single" w:sz="4" w:space="0" w:color="auto"/>
            </w:tcBorders>
            <w:vAlign w:val="center"/>
            <w:hideMark/>
          </w:tcPr>
          <w:p w14:paraId="1137CBED" w14:textId="77777777" w:rsidR="00A75091" w:rsidRPr="00CE778C" w:rsidRDefault="00A75091">
            <w:pPr>
              <w:keepNext/>
              <w:suppressAutoHyphens/>
              <w:rPr>
                <w:rFonts w:ascii="Times New Roman" w:eastAsia="MS Mincho" w:hAnsi="Times New Roman"/>
                <w:color w:val="000000" w:themeColor="text1"/>
                <w:sz w:val="24"/>
                <w:szCs w:val="24"/>
                <w:lang w:val="en-GB" w:eastAsia="fr-FR"/>
              </w:rPr>
            </w:pPr>
            <w:r w:rsidRPr="00CE778C">
              <w:rPr>
                <w:rFonts w:ascii="Times New Roman" w:eastAsia="MS Mincho" w:hAnsi="Times New Roman"/>
                <w:color w:val="000000" w:themeColor="text1"/>
                <w:sz w:val="24"/>
                <w:szCs w:val="24"/>
                <w:lang w:val="en-GB" w:eastAsia="fr-FR"/>
              </w:rPr>
              <w:t>Edoxaban</w:t>
            </w:r>
          </w:p>
        </w:tc>
        <w:tc>
          <w:tcPr>
            <w:tcW w:w="2940" w:type="pct"/>
            <w:tcBorders>
              <w:top w:val="single" w:sz="4" w:space="0" w:color="auto"/>
              <w:left w:val="single" w:sz="4" w:space="0" w:color="auto"/>
              <w:bottom w:val="single" w:sz="4" w:space="0" w:color="auto"/>
              <w:right w:val="single" w:sz="4" w:space="0" w:color="auto"/>
            </w:tcBorders>
            <w:hideMark/>
          </w:tcPr>
          <w:p w14:paraId="2496FB85" w14:textId="77777777" w:rsidR="00A75091" w:rsidRPr="00CE778C" w:rsidRDefault="00A75091">
            <w:pPr>
              <w:keepNext/>
              <w:suppressAutoHyphens/>
              <w:rPr>
                <w:rFonts w:ascii="Times New Roman" w:eastAsia="MS Mincho" w:hAnsi="Times New Roman"/>
                <w:color w:val="000000" w:themeColor="text1"/>
                <w:sz w:val="24"/>
                <w:szCs w:val="24"/>
                <w:lang w:eastAsia="fr-FR"/>
              </w:rPr>
            </w:pPr>
            <w:r w:rsidRPr="00CE778C">
              <w:rPr>
                <w:rFonts w:ascii="Times New Roman" w:eastAsia="MS Mincho" w:hAnsi="Times New Roman"/>
                <w:color w:val="000000" w:themeColor="text1"/>
                <w:sz w:val="24"/>
                <w:szCs w:val="24"/>
                <w:lang w:eastAsia="fr-FR"/>
              </w:rPr>
              <w:t>Seponer VKA og start behandling med edoxaban, når international normalised ratio (INR) er ≤ 2,5.</w:t>
            </w:r>
          </w:p>
        </w:tc>
      </w:tr>
      <w:tr w:rsidR="00A75091" w:rsidRPr="00CE778C" w14:paraId="22626DBC" w14:textId="77777777" w:rsidTr="006E6856">
        <w:trPr>
          <w:trHeight w:val="283"/>
          <w:jc w:val="center"/>
        </w:trPr>
        <w:tc>
          <w:tcPr>
            <w:tcW w:w="1449" w:type="pct"/>
            <w:tcBorders>
              <w:top w:val="single" w:sz="4" w:space="0" w:color="auto"/>
              <w:left w:val="single" w:sz="4" w:space="0" w:color="auto"/>
              <w:bottom w:val="single" w:sz="4" w:space="0" w:color="auto"/>
              <w:right w:val="single" w:sz="4" w:space="0" w:color="auto"/>
            </w:tcBorders>
            <w:vAlign w:val="center"/>
            <w:hideMark/>
          </w:tcPr>
          <w:p w14:paraId="493AFA13" w14:textId="77777777" w:rsidR="00A75091" w:rsidRPr="00CE778C" w:rsidRDefault="00A75091">
            <w:pPr>
              <w:keepNext/>
              <w:suppressAutoHyphens/>
              <w:rPr>
                <w:rFonts w:ascii="Times New Roman" w:eastAsia="MS Mincho" w:hAnsi="Times New Roman"/>
                <w:color w:val="000000" w:themeColor="text1"/>
                <w:sz w:val="24"/>
                <w:szCs w:val="24"/>
                <w:lang w:eastAsia="fr-FR"/>
              </w:rPr>
            </w:pPr>
            <w:r w:rsidRPr="00CE778C">
              <w:rPr>
                <w:rFonts w:ascii="Times New Roman" w:eastAsia="MS Mincho" w:hAnsi="Times New Roman"/>
                <w:color w:val="000000" w:themeColor="text1"/>
                <w:sz w:val="24"/>
                <w:szCs w:val="24"/>
                <w:lang w:eastAsia="fr-FR"/>
              </w:rPr>
              <w:t>Andre orale antikoagulantia end VKA</w:t>
            </w:r>
          </w:p>
          <w:p w14:paraId="769891DA" w14:textId="77777777" w:rsidR="00A75091" w:rsidRPr="00CE778C" w:rsidRDefault="00A75091" w:rsidP="00A75091">
            <w:pPr>
              <w:pStyle w:val="Listeafsnit"/>
              <w:keepNext/>
              <w:widowControl/>
              <w:numPr>
                <w:ilvl w:val="0"/>
                <w:numId w:val="7"/>
              </w:numPr>
              <w:suppressAutoHyphens/>
              <w:rPr>
                <w:rFonts w:ascii="Times New Roman" w:eastAsia="MS Mincho" w:hAnsi="Times New Roman"/>
                <w:color w:val="000000" w:themeColor="text1"/>
                <w:lang w:eastAsia="fr-FR"/>
              </w:rPr>
            </w:pPr>
            <w:r w:rsidRPr="00CE778C">
              <w:rPr>
                <w:rFonts w:ascii="Times New Roman" w:eastAsia="MS Mincho" w:hAnsi="Times New Roman"/>
                <w:color w:val="000000" w:themeColor="text1"/>
                <w:lang w:eastAsia="fr-FR"/>
              </w:rPr>
              <w:t>dabigatran</w:t>
            </w:r>
          </w:p>
          <w:p w14:paraId="56204810" w14:textId="77777777" w:rsidR="00A75091" w:rsidRPr="00CE778C" w:rsidRDefault="00A75091" w:rsidP="00A75091">
            <w:pPr>
              <w:pStyle w:val="Listeafsnit"/>
              <w:keepNext/>
              <w:widowControl/>
              <w:numPr>
                <w:ilvl w:val="0"/>
                <w:numId w:val="7"/>
              </w:numPr>
              <w:suppressAutoHyphens/>
              <w:rPr>
                <w:rFonts w:ascii="Times New Roman" w:eastAsia="MS Mincho" w:hAnsi="Times New Roman"/>
                <w:color w:val="000000" w:themeColor="text1"/>
                <w:lang w:val="en-GB" w:eastAsia="fr-FR"/>
              </w:rPr>
            </w:pPr>
            <w:r w:rsidRPr="00CE778C">
              <w:rPr>
                <w:rFonts w:ascii="Times New Roman" w:eastAsia="MS Mincho" w:hAnsi="Times New Roman"/>
                <w:color w:val="000000" w:themeColor="text1"/>
                <w:lang w:val="en-GB" w:eastAsia="fr-FR"/>
              </w:rPr>
              <w:t>rivaroxaban</w:t>
            </w:r>
          </w:p>
          <w:p w14:paraId="2F796EFF" w14:textId="77777777" w:rsidR="00A75091" w:rsidRPr="00CE778C" w:rsidRDefault="00A75091" w:rsidP="00A75091">
            <w:pPr>
              <w:keepNext/>
              <w:numPr>
                <w:ilvl w:val="0"/>
                <w:numId w:val="7"/>
              </w:numPr>
              <w:suppressAutoHyphens/>
              <w:autoSpaceDE w:val="0"/>
              <w:autoSpaceDN w:val="0"/>
              <w:adjustRightInd w:val="0"/>
              <w:rPr>
                <w:rFonts w:ascii="Times New Roman" w:eastAsia="MS Mincho" w:hAnsi="Times New Roman"/>
                <w:color w:val="000000" w:themeColor="text1"/>
                <w:sz w:val="24"/>
                <w:szCs w:val="24"/>
                <w:lang w:val="en-GB" w:eastAsia="fr-FR"/>
              </w:rPr>
            </w:pPr>
            <w:r w:rsidRPr="00CE778C">
              <w:rPr>
                <w:rFonts w:ascii="Times New Roman" w:eastAsia="MS Mincho" w:hAnsi="Times New Roman"/>
                <w:color w:val="000000" w:themeColor="text1"/>
                <w:sz w:val="24"/>
                <w:szCs w:val="24"/>
                <w:lang w:val="en-GB" w:eastAsia="fr-FR"/>
              </w:rPr>
              <w:t>apixaban</w:t>
            </w:r>
          </w:p>
        </w:tc>
        <w:tc>
          <w:tcPr>
            <w:tcW w:w="611" w:type="pct"/>
            <w:tcBorders>
              <w:top w:val="single" w:sz="4" w:space="0" w:color="auto"/>
              <w:left w:val="single" w:sz="4" w:space="0" w:color="auto"/>
              <w:bottom w:val="single" w:sz="4" w:space="0" w:color="auto"/>
              <w:right w:val="single" w:sz="4" w:space="0" w:color="auto"/>
            </w:tcBorders>
            <w:vAlign w:val="center"/>
            <w:hideMark/>
          </w:tcPr>
          <w:p w14:paraId="60A3F6AA" w14:textId="77777777" w:rsidR="00A75091" w:rsidRPr="00CE778C" w:rsidRDefault="00A75091">
            <w:pPr>
              <w:keepNext/>
              <w:suppressAutoHyphens/>
              <w:rPr>
                <w:rFonts w:ascii="Times New Roman" w:eastAsia="MS Mincho" w:hAnsi="Times New Roman"/>
                <w:color w:val="000000" w:themeColor="text1"/>
                <w:sz w:val="24"/>
                <w:szCs w:val="24"/>
                <w:lang w:val="en-GB" w:eastAsia="fr-FR"/>
              </w:rPr>
            </w:pPr>
            <w:r w:rsidRPr="00CE778C">
              <w:rPr>
                <w:rFonts w:ascii="Times New Roman" w:eastAsia="MS Mincho" w:hAnsi="Times New Roman"/>
                <w:color w:val="000000" w:themeColor="text1"/>
                <w:sz w:val="24"/>
                <w:szCs w:val="24"/>
                <w:lang w:val="en-GB" w:eastAsia="fr-FR"/>
              </w:rPr>
              <w:t>Edoxaban</w:t>
            </w:r>
          </w:p>
        </w:tc>
        <w:tc>
          <w:tcPr>
            <w:tcW w:w="2940" w:type="pct"/>
            <w:tcBorders>
              <w:top w:val="single" w:sz="4" w:space="0" w:color="auto"/>
              <w:left w:val="single" w:sz="4" w:space="0" w:color="auto"/>
              <w:bottom w:val="single" w:sz="4" w:space="0" w:color="auto"/>
              <w:right w:val="single" w:sz="4" w:space="0" w:color="auto"/>
            </w:tcBorders>
            <w:hideMark/>
          </w:tcPr>
          <w:p w14:paraId="0D3AC349" w14:textId="77777777" w:rsidR="00A75091" w:rsidRPr="00CE778C" w:rsidRDefault="00A75091">
            <w:pPr>
              <w:keepNext/>
              <w:suppressAutoHyphens/>
              <w:rPr>
                <w:rFonts w:ascii="Times New Roman" w:eastAsia="MS Mincho" w:hAnsi="Times New Roman"/>
                <w:color w:val="000000" w:themeColor="text1"/>
                <w:sz w:val="24"/>
                <w:szCs w:val="24"/>
                <w:lang w:eastAsia="fr-FR"/>
              </w:rPr>
            </w:pPr>
            <w:r w:rsidRPr="00CE778C">
              <w:rPr>
                <w:rFonts w:ascii="Times New Roman" w:eastAsia="MS Mincho" w:hAnsi="Times New Roman"/>
                <w:color w:val="000000" w:themeColor="text1"/>
                <w:sz w:val="24"/>
                <w:szCs w:val="24"/>
                <w:lang w:eastAsia="fr-FR"/>
              </w:rPr>
              <w:t>Seponer dabigatran, rivaroxaban eller apixaban, og start behandling med edoxaban på tidspunktet for den næste dosis af oral antikoagulation (se pkt. 5.1).</w:t>
            </w:r>
          </w:p>
        </w:tc>
      </w:tr>
      <w:tr w:rsidR="00A75091" w:rsidRPr="00CE778C" w14:paraId="04626993" w14:textId="77777777" w:rsidTr="006E6856">
        <w:trPr>
          <w:trHeight w:val="283"/>
          <w:jc w:val="center"/>
        </w:trPr>
        <w:tc>
          <w:tcPr>
            <w:tcW w:w="1449" w:type="pct"/>
            <w:vMerge w:val="restart"/>
            <w:tcBorders>
              <w:top w:val="single" w:sz="4" w:space="0" w:color="auto"/>
              <w:left w:val="single" w:sz="4" w:space="0" w:color="auto"/>
              <w:bottom w:val="single" w:sz="4" w:space="0" w:color="auto"/>
              <w:right w:val="single" w:sz="4" w:space="0" w:color="auto"/>
            </w:tcBorders>
            <w:vAlign w:val="center"/>
            <w:hideMark/>
          </w:tcPr>
          <w:p w14:paraId="35189133" w14:textId="77777777" w:rsidR="00A75091" w:rsidRPr="00CE778C" w:rsidRDefault="00A75091">
            <w:pPr>
              <w:keepNext/>
              <w:suppressAutoHyphens/>
              <w:rPr>
                <w:rFonts w:ascii="Times New Roman" w:eastAsia="MS Mincho" w:hAnsi="Times New Roman"/>
                <w:color w:val="000000" w:themeColor="text1"/>
                <w:sz w:val="24"/>
                <w:szCs w:val="24"/>
                <w:lang w:val="en-GB" w:eastAsia="fr-FR"/>
              </w:rPr>
            </w:pPr>
            <w:r w:rsidRPr="00CE778C">
              <w:rPr>
                <w:rFonts w:ascii="Times New Roman" w:eastAsia="MS Mincho" w:hAnsi="Times New Roman"/>
                <w:color w:val="000000" w:themeColor="text1"/>
                <w:sz w:val="24"/>
                <w:szCs w:val="24"/>
                <w:lang w:val="en-GB" w:eastAsia="fr-FR"/>
              </w:rPr>
              <w:t xml:space="preserve">Parenteral </w:t>
            </w:r>
            <w:r w:rsidRPr="00CE778C">
              <w:rPr>
                <w:rFonts w:ascii="Times New Roman" w:eastAsia="MS Mincho" w:hAnsi="Times New Roman"/>
                <w:color w:val="000000" w:themeColor="text1"/>
                <w:sz w:val="24"/>
                <w:szCs w:val="24"/>
                <w:lang w:eastAsia="fr-FR"/>
              </w:rPr>
              <w:t>antikoagulation</w:t>
            </w:r>
          </w:p>
        </w:tc>
        <w:tc>
          <w:tcPr>
            <w:tcW w:w="611" w:type="pct"/>
            <w:vMerge w:val="restart"/>
            <w:tcBorders>
              <w:top w:val="single" w:sz="4" w:space="0" w:color="auto"/>
              <w:left w:val="single" w:sz="4" w:space="0" w:color="auto"/>
              <w:bottom w:val="single" w:sz="4" w:space="0" w:color="auto"/>
              <w:right w:val="single" w:sz="4" w:space="0" w:color="auto"/>
            </w:tcBorders>
            <w:vAlign w:val="center"/>
            <w:hideMark/>
          </w:tcPr>
          <w:p w14:paraId="0A872B72" w14:textId="77777777" w:rsidR="00A75091" w:rsidRPr="00CE778C" w:rsidRDefault="00A75091">
            <w:pPr>
              <w:keepNext/>
              <w:suppressAutoHyphens/>
              <w:rPr>
                <w:rFonts w:ascii="Times New Roman" w:eastAsia="MS Mincho" w:hAnsi="Times New Roman"/>
                <w:color w:val="000000" w:themeColor="text1"/>
                <w:sz w:val="24"/>
                <w:szCs w:val="24"/>
                <w:lang w:val="en-GB" w:eastAsia="fr-FR"/>
              </w:rPr>
            </w:pPr>
            <w:r w:rsidRPr="00CE778C">
              <w:rPr>
                <w:rFonts w:ascii="Times New Roman" w:eastAsia="MS Mincho" w:hAnsi="Times New Roman"/>
                <w:color w:val="000000" w:themeColor="text1"/>
                <w:sz w:val="24"/>
                <w:szCs w:val="24"/>
                <w:lang w:val="en-GB" w:eastAsia="fr-FR"/>
              </w:rPr>
              <w:t>Edoxaban</w:t>
            </w:r>
          </w:p>
        </w:tc>
        <w:tc>
          <w:tcPr>
            <w:tcW w:w="2940" w:type="pct"/>
            <w:tcBorders>
              <w:top w:val="single" w:sz="4" w:space="0" w:color="auto"/>
              <w:left w:val="single" w:sz="4" w:space="0" w:color="auto"/>
              <w:bottom w:val="single" w:sz="4" w:space="0" w:color="auto"/>
              <w:right w:val="single" w:sz="4" w:space="0" w:color="auto"/>
            </w:tcBorders>
            <w:hideMark/>
          </w:tcPr>
          <w:p w14:paraId="7E9A66B0" w14:textId="77777777" w:rsidR="00A75091" w:rsidRPr="00CE778C" w:rsidRDefault="00A75091">
            <w:pPr>
              <w:keepNext/>
              <w:suppressAutoHyphens/>
              <w:rPr>
                <w:rFonts w:ascii="Times New Roman" w:eastAsia="MS Mincho" w:hAnsi="Times New Roman"/>
                <w:color w:val="000000" w:themeColor="text1"/>
                <w:sz w:val="24"/>
                <w:szCs w:val="24"/>
                <w:lang w:eastAsia="fr-FR"/>
              </w:rPr>
            </w:pPr>
            <w:r w:rsidRPr="00CE778C">
              <w:rPr>
                <w:rFonts w:ascii="Times New Roman" w:eastAsia="MS Mincho" w:hAnsi="Times New Roman"/>
                <w:color w:val="000000" w:themeColor="text1"/>
                <w:sz w:val="24"/>
                <w:szCs w:val="24"/>
                <w:lang w:eastAsia="fr-FR"/>
              </w:rPr>
              <w:t>Disse lægemidler bør ikke administreres samtidigt. Subkutane antikoagulantia (dvs. lavmolekylær heparin (LMWH) og fondaparinux): Seponer subkutane antikoagulantia og start behandling med edoxaban på tidspunktet for den næste planlagte subkutane antikoagulantium-dosis.</w:t>
            </w:r>
          </w:p>
        </w:tc>
      </w:tr>
      <w:tr w:rsidR="00A75091" w:rsidRPr="00CE778C" w14:paraId="02BA19C8" w14:textId="77777777" w:rsidTr="006E6856">
        <w:trPr>
          <w:trHeight w:val="283"/>
          <w:jc w:val="center"/>
        </w:trPr>
        <w:tc>
          <w:tcPr>
            <w:tcW w:w="1449" w:type="pct"/>
            <w:vMerge/>
            <w:tcBorders>
              <w:top w:val="single" w:sz="4" w:space="0" w:color="auto"/>
              <w:left w:val="single" w:sz="4" w:space="0" w:color="auto"/>
              <w:bottom w:val="single" w:sz="4" w:space="0" w:color="auto"/>
              <w:right w:val="single" w:sz="4" w:space="0" w:color="auto"/>
            </w:tcBorders>
            <w:vAlign w:val="center"/>
            <w:hideMark/>
          </w:tcPr>
          <w:p w14:paraId="4E78D4CA" w14:textId="77777777" w:rsidR="00A75091" w:rsidRPr="00CE778C" w:rsidRDefault="00A75091">
            <w:pPr>
              <w:rPr>
                <w:rFonts w:ascii="Times New Roman" w:eastAsia="MS Mincho" w:hAnsi="Times New Roman"/>
                <w:color w:val="000000" w:themeColor="text1"/>
                <w:sz w:val="24"/>
                <w:szCs w:val="24"/>
                <w:lang w:val="da-DK" w:eastAsia="fr-FR"/>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14:paraId="0C881F8E" w14:textId="77777777" w:rsidR="00A75091" w:rsidRPr="00CE778C" w:rsidRDefault="00A75091">
            <w:pPr>
              <w:rPr>
                <w:rFonts w:ascii="Times New Roman" w:eastAsia="MS Mincho" w:hAnsi="Times New Roman"/>
                <w:color w:val="000000" w:themeColor="text1"/>
                <w:sz w:val="24"/>
                <w:szCs w:val="24"/>
                <w:lang w:val="da-DK" w:eastAsia="fr-FR"/>
              </w:rPr>
            </w:pPr>
          </w:p>
        </w:tc>
        <w:tc>
          <w:tcPr>
            <w:tcW w:w="2940" w:type="pct"/>
            <w:tcBorders>
              <w:top w:val="single" w:sz="4" w:space="0" w:color="auto"/>
              <w:left w:val="single" w:sz="4" w:space="0" w:color="auto"/>
              <w:bottom w:val="single" w:sz="4" w:space="0" w:color="auto"/>
              <w:right w:val="single" w:sz="4" w:space="0" w:color="auto"/>
            </w:tcBorders>
            <w:hideMark/>
          </w:tcPr>
          <w:p w14:paraId="5D2F39B7" w14:textId="77777777" w:rsidR="00A75091" w:rsidRPr="00CE778C" w:rsidRDefault="00A75091">
            <w:pPr>
              <w:keepNext/>
              <w:suppressAutoHyphens/>
              <w:rPr>
                <w:rFonts w:ascii="Times New Roman" w:eastAsia="MS Mincho" w:hAnsi="Times New Roman"/>
                <w:color w:val="000000" w:themeColor="text1"/>
                <w:sz w:val="24"/>
                <w:szCs w:val="24"/>
                <w:lang w:eastAsia="fr-FR"/>
              </w:rPr>
            </w:pPr>
            <w:r w:rsidRPr="00CE778C">
              <w:rPr>
                <w:rFonts w:ascii="Times New Roman" w:eastAsia="MS Mincho" w:hAnsi="Times New Roman"/>
                <w:color w:val="000000" w:themeColor="text1"/>
                <w:sz w:val="24"/>
                <w:szCs w:val="24"/>
                <w:lang w:eastAsia="fr-FR"/>
              </w:rPr>
              <w:t>Intravenøst, ufraktioneret heparin (UFH):</w:t>
            </w:r>
          </w:p>
          <w:p w14:paraId="77C604FB" w14:textId="77777777" w:rsidR="00A75091" w:rsidRPr="00CE778C" w:rsidRDefault="00A75091">
            <w:pPr>
              <w:keepNext/>
              <w:suppressAutoHyphens/>
              <w:rPr>
                <w:rFonts w:ascii="Times New Roman" w:eastAsia="MS Mincho" w:hAnsi="Times New Roman"/>
                <w:color w:val="000000" w:themeColor="text1"/>
                <w:sz w:val="24"/>
                <w:szCs w:val="24"/>
                <w:lang w:eastAsia="fr-FR"/>
              </w:rPr>
            </w:pPr>
            <w:r w:rsidRPr="00CE778C">
              <w:rPr>
                <w:rFonts w:ascii="Times New Roman" w:eastAsia="MS Mincho" w:hAnsi="Times New Roman"/>
                <w:color w:val="000000" w:themeColor="text1"/>
                <w:sz w:val="24"/>
                <w:szCs w:val="24"/>
                <w:lang w:eastAsia="fr-FR"/>
              </w:rPr>
              <w:t xml:space="preserve">Seponer infusionen, og start behandling med edoxaban </w:t>
            </w:r>
            <w:r w:rsidRPr="00CE778C">
              <w:rPr>
                <w:rFonts w:ascii="Times New Roman" w:eastAsia="MS Mincho" w:hAnsi="Times New Roman"/>
                <w:color w:val="000000" w:themeColor="text1"/>
                <w:sz w:val="24"/>
                <w:szCs w:val="24"/>
                <w:lang w:eastAsia="fr-FR"/>
              </w:rPr>
              <w:br/>
              <w:t>4 timer senere.</w:t>
            </w:r>
          </w:p>
        </w:tc>
      </w:tr>
    </w:tbl>
    <w:p w14:paraId="387BC63A" w14:textId="77777777" w:rsidR="00A75091" w:rsidRPr="00CE778C" w:rsidRDefault="00A75091" w:rsidP="00A75091">
      <w:pPr>
        <w:suppressAutoHyphens/>
        <w:rPr>
          <w:rFonts w:eastAsia="MS Mincho"/>
          <w:color w:val="000000" w:themeColor="text1"/>
          <w:sz w:val="24"/>
          <w:szCs w:val="24"/>
          <w:lang w:eastAsia="fr-FR"/>
        </w:rPr>
      </w:pPr>
    </w:p>
    <w:tbl>
      <w:tblPr>
        <w:tblStyle w:val="Tabel-Gitter"/>
        <w:tblpPr w:leftFromText="180" w:rightFromText="180" w:vertAnchor="text" w:tblpXSpec="right" w:tblpY="1"/>
        <w:tblOverlap w:val="never"/>
        <w:tblW w:w="5000" w:type="pct"/>
        <w:tblInd w:w="0" w:type="dxa"/>
        <w:tblLook w:val="04A0" w:firstRow="1" w:lastRow="0" w:firstColumn="1" w:lastColumn="0" w:noHBand="0" w:noVBand="1"/>
      </w:tblPr>
      <w:tblGrid>
        <w:gridCol w:w="1319"/>
        <w:gridCol w:w="2205"/>
        <w:gridCol w:w="6104"/>
      </w:tblGrid>
      <w:tr w:rsidR="00A75091" w:rsidRPr="00CE778C" w14:paraId="19A78224" w14:textId="77777777" w:rsidTr="006E6856">
        <w:trPr>
          <w:trHeight w:val="283"/>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707E3A" w14:textId="77777777" w:rsidR="00A75091" w:rsidRPr="00CE778C" w:rsidRDefault="00A75091">
            <w:pPr>
              <w:jc w:val="center"/>
              <w:rPr>
                <w:rFonts w:ascii="Times New Roman" w:hAnsi="Times New Roman"/>
                <w:b/>
                <w:bCs/>
                <w:sz w:val="24"/>
                <w:szCs w:val="24"/>
                <w:lang w:val="en-GB" w:eastAsia="ru-RU"/>
              </w:rPr>
            </w:pPr>
            <w:r w:rsidRPr="00CE778C">
              <w:rPr>
                <w:rFonts w:ascii="Times New Roman" w:hAnsi="Times New Roman"/>
                <w:b/>
                <w:bCs/>
                <w:sz w:val="24"/>
                <w:szCs w:val="24"/>
                <w:lang w:eastAsia="ru-RU"/>
              </w:rPr>
              <w:t>Skift fra edoxaban</w:t>
            </w:r>
          </w:p>
        </w:tc>
      </w:tr>
      <w:tr w:rsidR="00A75091" w:rsidRPr="00CE778C" w14:paraId="4FE3D56D" w14:textId="77777777" w:rsidTr="006E6856">
        <w:trPr>
          <w:trHeight w:val="283"/>
          <w:tblHeader/>
        </w:trPr>
        <w:tc>
          <w:tcPr>
            <w:tcW w:w="685" w:type="pct"/>
            <w:tcBorders>
              <w:top w:val="single" w:sz="4" w:space="0" w:color="auto"/>
              <w:left w:val="single" w:sz="4" w:space="0" w:color="auto"/>
              <w:bottom w:val="single" w:sz="4" w:space="0" w:color="auto"/>
              <w:right w:val="single" w:sz="4" w:space="0" w:color="auto"/>
            </w:tcBorders>
            <w:vAlign w:val="center"/>
            <w:hideMark/>
          </w:tcPr>
          <w:p w14:paraId="4A385759" w14:textId="77777777" w:rsidR="00A75091" w:rsidRPr="00CE778C" w:rsidRDefault="00A75091">
            <w:pPr>
              <w:rPr>
                <w:rFonts w:ascii="Times New Roman" w:hAnsi="Times New Roman"/>
                <w:b/>
                <w:bCs/>
                <w:sz w:val="24"/>
                <w:szCs w:val="24"/>
                <w:lang w:val="en-GB" w:eastAsia="ru-RU"/>
              </w:rPr>
            </w:pPr>
            <w:r w:rsidRPr="00CE778C">
              <w:rPr>
                <w:rFonts w:ascii="Times New Roman" w:hAnsi="Times New Roman"/>
                <w:b/>
                <w:bCs/>
                <w:sz w:val="24"/>
                <w:szCs w:val="24"/>
                <w:lang w:val="en-GB" w:eastAsia="ru-RU"/>
              </w:rPr>
              <w:t>Fra</w:t>
            </w:r>
          </w:p>
        </w:tc>
        <w:tc>
          <w:tcPr>
            <w:tcW w:w="1145" w:type="pct"/>
            <w:tcBorders>
              <w:top w:val="single" w:sz="4" w:space="0" w:color="auto"/>
              <w:left w:val="single" w:sz="4" w:space="0" w:color="auto"/>
              <w:bottom w:val="single" w:sz="4" w:space="0" w:color="auto"/>
              <w:right w:val="single" w:sz="4" w:space="0" w:color="auto"/>
            </w:tcBorders>
            <w:vAlign w:val="center"/>
            <w:hideMark/>
          </w:tcPr>
          <w:p w14:paraId="6E7BDAFA" w14:textId="77777777" w:rsidR="00A75091" w:rsidRPr="00CE778C" w:rsidRDefault="00A75091">
            <w:pPr>
              <w:rPr>
                <w:rFonts w:ascii="Times New Roman" w:hAnsi="Times New Roman"/>
                <w:b/>
                <w:bCs/>
                <w:sz w:val="24"/>
                <w:szCs w:val="24"/>
                <w:lang w:val="en-GB" w:eastAsia="ru-RU"/>
              </w:rPr>
            </w:pPr>
            <w:r w:rsidRPr="00CE778C">
              <w:rPr>
                <w:rFonts w:ascii="Times New Roman" w:hAnsi="Times New Roman"/>
                <w:b/>
                <w:bCs/>
                <w:sz w:val="24"/>
                <w:szCs w:val="24"/>
                <w:lang w:val="en-GB" w:eastAsia="ru-RU"/>
              </w:rPr>
              <w:t>Til</w:t>
            </w:r>
          </w:p>
        </w:tc>
        <w:tc>
          <w:tcPr>
            <w:tcW w:w="3170" w:type="pct"/>
            <w:tcBorders>
              <w:top w:val="single" w:sz="4" w:space="0" w:color="auto"/>
              <w:left w:val="single" w:sz="4" w:space="0" w:color="auto"/>
              <w:bottom w:val="single" w:sz="4" w:space="0" w:color="auto"/>
              <w:right w:val="single" w:sz="4" w:space="0" w:color="auto"/>
            </w:tcBorders>
            <w:vAlign w:val="center"/>
            <w:hideMark/>
          </w:tcPr>
          <w:p w14:paraId="208CAD5F" w14:textId="77777777" w:rsidR="00A75091" w:rsidRPr="00CE778C" w:rsidRDefault="00A75091">
            <w:pPr>
              <w:rPr>
                <w:rFonts w:ascii="Times New Roman" w:hAnsi="Times New Roman"/>
                <w:b/>
                <w:bCs/>
                <w:sz w:val="24"/>
                <w:szCs w:val="24"/>
                <w:lang w:val="en-GB" w:eastAsia="ru-RU"/>
              </w:rPr>
            </w:pPr>
            <w:r w:rsidRPr="00CE778C">
              <w:rPr>
                <w:rFonts w:ascii="Times New Roman" w:hAnsi="Times New Roman"/>
                <w:b/>
                <w:bCs/>
                <w:sz w:val="24"/>
                <w:szCs w:val="24"/>
                <w:lang w:eastAsia="ru-RU"/>
              </w:rPr>
              <w:t>Anbefaling</w:t>
            </w:r>
          </w:p>
        </w:tc>
      </w:tr>
      <w:tr w:rsidR="00A75091" w:rsidRPr="00CE778C" w14:paraId="00172774" w14:textId="77777777" w:rsidTr="006E6856">
        <w:trPr>
          <w:trHeight w:val="283"/>
        </w:trPr>
        <w:tc>
          <w:tcPr>
            <w:tcW w:w="685" w:type="pct"/>
            <w:tcBorders>
              <w:top w:val="single" w:sz="4" w:space="0" w:color="auto"/>
              <w:left w:val="single" w:sz="4" w:space="0" w:color="auto"/>
              <w:bottom w:val="single" w:sz="4" w:space="0" w:color="auto"/>
              <w:right w:val="single" w:sz="4" w:space="0" w:color="auto"/>
            </w:tcBorders>
            <w:vAlign w:val="center"/>
            <w:hideMark/>
          </w:tcPr>
          <w:p w14:paraId="727F8E1C" w14:textId="77777777" w:rsidR="00A75091" w:rsidRPr="00CE778C" w:rsidRDefault="00A75091">
            <w:pPr>
              <w:rPr>
                <w:rFonts w:ascii="Times New Roman" w:hAnsi="Times New Roman"/>
                <w:sz w:val="24"/>
                <w:szCs w:val="24"/>
                <w:lang w:val="en-GB" w:eastAsia="ru-RU"/>
              </w:rPr>
            </w:pPr>
            <w:r w:rsidRPr="00CE778C">
              <w:rPr>
                <w:rFonts w:ascii="Times New Roman" w:hAnsi="Times New Roman"/>
                <w:sz w:val="24"/>
                <w:szCs w:val="24"/>
                <w:lang w:val="en-GB" w:eastAsia="ru-RU"/>
              </w:rPr>
              <w:t>Edoxaban</w:t>
            </w:r>
          </w:p>
        </w:tc>
        <w:tc>
          <w:tcPr>
            <w:tcW w:w="1145" w:type="pct"/>
            <w:tcBorders>
              <w:top w:val="single" w:sz="4" w:space="0" w:color="auto"/>
              <w:left w:val="single" w:sz="4" w:space="0" w:color="auto"/>
              <w:bottom w:val="single" w:sz="4" w:space="0" w:color="auto"/>
              <w:right w:val="single" w:sz="4" w:space="0" w:color="auto"/>
            </w:tcBorders>
            <w:vAlign w:val="center"/>
            <w:hideMark/>
          </w:tcPr>
          <w:p w14:paraId="227BCE5F" w14:textId="77777777" w:rsidR="00A75091" w:rsidRPr="00CE778C" w:rsidRDefault="00A75091">
            <w:pPr>
              <w:rPr>
                <w:rFonts w:ascii="Times New Roman" w:hAnsi="Times New Roman"/>
                <w:sz w:val="24"/>
                <w:szCs w:val="24"/>
                <w:lang w:val="en-GB" w:eastAsia="ru-RU"/>
              </w:rPr>
            </w:pPr>
            <w:r w:rsidRPr="00CE778C">
              <w:rPr>
                <w:rFonts w:ascii="Times New Roman" w:hAnsi="Times New Roman"/>
                <w:sz w:val="24"/>
                <w:szCs w:val="24"/>
                <w:lang w:val="en-GB" w:eastAsia="ru-RU"/>
              </w:rPr>
              <w:t>VKA</w:t>
            </w:r>
          </w:p>
        </w:tc>
        <w:tc>
          <w:tcPr>
            <w:tcW w:w="3170" w:type="pct"/>
            <w:tcBorders>
              <w:top w:val="single" w:sz="4" w:space="0" w:color="auto"/>
              <w:left w:val="single" w:sz="4" w:space="0" w:color="auto"/>
              <w:bottom w:val="single" w:sz="4" w:space="0" w:color="auto"/>
              <w:right w:val="single" w:sz="4" w:space="0" w:color="auto"/>
            </w:tcBorders>
          </w:tcPr>
          <w:p w14:paraId="02A8D248" w14:textId="77777777" w:rsidR="00A75091" w:rsidRPr="00CE778C" w:rsidRDefault="00A75091">
            <w:pP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Der er mulighed for utilstrækkelig antikoagulation ved overgangen fra edoxaban til VKA. Fortsat tilstrækkelig antikoagulation bør sikres ved alle overgange til anden</w:t>
            </w:r>
          </w:p>
          <w:p w14:paraId="2197B760" w14:textId="77777777" w:rsidR="00A75091" w:rsidRPr="00CE778C" w:rsidRDefault="00A75091">
            <w:pP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antikoagulation.</w:t>
            </w:r>
          </w:p>
          <w:p w14:paraId="54629F97" w14:textId="77777777" w:rsidR="00A75091" w:rsidRPr="00CE778C" w:rsidRDefault="00A75091">
            <w:pPr>
              <w:rPr>
                <w:rFonts w:ascii="Times New Roman" w:eastAsia="TimesNewRoman" w:hAnsi="Times New Roman"/>
                <w:sz w:val="24"/>
                <w:szCs w:val="24"/>
                <w:lang w:eastAsia="ru-RU"/>
              </w:rPr>
            </w:pPr>
          </w:p>
          <w:p w14:paraId="669139CC" w14:textId="77777777" w:rsidR="00A75091" w:rsidRPr="00CE778C" w:rsidRDefault="00A75091">
            <w:pPr>
              <w:rPr>
                <w:rFonts w:ascii="Times New Roman" w:eastAsia="TimesNewRoman" w:hAnsi="Times New Roman"/>
                <w:sz w:val="24"/>
                <w:szCs w:val="24"/>
                <w:lang w:eastAsia="ru-RU"/>
              </w:rPr>
            </w:pPr>
            <w:r w:rsidRPr="00CE778C">
              <w:rPr>
                <w:rFonts w:ascii="Times New Roman" w:eastAsia="TimesNewRoman" w:hAnsi="Times New Roman"/>
                <w:i/>
                <w:iCs/>
                <w:sz w:val="24"/>
                <w:szCs w:val="24"/>
                <w:lang w:eastAsia="ru-RU"/>
              </w:rPr>
              <w:t xml:space="preserve">Oral mulighed: </w:t>
            </w:r>
            <w:r w:rsidRPr="00CE778C">
              <w:rPr>
                <w:rFonts w:ascii="Times New Roman" w:eastAsia="TimesNewRoman" w:hAnsi="Times New Roman"/>
                <w:sz w:val="24"/>
                <w:szCs w:val="24"/>
                <w:lang w:eastAsia="ru-RU"/>
              </w:rPr>
              <w:t>Til patienter, der aktuelt får en 60 mg dosis, administreres en edoxaban-dosis på 30 mg en gang dagligt sammen med en passende VKA-dosis.</w:t>
            </w:r>
          </w:p>
          <w:p w14:paraId="6C632E0F" w14:textId="77777777" w:rsidR="00A75091" w:rsidRPr="00CE778C" w:rsidRDefault="00A75091">
            <w:pPr>
              <w:rPr>
                <w:rFonts w:ascii="Times New Roman" w:eastAsia="TimesNewRoman" w:hAnsi="Times New Roman"/>
                <w:sz w:val="24"/>
                <w:szCs w:val="24"/>
                <w:lang w:eastAsia="ru-RU"/>
              </w:rPr>
            </w:pPr>
          </w:p>
          <w:p w14:paraId="33EAE551" w14:textId="77777777" w:rsidR="00A75091" w:rsidRPr="00CE778C" w:rsidRDefault="00A75091">
            <w:pP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Til patienter, der aktuelt får en 30 mg dosis (ved én eller flere af følgende kliniske faktorer: moderat til svært nedsat nyrefunktion (CrCl 15 - 50 ml/min.), lav legemsvægt eller brug sammen med visse P-gphæmmere), administreres en edoxaban-dosis på 15 mg en gang dagligt sammen med en passende VKA-dosis.</w:t>
            </w:r>
          </w:p>
          <w:p w14:paraId="556C359B" w14:textId="77777777" w:rsidR="00A75091" w:rsidRPr="00CE778C" w:rsidRDefault="00A75091">
            <w:pPr>
              <w:rPr>
                <w:rFonts w:ascii="Times New Roman" w:eastAsia="TimesNewRoman" w:hAnsi="Times New Roman"/>
                <w:sz w:val="24"/>
                <w:szCs w:val="24"/>
                <w:lang w:eastAsia="ru-RU"/>
              </w:rPr>
            </w:pPr>
          </w:p>
          <w:p w14:paraId="33516BB4" w14:textId="77777777" w:rsidR="00A75091" w:rsidRPr="00CE778C" w:rsidRDefault="00A75091">
            <w:pP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Patienter må ikke tage en støddosis VKA for hurtigt at opnå en stabil INR mellem 2 og 3. Det anbefales at tage hensyn til vedligeholdelsesdosen af VKA, og om patienten tidligere tog en VKA, eller at anvende en gyldig behandlingsalgoritme for VKA baseret på INR i henhold til lokal praksis.</w:t>
            </w:r>
          </w:p>
          <w:p w14:paraId="559D9D8C" w14:textId="77777777" w:rsidR="00A75091" w:rsidRPr="00CE778C" w:rsidRDefault="00A75091">
            <w:pPr>
              <w:rPr>
                <w:rFonts w:ascii="Times New Roman" w:eastAsia="TimesNewRoman" w:hAnsi="Times New Roman"/>
                <w:sz w:val="24"/>
                <w:szCs w:val="24"/>
                <w:lang w:eastAsia="ru-RU"/>
              </w:rPr>
            </w:pPr>
          </w:p>
          <w:p w14:paraId="1AB1F6CD" w14:textId="0AC82C35" w:rsidR="00A75091" w:rsidRPr="00CE778C" w:rsidRDefault="00A75091">
            <w:pP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Når INR ≥ 2,0 er opnået, skal edoxaban seponeres. Det bør være muligt for de fleste patienter (85 %) at opnå en INR ≥</w:t>
            </w:r>
            <w:r w:rsidR="00BC493D">
              <w:rPr>
                <w:rFonts w:eastAsia="TimesNewRoman"/>
                <w:lang w:val="da-DK"/>
              </w:rPr>
              <w:t> </w:t>
            </w:r>
            <w:r w:rsidRPr="00CE778C">
              <w:rPr>
                <w:rFonts w:ascii="Times New Roman" w:eastAsia="TimesNewRoman" w:hAnsi="Times New Roman"/>
                <w:sz w:val="24"/>
                <w:szCs w:val="24"/>
                <w:lang w:eastAsia="ru-RU"/>
              </w:rPr>
              <w:t>2,0</w:t>
            </w:r>
            <w:r w:rsidR="00BC493D">
              <w:rPr>
                <w:rFonts w:ascii="Times New Roman" w:eastAsia="TimesNewRoman" w:hAnsi="Times New Roman"/>
                <w:sz w:val="24"/>
                <w:szCs w:val="24"/>
                <w:lang w:val="da-DK" w:eastAsia="ru-RU"/>
              </w:rPr>
              <w:t xml:space="preserve"> </w:t>
            </w:r>
            <w:r w:rsidRPr="00CE778C">
              <w:rPr>
                <w:rFonts w:ascii="Times New Roman" w:eastAsia="TimesNewRoman" w:hAnsi="Times New Roman"/>
                <w:sz w:val="24"/>
                <w:szCs w:val="24"/>
                <w:lang w:eastAsia="ru-RU"/>
              </w:rPr>
              <w:t>i løbet af 14 dage med administration af edoxaban sammen med VKA. Efter 14 dage anbefales det at seponere edoxaban og fortsætte med at titrere VKA for at opnå en INR fra 2 til 3.</w:t>
            </w:r>
          </w:p>
          <w:p w14:paraId="3855E260" w14:textId="77777777" w:rsidR="00A75091" w:rsidRPr="00CE778C" w:rsidRDefault="00A75091">
            <w:pPr>
              <w:rPr>
                <w:rFonts w:ascii="Times New Roman" w:eastAsia="TimesNewRoman" w:hAnsi="Times New Roman"/>
                <w:sz w:val="24"/>
                <w:szCs w:val="24"/>
                <w:lang w:eastAsia="ru-RU"/>
              </w:rPr>
            </w:pPr>
          </w:p>
          <w:p w14:paraId="51DA56CA" w14:textId="77777777" w:rsidR="00A75091" w:rsidRPr="00CE778C" w:rsidRDefault="00A75091">
            <w:pP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Det anbefales at måle INR mindst 3 gange, lige før der tages den daglige dosis af edoxaban i løbet af de første 14 dages samtidig behandling for at minimere edoxabans påvirkning af INR-målingerne. Behandling med edoxaban sammen med VKA kan øge INR efter edoxaban-dosen med op til 46 %.</w:t>
            </w:r>
          </w:p>
          <w:p w14:paraId="40405C06" w14:textId="6AACD7AD" w:rsidR="00A75091" w:rsidRPr="00CE778C" w:rsidRDefault="00A75091">
            <w:pPr>
              <w:rPr>
                <w:rFonts w:ascii="Times New Roman" w:eastAsia="TimesNewRoman" w:hAnsi="Times New Roman"/>
                <w:sz w:val="24"/>
                <w:szCs w:val="24"/>
                <w:lang w:eastAsia="ru-RU"/>
              </w:rPr>
            </w:pPr>
            <w:r w:rsidRPr="00CE778C">
              <w:rPr>
                <w:rFonts w:ascii="Times New Roman" w:eastAsia="TimesNewRoman" w:hAnsi="Times New Roman"/>
                <w:i/>
                <w:iCs/>
                <w:sz w:val="24"/>
                <w:szCs w:val="24"/>
                <w:lang w:eastAsia="ru-RU"/>
              </w:rPr>
              <w:t xml:space="preserve">Parenteral mulighed: </w:t>
            </w:r>
            <w:r w:rsidRPr="00CE778C">
              <w:rPr>
                <w:rFonts w:ascii="Times New Roman" w:eastAsia="TimesNewRoman" w:hAnsi="Times New Roman"/>
                <w:sz w:val="24"/>
                <w:szCs w:val="24"/>
                <w:lang w:eastAsia="ru-RU"/>
              </w:rPr>
              <w:t>Seponer edoxaban, og administrer parenteral antikoagulation og VKA på tidspunktet for den næste planlagte edoxaban-dosis. Når der er opnået en stabil INR på ≥</w:t>
            </w:r>
            <w:r w:rsidR="00BC493D">
              <w:rPr>
                <w:rFonts w:ascii="Times New Roman" w:eastAsia="TimesNewRoman" w:hAnsi="Times New Roman"/>
                <w:sz w:val="24"/>
                <w:szCs w:val="24"/>
                <w:lang w:val="da-DK" w:eastAsia="ru-RU"/>
              </w:rPr>
              <w:t> </w:t>
            </w:r>
            <w:r w:rsidRPr="00CE778C">
              <w:rPr>
                <w:rFonts w:ascii="Times New Roman" w:eastAsia="TimesNewRoman" w:hAnsi="Times New Roman"/>
                <w:sz w:val="24"/>
                <w:szCs w:val="24"/>
                <w:lang w:eastAsia="ru-RU"/>
              </w:rPr>
              <w:t>2,0, bør den parenterale antikoagulation seponeres, og behandling med VKA bør fortsætte.</w:t>
            </w:r>
          </w:p>
        </w:tc>
      </w:tr>
      <w:tr w:rsidR="00A75091" w:rsidRPr="00CE778C" w14:paraId="68CB9AF2" w14:textId="77777777" w:rsidTr="006E6856">
        <w:trPr>
          <w:trHeight w:val="283"/>
        </w:trPr>
        <w:tc>
          <w:tcPr>
            <w:tcW w:w="685" w:type="pct"/>
            <w:tcBorders>
              <w:top w:val="single" w:sz="4" w:space="0" w:color="auto"/>
              <w:left w:val="single" w:sz="4" w:space="0" w:color="auto"/>
              <w:bottom w:val="single" w:sz="4" w:space="0" w:color="auto"/>
              <w:right w:val="single" w:sz="4" w:space="0" w:color="auto"/>
            </w:tcBorders>
            <w:vAlign w:val="center"/>
            <w:hideMark/>
          </w:tcPr>
          <w:p w14:paraId="13513561" w14:textId="77777777" w:rsidR="00A75091" w:rsidRPr="00CE778C" w:rsidRDefault="00A75091">
            <w:pPr>
              <w:pStyle w:val="Listeafsnit"/>
              <w:ind w:left="22"/>
              <w:rPr>
                <w:rFonts w:ascii="Times New Roman" w:hAnsi="Times New Roman"/>
                <w:lang w:val="en-GB" w:eastAsia="ru-RU"/>
              </w:rPr>
            </w:pPr>
            <w:r w:rsidRPr="00CE778C">
              <w:rPr>
                <w:rFonts w:ascii="Times New Roman" w:hAnsi="Times New Roman"/>
                <w:lang w:val="en-GB" w:eastAsia="ru-RU"/>
              </w:rPr>
              <w:lastRenderedPageBreak/>
              <w:t>Edoxaban</w:t>
            </w:r>
          </w:p>
        </w:tc>
        <w:tc>
          <w:tcPr>
            <w:tcW w:w="1145" w:type="pct"/>
            <w:tcBorders>
              <w:top w:val="single" w:sz="4" w:space="0" w:color="auto"/>
              <w:left w:val="single" w:sz="4" w:space="0" w:color="auto"/>
              <w:bottom w:val="single" w:sz="4" w:space="0" w:color="auto"/>
              <w:right w:val="single" w:sz="4" w:space="0" w:color="auto"/>
            </w:tcBorders>
            <w:vAlign w:val="center"/>
            <w:hideMark/>
          </w:tcPr>
          <w:p w14:paraId="2D799279" w14:textId="77777777" w:rsidR="00A75091" w:rsidRPr="00CE778C" w:rsidRDefault="00A75091">
            <w:pPr>
              <w:rPr>
                <w:rFonts w:ascii="Times New Roman" w:hAnsi="Times New Roman"/>
                <w:sz w:val="24"/>
                <w:szCs w:val="24"/>
                <w:lang w:eastAsia="ru-RU"/>
              </w:rPr>
            </w:pPr>
            <w:r w:rsidRPr="00CE778C">
              <w:rPr>
                <w:rFonts w:ascii="Times New Roman" w:hAnsi="Times New Roman"/>
                <w:sz w:val="24"/>
                <w:szCs w:val="24"/>
                <w:lang w:eastAsia="ru-RU"/>
              </w:rPr>
              <w:t>Andre orale antikoagulantia end VKA</w:t>
            </w:r>
          </w:p>
        </w:tc>
        <w:tc>
          <w:tcPr>
            <w:tcW w:w="3170" w:type="pct"/>
            <w:tcBorders>
              <w:top w:val="single" w:sz="4" w:space="0" w:color="auto"/>
              <w:left w:val="single" w:sz="4" w:space="0" w:color="auto"/>
              <w:bottom w:val="single" w:sz="4" w:space="0" w:color="auto"/>
              <w:right w:val="single" w:sz="4" w:space="0" w:color="auto"/>
            </w:tcBorders>
            <w:hideMark/>
          </w:tcPr>
          <w:p w14:paraId="6ECDD0AE" w14:textId="6B88AEF5" w:rsidR="00A75091" w:rsidRPr="00CE778C" w:rsidRDefault="00A75091" w:rsidP="00CE778C">
            <w:pPr>
              <w:rPr>
                <w:rFonts w:ascii="Times New Roman" w:hAnsi="Times New Roman"/>
                <w:sz w:val="24"/>
                <w:szCs w:val="24"/>
                <w:lang w:eastAsia="ru-RU"/>
              </w:rPr>
            </w:pPr>
            <w:r w:rsidRPr="00CE778C">
              <w:rPr>
                <w:rFonts w:ascii="Times New Roman" w:hAnsi="Times New Roman"/>
                <w:sz w:val="24"/>
                <w:szCs w:val="24"/>
                <w:lang w:eastAsia="ru-RU"/>
              </w:rPr>
              <w:t>Seponer edoxaban, og start non-VKA-antikoagulation på</w:t>
            </w:r>
            <w:r w:rsidR="00CE778C">
              <w:rPr>
                <w:rFonts w:ascii="Times New Roman" w:hAnsi="Times New Roman"/>
                <w:sz w:val="24"/>
                <w:szCs w:val="24"/>
                <w:lang w:val="da-DK" w:eastAsia="ru-RU"/>
              </w:rPr>
              <w:t xml:space="preserve"> </w:t>
            </w:r>
            <w:r w:rsidRPr="00CE778C">
              <w:rPr>
                <w:rFonts w:ascii="Times New Roman" w:hAnsi="Times New Roman"/>
                <w:sz w:val="24"/>
                <w:szCs w:val="24"/>
                <w:lang w:eastAsia="ru-RU"/>
              </w:rPr>
              <w:t>tidspunktet for den næste planlagte dosis edoxaban.</w:t>
            </w:r>
          </w:p>
        </w:tc>
      </w:tr>
      <w:tr w:rsidR="00A75091" w:rsidRPr="00CE778C" w14:paraId="020E3C74" w14:textId="77777777" w:rsidTr="006E6856">
        <w:trPr>
          <w:trHeight w:val="283"/>
        </w:trPr>
        <w:tc>
          <w:tcPr>
            <w:tcW w:w="685" w:type="pct"/>
            <w:tcBorders>
              <w:top w:val="single" w:sz="4" w:space="0" w:color="auto"/>
              <w:left w:val="single" w:sz="4" w:space="0" w:color="auto"/>
              <w:bottom w:val="single" w:sz="4" w:space="0" w:color="auto"/>
              <w:right w:val="single" w:sz="4" w:space="0" w:color="auto"/>
            </w:tcBorders>
            <w:vAlign w:val="center"/>
            <w:hideMark/>
          </w:tcPr>
          <w:p w14:paraId="660419F1" w14:textId="77777777" w:rsidR="00A75091" w:rsidRPr="00CE778C" w:rsidRDefault="00A75091">
            <w:pPr>
              <w:pStyle w:val="Listeafsnit"/>
              <w:ind w:left="22"/>
              <w:rPr>
                <w:rFonts w:ascii="Times New Roman" w:hAnsi="Times New Roman"/>
                <w:lang w:val="en-GB" w:eastAsia="ru-RU"/>
              </w:rPr>
            </w:pPr>
            <w:r w:rsidRPr="00CE778C">
              <w:rPr>
                <w:rFonts w:ascii="Times New Roman" w:hAnsi="Times New Roman"/>
                <w:lang w:val="en-GB" w:eastAsia="ru-RU"/>
              </w:rPr>
              <w:t>Edoxaban</w:t>
            </w:r>
          </w:p>
        </w:tc>
        <w:tc>
          <w:tcPr>
            <w:tcW w:w="1145" w:type="pct"/>
            <w:tcBorders>
              <w:top w:val="single" w:sz="4" w:space="0" w:color="auto"/>
              <w:left w:val="single" w:sz="4" w:space="0" w:color="auto"/>
              <w:bottom w:val="single" w:sz="4" w:space="0" w:color="auto"/>
              <w:right w:val="single" w:sz="4" w:space="0" w:color="auto"/>
            </w:tcBorders>
            <w:vAlign w:val="center"/>
            <w:hideMark/>
          </w:tcPr>
          <w:p w14:paraId="46641F32" w14:textId="77777777" w:rsidR="00A75091" w:rsidRPr="00CE778C" w:rsidRDefault="00A75091">
            <w:pPr>
              <w:rPr>
                <w:rFonts w:ascii="Times New Roman" w:hAnsi="Times New Roman"/>
                <w:sz w:val="24"/>
                <w:szCs w:val="24"/>
                <w:lang w:eastAsia="ru-RU"/>
              </w:rPr>
            </w:pPr>
            <w:r w:rsidRPr="00CE778C">
              <w:rPr>
                <w:rFonts w:ascii="Times New Roman" w:hAnsi="Times New Roman"/>
                <w:sz w:val="24"/>
                <w:szCs w:val="24"/>
                <w:lang w:eastAsia="ru-RU"/>
              </w:rPr>
              <w:t>Parenteral</w:t>
            </w:r>
          </w:p>
          <w:p w14:paraId="0A0DA98B" w14:textId="77777777" w:rsidR="00A75091" w:rsidRPr="00CE778C" w:rsidRDefault="00A75091">
            <w:pPr>
              <w:rPr>
                <w:rFonts w:ascii="Times New Roman" w:hAnsi="Times New Roman"/>
                <w:sz w:val="24"/>
                <w:szCs w:val="24"/>
                <w:lang w:val="en-GB" w:eastAsia="ru-RU"/>
              </w:rPr>
            </w:pPr>
            <w:r w:rsidRPr="00CE778C">
              <w:rPr>
                <w:rFonts w:ascii="Times New Roman" w:hAnsi="Times New Roman"/>
                <w:sz w:val="24"/>
                <w:szCs w:val="24"/>
                <w:lang w:eastAsia="ru-RU"/>
              </w:rPr>
              <w:t>antikoagulation</w:t>
            </w:r>
          </w:p>
        </w:tc>
        <w:tc>
          <w:tcPr>
            <w:tcW w:w="3170" w:type="pct"/>
            <w:tcBorders>
              <w:top w:val="single" w:sz="4" w:space="0" w:color="auto"/>
              <w:left w:val="single" w:sz="4" w:space="0" w:color="auto"/>
              <w:bottom w:val="single" w:sz="4" w:space="0" w:color="auto"/>
              <w:right w:val="single" w:sz="4" w:space="0" w:color="auto"/>
            </w:tcBorders>
            <w:hideMark/>
          </w:tcPr>
          <w:p w14:paraId="492DEDF2" w14:textId="77777777" w:rsidR="00A75091" w:rsidRPr="00CE778C" w:rsidRDefault="00A75091">
            <w:pP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Disse midler bør ikke administreres samtidigt. Seponer edoxaban, og start parenteral antikoagulation på tidspunktet for den næste planlagte dosis edoxaban.</w:t>
            </w:r>
          </w:p>
        </w:tc>
      </w:tr>
    </w:tbl>
    <w:p w14:paraId="7731D1F4" w14:textId="77777777" w:rsidR="00A75091" w:rsidRPr="00CE778C" w:rsidRDefault="00A75091" w:rsidP="00A75091">
      <w:pPr>
        <w:pStyle w:val="Brdtekst"/>
        <w:widowControl/>
        <w:suppressAutoHyphens/>
        <w:kinsoku w:val="0"/>
        <w:overflowPunct w:val="0"/>
        <w:ind w:left="0"/>
        <w:rPr>
          <w:color w:val="000000" w:themeColor="text1"/>
        </w:rPr>
      </w:pPr>
    </w:p>
    <w:p w14:paraId="4D50771A" w14:textId="77777777" w:rsidR="00A75091" w:rsidRPr="00CE778C" w:rsidRDefault="00A75091" w:rsidP="00CE778C">
      <w:pPr>
        <w:ind w:left="851"/>
        <w:rPr>
          <w:sz w:val="24"/>
          <w:szCs w:val="24"/>
          <w:u w:val="single"/>
        </w:rPr>
      </w:pPr>
      <w:r w:rsidRPr="00CE778C">
        <w:rPr>
          <w:sz w:val="24"/>
          <w:szCs w:val="24"/>
          <w:u w:val="single"/>
        </w:rPr>
        <w:t>Specielle populationer</w:t>
      </w:r>
    </w:p>
    <w:p w14:paraId="22F5FBC9" w14:textId="77777777" w:rsidR="00A75091" w:rsidRPr="00CE778C" w:rsidRDefault="00A75091" w:rsidP="00CE778C">
      <w:pPr>
        <w:ind w:left="851"/>
        <w:rPr>
          <w:i/>
          <w:iCs/>
          <w:sz w:val="24"/>
          <w:szCs w:val="24"/>
        </w:rPr>
      </w:pPr>
    </w:p>
    <w:p w14:paraId="51C9119B" w14:textId="77777777" w:rsidR="00A75091" w:rsidRPr="00CE778C" w:rsidRDefault="00A75091" w:rsidP="00CE778C">
      <w:pPr>
        <w:ind w:left="851"/>
        <w:rPr>
          <w:i/>
          <w:iCs/>
          <w:sz w:val="24"/>
          <w:szCs w:val="24"/>
        </w:rPr>
      </w:pPr>
      <w:r w:rsidRPr="00CE778C">
        <w:rPr>
          <w:i/>
          <w:iCs/>
          <w:sz w:val="24"/>
          <w:szCs w:val="24"/>
        </w:rPr>
        <w:t>Ældre population</w:t>
      </w:r>
    </w:p>
    <w:p w14:paraId="29B53B01" w14:textId="77777777" w:rsidR="00A75091" w:rsidRPr="00CE778C" w:rsidRDefault="00A75091" w:rsidP="00CE778C">
      <w:pPr>
        <w:ind w:left="851"/>
        <w:rPr>
          <w:sz w:val="24"/>
          <w:szCs w:val="24"/>
        </w:rPr>
      </w:pPr>
      <w:r w:rsidRPr="00CE778C">
        <w:rPr>
          <w:sz w:val="24"/>
          <w:szCs w:val="24"/>
        </w:rPr>
        <w:t>Ingen dosisreduktion er nødvendig (se pkt. 5.2).</w:t>
      </w:r>
    </w:p>
    <w:p w14:paraId="28A56B15" w14:textId="77777777" w:rsidR="00A75091" w:rsidRPr="00CE778C" w:rsidRDefault="00A75091" w:rsidP="00CE778C">
      <w:pPr>
        <w:ind w:left="851"/>
        <w:rPr>
          <w:sz w:val="24"/>
          <w:szCs w:val="24"/>
        </w:rPr>
      </w:pPr>
    </w:p>
    <w:p w14:paraId="6D09D6AC" w14:textId="77777777" w:rsidR="00A75091" w:rsidRPr="00CE778C" w:rsidRDefault="00A75091" w:rsidP="00CE778C">
      <w:pPr>
        <w:ind w:left="851"/>
        <w:rPr>
          <w:i/>
          <w:iCs/>
          <w:sz w:val="24"/>
          <w:szCs w:val="24"/>
        </w:rPr>
      </w:pPr>
      <w:r w:rsidRPr="00CE778C">
        <w:rPr>
          <w:i/>
          <w:iCs/>
          <w:sz w:val="24"/>
          <w:szCs w:val="24"/>
        </w:rPr>
        <w:t>Nedsat nyrefunktion</w:t>
      </w:r>
    </w:p>
    <w:p w14:paraId="53197E99" w14:textId="0033418D" w:rsidR="00A75091" w:rsidRPr="00CE778C" w:rsidRDefault="00A75091" w:rsidP="00CE778C">
      <w:pPr>
        <w:ind w:left="851"/>
        <w:rPr>
          <w:sz w:val="24"/>
          <w:szCs w:val="24"/>
        </w:rPr>
      </w:pPr>
      <w:r w:rsidRPr="00CE778C">
        <w:rPr>
          <w:sz w:val="24"/>
          <w:szCs w:val="24"/>
        </w:rPr>
        <w:t>Nyrefunktionen skal vurderes hos alle patienter ved at beregne CrCl, før behandlingen med edoxaban</w:t>
      </w:r>
      <w:r w:rsidR="00CE778C">
        <w:rPr>
          <w:sz w:val="24"/>
          <w:szCs w:val="24"/>
        </w:rPr>
        <w:t xml:space="preserve"> </w:t>
      </w:r>
      <w:r w:rsidRPr="00CE778C">
        <w:rPr>
          <w:sz w:val="24"/>
          <w:szCs w:val="24"/>
        </w:rPr>
        <w:t>påbegyndes, for at ekskludere patienter med nyresygdom i slutstadiet (dvs. CrCl &lt; 15 ml/min.), for at</w:t>
      </w:r>
      <w:r w:rsidR="00CE778C">
        <w:rPr>
          <w:sz w:val="24"/>
          <w:szCs w:val="24"/>
        </w:rPr>
        <w:t xml:space="preserve"> </w:t>
      </w:r>
      <w:r w:rsidRPr="00CE778C">
        <w:rPr>
          <w:sz w:val="24"/>
          <w:szCs w:val="24"/>
        </w:rPr>
        <w:t>anvende den korrekte edoxaban-dosis hos patienter med CrCl 15 – 50</w:t>
      </w:r>
      <w:r w:rsidR="00BC493D">
        <w:rPr>
          <w:sz w:val="24"/>
          <w:szCs w:val="24"/>
        </w:rPr>
        <w:t> </w:t>
      </w:r>
      <w:r w:rsidRPr="00CE778C">
        <w:rPr>
          <w:sz w:val="24"/>
          <w:szCs w:val="24"/>
        </w:rPr>
        <w:t>ml/min. (30 mg en gang dagligt), hos patienter med CrCl &gt; 50 ml/min. (60 mg en gang dagligt), og når der tages beslutning om at anvende edoxaban til patienter med forhøjet CrCl (se pkt. 4.4).</w:t>
      </w:r>
    </w:p>
    <w:p w14:paraId="141A8C13" w14:textId="77777777" w:rsidR="00A75091" w:rsidRPr="00CE778C" w:rsidRDefault="00A75091" w:rsidP="00CE778C">
      <w:pPr>
        <w:ind w:left="851"/>
        <w:rPr>
          <w:sz w:val="24"/>
          <w:szCs w:val="24"/>
        </w:rPr>
      </w:pPr>
    </w:p>
    <w:p w14:paraId="597C7C3C" w14:textId="77777777" w:rsidR="00A75091" w:rsidRPr="00CE778C" w:rsidRDefault="00A75091" w:rsidP="00CE778C">
      <w:pPr>
        <w:ind w:left="851"/>
        <w:rPr>
          <w:sz w:val="24"/>
          <w:szCs w:val="24"/>
        </w:rPr>
      </w:pPr>
      <w:r w:rsidRPr="00CE778C">
        <w:rPr>
          <w:sz w:val="24"/>
          <w:szCs w:val="24"/>
        </w:rPr>
        <w:t>Nyrefunktionen skal også vurderes, når der er mistanke om en ændring af nyrefunktionen under behandlingen (f.eks. hypovolæmi, dehydrering og i tilfælde af anvendelse sammen med visse lægemidler).</w:t>
      </w:r>
    </w:p>
    <w:p w14:paraId="17B6E0A4" w14:textId="77777777" w:rsidR="00A75091" w:rsidRPr="00CE778C" w:rsidRDefault="00A75091" w:rsidP="00CE778C">
      <w:pPr>
        <w:ind w:left="851"/>
        <w:rPr>
          <w:sz w:val="24"/>
          <w:szCs w:val="24"/>
        </w:rPr>
      </w:pPr>
    </w:p>
    <w:p w14:paraId="5DD4BB0F" w14:textId="77777777" w:rsidR="00A75091" w:rsidRPr="00CE778C" w:rsidRDefault="00A75091" w:rsidP="00CE778C">
      <w:pPr>
        <w:ind w:left="851"/>
        <w:rPr>
          <w:sz w:val="24"/>
          <w:szCs w:val="24"/>
        </w:rPr>
      </w:pPr>
      <w:r w:rsidRPr="00CE778C">
        <w:rPr>
          <w:sz w:val="24"/>
          <w:szCs w:val="24"/>
        </w:rPr>
        <w:t>Metoden til at estimere nyrefunktionen (CrCl i ml/min.) i løbet af den kliniske udvikling af edoxaban</w:t>
      </w:r>
    </w:p>
    <w:p w14:paraId="4519133A" w14:textId="77777777" w:rsidR="00A75091" w:rsidRPr="00CE778C" w:rsidRDefault="00A75091" w:rsidP="00CE778C">
      <w:pPr>
        <w:ind w:left="851"/>
        <w:rPr>
          <w:sz w:val="24"/>
          <w:szCs w:val="24"/>
        </w:rPr>
      </w:pPr>
      <w:r w:rsidRPr="00CE778C">
        <w:rPr>
          <w:sz w:val="24"/>
          <w:szCs w:val="24"/>
        </w:rPr>
        <w:t>var Cockcroft-Gault-metoden. Formlen er den følgende:</w:t>
      </w:r>
    </w:p>
    <w:p w14:paraId="6E037DAC" w14:textId="77777777" w:rsidR="00A75091" w:rsidRPr="00CE778C" w:rsidRDefault="00A75091" w:rsidP="00CE778C">
      <w:pPr>
        <w:pStyle w:val="Brdtekst"/>
        <w:widowControl/>
        <w:suppressAutoHyphens/>
        <w:kinsoku w:val="0"/>
        <w:overflowPunct w:val="0"/>
        <w:ind w:left="851"/>
        <w:rPr>
          <w:color w:val="000000" w:themeColor="text1"/>
        </w:rPr>
      </w:pPr>
    </w:p>
    <w:p w14:paraId="16F91504" w14:textId="77777777" w:rsidR="00A75091" w:rsidRPr="00CE778C" w:rsidRDefault="00A75091" w:rsidP="00CE778C">
      <w:pPr>
        <w:pStyle w:val="Brdtekst"/>
        <w:numPr>
          <w:ilvl w:val="0"/>
          <w:numId w:val="8"/>
        </w:numPr>
        <w:suppressAutoHyphens/>
        <w:kinsoku w:val="0"/>
        <w:overflowPunct w:val="0"/>
        <w:ind w:left="1276" w:hanging="425"/>
        <w:rPr>
          <w:color w:val="000000" w:themeColor="text1"/>
          <w:lang w:val="nb-NO"/>
        </w:rPr>
      </w:pPr>
      <w:r w:rsidRPr="00CE778C">
        <w:rPr>
          <w:color w:val="000000" w:themeColor="text1"/>
          <w:lang w:val="nb-NO"/>
        </w:rPr>
        <w:t xml:space="preserve">For kreatinin i </w:t>
      </w:r>
      <w:r w:rsidRPr="00CE778C">
        <w:rPr>
          <w:color w:val="000000" w:themeColor="text1"/>
        </w:rPr>
        <w:t>μ</w:t>
      </w:r>
      <w:r w:rsidRPr="00CE778C">
        <w:rPr>
          <w:color w:val="000000" w:themeColor="text1"/>
          <w:lang w:val="nb-NO"/>
        </w:rPr>
        <w:t>mol/l:</w:t>
      </w:r>
    </w:p>
    <w:p w14:paraId="6CA7F2B9" w14:textId="77777777" w:rsidR="00A75091" w:rsidRPr="00CE778C" w:rsidRDefault="00A75091" w:rsidP="00CE778C">
      <w:pPr>
        <w:pStyle w:val="Brdtekst"/>
        <w:suppressAutoHyphens/>
        <w:kinsoku w:val="0"/>
        <w:overflowPunct w:val="0"/>
        <w:ind w:left="851"/>
        <w:rPr>
          <w:color w:val="000000" w:themeColor="text1"/>
          <w:lang w:val="nb-NO"/>
        </w:rPr>
      </w:pPr>
    </w:p>
    <w:p w14:paraId="02178CDC" w14:textId="77777777" w:rsidR="00A75091" w:rsidRPr="00CE778C" w:rsidRDefault="00A75091" w:rsidP="00A75091">
      <w:pPr>
        <w:pStyle w:val="Brdtekst"/>
        <w:suppressAutoHyphens/>
        <w:kinsoku w:val="0"/>
        <w:overflowPunct w:val="0"/>
        <w:ind w:left="0"/>
        <w:jc w:val="center"/>
        <w:rPr>
          <w:color w:val="000000" w:themeColor="text1"/>
          <w:u w:val="single"/>
        </w:rPr>
      </w:pPr>
      <w:r w:rsidRPr="00CE778C">
        <w:rPr>
          <w:color w:val="000000" w:themeColor="text1"/>
          <w:u w:val="single"/>
        </w:rPr>
        <w:t>1,23 × (140-alder [år]) × vægt [kg] (× 0,85 for kvinder)</w:t>
      </w:r>
    </w:p>
    <w:p w14:paraId="5C838BE4" w14:textId="77777777" w:rsidR="00A75091" w:rsidRPr="00CE778C" w:rsidRDefault="00A75091" w:rsidP="00A75091">
      <w:pPr>
        <w:pStyle w:val="Brdtekst"/>
        <w:suppressAutoHyphens/>
        <w:kinsoku w:val="0"/>
        <w:overflowPunct w:val="0"/>
        <w:ind w:left="0"/>
        <w:jc w:val="center"/>
        <w:rPr>
          <w:color w:val="000000" w:themeColor="text1"/>
        </w:rPr>
      </w:pPr>
      <w:r w:rsidRPr="00CE778C">
        <w:rPr>
          <w:color w:val="000000" w:themeColor="text1"/>
        </w:rPr>
        <w:t>serumkreatinin [μmol/l]</w:t>
      </w:r>
    </w:p>
    <w:p w14:paraId="3D9A9DF8" w14:textId="77777777" w:rsidR="00A75091" w:rsidRPr="00CE778C" w:rsidRDefault="00A75091" w:rsidP="00CE778C">
      <w:pPr>
        <w:pStyle w:val="Brdtekst"/>
        <w:numPr>
          <w:ilvl w:val="0"/>
          <w:numId w:val="8"/>
        </w:numPr>
        <w:suppressAutoHyphens/>
        <w:kinsoku w:val="0"/>
        <w:overflowPunct w:val="0"/>
        <w:ind w:left="1276" w:hanging="425"/>
        <w:rPr>
          <w:color w:val="000000" w:themeColor="text1"/>
        </w:rPr>
      </w:pPr>
      <w:r w:rsidRPr="00CE778C">
        <w:rPr>
          <w:color w:val="000000" w:themeColor="text1"/>
        </w:rPr>
        <w:t>For kreatinin i mg/dl:</w:t>
      </w:r>
    </w:p>
    <w:p w14:paraId="6FAB1266" w14:textId="77777777" w:rsidR="00A75091" w:rsidRPr="00CE778C" w:rsidRDefault="00A75091" w:rsidP="00CE778C">
      <w:pPr>
        <w:pStyle w:val="Brdtekst"/>
        <w:suppressAutoHyphens/>
        <w:kinsoku w:val="0"/>
        <w:overflowPunct w:val="0"/>
        <w:ind w:left="851"/>
        <w:rPr>
          <w:color w:val="000000" w:themeColor="text1"/>
        </w:rPr>
      </w:pPr>
    </w:p>
    <w:p w14:paraId="10EDD50F" w14:textId="77777777" w:rsidR="00A75091" w:rsidRPr="00CE778C" w:rsidRDefault="00A75091" w:rsidP="00A75091">
      <w:pPr>
        <w:pStyle w:val="Brdtekst"/>
        <w:suppressAutoHyphens/>
        <w:kinsoku w:val="0"/>
        <w:overflowPunct w:val="0"/>
        <w:ind w:left="0"/>
        <w:jc w:val="center"/>
        <w:rPr>
          <w:color w:val="000000" w:themeColor="text1"/>
          <w:u w:val="single"/>
        </w:rPr>
      </w:pPr>
      <w:r w:rsidRPr="00CE778C">
        <w:rPr>
          <w:color w:val="000000" w:themeColor="text1"/>
          <w:u w:val="single"/>
        </w:rPr>
        <w:t>(140-alder [år]) × vægt [kg] (× 0,85 for kvinder)</w:t>
      </w:r>
    </w:p>
    <w:p w14:paraId="0F13599F" w14:textId="77777777" w:rsidR="00A75091" w:rsidRPr="00CE778C" w:rsidRDefault="00A75091" w:rsidP="00A75091">
      <w:pPr>
        <w:pStyle w:val="Brdtekst"/>
        <w:widowControl/>
        <w:suppressAutoHyphens/>
        <w:kinsoku w:val="0"/>
        <w:overflowPunct w:val="0"/>
        <w:ind w:left="0"/>
        <w:jc w:val="center"/>
        <w:rPr>
          <w:color w:val="000000" w:themeColor="text1"/>
        </w:rPr>
      </w:pPr>
      <w:r w:rsidRPr="00CE778C">
        <w:rPr>
          <w:color w:val="000000" w:themeColor="text1"/>
        </w:rPr>
        <w:t>72 × serumkreatinin [mg/dl]</w:t>
      </w:r>
    </w:p>
    <w:p w14:paraId="7461F2F0" w14:textId="77777777" w:rsidR="00A75091" w:rsidRPr="00CE778C" w:rsidRDefault="00A75091" w:rsidP="00CE778C">
      <w:pPr>
        <w:ind w:left="851"/>
        <w:rPr>
          <w:sz w:val="24"/>
          <w:szCs w:val="24"/>
        </w:rPr>
      </w:pPr>
    </w:p>
    <w:p w14:paraId="6CB1DAA5" w14:textId="77777777" w:rsidR="00A75091" w:rsidRPr="00CE778C" w:rsidRDefault="00A75091" w:rsidP="00CE778C">
      <w:pPr>
        <w:ind w:left="851"/>
        <w:rPr>
          <w:sz w:val="24"/>
          <w:szCs w:val="24"/>
        </w:rPr>
      </w:pPr>
      <w:r w:rsidRPr="00CE778C">
        <w:rPr>
          <w:sz w:val="24"/>
          <w:szCs w:val="24"/>
        </w:rPr>
        <w:t>Denne metode anbefales, når patienternes CrCl vurderes før og under behandlingen med edoxaban.</w:t>
      </w:r>
    </w:p>
    <w:p w14:paraId="7E1DD6B6" w14:textId="77777777" w:rsidR="00A75091" w:rsidRPr="00CE778C" w:rsidRDefault="00A75091" w:rsidP="00CE778C">
      <w:pPr>
        <w:ind w:left="851"/>
        <w:rPr>
          <w:sz w:val="24"/>
          <w:szCs w:val="24"/>
        </w:rPr>
      </w:pPr>
    </w:p>
    <w:p w14:paraId="59C2FE2D" w14:textId="77777777" w:rsidR="00A75091" w:rsidRPr="00CE778C" w:rsidRDefault="00A75091" w:rsidP="00CE778C">
      <w:pPr>
        <w:ind w:left="851"/>
        <w:rPr>
          <w:sz w:val="24"/>
          <w:szCs w:val="24"/>
        </w:rPr>
      </w:pPr>
      <w:r w:rsidRPr="00CE778C">
        <w:rPr>
          <w:sz w:val="24"/>
          <w:szCs w:val="24"/>
        </w:rPr>
        <w:lastRenderedPageBreak/>
        <w:t>Hos patienter med let nedsat nyrefunktion (CrCl &gt; 50 - 80 ml/min.) er den anbefalede dosis 60 mg edoxaban en gang dagligt.</w:t>
      </w:r>
    </w:p>
    <w:p w14:paraId="289DDA24" w14:textId="77777777" w:rsidR="00A75091" w:rsidRPr="00CE778C" w:rsidRDefault="00A75091" w:rsidP="00CE778C">
      <w:pPr>
        <w:ind w:left="851"/>
        <w:rPr>
          <w:sz w:val="24"/>
          <w:szCs w:val="24"/>
        </w:rPr>
      </w:pPr>
    </w:p>
    <w:p w14:paraId="4AC67018" w14:textId="77777777" w:rsidR="00A75091" w:rsidRPr="00CE778C" w:rsidRDefault="00A75091" w:rsidP="00CE778C">
      <w:pPr>
        <w:ind w:left="851"/>
        <w:rPr>
          <w:sz w:val="24"/>
          <w:szCs w:val="24"/>
        </w:rPr>
      </w:pPr>
      <w:r w:rsidRPr="00CE778C">
        <w:rPr>
          <w:sz w:val="24"/>
          <w:szCs w:val="24"/>
        </w:rPr>
        <w:t>Hos patienter med moderat til svært nedsat nyrefunktion (CrCl 15 – 50 ml/min.) er den anbefalede dosis 30 mg edoxaban en gang dagligt (se pkt. 5.2).</w:t>
      </w:r>
    </w:p>
    <w:p w14:paraId="39C71A77" w14:textId="77777777" w:rsidR="00A75091" w:rsidRPr="00CE778C" w:rsidRDefault="00A75091" w:rsidP="00CE778C">
      <w:pPr>
        <w:ind w:left="851"/>
        <w:rPr>
          <w:sz w:val="24"/>
          <w:szCs w:val="24"/>
        </w:rPr>
      </w:pPr>
    </w:p>
    <w:p w14:paraId="45AE95F6" w14:textId="334028E8" w:rsidR="00A75091" w:rsidRPr="00CE778C" w:rsidRDefault="00A75091" w:rsidP="00CE778C">
      <w:pPr>
        <w:ind w:left="851"/>
        <w:rPr>
          <w:sz w:val="24"/>
          <w:szCs w:val="24"/>
        </w:rPr>
      </w:pPr>
      <w:r w:rsidRPr="00CE778C">
        <w:rPr>
          <w:sz w:val="24"/>
          <w:szCs w:val="24"/>
        </w:rPr>
        <w:t>Hos patienter med nyresygdom i slutstadiet (end stage renal disease, ESRD) (CrCl &lt; 15 ml/min.) eller</w:t>
      </w:r>
      <w:r w:rsidR="007553F5">
        <w:rPr>
          <w:sz w:val="24"/>
          <w:szCs w:val="24"/>
        </w:rPr>
        <w:t xml:space="preserve"> </w:t>
      </w:r>
      <w:r w:rsidRPr="00CE778C">
        <w:rPr>
          <w:sz w:val="24"/>
          <w:szCs w:val="24"/>
        </w:rPr>
        <w:t>i dialyse, bør edoxaban ikke anvendes (se pkt. 4.4 og 5.2).</w:t>
      </w:r>
    </w:p>
    <w:p w14:paraId="55BBCA7E" w14:textId="77777777" w:rsidR="00A75091" w:rsidRPr="00CE778C" w:rsidRDefault="00A75091" w:rsidP="00CE778C">
      <w:pPr>
        <w:ind w:left="851"/>
        <w:rPr>
          <w:sz w:val="24"/>
          <w:szCs w:val="24"/>
        </w:rPr>
      </w:pPr>
    </w:p>
    <w:p w14:paraId="20543298" w14:textId="77777777" w:rsidR="00A75091" w:rsidRPr="00CE778C" w:rsidRDefault="00A75091" w:rsidP="00CE778C">
      <w:pPr>
        <w:ind w:left="851"/>
        <w:rPr>
          <w:i/>
          <w:iCs/>
          <w:sz w:val="24"/>
          <w:szCs w:val="24"/>
        </w:rPr>
      </w:pPr>
      <w:r w:rsidRPr="00CE778C">
        <w:rPr>
          <w:i/>
          <w:iCs/>
          <w:sz w:val="24"/>
          <w:szCs w:val="24"/>
        </w:rPr>
        <w:t>Nedsat leverfunktion</w:t>
      </w:r>
    </w:p>
    <w:p w14:paraId="17E38788" w14:textId="7DBC7BD2" w:rsidR="00A75091" w:rsidRPr="00CE778C" w:rsidRDefault="00A75091" w:rsidP="00CE778C">
      <w:pPr>
        <w:ind w:left="851"/>
        <w:rPr>
          <w:sz w:val="24"/>
          <w:szCs w:val="24"/>
          <w:lang w:val="nb-NO"/>
        </w:rPr>
      </w:pPr>
      <w:r w:rsidRPr="00CE778C">
        <w:rPr>
          <w:sz w:val="24"/>
          <w:szCs w:val="24"/>
        </w:rPr>
        <w:t>Edoxaban er kontraindiceret hos patienter med leversygdom, der er forbundet med koagulopati og en</w:t>
      </w:r>
      <w:r w:rsidR="007553F5">
        <w:rPr>
          <w:sz w:val="24"/>
          <w:szCs w:val="24"/>
        </w:rPr>
        <w:t xml:space="preserve"> </w:t>
      </w:r>
      <w:r w:rsidRPr="00CE778C">
        <w:rPr>
          <w:sz w:val="24"/>
          <w:szCs w:val="24"/>
          <w:lang w:val="nb-NO"/>
        </w:rPr>
        <w:t>klinisk relevant blødningsrisiko (se pkt. 4.3).</w:t>
      </w:r>
    </w:p>
    <w:p w14:paraId="0ED33072" w14:textId="77777777" w:rsidR="00A75091" w:rsidRPr="00CE778C" w:rsidRDefault="00A75091" w:rsidP="00CE778C">
      <w:pPr>
        <w:ind w:left="851"/>
        <w:rPr>
          <w:sz w:val="24"/>
          <w:szCs w:val="24"/>
          <w:lang w:val="nb-NO"/>
        </w:rPr>
      </w:pPr>
    </w:p>
    <w:p w14:paraId="56F63631" w14:textId="77777777" w:rsidR="00A75091" w:rsidRPr="00CE778C" w:rsidRDefault="00A75091" w:rsidP="00CE778C">
      <w:pPr>
        <w:ind w:left="851"/>
        <w:rPr>
          <w:sz w:val="24"/>
          <w:szCs w:val="24"/>
        </w:rPr>
      </w:pPr>
      <w:r w:rsidRPr="00CE778C">
        <w:rPr>
          <w:sz w:val="24"/>
          <w:szCs w:val="24"/>
        </w:rPr>
        <w:t>Hos patienter med svært nedsat leverfunktion bør edoxaban ikke anvendes (se pkt. 4.4 og 5.2).</w:t>
      </w:r>
    </w:p>
    <w:p w14:paraId="3E89D928" w14:textId="77777777" w:rsidR="00A75091" w:rsidRPr="00CE778C" w:rsidRDefault="00A75091" w:rsidP="00CE778C">
      <w:pPr>
        <w:ind w:left="851"/>
        <w:rPr>
          <w:sz w:val="24"/>
          <w:szCs w:val="24"/>
        </w:rPr>
      </w:pPr>
    </w:p>
    <w:p w14:paraId="495CA7D3" w14:textId="77777777" w:rsidR="00A75091" w:rsidRPr="00CE778C" w:rsidRDefault="00A75091" w:rsidP="00CE778C">
      <w:pPr>
        <w:ind w:left="851"/>
        <w:rPr>
          <w:sz w:val="24"/>
          <w:szCs w:val="24"/>
        </w:rPr>
      </w:pPr>
      <w:r w:rsidRPr="00CE778C">
        <w:rPr>
          <w:sz w:val="24"/>
          <w:szCs w:val="24"/>
        </w:rPr>
        <w:t>Hos patienter med let til moderat nedsat leverfunktion er den anbefalede dosis 60 mg edoxaban en gang dagligt (se pkt. 5.2). Edoxaban skal anvendes med forsigtighed hos patienter med let til moderat nedsat leverfunktion (se pkt. 4.4).</w:t>
      </w:r>
    </w:p>
    <w:p w14:paraId="029F30C2" w14:textId="77777777" w:rsidR="00A75091" w:rsidRPr="00CE778C" w:rsidRDefault="00A75091" w:rsidP="00CE778C">
      <w:pPr>
        <w:ind w:left="851"/>
        <w:rPr>
          <w:sz w:val="24"/>
          <w:szCs w:val="24"/>
        </w:rPr>
      </w:pPr>
    </w:p>
    <w:p w14:paraId="11ACA775" w14:textId="7AF0C884" w:rsidR="00A75091" w:rsidRPr="00CE778C" w:rsidRDefault="00A75091" w:rsidP="00CE778C">
      <w:pPr>
        <w:ind w:left="851"/>
        <w:rPr>
          <w:sz w:val="24"/>
          <w:szCs w:val="24"/>
        </w:rPr>
      </w:pPr>
      <w:r w:rsidRPr="00CE778C">
        <w:rPr>
          <w:sz w:val="24"/>
          <w:szCs w:val="24"/>
        </w:rPr>
        <w:t>Patienter med forhøjede leverenzymer (alaninaminotransferase (ALAT) eller aspartattransaminase (ASAT) &gt; 2 gange øvre normalgrænse (ULN)) eller total bilirubin ≥</w:t>
      </w:r>
      <w:r w:rsidR="00BC493D">
        <w:rPr>
          <w:sz w:val="24"/>
          <w:szCs w:val="24"/>
        </w:rPr>
        <w:t> </w:t>
      </w:r>
      <w:r w:rsidRPr="00CE778C">
        <w:rPr>
          <w:sz w:val="24"/>
          <w:szCs w:val="24"/>
        </w:rPr>
        <w:t>1,5 gange ULN blev ekskluderet i</w:t>
      </w:r>
      <w:r w:rsidR="007553F5">
        <w:rPr>
          <w:sz w:val="24"/>
          <w:szCs w:val="24"/>
        </w:rPr>
        <w:t xml:space="preserve"> </w:t>
      </w:r>
      <w:r w:rsidRPr="00CE778C">
        <w:rPr>
          <w:sz w:val="24"/>
          <w:szCs w:val="24"/>
        </w:rPr>
        <w:t xml:space="preserve">kliniske studier. </w:t>
      </w:r>
    </w:p>
    <w:p w14:paraId="27A0E7F5" w14:textId="77777777" w:rsidR="00A75091" w:rsidRPr="00CE778C" w:rsidRDefault="00A75091" w:rsidP="00CE778C">
      <w:pPr>
        <w:ind w:left="851"/>
        <w:rPr>
          <w:sz w:val="24"/>
          <w:szCs w:val="24"/>
        </w:rPr>
      </w:pPr>
    </w:p>
    <w:p w14:paraId="62EF5B2C" w14:textId="77777777" w:rsidR="00A75091" w:rsidRPr="00CE778C" w:rsidRDefault="00A75091" w:rsidP="00CE778C">
      <w:pPr>
        <w:ind w:left="851"/>
        <w:rPr>
          <w:sz w:val="24"/>
          <w:szCs w:val="24"/>
        </w:rPr>
      </w:pPr>
      <w:r w:rsidRPr="00CE778C">
        <w:rPr>
          <w:sz w:val="24"/>
          <w:szCs w:val="24"/>
        </w:rPr>
        <w:t>Derfor bør edoxaban anvendes med forsigtighed hos denne population (se pkt. 4.4 og 5.2). Før edoxaban påbegyndes, bør der udføres en leverfunktionsundersøgelse.</w:t>
      </w:r>
    </w:p>
    <w:p w14:paraId="13899788" w14:textId="77777777" w:rsidR="00A75091" w:rsidRPr="00CE778C" w:rsidRDefault="00A75091" w:rsidP="00CE778C">
      <w:pPr>
        <w:ind w:left="851"/>
        <w:rPr>
          <w:sz w:val="24"/>
          <w:szCs w:val="24"/>
        </w:rPr>
      </w:pPr>
    </w:p>
    <w:p w14:paraId="2086E924" w14:textId="77777777" w:rsidR="00A75091" w:rsidRPr="00CE778C" w:rsidRDefault="00A75091" w:rsidP="00CE778C">
      <w:pPr>
        <w:ind w:left="851"/>
        <w:rPr>
          <w:i/>
          <w:iCs/>
          <w:sz w:val="24"/>
          <w:szCs w:val="24"/>
        </w:rPr>
      </w:pPr>
      <w:r w:rsidRPr="00CE778C">
        <w:rPr>
          <w:i/>
          <w:iCs/>
          <w:sz w:val="24"/>
          <w:szCs w:val="24"/>
        </w:rPr>
        <w:t>Legemsvægt</w:t>
      </w:r>
    </w:p>
    <w:p w14:paraId="1DBD8529" w14:textId="33B1C144" w:rsidR="00A75091" w:rsidRPr="00CE778C" w:rsidRDefault="00A75091" w:rsidP="00CE778C">
      <w:pPr>
        <w:ind w:left="851"/>
        <w:rPr>
          <w:sz w:val="24"/>
          <w:szCs w:val="24"/>
        </w:rPr>
      </w:pPr>
      <w:r w:rsidRPr="00CE778C">
        <w:rPr>
          <w:sz w:val="24"/>
          <w:szCs w:val="24"/>
        </w:rPr>
        <w:t>For patienter med en legemsvægt på ≤ 60 kg er den anbefalede dosis 30 mg edoxaban en gang dagligt</w:t>
      </w:r>
      <w:r w:rsidR="007553F5">
        <w:rPr>
          <w:sz w:val="24"/>
          <w:szCs w:val="24"/>
        </w:rPr>
        <w:t xml:space="preserve"> </w:t>
      </w:r>
      <w:r w:rsidRPr="00CE778C">
        <w:rPr>
          <w:sz w:val="24"/>
          <w:szCs w:val="24"/>
        </w:rPr>
        <w:t>(se pkt. 5.2).</w:t>
      </w:r>
    </w:p>
    <w:p w14:paraId="0AAA48D8" w14:textId="77777777" w:rsidR="00A75091" w:rsidRPr="00CE778C" w:rsidRDefault="00A75091" w:rsidP="00CE778C">
      <w:pPr>
        <w:ind w:left="851"/>
        <w:rPr>
          <w:sz w:val="24"/>
          <w:szCs w:val="24"/>
        </w:rPr>
      </w:pPr>
    </w:p>
    <w:p w14:paraId="41B93CDE" w14:textId="77777777" w:rsidR="00A75091" w:rsidRPr="00CE778C" w:rsidRDefault="00A75091" w:rsidP="00CE778C">
      <w:pPr>
        <w:ind w:left="851"/>
        <w:rPr>
          <w:sz w:val="24"/>
          <w:szCs w:val="24"/>
        </w:rPr>
      </w:pPr>
      <w:r w:rsidRPr="00CE778C">
        <w:rPr>
          <w:i/>
          <w:iCs/>
          <w:sz w:val="24"/>
          <w:szCs w:val="24"/>
        </w:rPr>
        <w:t>Køn</w:t>
      </w:r>
    </w:p>
    <w:p w14:paraId="7A60E58A" w14:textId="77777777" w:rsidR="00A75091" w:rsidRPr="00CE778C" w:rsidRDefault="00A75091" w:rsidP="00CE778C">
      <w:pPr>
        <w:ind w:left="851"/>
        <w:rPr>
          <w:sz w:val="24"/>
          <w:szCs w:val="24"/>
        </w:rPr>
      </w:pPr>
      <w:r w:rsidRPr="00CE778C">
        <w:rPr>
          <w:sz w:val="24"/>
          <w:szCs w:val="24"/>
        </w:rPr>
        <w:t>Ingen dosisreduktion er nødvendig (se pkt. 5.2).</w:t>
      </w:r>
    </w:p>
    <w:p w14:paraId="7252D79D" w14:textId="77777777" w:rsidR="00A75091" w:rsidRPr="00CE778C" w:rsidRDefault="00A75091" w:rsidP="00CE778C">
      <w:pPr>
        <w:ind w:left="851"/>
        <w:rPr>
          <w:i/>
          <w:iCs/>
          <w:sz w:val="24"/>
          <w:szCs w:val="24"/>
        </w:rPr>
      </w:pPr>
    </w:p>
    <w:p w14:paraId="6F26A53B" w14:textId="1E360E82" w:rsidR="00A75091" w:rsidRPr="00CE778C" w:rsidRDefault="00A75091" w:rsidP="00CE778C">
      <w:pPr>
        <w:ind w:left="851"/>
        <w:rPr>
          <w:i/>
          <w:iCs/>
          <w:sz w:val="24"/>
          <w:szCs w:val="24"/>
        </w:rPr>
      </w:pPr>
      <w:r w:rsidRPr="00CE778C">
        <w:rPr>
          <w:i/>
          <w:iCs/>
          <w:sz w:val="24"/>
          <w:szCs w:val="24"/>
        </w:rPr>
        <w:t xml:space="preserve">Samtidig anvendelse af Edoxaban </w:t>
      </w:r>
      <w:r w:rsidR="00BC493D">
        <w:rPr>
          <w:i/>
          <w:iCs/>
          <w:sz w:val="24"/>
          <w:szCs w:val="24"/>
        </w:rPr>
        <w:t>"</w:t>
      </w:r>
      <w:r w:rsidRPr="00CE778C">
        <w:rPr>
          <w:i/>
          <w:iCs/>
          <w:sz w:val="24"/>
          <w:szCs w:val="24"/>
        </w:rPr>
        <w:t>Zentiva</w:t>
      </w:r>
      <w:r w:rsidR="00BC493D">
        <w:rPr>
          <w:i/>
          <w:iCs/>
          <w:sz w:val="24"/>
          <w:szCs w:val="24"/>
        </w:rPr>
        <w:t>"</w:t>
      </w:r>
      <w:r w:rsidRPr="00CE778C">
        <w:rPr>
          <w:i/>
          <w:iCs/>
          <w:sz w:val="24"/>
          <w:szCs w:val="24"/>
        </w:rPr>
        <w:t xml:space="preserve"> og hæmmere af P-glykoprotein (P-gp)</w:t>
      </w:r>
    </w:p>
    <w:p w14:paraId="389DCABC" w14:textId="50672443" w:rsidR="00A75091" w:rsidRPr="00CE778C" w:rsidRDefault="00A75091" w:rsidP="00CE778C">
      <w:pPr>
        <w:ind w:left="851"/>
        <w:rPr>
          <w:sz w:val="24"/>
          <w:szCs w:val="24"/>
        </w:rPr>
      </w:pPr>
      <w:r w:rsidRPr="00CE778C">
        <w:rPr>
          <w:sz w:val="24"/>
          <w:szCs w:val="24"/>
        </w:rPr>
        <w:t xml:space="preserve">Hos patienter, der samtidigt tager Edoxaban </w:t>
      </w:r>
      <w:r w:rsidR="00BC493D">
        <w:rPr>
          <w:sz w:val="24"/>
          <w:szCs w:val="24"/>
        </w:rPr>
        <w:t>"</w:t>
      </w:r>
      <w:r w:rsidRPr="00CE778C">
        <w:rPr>
          <w:sz w:val="24"/>
          <w:szCs w:val="24"/>
        </w:rPr>
        <w:t>Zentiva</w:t>
      </w:r>
      <w:r w:rsidR="00BC493D">
        <w:rPr>
          <w:sz w:val="24"/>
          <w:szCs w:val="24"/>
        </w:rPr>
        <w:t>"</w:t>
      </w:r>
      <w:r w:rsidRPr="00CE778C">
        <w:rPr>
          <w:sz w:val="24"/>
          <w:szCs w:val="24"/>
        </w:rPr>
        <w:t xml:space="preserve"> og følgende P-gp-hæmmere: ciclosporin, dronedaron, erythromycin eller ketoconazol, er den anbefalede dosis 30 mg Edoxaban </w:t>
      </w:r>
      <w:r w:rsidR="00BC493D">
        <w:rPr>
          <w:sz w:val="24"/>
          <w:szCs w:val="24"/>
        </w:rPr>
        <w:t>"</w:t>
      </w:r>
      <w:r w:rsidRPr="00CE778C">
        <w:rPr>
          <w:sz w:val="24"/>
          <w:szCs w:val="24"/>
        </w:rPr>
        <w:t>Zentiva</w:t>
      </w:r>
      <w:r w:rsidR="00BC493D">
        <w:rPr>
          <w:sz w:val="24"/>
          <w:szCs w:val="24"/>
        </w:rPr>
        <w:t>"</w:t>
      </w:r>
      <w:r w:rsidRPr="00CE778C">
        <w:rPr>
          <w:sz w:val="24"/>
          <w:szCs w:val="24"/>
        </w:rPr>
        <w:t xml:space="preserve"> en gang dagligt (se pkt. 4.5). Ingen dosisreduktion er nødvendig ved anvendelse sammen med amiodaron, quinidin eller verapamil (se pkt. 4.5). Anvendelsen af Edoxaban </w:t>
      </w:r>
      <w:r w:rsidR="00BC493D">
        <w:rPr>
          <w:sz w:val="24"/>
          <w:szCs w:val="24"/>
        </w:rPr>
        <w:t>"</w:t>
      </w:r>
      <w:r w:rsidRPr="00CE778C">
        <w:rPr>
          <w:sz w:val="24"/>
          <w:szCs w:val="24"/>
        </w:rPr>
        <w:t>Zentiva</w:t>
      </w:r>
      <w:r w:rsidR="00BC493D">
        <w:rPr>
          <w:sz w:val="24"/>
          <w:szCs w:val="24"/>
        </w:rPr>
        <w:t>"</w:t>
      </w:r>
      <w:r w:rsidRPr="00CE778C">
        <w:rPr>
          <w:sz w:val="24"/>
          <w:szCs w:val="24"/>
        </w:rPr>
        <w:t xml:space="preserve"> sammen med andre P-gp-hæmmere, herunder hiv-proteasehæmmere, er ikke undersøgt.</w:t>
      </w:r>
    </w:p>
    <w:p w14:paraId="18776358" w14:textId="77777777" w:rsidR="00A75091" w:rsidRPr="00CE778C" w:rsidRDefault="00A75091" w:rsidP="00CE778C">
      <w:pPr>
        <w:ind w:left="851"/>
        <w:rPr>
          <w:i/>
          <w:iCs/>
          <w:sz w:val="24"/>
          <w:szCs w:val="24"/>
        </w:rPr>
      </w:pPr>
    </w:p>
    <w:p w14:paraId="372AE0AA" w14:textId="77777777" w:rsidR="00A75091" w:rsidRPr="00CE778C" w:rsidRDefault="00A75091" w:rsidP="00CE778C">
      <w:pPr>
        <w:ind w:left="851"/>
        <w:rPr>
          <w:i/>
          <w:iCs/>
          <w:sz w:val="24"/>
          <w:szCs w:val="24"/>
        </w:rPr>
      </w:pPr>
      <w:r w:rsidRPr="00CE778C">
        <w:rPr>
          <w:i/>
          <w:iCs/>
          <w:sz w:val="24"/>
          <w:szCs w:val="24"/>
        </w:rPr>
        <w:t>Patienter, der gennemgår kardiovertering</w:t>
      </w:r>
    </w:p>
    <w:p w14:paraId="5A6090A8" w14:textId="37A00217" w:rsidR="00A75091" w:rsidRPr="00CE778C" w:rsidRDefault="00A75091" w:rsidP="00CE778C">
      <w:pPr>
        <w:ind w:left="851"/>
        <w:rPr>
          <w:sz w:val="24"/>
          <w:szCs w:val="24"/>
        </w:rPr>
      </w:pPr>
      <w:r w:rsidRPr="00CE778C">
        <w:rPr>
          <w:sz w:val="24"/>
          <w:szCs w:val="24"/>
        </w:rPr>
        <w:t xml:space="preserve">Edoxaban </w:t>
      </w:r>
      <w:r w:rsidR="00BC493D">
        <w:rPr>
          <w:sz w:val="24"/>
          <w:szCs w:val="24"/>
        </w:rPr>
        <w:t>"</w:t>
      </w:r>
      <w:r w:rsidRPr="00CE778C">
        <w:rPr>
          <w:sz w:val="24"/>
          <w:szCs w:val="24"/>
        </w:rPr>
        <w:t>Zentiva</w:t>
      </w:r>
      <w:r w:rsidR="00BC493D">
        <w:rPr>
          <w:sz w:val="24"/>
          <w:szCs w:val="24"/>
        </w:rPr>
        <w:t>"</w:t>
      </w:r>
      <w:r w:rsidRPr="00CE778C">
        <w:rPr>
          <w:sz w:val="24"/>
          <w:szCs w:val="24"/>
        </w:rPr>
        <w:t xml:space="preserve"> kan initieres eller fortsættes hos patienter, der kan have brug for kardiovertering. Ved transøsofageal ekkokardiogram (TEE)-styret kardiovertering hos patienter, der ikke i forvejen</w:t>
      </w:r>
      <w:r w:rsidR="007553F5">
        <w:rPr>
          <w:sz w:val="24"/>
          <w:szCs w:val="24"/>
        </w:rPr>
        <w:t xml:space="preserve"> </w:t>
      </w:r>
      <w:r w:rsidRPr="00CE778C">
        <w:rPr>
          <w:sz w:val="24"/>
          <w:szCs w:val="24"/>
        </w:rPr>
        <w:t xml:space="preserve">behandles med antikoagulanter, skal behandling med Edoxaban </w:t>
      </w:r>
      <w:r w:rsidR="00BC493D">
        <w:rPr>
          <w:sz w:val="24"/>
          <w:szCs w:val="24"/>
        </w:rPr>
        <w:t>"</w:t>
      </w:r>
      <w:r w:rsidRPr="00CE778C">
        <w:rPr>
          <w:sz w:val="24"/>
          <w:szCs w:val="24"/>
        </w:rPr>
        <w:t>Zentiva</w:t>
      </w:r>
      <w:r w:rsidR="00BC493D">
        <w:rPr>
          <w:sz w:val="24"/>
          <w:szCs w:val="24"/>
        </w:rPr>
        <w:t>"</w:t>
      </w:r>
      <w:r w:rsidRPr="00CE778C">
        <w:rPr>
          <w:sz w:val="24"/>
          <w:szCs w:val="24"/>
        </w:rPr>
        <w:t xml:space="preserve"> påbegyndes mindst </w:t>
      </w:r>
      <w:r w:rsidRPr="00CE778C">
        <w:rPr>
          <w:b/>
          <w:bCs/>
          <w:sz w:val="24"/>
          <w:szCs w:val="24"/>
        </w:rPr>
        <w:t xml:space="preserve">2 timer </w:t>
      </w:r>
      <w:r w:rsidRPr="00CE778C">
        <w:rPr>
          <w:sz w:val="24"/>
          <w:szCs w:val="24"/>
        </w:rPr>
        <w:t>før kardiovertering for at sikre tilstrækkelig antikoagulation (se pkt. 5.1 og 5.2). Kardiovertering skal</w:t>
      </w:r>
      <w:r w:rsidR="007553F5">
        <w:rPr>
          <w:sz w:val="24"/>
          <w:szCs w:val="24"/>
        </w:rPr>
        <w:t xml:space="preserve"> </w:t>
      </w:r>
      <w:r w:rsidRPr="00CE778C">
        <w:rPr>
          <w:sz w:val="24"/>
          <w:szCs w:val="24"/>
        </w:rPr>
        <w:t xml:space="preserve">udføres højst 12 timer efter dosen af Edoxaban </w:t>
      </w:r>
      <w:r w:rsidR="00BC493D">
        <w:rPr>
          <w:sz w:val="24"/>
          <w:szCs w:val="24"/>
        </w:rPr>
        <w:t>"</w:t>
      </w:r>
      <w:r w:rsidRPr="00CE778C">
        <w:rPr>
          <w:sz w:val="24"/>
          <w:szCs w:val="24"/>
        </w:rPr>
        <w:t>Zentiva</w:t>
      </w:r>
      <w:r w:rsidR="00BC493D">
        <w:rPr>
          <w:sz w:val="24"/>
          <w:szCs w:val="24"/>
        </w:rPr>
        <w:t>"</w:t>
      </w:r>
      <w:r w:rsidRPr="00CE778C">
        <w:rPr>
          <w:sz w:val="24"/>
          <w:szCs w:val="24"/>
        </w:rPr>
        <w:t xml:space="preserve"> på dagen for proceduren.</w:t>
      </w:r>
    </w:p>
    <w:p w14:paraId="459A6E66" w14:textId="77777777" w:rsidR="00A75091" w:rsidRPr="00CE778C" w:rsidRDefault="00A75091" w:rsidP="00CE778C">
      <w:pPr>
        <w:ind w:left="851"/>
        <w:rPr>
          <w:sz w:val="24"/>
          <w:szCs w:val="24"/>
        </w:rPr>
      </w:pPr>
    </w:p>
    <w:p w14:paraId="5BE446A1" w14:textId="25F66E43" w:rsidR="00A75091" w:rsidRPr="00CE778C" w:rsidRDefault="00A75091" w:rsidP="00CE778C">
      <w:pPr>
        <w:ind w:left="851"/>
        <w:rPr>
          <w:sz w:val="24"/>
          <w:szCs w:val="24"/>
        </w:rPr>
      </w:pPr>
      <w:r w:rsidRPr="00CE778C">
        <w:rPr>
          <w:b/>
          <w:bCs/>
          <w:sz w:val="24"/>
          <w:szCs w:val="24"/>
        </w:rPr>
        <w:lastRenderedPageBreak/>
        <w:t xml:space="preserve">For alle patienter, der gennemgår kardiovertering: </w:t>
      </w:r>
      <w:r w:rsidRPr="00CE778C">
        <w:rPr>
          <w:sz w:val="24"/>
          <w:szCs w:val="24"/>
        </w:rPr>
        <w:t>Før kardiovertering skal patienten bekræfte, at</w:t>
      </w:r>
      <w:r w:rsidR="007553F5">
        <w:rPr>
          <w:sz w:val="24"/>
          <w:szCs w:val="24"/>
        </w:rPr>
        <w:t xml:space="preserve"> </w:t>
      </w:r>
      <w:r w:rsidRPr="00CE778C">
        <w:rPr>
          <w:sz w:val="24"/>
          <w:szCs w:val="24"/>
        </w:rPr>
        <w:t xml:space="preserve">Edoxaban </w:t>
      </w:r>
      <w:r w:rsidR="00BC493D">
        <w:rPr>
          <w:sz w:val="24"/>
          <w:szCs w:val="24"/>
        </w:rPr>
        <w:t>"</w:t>
      </w:r>
      <w:r w:rsidRPr="00CE778C">
        <w:rPr>
          <w:sz w:val="24"/>
          <w:szCs w:val="24"/>
        </w:rPr>
        <w:t>Zentiva</w:t>
      </w:r>
      <w:r w:rsidR="00BC493D">
        <w:rPr>
          <w:sz w:val="24"/>
          <w:szCs w:val="24"/>
        </w:rPr>
        <w:t>"</w:t>
      </w:r>
      <w:r w:rsidRPr="00CE778C">
        <w:rPr>
          <w:sz w:val="24"/>
          <w:szCs w:val="24"/>
        </w:rPr>
        <w:t xml:space="preserve"> er taget som ordineret. Beslutninger vedrørende initiering og varighed af behandling skal følge fastlagte retningslinjer for antikoagulant behandling hos patienter, der gennemgår kardiovertering.</w:t>
      </w:r>
    </w:p>
    <w:p w14:paraId="5F76859F" w14:textId="77777777" w:rsidR="00A75091" w:rsidRPr="00CE778C" w:rsidRDefault="00A75091" w:rsidP="00CE778C">
      <w:pPr>
        <w:ind w:left="851"/>
        <w:rPr>
          <w:i/>
          <w:iCs/>
          <w:sz w:val="24"/>
          <w:szCs w:val="24"/>
        </w:rPr>
      </w:pPr>
    </w:p>
    <w:p w14:paraId="60F11D9F" w14:textId="77777777" w:rsidR="00A75091" w:rsidRPr="00CE778C" w:rsidRDefault="00A75091" w:rsidP="00CE778C">
      <w:pPr>
        <w:ind w:left="851"/>
        <w:rPr>
          <w:i/>
          <w:iCs/>
          <w:sz w:val="24"/>
          <w:szCs w:val="24"/>
        </w:rPr>
      </w:pPr>
      <w:r w:rsidRPr="00CE778C">
        <w:rPr>
          <w:i/>
          <w:iCs/>
          <w:sz w:val="24"/>
          <w:szCs w:val="24"/>
        </w:rPr>
        <w:t>Pædiatrisk population</w:t>
      </w:r>
    </w:p>
    <w:p w14:paraId="1D0A3614" w14:textId="5238DA6A" w:rsidR="00A75091" w:rsidRPr="00CE778C" w:rsidRDefault="00A75091" w:rsidP="00CE778C">
      <w:pPr>
        <w:ind w:left="851"/>
        <w:rPr>
          <w:sz w:val="24"/>
          <w:szCs w:val="24"/>
        </w:rPr>
      </w:pPr>
      <w:r w:rsidRPr="00CE778C">
        <w:rPr>
          <w:sz w:val="24"/>
          <w:szCs w:val="24"/>
        </w:rPr>
        <w:t>Anvendelse af edoxaban til børn og unge i alderen 0 til 18 år med bekræftet VTE-hændelse (LE og/eller DVT) frarådes, da virkningen ikke er klarlagt. De foreliggende data for VTE-patienter er beskrevet i pkt. 4.8, 5.1 og 5.2).</w:t>
      </w:r>
    </w:p>
    <w:p w14:paraId="2BC96486" w14:textId="77777777" w:rsidR="00A75091" w:rsidRPr="00CE778C" w:rsidRDefault="00A75091" w:rsidP="00CE778C">
      <w:pPr>
        <w:ind w:left="851"/>
        <w:rPr>
          <w:sz w:val="24"/>
          <w:szCs w:val="24"/>
        </w:rPr>
      </w:pPr>
    </w:p>
    <w:p w14:paraId="6822388D" w14:textId="77777777" w:rsidR="00A75091" w:rsidRPr="00CE778C" w:rsidRDefault="00A75091" w:rsidP="00CE778C">
      <w:pPr>
        <w:ind w:left="851"/>
        <w:rPr>
          <w:sz w:val="24"/>
          <w:szCs w:val="24"/>
          <w:u w:val="single"/>
        </w:rPr>
      </w:pPr>
      <w:r w:rsidRPr="00CE778C">
        <w:rPr>
          <w:sz w:val="24"/>
          <w:szCs w:val="24"/>
          <w:u w:val="single"/>
        </w:rPr>
        <w:t>Administration</w:t>
      </w:r>
    </w:p>
    <w:p w14:paraId="537CF4D7" w14:textId="77777777" w:rsidR="00A75091" w:rsidRPr="00CE778C" w:rsidRDefault="00A75091" w:rsidP="00CE778C">
      <w:pPr>
        <w:ind w:left="851"/>
        <w:rPr>
          <w:sz w:val="24"/>
          <w:szCs w:val="24"/>
        </w:rPr>
      </w:pPr>
      <w:r w:rsidRPr="00CE778C">
        <w:rPr>
          <w:sz w:val="24"/>
          <w:szCs w:val="24"/>
        </w:rPr>
        <w:t>Til oral anvendelse.</w:t>
      </w:r>
    </w:p>
    <w:p w14:paraId="7BC9C53A" w14:textId="48EB97BA" w:rsidR="00A75091" w:rsidRPr="00CE778C" w:rsidRDefault="00A75091" w:rsidP="00CE778C">
      <w:pPr>
        <w:ind w:left="851"/>
        <w:rPr>
          <w:sz w:val="24"/>
          <w:szCs w:val="24"/>
        </w:rPr>
      </w:pPr>
      <w:r w:rsidRPr="00CE778C">
        <w:rPr>
          <w:sz w:val="24"/>
          <w:szCs w:val="24"/>
        </w:rPr>
        <w:t xml:space="preserve">Edoxaban </w:t>
      </w:r>
      <w:r w:rsidR="006B6B57">
        <w:rPr>
          <w:sz w:val="24"/>
          <w:szCs w:val="24"/>
        </w:rPr>
        <w:t>"Zentiva"</w:t>
      </w:r>
      <w:r w:rsidRPr="00CE778C">
        <w:rPr>
          <w:sz w:val="24"/>
          <w:szCs w:val="24"/>
        </w:rPr>
        <w:t xml:space="preserve"> kan tages sammen med eller uden mad (se pkt. 5.2).</w:t>
      </w:r>
    </w:p>
    <w:p w14:paraId="06A03C35" w14:textId="77777777" w:rsidR="00A75091" w:rsidRPr="00CE778C" w:rsidRDefault="00A75091" w:rsidP="00CE778C">
      <w:pPr>
        <w:ind w:left="851"/>
        <w:rPr>
          <w:sz w:val="24"/>
          <w:szCs w:val="24"/>
        </w:rPr>
      </w:pPr>
    </w:p>
    <w:p w14:paraId="4C3273BA" w14:textId="25CFA0D4" w:rsidR="00A75091" w:rsidRPr="00CE778C" w:rsidRDefault="00A75091" w:rsidP="00CE778C">
      <w:pPr>
        <w:ind w:left="851"/>
        <w:rPr>
          <w:sz w:val="24"/>
          <w:szCs w:val="24"/>
        </w:rPr>
      </w:pPr>
      <w:r w:rsidRPr="00CE778C">
        <w:rPr>
          <w:sz w:val="24"/>
          <w:szCs w:val="24"/>
        </w:rPr>
        <w:t xml:space="preserve">Til patienter, der ikke er i stand til at sluge hele tabletter, kan Edoxaban </w:t>
      </w:r>
      <w:r w:rsidR="00BC493D">
        <w:rPr>
          <w:sz w:val="24"/>
          <w:szCs w:val="24"/>
        </w:rPr>
        <w:t>"</w:t>
      </w:r>
      <w:r w:rsidRPr="00CE778C">
        <w:rPr>
          <w:sz w:val="24"/>
          <w:szCs w:val="24"/>
        </w:rPr>
        <w:t>Zentiva</w:t>
      </w:r>
      <w:r w:rsidR="00BC493D">
        <w:rPr>
          <w:sz w:val="24"/>
          <w:szCs w:val="24"/>
        </w:rPr>
        <w:t>"</w:t>
      </w:r>
      <w:r w:rsidRPr="00CE778C">
        <w:rPr>
          <w:sz w:val="24"/>
          <w:szCs w:val="24"/>
        </w:rPr>
        <w:t>-tabletterne knuses og blandes med vand eller æblemos og straks administreres oralt (se pkt. 5.2).</w:t>
      </w:r>
    </w:p>
    <w:p w14:paraId="468E826F" w14:textId="77777777" w:rsidR="00A75091" w:rsidRPr="00CE778C" w:rsidRDefault="00A75091" w:rsidP="00CE778C">
      <w:pPr>
        <w:ind w:left="851"/>
        <w:rPr>
          <w:sz w:val="24"/>
          <w:szCs w:val="24"/>
        </w:rPr>
      </w:pPr>
    </w:p>
    <w:p w14:paraId="6D490F5C" w14:textId="2AA0A48D" w:rsidR="00A75091" w:rsidRPr="00CE778C" w:rsidRDefault="00A75091" w:rsidP="00CE778C">
      <w:pPr>
        <w:ind w:left="851"/>
        <w:rPr>
          <w:sz w:val="24"/>
          <w:szCs w:val="24"/>
        </w:rPr>
      </w:pPr>
      <w:r w:rsidRPr="00CE778C">
        <w:rPr>
          <w:sz w:val="24"/>
          <w:szCs w:val="24"/>
        </w:rPr>
        <w:t xml:space="preserve">Alternativt kan Edoxaban </w:t>
      </w:r>
      <w:r w:rsidR="00BC493D">
        <w:rPr>
          <w:sz w:val="24"/>
          <w:szCs w:val="24"/>
        </w:rPr>
        <w:t>"</w:t>
      </w:r>
      <w:r w:rsidRPr="00CE778C">
        <w:rPr>
          <w:sz w:val="24"/>
          <w:szCs w:val="24"/>
        </w:rPr>
        <w:t>Zentiva</w:t>
      </w:r>
      <w:r w:rsidR="00BC493D">
        <w:rPr>
          <w:sz w:val="24"/>
          <w:szCs w:val="24"/>
        </w:rPr>
        <w:t>"</w:t>
      </w:r>
      <w:r w:rsidRPr="00CE778C">
        <w:rPr>
          <w:sz w:val="24"/>
          <w:szCs w:val="24"/>
        </w:rPr>
        <w:t>-tabletterne knuses og suspenderes i en lille mængde vand og straks gives via en nasogastrisk sonde eller en gastrisk ernæringssonde, hvorefter den skal skylles med vand (se</w:t>
      </w:r>
      <w:r w:rsidR="007553F5">
        <w:rPr>
          <w:sz w:val="24"/>
          <w:szCs w:val="24"/>
        </w:rPr>
        <w:t xml:space="preserve"> </w:t>
      </w:r>
      <w:r w:rsidRPr="00CE778C">
        <w:rPr>
          <w:sz w:val="24"/>
          <w:szCs w:val="24"/>
        </w:rPr>
        <w:t xml:space="preserve">pkt. 5.2). Knuste Edoxaban </w:t>
      </w:r>
      <w:r w:rsidR="00BC493D">
        <w:rPr>
          <w:sz w:val="24"/>
          <w:szCs w:val="24"/>
        </w:rPr>
        <w:t>"</w:t>
      </w:r>
      <w:r w:rsidRPr="00CE778C">
        <w:rPr>
          <w:sz w:val="24"/>
          <w:szCs w:val="24"/>
        </w:rPr>
        <w:t>Zentiva</w:t>
      </w:r>
      <w:r w:rsidR="00BC493D">
        <w:rPr>
          <w:sz w:val="24"/>
          <w:szCs w:val="24"/>
        </w:rPr>
        <w:t>"</w:t>
      </w:r>
      <w:r w:rsidRPr="00CE778C">
        <w:rPr>
          <w:sz w:val="24"/>
          <w:szCs w:val="24"/>
        </w:rPr>
        <w:t>-tabletter er stabile i vand og æblemos i op til 4 timer.</w:t>
      </w:r>
    </w:p>
    <w:p w14:paraId="61894A3A" w14:textId="77777777" w:rsidR="009260DE" w:rsidRPr="00CE778C" w:rsidRDefault="009260DE" w:rsidP="009260DE">
      <w:pPr>
        <w:tabs>
          <w:tab w:val="left" w:pos="851"/>
        </w:tabs>
        <w:ind w:left="851"/>
        <w:rPr>
          <w:sz w:val="24"/>
          <w:szCs w:val="24"/>
        </w:rPr>
      </w:pPr>
    </w:p>
    <w:p w14:paraId="6AF16FAE" w14:textId="77777777" w:rsidR="009260DE" w:rsidRPr="00CE778C" w:rsidRDefault="009260DE" w:rsidP="009260DE">
      <w:pPr>
        <w:tabs>
          <w:tab w:val="left" w:pos="851"/>
        </w:tabs>
        <w:ind w:left="851" w:hanging="851"/>
        <w:rPr>
          <w:b/>
          <w:sz w:val="24"/>
          <w:szCs w:val="24"/>
        </w:rPr>
      </w:pPr>
      <w:r w:rsidRPr="00CE778C">
        <w:rPr>
          <w:b/>
          <w:sz w:val="24"/>
          <w:szCs w:val="24"/>
        </w:rPr>
        <w:t>4.3</w:t>
      </w:r>
      <w:r w:rsidRPr="00CE778C">
        <w:rPr>
          <w:b/>
          <w:sz w:val="24"/>
          <w:szCs w:val="24"/>
        </w:rPr>
        <w:tab/>
        <w:t>Kontraindikationer</w:t>
      </w:r>
    </w:p>
    <w:p w14:paraId="1A290178" w14:textId="77777777" w:rsidR="00A75091" w:rsidRPr="00CE778C" w:rsidRDefault="00A75091" w:rsidP="00CE778C">
      <w:pPr>
        <w:ind w:left="851"/>
        <w:rPr>
          <w:sz w:val="24"/>
          <w:szCs w:val="24"/>
        </w:rPr>
      </w:pPr>
      <w:r w:rsidRPr="00CE778C">
        <w:rPr>
          <w:sz w:val="24"/>
          <w:szCs w:val="24"/>
        </w:rPr>
        <w:t>Overfølsomhed over for det aktive stof eller over for et eller flere af hjælpestofferne anført i pkt. 6.1.</w:t>
      </w:r>
    </w:p>
    <w:p w14:paraId="322A2339" w14:textId="77777777" w:rsidR="00A75091" w:rsidRPr="00CE778C" w:rsidRDefault="00A75091" w:rsidP="00CE778C">
      <w:pPr>
        <w:ind w:left="851"/>
        <w:rPr>
          <w:sz w:val="24"/>
          <w:szCs w:val="24"/>
        </w:rPr>
      </w:pPr>
    </w:p>
    <w:p w14:paraId="15961841" w14:textId="77777777" w:rsidR="00A75091" w:rsidRPr="00CE778C" w:rsidRDefault="00A75091" w:rsidP="00CE778C">
      <w:pPr>
        <w:ind w:left="851"/>
        <w:rPr>
          <w:sz w:val="24"/>
          <w:szCs w:val="24"/>
          <w:lang w:val="nb-NO"/>
        </w:rPr>
      </w:pPr>
      <w:r w:rsidRPr="00CE778C">
        <w:rPr>
          <w:sz w:val="24"/>
          <w:szCs w:val="24"/>
          <w:lang w:val="nb-NO"/>
        </w:rPr>
        <w:t>Klinisk signifikant aktiv blødning.</w:t>
      </w:r>
    </w:p>
    <w:p w14:paraId="3A2D2139" w14:textId="77777777" w:rsidR="00A75091" w:rsidRPr="00CE778C" w:rsidRDefault="00A75091" w:rsidP="00CE778C">
      <w:pPr>
        <w:ind w:left="851"/>
        <w:rPr>
          <w:sz w:val="24"/>
          <w:szCs w:val="24"/>
          <w:lang w:val="nb-NO"/>
        </w:rPr>
      </w:pPr>
    </w:p>
    <w:p w14:paraId="7060569B" w14:textId="77777777" w:rsidR="00A75091" w:rsidRPr="00CE778C" w:rsidRDefault="00A75091" w:rsidP="00CE778C">
      <w:pPr>
        <w:ind w:left="851"/>
        <w:rPr>
          <w:sz w:val="24"/>
          <w:szCs w:val="24"/>
          <w:lang w:val="nb-NO"/>
        </w:rPr>
      </w:pPr>
      <w:r w:rsidRPr="00CE778C">
        <w:rPr>
          <w:sz w:val="24"/>
          <w:szCs w:val="24"/>
          <w:lang w:val="nb-NO"/>
        </w:rPr>
        <w:t>Patienter med leversygdom forbundet med koagulopati og klinisk relevant blødningsrisiko.</w:t>
      </w:r>
    </w:p>
    <w:p w14:paraId="3AE75C6A" w14:textId="77777777" w:rsidR="00A75091" w:rsidRPr="00CE778C" w:rsidRDefault="00A75091" w:rsidP="00CE778C">
      <w:pPr>
        <w:ind w:left="851"/>
        <w:rPr>
          <w:sz w:val="24"/>
          <w:szCs w:val="24"/>
          <w:lang w:val="nb-NO"/>
        </w:rPr>
      </w:pPr>
    </w:p>
    <w:p w14:paraId="3D0EEB46" w14:textId="2B38A73E" w:rsidR="00A75091" w:rsidRPr="00CE778C" w:rsidRDefault="00A75091" w:rsidP="00CE778C">
      <w:pPr>
        <w:ind w:left="851"/>
        <w:rPr>
          <w:sz w:val="24"/>
          <w:szCs w:val="24"/>
        </w:rPr>
      </w:pPr>
      <w:r w:rsidRPr="00CE778C">
        <w:rPr>
          <w:sz w:val="24"/>
          <w:szCs w:val="24"/>
          <w:lang w:val="nb-NO"/>
        </w:rPr>
        <w:t>Læsion eller sygdom, hvis det anses for at være en signifikant risiko for svær blødning. Dette kan omfatte nuværende eller nylige ulcerationer i mave-tarm-kanalen, tilstedeværelse</w:t>
      </w:r>
      <w:r w:rsidRPr="00CE778C">
        <w:rPr>
          <w:sz w:val="24"/>
          <w:szCs w:val="24"/>
        </w:rPr>
        <w:t xml:space="preserve"> af maligne</w:t>
      </w:r>
      <w:r w:rsidRPr="00CE778C">
        <w:rPr>
          <w:sz w:val="24"/>
          <w:szCs w:val="24"/>
          <w:lang w:val="nb-NO"/>
        </w:rPr>
        <w:t xml:space="preserve"> tumorer</w:t>
      </w:r>
      <w:r w:rsidR="007553F5">
        <w:rPr>
          <w:sz w:val="24"/>
          <w:szCs w:val="24"/>
          <w:lang w:val="nb-NO"/>
        </w:rPr>
        <w:t xml:space="preserve"> </w:t>
      </w:r>
      <w:r w:rsidRPr="00CE778C">
        <w:rPr>
          <w:sz w:val="24"/>
          <w:szCs w:val="24"/>
        </w:rPr>
        <w:t>med høj blødningsrisiko, nylige cerebrale eller spinale skader, nyligt gennemgået hjerne-, spinal- eller</w:t>
      </w:r>
      <w:r w:rsidR="007553F5">
        <w:rPr>
          <w:sz w:val="24"/>
          <w:szCs w:val="24"/>
        </w:rPr>
        <w:t xml:space="preserve"> </w:t>
      </w:r>
      <w:r w:rsidRPr="00CE778C">
        <w:rPr>
          <w:sz w:val="24"/>
          <w:szCs w:val="24"/>
        </w:rPr>
        <w:t>øjenkirurgi, nylig intrakraniel blødning, kendte eller formodede øsofagusvaricer, arteriovenøse misdannelser, vaskulære aneurismer eller større intraspinale eller intracerebrale vaskulære</w:t>
      </w:r>
      <w:r w:rsidR="007553F5">
        <w:rPr>
          <w:sz w:val="24"/>
          <w:szCs w:val="24"/>
        </w:rPr>
        <w:t xml:space="preserve"> </w:t>
      </w:r>
      <w:r w:rsidRPr="00CE778C">
        <w:rPr>
          <w:sz w:val="24"/>
          <w:szCs w:val="24"/>
        </w:rPr>
        <w:t>abnormiteter.</w:t>
      </w:r>
    </w:p>
    <w:p w14:paraId="0064B85F" w14:textId="77777777" w:rsidR="00A75091" w:rsidRPr="00CE778C" w:rsidRDefault="00A75091" w:rsidP="00CE778C">
      <w:pPr>
        <w:ind w:left="851"/>
        <w:rPr>
          <w:sz w:val="24"/>
          <w:szCs w:val="24"/>
        </w:rPr>
      </w:pPr>
    </w:p>
    <w:p w14:paraId="3301C31E" w14:textId="77777777" w:rsidR="00A75091" w:rsidRPr="00CE778C" w:rsidRDefault="00A75091" w:rsidP="00CE778C">
      <w:pPr>
        <w:ind w:left="851"/>
        <w:rPr>
          <w:sz w:val="24"/>
          <w:szCs w:val="24"/>
        </w:rPr>
      </w:pPr>
      <w:r w:rsidRPr="00CE778C">
        <w:rPr>
          <w:sz w:val="24"/>
          <w:szCs w:val="24"/>
        </w:rPr>
        <w:t>Svær hypertension, som ikke er under kontrol.</w:t>
      </w:r>
    </w:p>
    <w:p w14:paraId="65A72EFD" w14:textId="77777777" w:rsidR="00A75091" w:rsidRPr="00CE778C" w:rsidRDefault="00A75091" w:rsidP="00CE778C">
      <w:pPr>
        <w:ind w:left="851"/>
        <w:rPr>
          <w:sz w:val="24"/>
          <w:szCs w:val="24"/>
        </w:rPr>
      </w:pPr>
    </w:p>
    <w:p w14:paraId="544ADCC2" w14:textId="15125D7F" w:rsidR="00A75091" w:rsidRPr="00CE778C" w:rsidRDefault="00A75091" w:rsidP="00CE778C">
      <w:pPr>
        <w:ind w:left="851"/>
        <w:rPr>
          <w:sz w:val="24"/>
          <w:szCs w:val="24"/>
        </w:rPr>
      </w:pPr>
      <w:r w:rsidRPr="00CE778C">
        <w:rPr>
          <w:sz w:val="24"/>
          <w:szCs w:val="24"/>
        </w:rPr>
        <w:t>Samtidig behandling med andre antikoagulantia, f.eks. UFH, LMWH (enoxaparin, dalteparin osv.),</w:t>
      </w:r>
      <w:r w:rsidR="007553F5">
        <w:rPr>
          <w:sz w:val="24"/>
          <w:szCs w:val="24"/>
        </w:rPr>
        <w:t xml:space="preserve"> </w:t>
      </w:r>
      <w:r w:rsidRPr="00CE778C">
        <w:rPr>
          <w:sz w:val="24"/>
          <w:szCs w:val="24"/>
        </w:rPr>
        <w:t>heparinderivater (fondaparinux etc.), orale antikoagulantia (warfarin, dabigatranetexilat, rivaroxaban,</w:t>
      </w:r>
      <w:r w:rsidR="007553F5">
        <w:rPr>
          <w:sz w:val="24"/>
          <w:szCs w:val="24"/>
        </w:rPr>
        <w:t xml:space="preserve"> </w:t>
      </w:r>
      <w:r w:rsidRPr="00CE778C">
        <w:rPr>
          <w:sz w:val="24"/>
          <w:szCs w:val="24"/>
        </w:rPr>
        <w:t>apixaban etc.) bortset fra i de specifikke tilfælde, hvor der skiftes oral antikoagulationsbehandling (se</w:t>
      </w:r>
      <w:r w:rsidR="007553F5">
        <w:rPr>
          <w:sz w:val="24"/>
          <w:szCs w:val="24"/>
        </w:rPr>
        <w:t xml:space="preserve"> </w:t>
      </w:r>
      <w:r w:rsidRPr="00CE778C">
        <w:rPr>
          <w:sz w:val="24"/>
          <w:szCs w:val="24"/>
        </w:rPr>
        <w:t>pkt. 4.2), eller når UFH gives i doser, der er nødvendige for at holde et centralt vene- eller</w:t>
      </w:r>
      <w:r w:rsidR="007553F5">
        <w:rPr>
          <w:sz w:val="24"/>
          <w:szCs w:val="24"/>
        </w:rPr>
        <w:t xml:space="preserve"> </w:t>
      </w:r>
      <w:r w:rsidRPr="00CE778C">
        <w:rPr>
          <w:sz w:val="24"/>
          <w:szCs w:val="24"/>
        </w:rPr>
        <w:t>arteriekateter åbent (se pkt. 4.5).</w:t>
      </w:r>
    </w:p>
    <w:p w14:paraId="5703EE32" w14:textId="77777777" w:rsidR="00A75091" w:rsidRPr="00CE778C" w:rsidRDefault="00A75091" w:rsidP="00CE778C">
      <w:pPr>
        <w:ind w:left="851"/>
        <w:rPr>
          <w:sz w:val="24"/>
          <w:szCs w:val="24"/>
        </w:rPr>
      </w:pPr>
    </w:p>
    <w:p w14:paraId="4CD5C756" w14:textId="77777777" w:rsidR="00A75091" w:rsidRPr="00CE778C" w:rsidRDefault="00A75091" w:rsidP="00CE778C">
      <w:pPr>
        <w:ind w:left="851"/>
        <w:rPr>
          <w:sz w:val="24"/>
          <w:szCs w:val="24"/>
        </w:rPr>
      </w:pPr>
      <w:r w:rsidRPr="00CE778C">
        <w:rPr>
          <w:sz w:val="24"/>
          <w:szCs w:val="24"/>
        </w:rPr>
        <w:t>Graviditet og amning (se pkt. 4.6).</w:t>
      </w:r>
    </w:p>
    <w:p w14:paraId="54DC71A9" w14:textId="77777777" w:rsidR="009260DE" w:rsidRPr="00CE778C" w:rsidRDefault="009260DE" w:rsidP="009260DE">
      <w:pPr>
        <w:tabs>
          <w:tab w:val="left" w:pos="851"/>
        </w:tabs>
        <w:ind w:left="851"/>
        <w:rPr>
          <w:sz w:val="24"/>
          <w:szCs w:val="24"/>
        </w:rPr>
      </w:pPr>
    </w:p>
    <w:p w14:paraId="340FDB86" w14:textId="77777777" w:rsidR="009260DE" w:rsidRPr="00CE778C" w:rsidRDefault="009260DE" w:rsidP="009260DE">
      <w:pPr>
        <w:tabs>
          <w:tab w:val="left" w:pos="851"/>
        </w:tabs>
        <w:ind w:left="851" w:hanging="851"/>
        <w:rPr>
          <w:b/>
          <w:sz w:val="24"/>
          <w:szCs w:val="24"/>
        </w:rPr>
      </w:pPr>
      <w:r w:rsidRPr="00CE778C">
        <w:rPr>
          <w:b/>
          <w:sz w:val="24"/>
          <w:szCs w:val="24"/>
        </w:rPr>
        <w:t>4.4</w:t>
      </w:r>
      <w:r w:rsidRPr="00CE778C">
        <w:rPr>
          <w:b/>
          <w:sz w:val="24"/>
          <w:szCs w:val="24"/>
        </w:rPr>
        <w:tab/>
        <w:t>Særlige advarsler og forsigtighedsregler vedrørende brugen</w:t>
      </w:r>
    </w:p>
    <w:p w14:paraId="43B4F6DE" w14:textId="77777777" w:rsidR="00A75091" w:rsidRPr="00CE778C" w:rsidRDefault="00A75091" w:rsidP="00CE778C">
      <w:pPr>
        <w:ind w:left="851"/>
        <w:rPr>
          <w:sz w:val="24"/>
          <w:szCs w:val="24"/>
        </w:rPr>
      </w:pPr>
      <w:r w:rsidRPr="00CE778C">
        <w:rPr>
          <w:sz w:val="24"/>
          <w:szCs w:val="24"/>
        </w:rPr>
        <w:t xml:space="preserve">Edoxaban 15 mg er ikke indiceret til monoterapi, da det kan føre til nedsat virkning. Det er kun indiceret, når der skiftes fra edoxaban 30 mg (patienter med en eller flere kliniske </w:t>
      </w:r>
      <w:r w:rsidRPr="00CE778C">
        <w:rPr>
          <w:sz w:val="24"/>
          <w:szCs w:val="24"/>
        </w:rPr>
        <w:lastRenderedPageBreak/>
        <w:t>faktorer for øget eksponering, se tabel 1) til VKA sammen med en passende VKA-dosis (se tabel 2, pkt. 4.2).</w:t>
      </w:r>
    </w:p>
    <w:p w14:paraId="106F7E4A" w14:textId="77777777" w:rsidR="00A75091" w:rsidRPr="00CE778C" w:rsidRDefault="00A75091" w:rsidP="00CE778C">
      <w:pPr>
        <w:ind w:left="851"/>
        <w:rPr>
          <w:sz w:val="24"/>
          <w:szCs w:val="24"/>
        </w:rPr>
      </w:pPr>
    </w:p>
    <w:p w14:paraId="204C95FB" w14:textId="77777777" w:rsidR="00A75091" w:rsidRPr="00CE778C" w:rsidRDefault="00A75091" w:rsidP="00CE778C">
      <w:pPr>
        <w:ind w:left="851"/>
        <w:rPr>
          <w:sz w:val="24"/>
          <w:szCs w:val="24"/>
          <w:u w:val="single"/>
          <w:lang w:val="nb-NO"/>
        </w:rPr>
      </w:pPr>
      <w:r w:rsidRPr="00CE778C">
        <w:rPr>
          <w:sz w:val="24"/>
          <w:szCs w:val="24"/>
          <w:u w:val="single"/>
          <w:lang w:val="nb-NO"/>
        </w:rPr>
        <w:t>Blødningsrisiko</w:t>
      </w:r>
    </w:p>
    <w:p w14:paraId="35228165" w14:textId="77777777" w:rsidR="00A75091" w:rsidRPr="00CE778C" w:rsidRDefault="00A75091" w:rsidP="00CE778C">
      <w:pPr>
        <w:ind w:left="851"/>
        <w:rPr>
          <w:sz w:val="24"/>
          <w:szCs w:val="24"/>
          <w:u w:val="single"/>
          <w:lang w:val="nb-NO"/>
        </w:rPr>
      </w:pPr>
    </w:p>
    <w:p w14:paraId="07CAD6E9" w14:textId="77777777" w:rsidR="00A75091" w:rsidRPr="00CE778C" w:rsidRDefault="00A75091" w:rsidP="00CE778C">
      <w:pPr>
        <w:ind w:left="851"/>
        <w:rPr>
          <w:sz w:val="24"/>
          <w:szCs w:val="24"/>
        </w:rPr>
      </w:pPr>
      <w:r w:rsidRPr="00CE778C">
        <w:rPr>
          <w:sz w:val="24"/>
          <w:szCs w:val="24"/>
          <w:lang w:val="nb-NO"/>
        </w:rPr>
        <w:t xml:space="preserve">Edoxaban øger blødningsrisikoen, og kan føre til alvorlige, muligvis dødelige blødninger. </w:t>
      </w:r>
      <w:r w:rsidRPr="00CE778C">
        <w:rPr>
          <w:sz w:val="24"/>
          <w:szCs w:val="24"/>
        </w:rPr>
        <w:t>Ligesom andre antikoagulantia bør edoxaban anvendes med forsigtighed hos patienter med en øget blødningsrisiko. Hvis der forekommer svær blødning, skal administration af edoxaban seponeres (se pkt. 4.8 og 4.9).</w:t>
      </w:r>
    </w:p>
    <w:p w14:paraId="0BA36C9C" w14:textId="77777777" w:rsidR="00A75091" w:rsidRPr="00CE778C" w:rsidRDefault="00A75091" w:rsidP="00CE778C">
      <w:pPr>
        <w:ind w:left="851"/>
        <w:rPr>
          <w:sz w:val="24"/>
          <w:szCs w:val="24"/>
        </w:rPr>
      </w:pPr>
    </w:p>
    <w:p w14:paraId="178A467C" w14:textId="77777777" w:rsidR="00A75091" w:rsidRPr="00CE778C" w:rsidRDefault="00A75091" w:rsidP="00CE778C">
      <w:pPr>
        <w:ind w:left="851"/>
        <w:rPr>
          <w:sz w:val="24"/>
          <w:szCs w:val="24"/>
        </w:rPr>
      </w:pPr>
      <w:r w:rsidRPr="00CE778C">
        <w:rPr>
          <w:sz w:val="24"/>
          <w:szCs w:val="24"/>
        </w:rPr>
        <w:t>I kliniske studier sås slimhindeblødninger (f.eks. epistaxis, blødning fra mave-tarm-kanalen, genitalier og urinveje) og anæmi hyppigere under langtidsbehandling med edoxaban, sammenlignet med VKA-behandling. Derfor kan det, hvis det skønnes nødvendigt, være af værdi ud over den kliniske overvågning at undersøge hæmoglobin/hæmatokrit for at konstatere okkult blødning.</w:t>
      </w:r>
    </w:p>
    <w:p w14:paraId="2EBEC429" w14:textId="77777777" w:rsidR="00A75091" w:rsidRPr="00CE778C" w:rsidRDefault="00A75091" w:rsidP="00CE778C">
      <w:pPr>
        <w:ind w:left="851"/>
        <w:rPr>
          <w:sz w:val="24"/>
          <w:szCs w:val="24"/>
        </w:rPr>
      </w:pPr>
    </w:p>
    <w:p w14:paraId="4F32811F" w14:textId="6E83B2E3" w:rsidR="00A75091" w:rsidRPr="00CE778C" w:rsidRDefault="00A75091" w:rsidP="00CE778C">
      <w:pPr>
        <w:ind w:left="851"/>
        <w:rPr>
          <w:sz w:val="24"/>
          <w:szCs w:val="24"/>
        </w:rPr>
      </w:pPr>
      <w:r w:rsidRPr="00CE778C">
        <w:rPr>
          <w:sz w:val="24"/>
          <w:szCs w:val="24"/>
        </w:rPr>
        <w:t>Flere patientgrupper har, som beskrevet nedenfor, øget risiko for blødning. Disse patienter skal omhyggeligt overvåges for tegn og symptomer på blødningskomplikationer og anæmi efter indledning</w:t>
      </w:r>
      <w:r w:rsidR="007553F5">
        <w:rPr>
          <w:sz w:val="24"/>
          <w:szCs w:val="24"/>
        </w:rPr>
        <w:t xml:space="preserve"> </w:t>
      </w:r>
      <w:r w:rsidRPr="00CE778C">
        <w:rPr>
          <w:sz w:val="24"/>
          <w:szCs w:val="24"/>
        </w:rPr>
        <w:t>af behandlingen (se pkt. 4.8). Ethvert fald i hæmoglobin eller blodtryk bør medføre søgning efter</w:t>
      </w:r>
      <w:r w:rsidR="007553F5">
        <w:rPr>
          <w:sz w:val="24"/>
          <w:szCs w:val="24"/>
        </w:rPr>
        <w:t xml:space="preserve"> </w:t>
      </w:r>
      <w:r w:rsidRPr="00CE778C">
        <w:rPr>
          <w:sz w:val="24"/>
          <w:szCs w:val="24"/>
        </w:rPr>
        <w:t>blødningskilde.</w:t>
      </w:r>
    </w:p>
    <w:p w14:paraId="5F905940" w14:textId="77777777" w:rsidR="00A75091" w:rsidRPr="00CE778C" w:rsidRDefault="00A75091" w:rsidP="00CE778C">
      <w:pPr>
        <w:ind w:left="851"/>
        <w:rPr>
          <w:sz w:val="24"/>
          <w:szCs w:val="24"/>
        </w:rPr>
      </w:pPr>
    </w:p>
    <w:p w14:paraId="3FBCE808" w14:textId="77777777" w:rsidR="00A75091" w:rsidRPr="00CE778C" w:rsidRDefault="00A75091" w:rsidP="00CE778C">
      <w:pPr>
        <w:ind w:left="851"/>
        <w:rPr>
          <w:sz w:val="24"/>
          <w:szCs w:val="24"/>
        </w:rPr>
      </w:pPr>
      <w:r w:rsidRPr="00CE778C">
        <w:rPr>
          <w:sz w:val="24"/>
          <w:szCs w:val="24"/>
        </w:rPr>
        <w:t>Den antikoagulerende virkning af edoxaban kan ikke måles pålideligt med standard laboratorietests. Der findes ikke et specifikt middel, der reverserer den antikoagulerende virkning for edoxaban (se pkt. 4.9).</w:t>
      </w:r>
    </w:p>
    <w:p w14:paraId="4D1E5771" w14:textId="77777777" w:rsidR="00A75091" w:rsidRPr="00CE778C" w:rsidRDefault="00A75091" w:rsidP="00CE778C">
      <w:pPr>
        <w:ind w:left="851"/>
        <w:rPr>
          <w:sz w:val="24"/>
          <w:szCs w:val="24"/>
        </w:rPr>
      </w:pPr>
    </w:p>
    <w:p w14:paraId="200D7068" w14:textId="77777777" w:rsidR="00A75091" w:rsidRPr="00CE778C" w:rsidRDefault="00A75091" w:rsidP="00CE778C">
      <w:pPr>
        <w:ind w:left="851"/>
        <w:rPr>
          <w:sz w:val="24"/>
          <w:szCs w:val="24"/>
        </w:rPr>
      </w:pPr>
      <w:r w:rsidRPr="00CE778C">
        <w:rPr>
          <w:sz w:val="24"/>
          <w:szCs w:val="24"/>
        </w:rPr>
        <w:t>Hæmodialyse bidrager ikke signifikant til clearance af edoxaban (se pkt. 5.2).</w:t>
      </w:r>
    </w:p>
    <w:p w14:paraId="3E9DFDE7" w14:textId="77777777" w:rsidR="00A75091" w:rsidRPr="00CE778C" w:rsidRDefault="00A75091" w:rsidP="00CE778C">
      <w:pPr>
        <w:ind w:left="851"/>
        <w:rPr>
          <w:sz w:val="24"/>
          <w:szCs w:val="24"/>
        </w:rPr>
      </w:pPr>
    </w:p>
    <w:p w14:paraId="4E2262A1" w14:textId="77777777" w:rsidR="00A75091" w:rsidRPr="00CE778C" w:rsidRDefault="00A75091" w:rsidP="00CE778C">
      <w:pPr>
        <w:ind w:left="851"/>
        <w:rPr>
          <w:sz w:val="24"/>
          <w:szCs w:val="24"/>
          <w:u w:val="single"/>
        </w:rPr>
      </w:pPr>
      <w:r w:rsidRPr="00CE778C">
        <w:rPr>
          <w:sz w:val="24"/>
          <w:szCs w:val="24"/>
          <w:u w:val="single"/>
        </w:rPr>
        <w:t>Ældre</w:t>
      </w:r>
    </w:p>
    <w:p w14:paraId="182EA0EB" w14:textId="77777777" w:rsidR="00A75091" w:rsidRPr="00CE778C" w:rsidRDefault="00A75091" w:rsidP="00CE778C">
      <w:pPr>
        <w:ind w:left="851"/>
        <w:rPr>
          <w:sz w:val="24"/>
          <w:szCs w:val="24"/>
          <w:u w:val="single"/>
        </w:rPr>
      </w:pPr>
    </w:p>
    <w:p w14:paraId="4FE01676" w14:textId="77777777" w:rsidR="00A75091" w:rsidRPr="00CE778C" w:rsidRDefault="00A75091" w:rsidP="00CE778C">
      <w:pPr>
        <w:ind w:left="851"/>
        <w:rPr>
          <w:sz w:val="24"/>
          <w:szCs w:val="24"/>
        </w:rPr>
      </w:pPr>
      <w:r w:rsidRPr="00CE778C">
        <w:rPr>
          <w:sz w:val="24"/>
          <w:szCs w:val="24"/>
        </w:rPr>
        <w:t>Administration af edoxaban sammen med acetylsalicylsyre (ASA) hos ældre patienter bør finde sted med forsigtighed på grund af en potentielt højere blødningsrisiko (se pkt. 4.5).</w:t>
      </w:r>
    </w:p>
    <w:p w14:paraId="62CA8475" w14:textId="77777777" w:rsidR="00A75091" w:rsidRPr="00CE778C" w:rsidRDefault="00A75091" w:rsidP="00CE778C">
      <w:pPr>
        <w:ind w:left="851"/>
        <w:rPr>
          <w:sz w:val="24"/>
          <w:szCs w:val="24"/>
        </w:rPr>
      </w:pPr>
    </w:p>
    <w:p w14:paraId="0E48634F" w14:textId="77777777" w:rsidR="00A75091" w:rsidRPr="00CE778C" w:rsidRDefault="00A75091" w:rsidP="00CE778C">
      <w:pPr>
        <w:ind w:left="851"/>
        <w:rPr>
          <w:sz w:val="24"/>
          <w:szCs w:val="24"/>
          <w:u w:val="single"/>
        </w:rPr>
      </w:pPr>
      <w:r w:rsidRPr="00CE778C">
        <w:rPr>
          <w:sz w:val="24"/>
          <w:szCs w:val="24"/>
          <w:u w:val="single"/>
        </w:rPr>
        <w:t>Nedsat nyrefunktion</w:t>
      </w:r>
    </w:p>
    <w:p w14:paraId="0A168945" w14:textId="77777777" w:rsidR="00A75091" w:rsidRPr="00CE778C" w:rsidRDefault="00A75091" w:rsidP="00CE778C">
      <w:pPr>
        <w:ind w:left="851"/>
        <w:rPr>
          <w:sz w:val="24"/>
          <w:szCs w:val="24"/>
          <w:u w:val="single"/>
        </w:rPr>
      </w:pPr>
    </w:p>
    <w:p w14:paraId="1D9CDF0E" w14:textId="77777777" w:rsidR="00A75091" w:rsidRPr="00CE778C" w:rsidRDefault="00A75091" w:rsidP="00CE778C">
      <w:pPr>
        <w:ind w:left="851"/>
        <w:rPr>
          <w:sz w:val="24"/>
          <w:szCs w:val="24"/>
        </w:rPr>
      </w:pPr>
      <w:r w:rsidRPr="00CE778C">
        <w:rPr>
          <w:sz w:val="24"/>
          <w:szCs w:val="24"/>
        </w:rPr>
        <w:t>Arealet under kurven (AUC) i plasma for personer med let (CrCl &gt; 50 - 80 ml/min.), moderat (CrCl 30 - 50 ml/min.) og svært (CrCl &lt; 30 ml/min., men som ikke gennemgår dialyse) nedsat nyrefunktion var forhøjet med hhv. 32 %, 74 % og 72 %, i forhold til personer med normal nyrefunktion (se pkt. 4.2 for dosisreduktion).</w:t>
      </w:r>
    </w:p>
    <w:p w14:paraId="2625DE66" w14:textId="6F204782" w:rsidR="00A75091" w:rsidRPr="00CE778C" w:rsidRDefault="00A75091" w:rsidP="00CE778C">
      <w:pPr>
        <w:ind w:left="851"/>
        <w:rPr>
          <w:sz w:val="24"/>
          <w:szCs w:val="24"/>
        </w:rPr>
      </w:pPr>
      <w:r w:rsidRPr="00CE778C">
        <w:rPr>
          <w:sz w:val="24"/>
          <w:szCs w:val="24"/>
        </w:rPr>
        <w:t xml:space="preserve">Hos patienter med nyresygdom i slutstadiet eller i dialyse bør Edoxaban </w:t>
      </w:r>
      <w:r w:rsidR="00BC493D">
        <w:rPr>
          <w:sz w:val="24"/>
          <w:szCs w:val="24"/>
        </w:rPr>
        <w:t>"</w:t>
      </w:r>
      <w:r w:rsidRPr="00CE778C">
        <w:rPr>
          <w:sz w:val="24"/>
          <w:szCs w:val="24"/>
        </w:rPr>
        <w:t>Zentiva</w:t>
      </w:r>
      <w:r w:rsidR="00BC493D">
        <w:rPr>
          <w:sz w:val="24"/>
          <w:szCs w:val="24"/>
        </w:rPr>
        <w:t>"</w:t>
      </w:r>
      <w:r w:rsidRPr="00CE778C">
        <w:rPr>
          <w:sz w:val="24"/>
          <w:szCs w:val="24"/>
        </w:rPr>
        <w:t xml:space="preserve"> ikke anvendes (se pkt. 4.2 og 5.2).</w:t>
      </w:r>
    </w:p>
    <w:p w14:paraId="15D1BF61" w14:textId="77777777" w:rsidR="00A75091" w:rsidRPr="00CE778C" w:rsidRDefault="00A75091" w:rsidP="00CE778C">
      <w:pPr>
        <w:ind w:left="851"/>
        <w:rPr>
          <w:sz w:val="24"/>
          <w:szCs w:val="24"/>
        </w:rPr>
      </w:pPr>
    </w:p>
    <w:p w14:paraId="2AA7BB4A" w14:textId="77777777" w:rsidR="00A75091" w:rsidRPr="00CE778C" w:rsidRDefault="00A75091" w:rsidP="00CE778C">
      <w:pPr>
        <w:ind w:left="851"/>
        <w:rPr>
          <w:i/>
          <w:iCs/>
          <w:sz w:val="24"/>
          <w:szCs w:val="24"/>
        </w:rPr>
      </w:pPr>
      <w:r w:rsidRPr="00CE778C">
        <w:rPr>
          <w:i/>
          <w:iCs/>
          <w:sz w:val="24"/>
          <w:szCs w:val="24"/>
        </w:rPr>
        <w:t>Nyrefunktion ved NVAF</w:t>
      </w:r>
    </w:p>
    <w:p w14:paraId="7FC8D18F" w14:textId="77777777" w:rsidR="00A75091" w:rsidRPr="00CE778C" w:rsidRDefault="00A75091" w:rsidP="00CE778C">
      <w:pPr>
        <w:ind w:left="851"/>
        <w:rPr>
          <w:sz w:val="24"/>
          <w:szCs w:val="24"/>
        </w:rPr>
      </w:pPr>
      <w:r w:rsidRPr="00CE778C">
        <w:rPr>
          <w:sz w:val="24"/>
          <w:szCs w:val="24"/>
        </w:rPr>
        <w:t>Der blev observeret en tendens til en nedsat virkning med en øget CrCl for edoxaban sammenlignet med velkontrolleret warfarin (se pkt. 5.1 for ENGAGE AF-TIMI 48 og yderligere data fra E314 og ETNA-AF).</w:t>
      </w:r>
    </w:p>
    <w:p w14:paraId="561C4652" w14:textId="77777777" w:rsidR="00A75091" w:rsidRPr="00CE778C" w:rsidRDefault="00A75091" w:rsidP="00CE778C">
      <w:pPr>
        <w:ind w:left="851"/>
        <w:rPr>
          <w:sz w:val="24"/>
          <w:szCs w:val="24"/>
        </w:rPr>
      </w:pPr>
    </w:p>
    <w:p w14:paraId="15C29CDF" w14:textId="77777777" w:rsidR="00A75091" w:rsidRPr="00CE778C" w:rsidRDefault="00A75091" w:rsidP="00CE778C">
      <w:pPr>
        <w:ind w:left="851"/>
        <w:rPr>
          <w:sz w:val="24"/>
          <w:szCs w:val="24"/>
        </w:rPr>
      </w:pPr>
      <w:r w:rsidRPr="00CE778C">
        <w:rPr>
          <w:sz w:val="24"/>
          <w:szCs w:val="24"/>
        </w:rPr>
        <w:t>Edoxaban bør kun anvendes til patienter med NVAF og en høj CrCl efter en nøje evaluering af den individuelle tromboemboliske risiko og blødningsrisiko.</w:t>
      </w:r>
    </w:p>
    <w:p w14:paraId="6608CBC2" w14:textId="77777777" w:rsidR="00A75091" w:rsidRPr="00CE778C" w:rsidRDefault="00A75091" w:rsidP="00CE778C">
      <w:pPr>
        <w:ind w:left="851"/>
        <w:rPr>
          <w:sz w:val="24"/>
          <w:szCs w:val="24"/>
        </w:rPr>
      </w:pPr>
    </w:p>
    <w:p w14:paraId="7A7DCCE1" w14:textId="77777777" w:rsidR="00A75091" w:rsidRPr="00CE778C" w:rsidRDefault="00A75091" w:rsidP="00CE778C">
      <w:pPr>
        <w:ind w:left="851"/>
        <w:rPr>
          <w:sz w:val="24"/>
          <w:szCs w:val="24"/>
        </w:rPr>
      </w:pPr>
      <w:r w:rsidRPr="00CE778C">
        <w:rPr>
          <w:sz w:val="24"/>
          <w:szCs w:val="24"/>
        </w:rPr>
        <w:t>Vurdering af nyrefunktionen: CrCl bør overvåges ved begyndelsen af behandlingen for alle patienter og derefter ved klinisk indikation (se pkt. 4.2).</w:t>
      </w:r>
    </w:p>
    <w:p w14:paraId="4729DA29" w14:textId="77777777" w:rsidR="00A75091" w:rsidRPr="00CE778C" w:rsidRDefault="00A75091" w:rsidP="00CE778C">
      <w:pPr>
        <w:ind w:left="851"/>
        <w:rPr>
          <w:sz w:val="24"/>
          <w:szCs w:val="24"/>
        </w:rPr>
      </w:pPr>
    </w:p>
    <w:p w14:paraId="2BA32BA4" w14:textId="77777777" w:rsidR="00A75091" w:rsidRPr="00CE778C" w:rsidRDefault="00A75091" w:rsidP="00CE778C">
      <w:pPr>
        <w:ind w:left="851"/>
        <w:rPr>
          <w:sz w:val="24"/>
          <w:szCs w:val="24"/>
          <w:u w:val="single"/>
        </w:rPr>
      </w:pPr>
      <w:r w:rsidRPr="00CE778C">
        <w:rPr>
          <w:sz w:val="24"/>
          <w:szCs w:val="24"/>
          <w:u w:val="single"/>
        </w:rPr>
        <w:t>Nedsat leverfunktion</w:t>
      </w:r>
    </w:p>
    <w:p w14:paraId="2DCDF6C4" w14:textId="77777777" w:rsidR="00A75091" w:rsidRPr="00CE778C" w:rsidRDefault="00A75091" w:rsidP="00CE778C">
      <w:pPr>
        <w:ind w:left="851"/>
        <w:rPr>
          <w:sz w:val="24"/>
          <w:szCs w:val="24"/>
          <w:u w:val="single"/>
        </w:rPr>
      </w:pPr>
    </w:p>
    <w:p w14:paraId="51807BEB" w14:textId="77777777" w:rsidR="00A75091" w:rsidRPr="00CE778C" w:rsidRDefault="00A75091" w:rsidP="00CE778C">
      <w:pPr>
        <w:ind w:left="851"/>
        <w:rPr>
          <w:sz w:val="24"/>
          <w:szCs w:val="24"/>
        </w:rPr>
      </w:pPr>
      <w:r w:rsidRPr="00CE778C">
        <w:rPr>
          <w:sz w:val="24"/>
          <w:szCs w:val="24"/>
        </w:rPr>
        <w:t>Edoxaban bør ikke anvendes til patienter med svært nedsat leverfunktion (se pkt. 4.2 og 5.2).</w:t>
      </w:r>
    </w:p>
    <w:p w14:paraId="491EC17C" w14:textId="77777777" w:rsidR="00A75091" w:rsidRPr="00CE778C" w:rsidRDefault="00A75091" w:rsidP="00CE778C">
      <w:pPr>
        <w:ind w:left="851"/>
        <w:rPr>
          <w:sz w:val="24"/>
          <w:szCs w:val="24"/>
        </w:rPr>
      </w:pPr>
    </w:p>
    <w:p w14:paraId="3BF18717" w14:textId="4D729232" w:rsidR="00A75091" w:rsidRPr="00CE778C" w:rsidRDefault="00A75091" w:rsidP="00CE778C">
      <w:pPr>
        <w:ind w:left="851"/>
        <w:rPr>
          <w:sz w:val="24"/>
          <w:szCs w:val="24"/>
        </w:rPr>
      </w:pPr>
      <w:r w:rsidRPr="00CE778C">
        <w:rPr>
          <w:sz w:val="24"/>
          <w:szCs w:val="24"/>
        </w:rPr>
        <w:t>Edoxaban bør anvendes med forsigtighed hos patienter med let til moderat nedsat leverfunktion (se pkt. 4.2).</w:t>
      </w:r>
    </w:p>
    <w:p w14:paraId="3BD85D6A" w14:textId="77777777" w:rsidR="00A75091" w:rsidRPr="00CE778C" w:rsidRDefault="00A75091" w:rsidP="00CE778C">
      <w:pPr>
        <w:ind w:left="851"/>
        <w:rPr>
          <w:sz w:val="24"/>
          <w:szCs w:val="24"/>
        </w:rPr>
      </w:pPr>
    </w:p>
    <w:p w14:paraId="4D7A0068" w14:textId="7ADCC43B" w:rsidR="00A75091" w:rsidRPr="00CE778C" w:rsidRDefault="00A75091" w:rsidP="00CE778C">
      <w:pPr>
        <w:ind w:left="851"/>
        <w:rPr>
          <w:sz w:val="24"/>
          <w:szCs w:val="24"/>
        </w:rPr>
      </w:pPr>
      <w:r w:rsidRPr="00CE778C">
        <w:rPr>
          <w:sz w:val="24"/>
          <w:szCs w:val="24"/>
        </w:rPr>
        <w:t>Patienter med forhøjede leverenzymer (ALAT/ASAT &gt; 2 gange øvre normalværdi) eller total bilirubin ≥1,5 gange øvre normalværdi blev ekskluderet fra de kliniske studier. Derfor bør edoxaban</w:t>
      </w:r>
      <w:r w:rsidR="007553F5">
        <w:rPr>
          <w:sz w:val="24"/>
          <w:szCs w:val="24"/>
        </w:rPr>
        <w:t xml:space="preserve"> </w:t>
      </w:r>
      <w:r w:rsidRPr="00CE778C">
        <w:rPr>
          <w:sz w:val="24"/>
          <w:szCs w:val="24"/>
        </w:rPr>
        <w:t>anvendes med forsigtighed hos denne population (se pkt. 4.2 og 5.2). Før behandling med edoxaban</w:t>
      </w:r>
      <w:r w:rsidR="007553F5">
        <w:rPr>
          <w:sz w:val="24"/>
          <w:szCs w:val="24"/>
        </w:rPr>
        <w:t xml:space="preserve"> </w:t>
      </w:r>
      <w:r w:rsidRPr="00CE778C">
        <w:rPr>
          <w:sz w:val="24"/>
          <w:szCs w:val="24"/>
        </w:rPr>
        <w:t>indledes, bør der udføres leverfunktionsundersøgelser. Der anbefales periodisk leverovervågning for patienter i behandling med edoxaban længere end 1 år.</w:t>
      </w:r>
    </w:p>
    <w:p w14:paraId="5C6E7025" w14:textId="77777777" w:rsidR="00A75091" w:rsidRPr="00CE778C" w:rsidRDefault="00A75091" w:rsidP="00CE778C">
      <w:pPr>
        <w:ind w:left="851"/>
        <w:rPr>
          <w:sz w:val="24"/>
          <w:szCs w:val="24"/>
        </w:rPr>
      </w:pPr>
    </w:p>
    <w:p w14:paraId="13D11788" w14:textId="77777777" w:rsidR="00A75091" w:rsidRPr="00CE778C" w:rsidRDefault="00A75091" w:rsidP="00CE778C">
      <w:pPr>
        <w:ind w:left="851"/>
        <w:rPr>
          <w:sz w:val="24"/>
          <w:szCs w:val="24"/>
          <w:u w:val="single"/>
        </w:rPr>
      </w:pPr>
      <w:r w:rsidRPr="00CE778C">
        <w:rPr>
          <w:sz w:val="24"/>
          <w:szCs w:val="24"/>
          <w:u w:val="single"/>
        </w:rPr>
        <w:t>Seponering med henblik på kirurgi og andre indgreb</w:t>
      </w:r>
    </w:p>
    <w:p w14:paraId="578078F2" w14:textId="77777777" w:rsidR="00A75091" w:rsidRPr="00CE778C" w:rsidRDefault="00A75091" w:rsidP="00CE778C">
      <w:pPr>
        <w:ind w:left="851"/>
        <w:rPr>
          <w:sz w:val="24"/>
          <w:szCs w:val="24"/>
          <w:u w:val="single"/>
        </w:rPr>
      </w:pPr>
    </w:p>
    <w:p w14:paraId="76ACD31F" w14:textId="77777777" w:rsidR="00A75091" w:rsidRPr="00CE778C" w:rsidRDefault="00A75091" w:rsidP="00CE778C">
      <w:pPr>
        <w:ind w:left="851"/>
        <w:rPr>
          <w:sz w:val="24"/>
          <w:szCs w:val="24"/>
        </w:rPr>
      </w:pPr>
      <w:r w:rsidRPr="00CE778C">
        <w:rPr>
          <w:sz w:val="24"/>
          <w:szCs w:val="24"/>
        </w:rPr>
        <w:t>Hvis antikoagulation skal seponeres for at nedsætte blødningsrisikoen ved kirurgiske indgreb eller andre procedurer, bør edoxaban stoppes så snart som muligt, og helst mindst 24 timer før indgrebet.</w:t>
      </w:r>
    </w:p>
    <w:p w14:paraId="5F2C4C16" w14:textId="77777777" w:rsidR="00A75091" w:rsidRPr="00CE778C" w:rsidRDefault="00A75091" w:rsidP="00CE778C">
      <w:pPr>
        <w:ind w:left="851"/>
        <w:rPr>
          <w:sz w:val="24"/>
          <w:szCs w:val="24"/>
        </w:rPr>
      </w:pPr>
    </w:p>
    <w:p w14:paraId="416FE3B3" w14:textId="77777777" w:rsidR="00A75091" w:rsidRPr="00CE778C" w:rsidRDefault="00A75091" w:rsidP="00CE778C">
      <w:pPr>
        <w:ind w:left="851"/>
        <w:rPr>
          <w:sz w:val="24"/>
          <w:szCs w:val="24"/>
        </w:rPr>
      </w:pPr>
      <w:r w:rsidRPr="00CE778C">
        <w:rPr>
          <w:sz w:val="24"/>
          <w:szCs w:val="24"/>
        </w:rPr>
        <w:t>Når det skal besluttes, om et indgreb skal udskydes til 24 timer efter den sidste dosis edoxaban, skal den forhøjede blødningsrisiko afvejes mod, hvor akut der behøves et indgreb. Behandlingen med edoxaban bør genoptages efter det kirurgiske indgreb eller andre procedurer, så snart der er opnået tilstrækkelig hæmostase, idet der tages hensyn til, at den antikoagulerende, terapeutiske virkning af edoxaban sætter ind efter 1 – 2 timer. Hvis der ikke kan indtages orale lægemidler i løbet af eller efter det kirurgiske indgreb, bør det overvejes at administrere parenteral antikoagulation og derefter skifte til oral behandling med edoxaban en gang dagligt (se pkt. 4.2).</w:t>
      </w:r>
    </w:p>
    <w:p w14:paraId="7C7F1F98" w14:textId="77777777" w:rsidR="00A75091" w:rsidRPr="00CE778C" w:rsidRDefault="00A75091" w:rsidP="00CE778C">
      <w:pPr>
        <w:ind w:left="851"/>
        <w:rPr>
          <w:sz w:val="24"/>
          <w:szCs w:val="24"/>
        </w:rPr>
      </w:pPr>
    </w:p>
    <w:p w14:paraId="33EBF4B1" w14:textId="77777777" w:rsidR="00A75091" w:rsidRPr="00CE778C" w:rsidRDefault="00A75091" w:rsidP="00CE778C">
      <w:pPr>
        <w:ind w:left="851"/>
        <w:rPr>
          <w:sz w:val="24"/>
          <w:szCs w:val="24"/>
          <w:u w:val="single"/>
        </w:rPr>
      </w:pPr>
      <w:r w:rsidRPr="00CE778C">
        <w:rPr>
          <w:sz w:val="24"/>
          <w:szCs w:val="24"/>
          <w:u w:val="single"/>
        </w:rPr>
        <w:t>Interaktion med andre lægemidler, der påvirker hæmostasen</w:t>
      </w:r>
    </w:p>
    <w:p w14:paraId="7E17087B" w14:textId="77777777" w:rsidR="00A75091" w:rsidRPr="00CE778C" w:rsidRDefault="00A75091" w:rsidP="00CE778C">
      <w:pPr>
        <w:ind w:left="851"/>
        <w:rPr>
          <w:sz w:val="24"/>
          <w:szCs w:val="24"/>
          <w:u w:val="single"/>
        </w:rPr>
      </w:pPr>
    </w:p>
    <w:p w14:paraId="1AC55ECD" w14:textId="762E3775" w:rsidR="00A75091" w:rsidRPr="00CE778C" w:rsidRDefault="00A75091" w:rsidP="00CE778C">
      <w:pPr>
        <w:ind w:left="851"/>
        <w:rPr>
          <w:sz w:val="24"/>
          <w:szCs w:val="24"/>
        </w:rPr>
      </w:pPr>
      <w:r w:rsidRPr="00CE778C">
        <w:rPr>
          <w:sz w:val="24"/>
          <w:szCs w:val="24"/>
        </w:rPr>
        <w:t>Anvendelse sammen med lægemidler, der påvirker hæmostasen, kan øge risikoen for blødninger. Sådanne lægemidler omfatter ASA, P2Y12 trombocythæmmere, andre antitrombotiske midler, fibrinolytisk behandling, selektive serotoningenoptagelses</w:t>
      </w:r>
      <w:r w:rsidR="007553F5">
        <w:rPr>
          <w:sz w:val="24"/>
          <w:szCs w:val="24"/>
        </w:rPr>
        <w:softHyphen/>
      </w:r>
      <w:r w:rsidRPr="00CE778C">
        <w:rPr>
          <w:sz w:val="24"/>
          <w:szCs w:val="24"/>
        </w:rPr>
        <w:t>hæmmere (SSRI'er) eller serotonin- og</w:t>
      </w:r>
      <w:r w:rsidR="007553F5">
        <w:rPr>
          <w:sz w:val="24"/>
          <w:szCs w:val="24"/>
        </w:rPr>
        <w:t xml:space="preserve"> </w:t>
      </w:r>
      <w:r w:rsidRPr="00CE778C">
        <w:rPr>
          <w:sz w:val="24"/>
          <w:szCs w:val="24"/>
        </w:rPr>
        <w:t>noradrenalingenoptagelseshæmmere (SNRI'er) og kronisk anvendelse af nonsteroide antiinflammatoriske midler (NSAID'er) (se pkt. 4.5).</w:t>
      </w:r>
    </w:p>
    <w:p w14:paraId="20D29C11" w14:textId="77777777" w:rsidR="00A75091" w:rsidRPr="00CE778C" w:rsidRDefault="00A75091" w:rsidP="00CE778C">
      <w:pPr>
        <w:ind w:left="851"/>
        <w:rPr>
          <w:sz w:val="24"/>
          <w:szCs w:val="24"/>
        </w:rPr>
      </w:pPr>
    </w:p>
    <w:p w14:paraId="4AB9F77D" w14:textId="77777777" w:rsidR="00A75091" w:rsidRPr="00CE778C" w:rsidRDefault="00A75091" w:rsidP="00CE778C">
      <w:pPr>
        <w:ind w:left="851"/>
        <w:rPr>
          <w:sz w:val="24"/>
          <w:szCs w:val="24"/>
          <w:u w:val="single"/>
        </w:rPr>
      </w:pPr>
      <w:r w:rsidRPr="00CE778C">
        <w:rPr>
          <w:sz w:val="24"/>
          <w:szCs w:val="24"/>
          <w:u w:val="single"/>
        </w:rPr>
        <w:t>Prostetiske hjerteklapper og moderat til svær mitralstenose</w:t>
      </w:r>
    </w:p>
    <w:p w14:paraId="5B5862E8" w14:textId="77777777" w:rsidR="00A75091" w:rsidRPr="00CE778C" w:rsidRDefault="00A75091" w:rsidP="00CE778C">
      <w:pPr>
        <w:ind w:left="851"/>
        <w:rPr>
          <w:sz w:val="24"/>
          <w:szCs w:val="24"/>
        </w:rPr>
      </w:pPr>
    </w:p>
    <w:p w14:paraId="68D738B8" w14:textId="66127219" w:rsidR="00A75091" w:rsidRPr="00CE778C" w:rsidRDefault="00A75091" w:rsidP="00CE778C">
      <w:pPr>
        <w:ind w:left="851"/>
        <w:rPr>
          <w:sz w:val="24"/>
          <w:szCs w:val="24"/>
        </w:rPr>
      </w:pPr>
      <w:r w:rsidRPr="00CE778C">
        <w:rPr>
          <w:sz w:val="24"/>
          <w:szCs w:val="24"/>
        </w:rPr>
        <w:t>Edoxaban er ikke blevet undersøgt hos patienter med mekaniske hjerteklapper, i løbet af de første 3 måneder efter implantation af en bioprostetisk hjerteklap, med eller uden atrieflimren eller hos patienter med moderat til svær mitralstenose. Derfor bør edoxaban ikke anvendes til disse patienter.</w:t>
      </w:r>
    </w:p>
    <w:p w14:paraId="23A7CDE7" w14:textId="185FC656" w:rsidR="001D7285" w:rsidRDefault="001D7285">
      <w:pPr>
        <w:rPr>
          <w:sz w:val="24"/>
          <w:szCs w:val="24"/>
        </w:rPr>
      </w:pPr>
      <w:r>
        <w:rPr>
          <w:sz w:val="24"/>
          <w:szCs w:val="24"/>
        </w:rPr>
        <w:br w:type="page"/>
      </w:r>
    </w:p>
    <w:p w14:paraId="2D4894C1" w14:textId="77777777" w:rsidR="00A75091" w:rsidRPr="00CE778C" w:rsidRDefault="00A75091" w:rsidP="00CE778C">
      <w:pPr>
        <w:ind w:left="851"/>
        <w:rPr>
          <w:sz w:val="24"/>
          <w:szCs w:val="24"/>
        </w:rPr>
      </w:pPr>
    </w:p>
    <w:p w14:paraId="7792CF56" w14:textId="77777777" w:rsidR="00A75091" w:rsidRPr="00CE778C" w:rsidRDefault="00A75091" w:rsidP="00CE778C">
      <w:pPr>
        <w:ind w:left="851"/>
        <w:rPr>
          <w:sz w:val="24"/>
          <w:szCs w:val="24"/>
          <w:u w:val="single"/>
        </w:rPr>
      </w:pPr>
      <w:r w:rsidRPr="00CE778C">
        <w:rPr>
          <w:sz w:val="24"/>
          <w:szCs w:val="24"/>
          <w:u w:val="single"/>
        </w:rPr>
        <w:t>Hæmodynamisk ustabile LE-patienter eller patienter, der har behov for trombolyse eller lungeembolektomi</w:t>
      </w:r>
    </w:p>
    <w:p w14:paraId="56290DD4" w14:textId="77777777" w:rsidR="00A75091" w:rsidRPr="00CE778C" w:rsidRDefault="00A75091" w:rsidP="00CE778C">
      <w:pPr>
        <w:ind w:left="851"/>
        <w:rPr>
          <w:sz w:val="24"/>
          <w:szCs w:val="24"/>
          <w:u w:val="single"/>
        </w:rPr>
      </w:pPr>
    </w:p>
    <w:p w14:paraId="4115C4F5" w14:textId="380262AF" w:rsidR="00A75091" w:rsidRPr="00CE778C" w:rsidRDefault="00A75091" w:rsidP="00CE778C">
      <w:pPr>
        <w:ind w:left="851"/>
        <w:rPr>
          <w:sz w:val="24"/>
          <w:szCs w:val="24"/>
        </w:rPr>
      </w:pPr>
      <w:r w:rsidRPr="00CE778C">
        <w:rPr>
          <w:sz w:val="24"/>
          <w:szCs w:val="24"/>
        </w:rPr>
        <w:t>Edoxaban bør ikke anvendes som alternativ til UFH hos patienter med lungeemboli, som er hæmodynamisk ustabile, eller som evt. gennemgår trombolyse eller lungeembolektomi, da edoxabans</w:t>
      </w:r>
      <w:r w:rsidR="007553F5">
        <w:rPr>
          <w:sz w:val="24"/>
          <w:szCs w:val="24"/>
        </w:rPr>
        <w:t xml:space="preserve"> </w:t>
      </w:r>
      <w:r w:rsidRPr="00CE778C">
        <w:rPr>
          <w:sz w:val="24"/>
          <w:szCs w:val="24"/>
        </w:rPr>
        <w:t>sikkerhed og virkning ikke er blevet klarlagt i disse kliniske situationer.</w:t>
      </w:r>
    </w:p>
    <w:p w14:paraId="7B31B482" w14:textId="77777777" w:rsidR="00A75091" w:rsidRPr="00CE778C" w:rsidRDefault="00A75091" w:rsidP="00CE778C">
      <w:pPr>
        <w:ind w:left="851"/>
        <w:rPr>
          <w:sz w:val="24"/>
          <w:szCs w:val="24"/>
        </w:rPr>
      </w:pPr>
    </w:p>
    <w:p w14:paraId="3CE6CE32" w14:textId="77777777" w:rsidR="00A75091" w:rsidRPr="00CE778C" w:rsidRDefault="00A75091" w:rsidP="00CE778C">
      <w:pPr>
        <w:ind w:left="851"/>
        <w:rPr>
          <w:sz w:val="24"/>
          <w:szCs w:val="24"/>
          <w:u w:val="single"/>
        </w:rPr>
      </w:pPr>
      <w:r w:rsidRPr="00CE778C">
        <w:rPr>
          <w:sz w:val="24"/>
          <w:szCs w:val="24"/>
          <w:u w:val="single"/>
        </w:rPr>
        <w:t>Patienter med aktiv cancer</w:t>
      </w:r>
    </w:p>
    <w:p w14:paraId="7D812E73" w14:textId="77777777" w:rsidR="00A75091" w:rsidRPr="00CE778C" w:rsidRDefault="00A75091" w:rsidP="00CE778C">
      <w:pPr>
        <w:ind w:left="851"/>
        <w:rPr>
          <w:sz w:val="24"/>
          <w:szCs w:val="24"/>
        </w:rPr>
      </w:pPr>
    </w:p>
    <w:p w14:paraId="5FDFED42" w14:textId="77777777" w:rsidR="00A75091" w:rsidRPr="00CE778C" w:rsidRDefault="00A75091" w:rsidP="00CE778C">
      <w:pPr>
        <w:ind w:left="851"/>
        <w:rPr>
          <w:sz w:val="24"/>
          <w:szCs w:val="24"/>
        </w:rPr>
      </w:pPr>
      <w:r w:rsidRPr="00CE778C">
        <w:rPr>
          <w:sz w:val="24"/>
          <w:szCs w:val="24"/>
        </w:rPr>
        <w:t>Edoxabans virkning og sikkerhed ved behandling og/eller forebyggelse af VTE hos patienter med aktiv cancer er ikke klarlagt.</w:t>
      </w:r>
    </w:p>
    <w:p w14:paraId="2C9DE401" w14:textId="77777777" w:rsidR="00A75091" w:rsidRPr="00CE778C" w:rsidRDefault="00A75091" w:rsidP="00CE778C">
      <w:pPr>
        <w:ind w:left="851"/>
        <w:rPr>
          <w:sz w:val="24"/>
          <w:szCs w:val="24"/>
        </w:rPr>
      </w:pPr>
    </w:p>
    <w:p w14:paraId="4040CAD6" w14:textId="77777777" w:rsidR="00A75091" w:rsidRPr="00CE778C" w:rsidRDefault="00A75091" w:rsidP="00CE778C">
      <w:pPr>
        <w:ind w:left="851"/>
        <w:rPr>
          <w:sz w:val="24"/>
          <w:szCs w:val="24"/>
          <w:u w:val="single"/>
        </w:rPr>
      </w:pPr>
      <w:r w:rsidRPr="00CE778C">
        <w:rPr>
          <w:sz w:val="24"/>
          <w:szCs w:val="24"/>
          <w:u w:val="single"/>
        </w:rPr>
        <w:t>Patienter med antifosfolipidsyndrom</w:t>
      </w:r>
    </w:p>
    <w:p w14:paraId="10B250BB" w14:textId="77777777" w:rsidR="00A75091" w:rsidRPr="00CE778C" w:rsidRDefault="00A75091" w:rsidP="00CE778C">
      <w:pPr>
        <w:ind w:left="851"/>
        <w:rPr>
          <w:sz w:val="24"/>
          <w:szCs w:val="24"/>
          <w:u w:val="single"/>
        </w:rPr>
      </w:pPr>
    </w:p>
    <w:p w14:paraId="23CFD95F" w14:textId="77777777" w:rsidR="00A75091" w:rsidRPr="00CE778C" w:rsidRDefault="00A75091" w:rsidP="00CE778C">
      <w:pPr>
        <w:ind w:left="851"/>
        <w:rPr>
          <w:sz w:val="24"/>
          <w:szCs w:val="24"/>
        </w:rPr>
      </w:pPr>
      <w:r w:rsidRPr="00CE778C">
        <w:rPr>
          <w:sz w:val="24"/>
          <w:szCs w:val="24"/>
        </w:rPr>
        <w:t>Direkte virkende orale antikoagulantia (DOAK), herunder edoxaban,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77D2D744" w14:textId="77777777" w:rsidR="00A75091" w:rsidRPr="00CE778C" w:rsidRDefault="00A75091" w:rsidP="00CE778C">
      <w:pPr>
        <w:ind w:left="851"/>
        <w:rPr>
          <w:sz w:val="24"/>
          <w:szCs w:val="24"/>
        </w:rPr>
      </w:pPr>
    </w:p>
    <w:p w14:paraId="6E995006" w14:textId="77777777" w:rsidR="00A75091" w:rsidRPr="00CE778C" w:rsidRDefault="00A75091" w:rsidP="00CE778C">
      <w:pPr>
        <w:ind w:left="851"/>
        <w:rPr>
          <w:sz w:val="24"/>
          <w:szCs w:val="24"/>
          <w:u w:val="single"/>
        </w:rPr>
      </w:pPr>
      <w:r w:rsidRPr="00CE778C">
        <w:rPr>
          <w:sz w:val="24"/>
          <w:szCs w:val="24"/>
          <w:u w:val="single"/>
        </w:rPr>
        <w:t>Koagulationsparametre i laboratoriundersøgelser</w:t>
      </w:r>
    </w:p>
    <w:p w14:paraId="0A9FEDFE" w14:textId="77777777" w:rsidR="00A75091" w:rsidRPr="00CE778C" w:rsidRDefault="00A75091" w:rsidP="00CE778C">
      <w:pPr>
        <w:ind w:left="851"/>
        <w:rPr>
          <w:sz w:val="24"/>
          <w:szCs w:val="24"/>
          <w:u w:val="single"/>
        </w:rPr>
      </w:pPr>
    </w:p>
    <w:p w14:paraId="2B72EEB2" w14:textId="623A3107" w:rsidR="00A75091" w:rsidRPr="00CE778C" w:rsidRDefault="00A75091" w:rsidP="00CE778C">
      <w:pPr>
        <w:ind w:left="851"/>
        <w:rPr>
          <w:sz w:val="24"/>
          <w:szCs w:val="24"/>
        </w:rPr>
      </w:pPr>
      <w:r w:rsidRPr="00CE778C">
        <w:rPr>
          <w:sz w:val="24"/>
          <w:szCs w:val="24"/>
        </w:rPr>
        <w:t>Selvom behandling med edoxaban ikke kræver rutinemæssige kontroller, kan virkningen på antikoagulation estimeres med en kalibreret kvantitativ anti-faktor Xa (anti-</w:t>
      </w:r>
      <w:proofErr w:type="gramStart"/>
      <w:r w:rsidRPr="00CE778C">
        <w:rPr>
          <w:sz w:val="24"/>
          <w:szCs w:val="24"/>
        </w:rPr>
        <w:t>FXa)-</w:t>
      </w:r>
      <w:proofErr w:type="gramEnd"/>
      <w:r w:rsidRPr="00CE778C">
        <w:rPr>
          <w:sz w:val="24"/>
          <w:szCs w:val="24"/>
        </w:rPr>
        <w:t>analyse, hvilket kan</w:t>
      </w:r>
      <w:r w:rsidR="007553F5">
        <w:rPr>
          <w:sz w:val="24"/>
          <w:szCs w:val="24"/>
        </w:rPr>
        <w:t xml:space="preserve"> </w:t>
      </w:r>
      <w:r w:rsidRPr="00CE778C">
        <w:rPr>
          <w:sz w:val="24"/>
          <w:szCs w:val="24"/>
        </w:rPr>
        <w:t>hjælpe med at belyse kliniske beslutninger i særlige situationer, f.eks. overdoseringer og akut kirurgi</w:t>
      </w:r>
      <w:r w:rsidR="007553F5">
        <w:rPr>
          <w:sz w:val="24"/>
          <w:szCs w:val="24"/>
        </w:rPr>
        <w:t xml:space="preserve"> </w:t>
      </w:r>
      <w:r w:rsidRPr="00CE778C">
        <w:rPr>
          <w:sz w:val="24"/>
          <w:szCs w:val="24"/>
        </w:rPr>
        <w:t>(se også pkt. 5.2).</w:t>
      </w:r>
    </w:p>
    <w:p w14:paraId="733BF994" w14:textId="77777777" w:rsidR="00A75091" w:rsidRPr="00CE778C" w:rsidRDefault="00A75091" w:rsidP="00CE778C">
      <w:pPr>
        <w:ind w:left="851"/>
        <w:rPr>
          <w:sz w:val="24"/>
          <w:szCs w:val="24"/>
        </w:rPr>
      </w:pPr>
    </w:p>
    <w:p w14:paraId="35DDE980" w14:textId="2742E495" w:rsidR="00A75091" w:rsidRPr="00CE778C" w:rsidRDefault="00A75091" w:rsidP="00CE778C">
      <w:pPr>
        <w:ind w:left="851"/>
        <w:rPr>
          <w:sz w:val="24"/>
          <w:szCs w:val="24"/>
        </w:rPr>
      </w:pPr>
      <w:r w:rsidRPr="00CE778C">
        <w:rPr>
          <w:sz w:val="24"/>
          <w:szCs w:val="24"/>
        </w:rPr>
        <w:t>Edoxaban forlænger standard størkningstests, såsom protrombintid (PT), INR og aktiveret partiel</w:t>
      </w:r>
      <w:r w:rsidR="007553F5">
        <w:rPr>
          <w:sz w:val="24"/>
          <w:szCs w:val="24"/>
        </w:rPr>
        <w:t xml:space="preserve"> </w:t>
      </w:r>
      <w:r w:rsidRPr="00CE778C">
        <w:rPr>
          <w:sz w:val="24"/>
          <w:szCs w:val="24"/>
        </w:rPr>
        <w:t>tromboplastintid (aPTT) som et resultat af faktor Xa (FXa)-hæmning. Ændringer, der observeres i disse størkningstests ved de forventede terapeutiske doser er imidlertid små, de har en høj grad af variabilitet og er ikke anvendelige til at overvåge den antikoagulerende virkning af edoxaban.</w:t>
      </w:r>
    </w:p>
    <w:p w14:paraId="544AE074" w14:textId="77777777" w:rsidR="009260DE" w:rsidRPr="00CE778C" w:rsidRDefault="009260DE" w:rsidP="009260DE">
      <w:pPr>
        <w:tabs>
          <w:tab w:val="left" w:pos="851"/>
        </w:tabs>
        <w:ind w:left="851"/>
        <w:rPr>
          <w:sz w:val="24"/>
          <w:szCs w:val="24"/>
        </w:rPr>
      </w:pPr>
    </w:p>
    <w:p w14:paraId="57919815" w14:textId="77777777" w:rsidR="009260DE" w:rsidRPr="00CE778C" w:rsidRDefault="009260DE" w:rsidP="009260DE">
      <w:pPr>
        <w:tabs>
          <w:tab w:val="left" w:pos="851"/>
        </w:tabs>
        <w:ind w:left="851" w:hanging="851"/>
        <w:rPr>
          <w:b/>
          <w:sz w:val="24"/>
          <w:szCs w:val="24"/>
        </w:rPr>
      </w:pPr>
      <w:r w:rsidRPr="00CE778C">
        <w:rPr>
          <w:b/>
          <w:sz w:val="24"/>
          <w:szCs w:val="24"/>
        </w:rPr>
        <w:t>4.5</w:t>
      </w:r>
      <w:r w:rsidRPr="00CE778C">
        <w:rPr>
          <w:b/>
          <w:sz w:val="24"/>
          <w:szCs w:val="24"/>
        </w:rPr>
        <w:tab/>
        <w:t>Interaktion med andre lægemidler og andre former for interaktion</w:t>
      </w:r>
    </w:p>
    <w:p w14:paraId="4B2E1B32" w14:textId="7DBA8437" w:rsidR="00A75091" w:rsidRPr="00CE778C" w:rsidRDefault="00A75091" w:rsidP="00CE778C">
      <w:pPr>
        <w:ind w:left="851"/>
        <w:rPr>
          <w:sz w:val="24"/>
          <w:szCs w:val="24"/>
        </w:rPr>
      </w:pPr>
      <w:r w:rsidRPr="00CE778C">
        <w:rPr>
          <w:sz w:val="24"/>
          <w:szCs w:val="24"/>
        </w:rPr>
        <w:t>Edoxaban absorberes primært i den øvre del af mave-tarm-kanalen. Derfor har lægemidler og sygdomstilstande, der øger mavetømningen og tarmmotiliteten, mulighed for at reducere opløsningen</w:t>
      </w:r>
      <w:r w:rsidR="007553F5">
        <w:rPr>
          <w:sz w:val="24"/>
          <w:szCs w:val="24"/>
        </w:rPr>
        <w:t xml:space="preserve"> </w:t>
      </w:r>
      <w:r w:rsidRPr="00CE778C">
        <w:rPr>
          <w:sz w:val="24"/>
          <w:szCs w:val="24"/>
        </w:rPr>
        <w:t>og absorptionen af edoxaban.</w:t>
      </w:r>
    </w:p>
    <w:p w14:paraId="42D635C4" w14:textId="77777777" w:rsidR="00A75091" w:rsidRPr="00CE778C" w:rsidRDefault="00A75091" w:rsidP="00CE778C">
      <w:pPr>
        <w:ind w:left="851"/>
        <w:rPr>
          <w:sz w:val="24"/>
          <w:szCs w:val="24"/>
        </w:rPr>
      </w:pPr>
    </w:p>
    <w:p w14:paraId="2ED9698F" w14:textId="77777777" w:rsidR="00A75091" w:rsidRPr="00CE778C" w:rsidRDefault="00A75091" w:rsidP="00CE778C">
      <w:pPr>
        <w:ind w:left="851"/>
        <w:rPr>
          <w:sz w:val="24"/>
          <w:szCs w:val="24"/>
          <w:u w:val="single"/>
        </w:rPr>
      </w:pPr>
      <w:r w:rsidRPr="00CE778C">
        <w:rPr>
          <w:sz w:val="24"/>
          <w:szCs w:val="24"/>
          <w:u w:val="single"/>
        </w:rPr>
        <w:t>P-gp-hæmmere</w:t>
      </w:r>
    </w:p>
    <w:p w14:paraId="65B3661E" w14:textId="77777777" w:rsidR="00A75091" w:rsidRPr="00CE778C" w:rsidRDefault="00A75091" w:rsidP="00CE778C">
      <w:pPr>
        <w:ind w:left="851"/>
        <w:rPr>
          <w:sz w:val="24"/>
          <w:szCs w:val="24"/>
          <w:u w:val="single"/>
        </w:rPr>
      </w:pPr>
    </w:p>
    <w:p w14:paraId="78EA85D8" w14:textId="0FF5F755" w:rsidR="00A75091" w:rsidRPr="00CE778C" w:rsidRDefault="00A75091" w:rsidP="00CE778C">
      <w:pPr>
        <w:ind w:left="851"/>
        <w:rPr>
          <w:sz w:val="24"/>
          <w:szCs w:val="24"/>
        </w:rPr>
      </w:pPr>
      <w:r w:rsidRPr="00CE778C">
        <w:rPr>
          <w:sz w:val="24"/>
          <w:szCs w:val="24"/>
        </w:rPr>
        <w:t>Edoxaban er et substrat for effluks-transportproteinet P-gp. I farmakokinetiske (PK) studier førte administration af edoxaban sammen med P-gp-hæmmerne ciclosporin, dronedaron, erythromycin,</w:t>
      </w:r>
      <w:r w:rsidR="007553F5">
        <w:rPr>
          <w:sz w:val="24"/>
          <w:szCs w:val="24"/>
        </w:rPr>
        <w:t xml:space="preserve"> </w:t>
      </w:r>
      <w:r w:rsidRPr="00CE778C">
        <w:rPr>
          <w:sz w:val="24"/>
          <w:szCs w:val="24"/>
        </w:rPr>
        <w:t>ketoconazol, quinidin eller verapamil til forhøjede plasmakoncentrationer af edoxaban. Anvendelse af</w:t>
      </w:r>
      <w:r w:rsidR="007553F5">
        <w:rPr>
          <w:sz w:val="24"/>
          <w:szCs w:val="24"/>
        </w:rPr>
        <w:t xml:space="preserve"> </w:t>
      </w:r>
      <w:r w:rsidRPr="00CE778C">
        <w:rPr>
          <w:sz w:val="24"/>
          <w:szCs w:val="24"/>
        </w:rPr>
        <w:t>edoxaban sammen med ciclosporin, dronedaron, erythromycin eller ketoconazol kræver en dosisreduktion til 30 mg en gang dagligt. Anvendelse af edoxaban sammen med quinidin, verapamil</w:t>
      </w:r>
      <w:r w:rsidR="007553F5">
        <w:rPr>
          <w:sz w:val="24"/>
          <w:szCs w:val="24"/>
        </w:rPr>
        <w:t xml:space="preserve"> </w:t>
      </w:r>
      <w:r w:rsidRPr="00CE778C">
        <w:rPr>
          <w:sz w:val="24"/>
          <w:szCs w:val="24"/>
        </w:rPr>
        <w:t>eller amiodaron kræver ikke en dosisreduktion, baseret på de kliniske data (se pkt. 4.2).</w:t>
      </w:r>
    </w:p>
    <w:p w14:paraId="03C14411" w14:textId="22555507" w:rsidR="00A75091" w:rsidRPr="00CE778C" w:rsidRDefault="00A75091" w:rsidP="00CE778C">
      <w:pPr>
        <w:ind w:left="851"/>
        <w:rPr>
          <w:sz w:val="24"/>
          <w:szCs w:val="24"/>
        </w:rPr>
      </w:pPr>
      <w:r w:rsidRPr="00CE778C">
        <w:rPr>
          <w:sz w:val="24"/>
          <w:szCs w:val="24"/>
        </w:rPr>
        <w:t>Anvendelse af edoxaban sammen med andre P-gp-hæmmere, herunder human immundefektvirus</w:t>
      </w:r>
      <w:r w:rsidR="007553F5">
        <w:rPr>
          <w:sz w:val="24"/>
          <w:szCs w:val="24"/>
        </w:rPr>
        <w:t xml:space="preserve"> </w:t>
      </w:r>
      <w:r w:rsidRPr="00CE778C">
        <w:rPr>
          <w:sz w:val="24"/>
          <w:szCs w:val="24"/>
        </w:rPr>
        <w:t>(hiv)-proteasehæmmere, er ikke undersøgt.</w:t>
      </w:r>
    </w:p>
    <w:p w14:paraId="285CEBC9" w14:textId="77777777" w:rsidR="00A75091" w:rsidRPr="00CE778C" w:rsidRDefault="00A75091" w:rsidP="00CE778C">
      <w:pPr>
        <w:ind w:left="851"/>
        <w:rPr>
          <w:sz w:val="24"/>
          <w:szCs w:val="24"/>
        </w:rPr>
      </w:pPr>
    </w:p>
    <w:p w14:paraId="0FCE4CEC" w14:textId="77777777" w:rsidR="00A75091" w:rsidRPr="00CE778C" w:rsidRDefault="00A75091" w:rsidP="00CE778C">
      <w:pPr>
        <w:ind w:left="851"/>
        <w:rPr>
          <w:sz w:val="24"/>
          <w:szCs w:val="24"/>
        </w:rPr>
      </w:pPr>
      <w:r w:rsidRPr="00CE778C">
        <w:rPr>
          <w:sz w:val="24"/>
          <w:szCs w:val="24"/>
        </w:rPr>
        <w:t>Edoxaban 30 mg en gang dagligt skal administreres ved samtidig anvendelse af følgende P-gphæmmere:</w:t>
      </w:r>
    </w:p>
    <w:p w14:paraId="7869B779" w14:textId="77777777" w:rsidR="00A75091" w:rsidRPr="007553F5" w:rsidRDefault="00A75091" w:rsidP="007553F5">
      <w:pPr>
        <w:pStyle w:val="Listeafsnit"/>
        <w:numPr>
          <w:ilvl w:val="0"/>
          <w:numId w:val="22"/>
        </w:numPr>
        <w:ind w:left="1276" w:hanging="425"/>
      </w:pPr>
      <w:r w:rsidRPr="007553F5">
        <w:rPr>
          <w:i/>
          <w:iCs/>
        </w:rPr>
        <w:t xml:space="preserve">Ciclosporin: </w:t>
      </w:r>
      <w:r w:rsidRPr="007553F5">
        <w:t>Administration af en enkelt dosis ciclosporin 500 mg sammen med en enkelt dosis edoxaban 60 mg forhøjede AUC og maksimal serumkoncentration (C</w:t>
      </w:r>
      <w:r w:rsidRPr="007553F5">
        <w:rPr>
          <w:vertAlign w:val="subscript"/>
        </w:rPr>
        <w:t>max</w:t>
      </w:r>
      <w:r w:rsidRPr="007553F5">
        <w:t>) for edoxaban med hhv. 73 % og 74 %.</w:t>
      </w:r>
    </w:p>
    <w:p w14:paraId="0AB09093" w14:textId="77777777" w:rsidR="00A75091" w:rsidRPr="007553F5" w:rsidRDefault="00A75091" w:rsidP="007553F5">
      <w:pPr>
        <w:pStyle w:val="Listeafsnit"/>
        <w:numPr>
          <w:ilvl w:val="0"/>
          <w:numId w:val="22"/>
        </w:numPr>
        <w:ind w:left="1276" w:hanging="425"/>
      </w:pPr>
      <w:r w:rsidRPr="007553F5">
        <w:rPr>
          <w:i/>
          <w:iCs/>
        </w:rPr>
        <w:t xml:space="preserve">Dronedaron: </w:t>
      </w:r>
      <w:r w:rsidRPr="007553F5">
        <w:t>Dronedaron 400 mg to gange dagligt i 7 dage sammen med en enkelt samtidig dosis edoxaban 60 mg på dag 5 forhøjede AUC og C</w:t>
      </w:r>
      <w:r w:rsidRPr="007553F5">
        <w:rPr>
          <w:vertAlign w:val="subscript"/>
        </w:rPr>
        <w:t>max</w:t>
      </w:r>
      <w:r w:rsidRPr="007553F5">
        <w:t xml:space="preserve"> for edoxaban med hhv. 85 % og 46 %.</w:t>
      </w:r>
    </w:p>
    <w:p w14:paraId="32A7155F" w14:textId="77777777" w:rsidR="00A75091" w:rsidRPr="007553F5" w:rsidRDefault="00A75091" w:rsidP="007553F5">
      <w:pPr>
        <w:pStyle w:val="Listeafsnit"/>
        <w:numPr>
          <w:ilvl w:val="0"/>
          <w:numId w:val="22"/>
        </w:numPr>
        <w:ind w:left="1276" w:hanging="425"/>
      </w:pPr>
      <w:r w:rsidRPr="007553F5">
        <w:rPr>
          <w:i/>
          <w:iCs/>
        </w:rPr>
        <w:t xml:space="preserve">Erythromycin: </w:t>
      </w:r>
      <w:r w:rsidRPr="007553F5">
        <w:t>Erythromycin 500 mg fire gange dagligt i 8 dage sammen med en enkelt samtidig dosis edoxaban 60 mg på dag 7 forhøjede AUC og C</w:t>
      </w:r>
      <w:r w:rsidRPr="007553F5">
        <w:rPr>
          <w:vertAlign w:val="subscript"/>
        </w:rPr>
        <w:t>max</w:t>
      </w:r>
      <w:r w:rsidRPr="007553F5">
        <w:t xml:space="preserve"> for edoxaban med hhv. 85 % og 68 %.</w:t>
      </w:r>
    </w:p>
    <w:p w14:paraId="4EEB994E" w14:textId="77777777" w:rsidR="00A75091" w:rsidRPr="007553F5" w:rsidRDefault="00A75091" w:rsidP="007553F5">
      <w:pPr>
        <w:pStyle w:val="Listeafsnit"/>
        <w:numPr>
          <w:ilvl w:val="0"/>
          <w:numId w:val="22"/>
        </w:numPr>
        <w:ind w:left="1276" w:hanging="425"/>
      </w:pPr>
      <w:r w:rsidRPr="007553F5">
        <w:rPr>
          <w:i/>
          <w:iCs/>
        </w:rPr>
        <w:t xml:space="preserve">Ketoconazol: </w:t>
      </w:r>
      <w:r w:rsidRPr="007553F5">
        <w:t>Ketoconazol 400 mg en gang dagligt i 7 dage sammen med en enkelt samtidig dosis edoxaban 60 mg på dag 4 forhøjede AUC og C</w:t>
      </w:r>
      <w:r w:rsidRPr="007553F5">
        <w:rPr>
          <w:vertAlign w:val="subscript"/>
        </w:rPr>
        <w:t>max</w:t>
      </w:r>
      <w:r w:rsidRPr="007553F5">
        <w:t xml:space="preserve"> for edoxaban med hhv. 87 % og 89 %.</w:t>
      </w:r>
    </w:p>
    <w:p w14:paraId="3F651D3A" w14:textId="77777777" w:rsidR="00A75091" w:rsidRPr="00CE778C" w:rsidRDefault="00A75091" w:rsidP="00CE778C">
      <w:pPr>
        <w:ind w:left="851"/>
        <w:rPr>
          <w:sz w:val="24"/>
          <w:szCs w:val="24"/>
        </w:rPr>
      </w:pPr>
    </w:p>
    <w:p w14:paraId="251F1662" w14:textId="77777777" w:rsidR="00A75091" w:rsidRPr="00CE778C" w:rsidRDefault="00A75091" w:rsidP="00CE778C">
      <w:pPr>
        <w:ind w:left="851"/>
        <w:rPr>
          <w:sz w:val="24"/>
          <w:szCs w:val="24"/>
        </w:rPr>
      </w:pPr>
      <w:r w:rsidRPr="00CE778C">
        <w:rPr>
          <w:sz w:val="24"/>
          <w:szCs w:val="24"/>
        </w:rPr>
        <w:t>Edoxaban 60 mg en gang dagligt bør administreres ved samtidig anvendelse af følgende P-gphæmmere:</w:t>
      </w:r>
    </w:p>
    <w:p w14:paraId="34AA7F0D" w14:textId="77777777" w:rsidR="00A75091" w:rsidRPr="007553F5" w:rsidRDefault="00A75091" w:rsidP="007553F5">
      <w:pPr>
        <w:pStyle w:val="Listeafsnit"/>
        <w:numPr>
          <w:ilvl w:val="0"/>
          <w:numId w:val="23"/>
        </w:numPr>
        <w:ind w:left="1276" w:hanging="425"/>
      </w:pPr>
      <w:r w:rsidRPr="007553F5">
        <w:rPr>
          <w:i/>
          <w:iCs/>
        </w:rPr>
        <w:t xml:space="preserve">Quinidin: </w:t>
      </w:r>
      <w:r w:rsidRPr="007553F5">
        <w:t>Quinidin 300 mg en gang dagligt på dag 1 og 4, og tre gange dagligt på dag 2 og 3, med en enkelt samtidig dosis edoxaban 60 mg på dag 3 forhøjede i løbet af 24 timer hhv. AUC for edoxaban med 77 % og C</w:t>
      </w:r>
      <w:r w:rsidRPr="007553F5">
        <w:rPr>
          <w:vertAlign w:val="subscript"/>
        </w:rPr>
        <w:t>max</w:t>
      </w:r>
      <w:r w:rsidRPr="007553F5">
        <w:t xml:space="preserve"> for edoxaban med 85 %.</w:t>
      </w:r>
    </w:p>
    <w:p w14:paraId="0BD8DA36" w14:textId="77777777" w:rsidR="00A75091" w:rsidRPr="007553F5" w:rsidRDefault="00A75091" w:rsidP="007553F5">
      <w:pPr>
        <w:pStyle w:val="Listeafsnit"/>
        <w:numPr>
          <w:ilvl w:val="0"/>
          <w:numId w:val="23"/>
        </w:numPr>
        <w:ind w:left="1276" w:hanging="425"/>
      </w:pPr>
      <w:r w:rsidRPr="007553F5">
        <w:rPr>
          <w:i/>
          <w:iCs/>
        </w:rPr>
        <w:t xml:space="preserve">Verapamil: </w:t>
      </w:r>
      <w:r w:rsidRPr="007553F5">
        <w:t>Verapamil 240 mg en gang dagligt i 11 dage sammen med en enkelt samtidig dosis edoxaban 60 mg på dag 10 forhøjede AUC og C</w:t>
      </w:r>
      <w:r w:rsidRPr="007553F5">
        <w:rPr>
          <w:vertAlign w:val="subscript"/>
        </w:rPr>
        <w:t>max</w:t>
      </w:r>
      <w:r w:rsidRPr="007553F5">
        <w:t xml:space="preserve"> for edoxaban med ca. 53 %.</w:t>
      </w:r>
    </w:p>
    <w:p w14:paraId="1937FDD8" w14:textId="4A1B1B18" w:rsidR="00A75091" w:rsidRPr="007553F5" w:rsidRDefault="00A75091" w:rsidP="007553F5">
      <w:pPr>
        <w:pStyle w:val="Listeafsnit"/>
        <w:numPr>
          <w:ilvl w:val="0"/>
          <w:numId w:val="23"/>
        </w:numPr>
        <w:ind w:left="1276" w:hanging="425"/>
      </w:pPr>
      <w:r w:rsidRPr="007553F5">
        <w:rPr>
          <w:i/>
          <w:iCs/>
        </w:rPr>
        <w:t xml:space="preserve">Amiodaron: </w:t>
      </w:r>
      <w:r w:rsidRPr="007553F5">
        <w:t>Samtidig administration af amiodaron 400 mg en gang dagligt og edoxaban 60 mg en gang dagligt øgede AUC med 40 % og C</w:t>
      </w:r>
      <w:r w:rsidRPr="007553F5">
        <w:rPr>
          <w:vertAlign w:val="subscript"/>
        </w:rPr>
        <w:t>max</w:t>
      </w:r>
      <w:r w:rsidRPr="007553F5">
        <w:t xml:space="preserve"> med 66 %. Dette blev ikke anset for at være klinisk signifikant. I ENGAGE AF-TIMI 48-studiet af NVAF var resultaterne for virkning og sikkerhed sammenlignelige for personer med og uden samtidig anvendelse af amiodaron.</w:t>
      </w:r>
    </w:p>
    <w:p w14:paraId="1412121A" w14:textId="08CD6151" w:rsidR="00A75091" w:rsidRPr="007553F5" w:rsidRDefault="00A75091" w:rsidP="007553F5">
      <w:pPr>
        <w:pStyle w:val="Listeafsnit"/>
        <w:numPr>
          <w:ilvl w:val="0"/>
          <w:numId w:val="23"/>
        </w:numPr>
        <w:ind w:left="1276" w:hanging="425"/>
      </w:pPr>
      <w:r w:rsidRPr="007553F5">
        <w:rPr>
          <w:i/>
          <w:iCs/>
        </w:rPr>
        <w:t xml:space="preserve">Clarithromycin: </w:t>
      </w:r>
      <w:r w:rsidRPr="007553F5">
        <w:t>Clarithromycin 500 mg to gange dagligt i 10 dage sammen med en enkelt samtidig dosis edoxaban 60 mg på dag 9 øgede edoxabans AUC og C</w:t>
      </w:r>
      <w:r w:rsidRPr="007553F5">
        <w:rPr>
          <w:vertAlign w:val="subscript"/>
        </w:rPr>
        <w:t>max</w:t>
      </w:r>
      <w:r w:rsidRPr="007553F5">
        <w:t xml:space="preserve"> med henholdsvis ca. 53 % og 27 %.</w:t>
      </w:r>
    </w:p>
    <w:p w14:paraId="144D1FA1" w14:textId="77777777" w:rsidR="00A75091" w:rsidRPr="00CE778C" w:rsidRDefault="00A75091" w:rsidP="00CE778C">
      <w:pPr>
        <w:ind w:left="851"/>
        <w:rPr>
          <w:sz w:val="24"/>
          <w:szCs w:val="24"/>
        </w:rPr>
      </w:pPr>
    </w:p>
    <w:p w14:paraId="6DC30F18" w14:textId="77777777" w:rsidR="00A75091" w:rsidRPr="00CE778C" w:rsidRDefault="00A75091" w:rsidP="00CE778C">
      <w:pPr>
        <w:ind w:left="851"/>
        <w:rPr>
          <w:sz w:val="24"/>
          <w:szCs w:val="24"/>
          <w:u w:val="single"/>
        </w:rPr>
      </w:pPr>
      <w:r w:rsidRPr="00CE778C">
        <w:rPr>
          <w:sz w:val="24"/>
          <w:szCs w:val="24"/>
          <w:u w:val="single"/>
        </w:rPr>
        <w:t>P-gp-induktorer</w:t>
      </w:r>
    </w:p>
    <w:p w14:paraId="6F2700FB" w14:textId="77777777" w:rsidR="00A75091" w:rsidRPr="00CE778C" w:rsidRDefault="00A75091" w:rsidP="00CE778C">
      <w:pPr>
        <w:ind w:left="851"/>
        <w:rPr>
          <w:sz w:val="24"/>
          <w:szCs w:val="24"/>
        </w:rPr>
      </w:pPr>
    </w:p>
    <w:p w14:paraId="7388635D" w14:textId="1A2242B7" w:rsidR="00A75091" w:rsidRPr="00CE778C" w:rsidRDefault="00A75091" w:rsidP="00CE778C">
      <w:pPr>
        <w:ind w:left="851"/>
        <w:rPr>
          <w:sz w:val="24"/>
          <w:szCs w:val="24"/>
        </w:rPr>
      </w:pPr>
      <w:r w:rsidRPr="00CE778C">
        <w:rPr>
          <w:sz w:val="24"/>
          <w:szCs w:val="24"/>
        </w:rPr>
        <w:t>Samtidig administration af edoxaban og P-gp-induktoren rifampicin medførte et fald i den gennemsnitlige AUC for edoxaban og en kortere halveringstid, med mulige fald i farmakodynamisk</w:t>
      </w:r>
      <w:r w:rsidR="007553F5">
        <w:rPr>
          <w:sz w:val="24"/>
          <w:szCs w:val="24"/>
        </w:rPr>
        <w:t xml:space="preserve"> </w:t>
      </w:r>
      <w:r w:rsidRPr="00CE778C">
        <w:rPr>
          <w:sz w:val="24"/>
          <w:szCs w:val="24"/>
        </w:rPr>
        <w:t>virkning. Samtidig brug af edoxaban og andre P-gp-induktorer (f.eks. phenytoin, carbamazepin,</w:t>
      </w:r>
      <w:r w:rsidR="007553F5">
        <w:rPr>
          <w:sz w:val="24"/>
          <w:szCs w:val="24"/>
        </w:rPr>
        <w:t xml:space="preserve"> </w:t>
      </w:r>
      <w:r w:rsidRPr="00CE778C">
        <w:rPr>
          <w:sz w:val="24"/>
          <w:szCs w:val="24"/>
        </w:rPr>
        <w:t>phenobarbital eller prikbladet perikon) kan medføre et fald i edoxabans plasmakoncentrationer.</w:t>
      </w:r>
    </w:p>
    <w:p w14:paraId="5258E497" w14:textId="77777777" w:rsidR="00A75091" w:rsidRPr="00CE778C" w:rsidRDefault="00A75091" w:rsidP="00CE778C">
      <w:pPr>
        <w:ind w:left="851"/>
        <w:rPr>
          <w:sz w:val="24"/>
          <w:szCs w:val="24"/>
        </w:rPr>
      </w:pPr>
      <w:r w:rsidRPr="00CE778C">
        <w:rPr>
          <w:sz w:val="24"/>
          <w:szCs w:val="24"/>
        </w:rPr>
        <w:t>Edoxaban bør anvendes med forsigtighed ved administration sammen med P-gp-induktorer.</w:t>
      </w:r>
    </w:p>
    <w:p w14:paraId="37464DCC" w14:textId="77777777" w:rsidR="00A75091" w:rsidRPr="00CE778C" w:rsidRDefault="00A75091" w:rsidP="00CE778C">
      <w:pPr>
        <w:ind w:left="851"/>
        <w:rPr>
          <w:sz w:val="24"/>
          <w:szCs w:val="24"/>
        </w:rPr>
      </w:pPr>
    </w:p>
    <w:p w14:paraId="1F2355E4" w14:textId="77777777" w:rsidR="00A75091" w:rsidRPr="00CE778C" w:rsidRDefault="00A75091" w:rsidP="00CE778C">
      <w:pPr>
        <w:ind w:left="851"/>
        <w:rPr>
          <w:sz w:val="24"/>
          <w:szCs w:val="24"/>
          <w:u w:val="single"/>
        </w:rPr>
      </w:pPr>
      <w:r w:rsidRPr="00CE778C">
        <w:rPr>
          <w:sz w:val="24"/>
          <w:szCs w:val="24"/>
          <w:u w:val="single"/>
        </w:rPr>
        <w:t>P-gp-substrater</w:t>
      </w:r>
    </w:p>
    <w:p w14:paraId="29A2C9F2" w14:textId="77777777" w:rsidR="00A75091" w:rsidRPr="00CE778C" w:rsidRDefault="00A75091" w:rsidP="00CE778C">
      <w:pPr>
        <w:ind w:left="851"/>
        <w:rPr>
          <w:i/>
          <w:iCs/>
          <w:sz w:val="24"/>
          <w:szCs w:val="24"/>
        </w:rPr>
      </w:pPr>
    </w:p>
    <w:p w14:paraId="1A1A1398" w14:textId="7B6EB8A1" w:rsidR="00A75091" w:rsidRPr="00CE778C" w:rsidRDefault="00A75091" w:rsidP="00CE778C">
      <w:pPr>
        <w:ind w:left="851"/>
        <w:rPr>
          <w:sz w:val="24"/>
          <w:szCs w:val="24"/>
        </w:rPr>
      </w:pPr>
      <w:r w:rsidRPr="00CE778C">
        <w:rPr>
          <w:i/>
          <w:iCs/>
          <w:sz w:val="24"/>
          <w:szCs w:val="24"/>
        </w:rPr>
        <w:t xml:space="preserve">Digoxin: </w:t>
      </w:r>
      <w:r w:rsidRPr="00CE778C">
        <w:rPr>
          <w:sz w:val="24"/>
          <w:szCs w:val="24"/>
        </w:rPr>
        <w:t>Edoxaban 60 mg en gang dagligt på dag 1 til 14 med samtidig administration af flere daglige doser digoxin 0,25 mg to gange dagligt (dag 8 og 9) og 0,25 mg en gang dagligt (dag 10 til 14) forhøjede</w:t>
      </w:r>
      <w:r w:rsidR="007553F5">
        <w:rPr>
          <w:sz w:val="24"/>
          <w:szCs w:val="24"/>
        </w:rPr>
        <w:t xml:space="preserve"> </w:t>
      </w:r>
      <w:r w:rsidRPr="00CE778C">
        <w:rPr>
          <w:sz w:val="24"/>
          <w:szCs w:val="24"/>
        </w:rPr>
        <w:t>C</w:t>
      </w:r>
      <w:r w:rsidRPr="00CE778C">
        <w:rPr>
          <w:sz w:val="24"/>
          <w:szCs w:val="24"/>
          <w:vertAlign w:val="subscript"/>
        </w:rPr>
        <w:t>max</w:t>
      </w:r>
      <w:r w:rsidRPr="00CE778C">
        <w:rPr>
          <w:sz w:val="24"/>
          <w:szCs w:val="24"/>
        </w:rPr>
        <w:t xml:space="preserve"> for edoxaban med 17 % uden nogen signifikant virkning på AUC eller nyreclearance ved steady-state. Da virkningerne af edoxaban på farmakokinetikken for digoxin også blev undersøgt, var C</w:t>
      </w:r>
      <w:r w:rsidRPr="00CE778C">
        <w:rPr>
          <w:sz w:val="24"/>
          <w:szCs w:val="24"/>
          <w:vertAlign w:val="subscript"/>
        </w:rPr>
        <w:t>max</w:t>
      </w:r>
      <w:r w:rsidRPr="00CE778C">
        <w:rPr>
          <w:sz w:val="24"/>
          <w:szCs w:val="24"/>
        </w:rPr>
        <w:t xml:space="preserve"> for digoxin forhøjet med ca. </w:t>
      </w:r>
      <w:r w:rsidRPr="00CE778C">
        <w:rPr>
          <w:sz w:val="24"/>
          <w:szCs w:val="24"/>
        </w:rPr>
        <w:lastRenderedPageBreak/>
        <w:t>28 % og AUC med 7 %. Dette blev ikke anset for klinisk relevant. Ingen dosismodifikation er nødvendig, når edoxaban administreres sammen med digoxin.</w:t>
      </w:r>
    </w:p>
    <w:p w14:paraId="756E64EA" w14:textId="77777777" w:rsidR="00A75091" w:rsidRPr="00CE778C" w:rsidRDefault="00A75091" w:rsidP="00CE778C">
      <w:pPr>
        <w:ind w:left="851"/>
        <w:rPr>
          <w:sz w:val="24"/>
          <w:szCs w:val="24"/>
        </w:rPr>
      </w:pPr>
    </w:p>
    <w:p w14:paraId="272255C7" w14:textId="77777777" w:rsidR="00A75091" w:rsidRPr="00CE778C" w:rsidRDefault="00A75091" w:rsidP="00CE778C">
      <w:pPr>
        <w:ind w:left="851"/>
        <w:rPr>
          <w:sz w:val="24"/>
          <w:szCs w:val="24"/>
          <w:u w:val="single"/>
        </w:rPr>
      </w:pPr>
      <w:r w:rsidRPr="00CE778C">
        <w:rPr>
          <w:sz w:val="24"/>
          <w:szCs w:val="24"/>
          <w:u w:val="single"/>
        </w:rPr>
        <w:t>Antikoagulantia, antitrombotiske midler, NSAID'er og SSRI'er/SNRI'er</w:t>
      </w:r>
    </w:p>
    <w:p w14:paraId="6B417501" w14:textId="77777777" w:rsidR="00A75091" w:rsidRPr="00CE778C" w:rsidRDefault="00A75091" w:rsidP="00CE778C">
      <w:pPr>
        <w:ind w:left="851"/>
        <w:rPr>
          <w:i/>
          <w:iCs/>
          <w:sz w:val="24"/>
          <w:szCs w:val="24"/>
        </w:rPr>
      </w:pPr>
    </w:p>
    <w:p w14:paraId="49328CAB" w14:textId="77777777" w:rsidR="00A75091" w:rsidRPr="00CE778C" w:rsidRDefault="00A75091" w:rsidP="00CE778C">
      <w:pPr>
        <w:ind w:left="851"/>
        <w:rPr>
          <w:i/>
          <w:iCs/>
          <w:sz w:val="24"/>
          <w:szCs w:val="24"/>
        </w:rPr>
      </w:pPr>
      <w:r w:rsidRPr="00CE778C">
        <w:rPr>
          <w:i/>
          <w:iCs/>
          <w:sz w:val="24"/>
          <w:szCs w:val="24"/>
        </w:rPr>
        <w:t>Antikoagulantia</w:t>
      </w:r>
    </w:p>
    <w:p w14:paraId="69C0ABF9" w14:textId="69025D4A" w:rsidR="00A75091" w:rsidRPr="00CE778C" w:rsidRDefault="00A75091" w:rsidP="00CE778C">
      <w:pPr>
        <w:ind w:left="851"/>
        <w:rPr>
          <w:sz w:val="24"/>
          <w:szCs w:val="24"/>
        </w:rPr>
      </w:pPr>
      <w:r w:rsidRPr="00CE778C">
        <w:rPr>
          <w:sz w:val="24"/>
          <w:szCs w:val="24"/>
        </w:rPr>
        <w:t>Administration af edoxaban sammen med andre antikoagulantia er kontraindiceret på grund af den</w:t>
      </w:r>
      <w:r w:rsidR="007553F5">
        <w:rPr>
          <w:sz w:val="24"/>
          <w:szCs w:val="24"/>
        </w:rPr>
        <w:t xml:space="preserve"> </w:t>
      </w:r>
      <w:r w:rsidRPr="00CE778C">
        <w:rPr>
          <w:sz w:val="24"/>
          <w:szCs w:val="24"/>
        </w:rPr>
        <w:t>forhøjede blødningsrisiko (se pkt. 4.3).</w:t>
      </w:r>
    </w:p>
    <w:p w14:paraId="1F9250A4" w14:textId="77777777" w:rsidR="00A75091" w:rsidRPr="00CE778C" w:rsidRDefault="00A75091" w:rsidP="00CE778C">
      <w:pPr>
        <w:ind w:left="851"/>
        <w:rPr>
          <w:i/>
          <w:iCs/>
          <w:sz w:val="24"/>
          <w:szCs w:val="24"/>
        </w:rPr>
      </w:pPr>
    </w:p>
    <w:p w14:paraId="4B2C6D9B" w14:textId="77777777" w:rsidR="00A75091" w:rsidRPr="00CE778C" w:rsidRDefault="00A75091" w:rsidP="00CE778C">
      <w:pPr>
        <w:ind w:left="851"/>
        <w:rPr>
          <w:i/>
          <w:iCs/>
          <w:sz w:val="24"/>
          <w:szCs w:val="24"/>
        </w:rPr>
      </w:pPr>
      <w:r w:rsidRPr="00CE778C">
        <w:rPr>
          <w:i/>
          <w:iCs/>
          <w:sz w:val="24"/>
          <w:szCs w:val="24"/>
        </w:rPr>
        <w:t>ASA</w:t>
      </w:r>
    </w:p>
    <w:p w14:paraId="0275BED6" w14:textId="77777777" w:rsidR="00A75091" w:rsidRPr="00CE778C" w:rsidRDefault="00A75091" w:rsidP="00CE778C">
      <w:pPr>
        <w:ind w:left="851"/>
        <w:rPr>
          <w:sz w:val="24"/>
          <w:szCs w:val="24"/>
        </w:rPr>
      </w:pPr>
      <w:r w:rsidRPr="00CE778C">
        <w:rPr>
          <w:sz w:val="24"/>
          <w:szCs w:val="24"/>
        </w:rPr>
        <w:t>Administration af ASA (100 mg eller 325 mg) sammen med edoxaban forøgede blødningstiden i forhold til administration af begge lægemidler hver for sig. Administration af ASA i høj dosis (325 mg) forhøjede steady-state C</w:t>
      </w:r>
      <w:r w:rsidRPr="00CE778C">
        <w:rPr>
          <w:sz w:val="24"/>
          <w:szCs w:val="24"/>
          <w:vertAlign w:val="subscript"/>
        </w:rPr>
        <w:t>max</w:t>
      </w:r>
      <w:r w:rsidRPr="00CE778C">
        <w:rPr>
          <w:sz w:val="24"/>
          <w:szCs w:val="24"/>
        </w:rPr>
        <w:t xml:space="preserve"> og AUC for edoxaban med hhv. 35 % og 32 %. Kronisk anvendelse af ASA i høj dosis (325 mg) sammen med edoxaban anbefales ikke. Samtidig administration af højere doser end 100 mg ASA bør kun udføres under medicinsk overvågning.</w:t>
      </w:r>
    </w:p>
    <w:p w14:paraId="7A26BDF4" w14:textId="77777777" w:rsidR="00A75091" w:rsidRPr="00CE778C" w:rsidRDefault="00A75091" w:rsidP="00CE778C">
      <w:pPr>
        <w:ind w:left="851"/>
        <w:rPr>
          <w:sz w:val="24"/>
          <w:szCs w:val="24"/>
        </w:rPr>
      </w:pPr>
    </w:p>
    <w:p w14:paraId="5A6B5432" w14:textId="1B0C1A2D" w:rsidR="00A75091" w:rsidRPr="00CE778C" w:rsidRDefault="00A75091" w:rsidP="00CE778C">
      <w:pPr>
        <w:ind w:left="851"/>
        <w:rPr>
          <w:sz w:val="24"/>
          <w:szCs w:val="24"/>
        </w:rPr>
      </w:pPr>
      <w:r w:rsidRPr="00CE778C">
        <w:rPr>
          <w:sz w:val="24"/>
          <w:szCs w:val="24"/>
        </w:rPr>
        <w:t>I kliniske studier var anvendelse af ASA (i lav dosis, ≤ 100 mg/dag) sammen med andre antitrombolytiske midler og thienopyridiner tilladt og førte til en ca. dobbelt så stor forhøjelse af svære</w:t>
      </w:r>
      <w:r w:rsidR="007553F5">
        <w:rPr>
          <w:sz w:val="24"/>
          <w:szCs w:val="24"/>
        </w:rPr>
        <w:t xml:space="preserve"> </w:t>
      </w:r>
      <w:r w:rsidRPr="00CE778C">
        <w:rPr>
          <w:sz w:val="24"/>
          <w:szCs w:val="24"/>
        </w:rPr>
        <w:t>blødninger sammenlignet med ingen samtidig anvendelse, men i samme grad i grupperne med edoxaban og warfarin (se pkt. 4.4). Administration af ASA i lav dosis (≤ 100 mg) påvirkede ikke den maksimale eller totale eksponering for edoxaban hverken efter en enkelt dosis eller ved steady-state.</w:t>
      </w:r>
    </w:p>
    <w:p w14:paraId="6289F819" w14:textId="77777777" w:rsidR="00A75091" w:rsidRPr="00CE778C" w:rsidRDefault="00A75091" w:rsidP="00CE778C">
      <w:pPr>
        <w:ind w:left="851"/>
        <w:rPr>
          <w:sz w:val="24"/>
          <w:szCs w:val="24"/>
        </w:rPr>
      </w:pPr>
      <w:r w:rsidRPr="00CE778C">
        <w:rPr>
          <w:sz w:val="24"/>
          <w:szCs w:val="24"/>
        </w:rPr>
        <w:t>Edoxaban kan administreres sammen med en lav dosis ASA (≤ 100 mg/dag).</w:t>
      </w:r>
    </w:p>
    <w:p w14:paraId="61FFD389" w14:textId="77777777" w:rsidR="00A75091" w:rsidRPr="00CE778C" w:rsidRDefault="00A75091" w:rsidP="00CE778C">
      <w:pPr>
        <w:ind w:left="851"/>
        <w:rPr>
          <w:i/>
          <w:iCs/>
          <w:sz w:val="24"/>
          <w:szCs w:val="24"/>
        </w:rPr>
      </w:pPr>
    </w:p>
    <w:p w14:paraId="2E6323A9" w14:textId="77777777" w:rsidR="00A75091" w:rsidRPr="00CE778C" w:rsidRDefault="00A75091" w:rsidP="00CE778C">
      <w:pPr>
        <w:ind w:left="851"/>
        <w:rPr>
          <w:i/>
          <w:iCs/>
          <w:sz w:val="24"/>
          <w:szCs w:val="24"/>
        </w:rPr>
      </w:pPr>
      <w:r w:rsidRPr="00CE778C">
        <w:rPr>
          <w:i/>
          <w:iCs/>
          <w:sz w:val="24"/>
          <w:szCs w:val="24"/>
        </w:rPr>
        <w:t>Trombocythæmmere</w:t>
      </w:r>
    </w:p>
    <w:p w14:paraId="2C5BCBA9" w14:textId="77777777" w:rsidR="00A75091" w:rsidRPr="00CE778C" w:rsidRDefault="00A75091" w:rsidP="00CE778C">
      <w:pPr>
        <w:ind w:left="851"/>
        <w:rPr>
          <w:sz w:val="24"/>
          <w:szCs w:val="24"/>
        </w:rPr>
      </w:pPr>
      <w:r w:rsidRPr="00CE778C">
        <w:rPr>
          <w:sz w:val="24"/>
          <w:szCs w:val="24"/>
        </w:rPr>
        <w:t>I ENGAGE AF-TIMI 48 var samtidig anvendelse af monoterapi med thienopyridiner (f.eks. clopidogrel) tilladt og førte til klinisk relevante blødninger, selvom der var en lavere blødningsrisiko med edoxaban sammenlignet med warfarin (se pkt. 4.4).</w:t>
      </w:r>
    </w:p>
    <w:p w14:paraId="58A0CDE3" w14:textId="77777777" w:rsidR="00A75091" w:rsidRPr="00CE778C" w:rsidRDefault="00A75091" w:rsidP="00CE778C">
      <w:pPr>
        <w:ind w:left="851"/>
        <w:rPr>
          <w:sz w:val="24"/>
          <w:szCs w:val="24"/>
        </w:rPr>
      </w:pPr>
    </w:p>
    <w:p w14:paraId="2C075FD9" w14:textId="77777777" w:rsidR="00A75091" w:rsidRPr="00CE778C" w:rsidRDefault="00A75091" w:rsidP="00CE778C">
      <w:pPr>
        <w:ind w:left="851"/>
        <w:rPr>
          <w:sz w:val="24"/>
          <w:szCs w:val="24"/>
        </w:rPr>
      </w:pPr>
      <w:r w:rsidRPr="00CE778C">
        <w:rPr>
          <w:sz w:val="24"/>
          <w:szCs w:val="24"/>
        </w:rPr>
        <w:t>Der er meget begrænset erfaring med anvendelse af edoxaban med dobbelt antitrombolytisk behandling eller fibronolytiske midler.</w:t>
      </w:r>
    </w:p>
    <w:p w14:paraId="31F4CE44" w14:textId="77777777" w:rsidR="00A75091" w:rsidRPr="00CE778C" w:rsidRDefault="00A75091" w:rsidP="00CE778C">
      <w:pPr>
        <w:ind w:left="851"/>
        <w:rPr>
          <w:sz w:val="24"/>
          <w:szCs w:val="24"/>
        </w:rPr>
      </w:pPr>
    </w:p>
    <w:p w14:paraId="1799D6A8" w14:textId="77777777" w:rsidR="00A75091" w:rsidRPr="00CE778C" w:rsidRDefault="00A75091" w:rsidP="00CE778C">
      <w:pPr>
        <w:ind w:left="851"/>
        <w:rPr>
          <w:i/>
          <w:iCs/>
          <w:sz w:val="24"/>
          <w:szCs w:val="24"/>
        </w:rPr>
      </w:pPr>
      <w:r w:rsidRPr="00CE778C">
        <w:rPr>
          <w:i/>
          <w:iCs/>
          <w:sz w:val="24"/>
          <w:szCs w:val="24"/>
        </w:rPr>
        <w:t>NSAID'er</w:t>
      </w:r>
    </w:p>
    <w:p w14:paraId="03CC973E" w14:textId="77777777" w:rsidR="00A75091" w:rsidRPr="00CE778C" w:rsidRDefault="00A75091" w:rsidP="00CE778C">
      <w:pPr>
        <w:ind w:left="851"/>
        <w:rPr>
          <w:sz w:val="24"/>
          <w:szCs w:val="24"/>
        </w:rPr>
      </w:pPr>
      <w:r w:rsidRPr="00CE778C">
        <w:rPr>
          <w:sz w:val="24"/>
          <w:szCs w:val="24"/>
        </w:rPr>
        <w:t>Administration af naproxen sammen med edoxaban forøgede blødningstiden i forhold til administration af begge lægemidler hver for sig. Naproxen havde ingen virkning på C</w:t>
      </w:r>
      <w:r w:rsidRPr="00CE778C">
        <w:rPr>
          <w:sz w:val="24"/>
          <w:szCs w:val="24"/>
          <w:vertAlign w:val="subscript"/>
        </w:rPr>
        <w:t>max</w:t>
      </w:r>
      <w:r w:rsidRPr="00CE778C">
        <w:rPr>
          <w:sz w:val="24"/>
          <w:szCs w:val="24"/>
        </w:rPr>
        <w:t xml:space="preserve"> og AUC for edoxaban. I kliniske studier førte samtidig administration af NSAID'er til flere klinisk relevante blødninger. Kronisk anvendelse af NSAID'er sammen med edoxaban anbefales ikke.</w:t>
      </w:r>
    </w:p>
    <w:p w14:paraId="5AD2DF71" w14:textId="77777777" w:rsidR="00A75091" w:rsidRPr="00CE778C" w:rsidRDefault="00A75091" w:rsidP="00CE778C">
      <w:pPr>
        <w:ind w:left="851"/>
        <w:rPr>
          <w:i/>
          <w:iCs/>
          <w:sz w:val="24"/>
          <w:szCs w:val="24"/>
        </w:rPr>
      </w:pPr>
    </w:p>
    <w:p w14:paraId="66D2DB8C" w14:textId="77777777" w:rsidR="00A75091" w:rsidRPr="00CE778C" w:rsidRDefault="00A75091" w:rsidP="00CE778C">
      <w:pPr>
        <w:ind w:left="851"/>
        <w:rPr>
          <w:i/>
          <w:iCs/>
          <w:sz w:val="24"/>
          <w:szCs w:val="24"/>
        </w:rPr>
      </w:pPr>
      <w:r w:rsidRPr="00CE778C">
        <w:rPr>
          <w:i/>
          <w:iCs/>
          <w:sz w:val="24"/>
          <w:szCs w:val="24"/>
        </w:rPr>
        <w:t>SSRI'er/SNRI'er</w:t>
      </w:r>
    </w:p>
    <w:p w14:paraId="4C766A0A" w14:textId="66364181" w:rsidR="00A75091" w:rsidRPr="00CE778C" w:rsidRDefault="00A75091" w:rsidP="00CE778C">
      <w:pPr>
        <w:ind w:left="851"/>
        <w:rPr>
          <w:sz w:val="24"/>
          <w:szCs w:val="24"/>
        </w:rPr>
      </w:pPr>
      <w:r w:rsidRPr="00CE778C">
        <w:rPr>
          <w:sz w:val="24"/>
          <w:szCs w:val="24"/>
        </w:rPr>
        <w:t>Ligesom med andre antikoagulantia er der en risiko for, at patienter har en øget risiko for blødning ved</w:t>
      </w:r>
      <w:r w:rsidR="007553F5">
        <w:rPr>
          <w:sz w:val="24"/>
          <w:szCs w:val="24"/>
        </w:rPr>
        <w:t xml:space="preserve"> </w:t>
      </w:r>
      <w:r w:rsidRPr="00CE778C">
        <w:rPr>
          <w:sz w:val="24"/>
          <w:szCs w:val="24"/>
        </w:rPr>
        <w:t>anvendelse sammen med SSRI'er eller SNRI'er på grund af disses indberettede virkning på trombocytter (se pkt. 4.4).</w:t>
      </w:r>
    </w:p>
    <w:p w14:paraId="75CED16E" w14:textId="77777777" w:rsidR="00A75091" w:rsidRPr="00CE778C" w:rsidRDefault="00A75091" w:rsidP="00CE778C">
      <w:pPr>
        <w:ind w:left="851"/>
        <w:rPr>
          <w:sz w:val="24"/>
          <w:szCs w:val="24"/>
        </w:rPr>
      </w:pPr>
    </w:p>
    <w:p w14:paraId="1A4553F6" w14:textId="77777777" w:rsidR="00A75091" w:rsidRPr="00CE778C" w:rsidRDefault="00A75091" w:rsidP="00CE778C">
      <w:pPr>
        <w:ind w:left="851"/>
        <w:rPr>
          <w:sz w:val="24"/>
          <w:szCs w:val="24"/>
          <w:u w:val="single"/>
        </w:rPr>
      </w:pPr>
      <w:r w:rsidRPr="00CE778C">
        <w:rPr>
          <w:sz w:val="24"/>
          <w:szCs w:val="24"/>
          <w:u w:val="single"/>
        </w:rPr>
        <w:t>Virkningen af edoxaban på andre lægemidler</w:t>
      </w:r>
    </w:p>
    <w:p w14:paraId="70B2C687" w14:textId="77777777" w:rsidR="00A75091" w:rsidRPr="00CE778C" w:rsidRDefault="00A75091" w:rsidP="00CE778C">
      <w:pPr>
        <w:ind w:left="851"/>
        <w:rPr>
          <w:sz w:val="24"/>
          <w:szCs w:val="24"/>
        </w:rPr>
      </w:pPr>
    </w:p>
    <w:p w14:paraId="157711CC" w14:textId="77777777" w:rsidR="00A75091" w:rsidRPr="00CE778C" w:rsidRDefault="00A75091" w:rsidP="00CE778C">
      <w:pPr>
        <w:ind w:left="851"/>
        <w:rPr>
          <w:sz w:val="24"/>
          <w:szCs w:val="24"/>
        </w:rPr>
      </w:pPr>
      <w:r w:rsidRPr="00CE778C">
        <w:rPr>
          <w:sz w:val="24"/>
          <w:szCs w:val="24"/>
        </w:rPr>
        <w:t>Edoxaban forhøjede C</w:t>
      </w:r>
      <w:r w:rsidRPr="00CE778C">
        <w:rPr>
          <w:sz w:val="24"/>
          <w:szCs w:val="24"/>
          <w:vertAlign w:val="subscript"/>
        </w:rPr>
        <w:t>max</w:t>
      </w:r>
      <w:r w:rsidRPr="00CE778C">
        <w:rPr>
          <w:sz w:val="24"/>
          <w:szCs w:val="24"/>
        </w:rPr>
        <w:t xml:space="preserve"> for samtidigt administreret digoxin med 28 %. AUC var imidlertid ikke påvirket. Edoxaban havde ingen virkning på C</w:t>
      </w:r>
      <w:r w:rsidRPr="00CE778C">
        <w:rPr>
          <w:sz w:val="24"/>
          <w:szCs w:val="24"/>
          <w:vertAlign w:val="subscript"/>
        </w:rPr>
        <w:t>max</w:t>
      </w:r>
      <w:r w:rsidRPr="00CE778C">
        <w:rPr>
          <w:sz w:val="24"/>
          <w:szCs w:val="24"/>
        </w:rPr>
        <w:t xml:space="preserve"> og AUC for quinidin.</w:t>
      </w:r>
    </w:p>
    <w:p w14:paraId="13F27031" w14:textId="77777777" w:rsidR="00A75091" w:rsidRPr="00CE778C" w:rsidRDefault="00A75091" w:rsidP="00CE778C">
      <w:pPr>
        <w:ind w:left="851"/>
        <w:rPr>
          <w:sz w:val="24"/>
          <w:szCs w:val="24"/>
        </w:rPr>
      </w:pPr>
    </w:p>
    <w:p w14:paraId="56C6BA4D" w14:textId="77777777" w:rsidR="00A75091" w:rsidRPr="00CE778C" w:rsidRDefault="00A75091" w:rsidP="00CE778C">
      <w:pPr>
        <w:ind w:left="851"/>
        <w:rPr>
          <w:sz w:val="24"/>
          <w:szCs w:val="24"/>
        </w:rPr>
      </w:pPr>
      <w:r w:rsidRPr="00CE778C">
        <w:rPr>
          <w:sz w:val="24"/>
          <w:szCs w:val="24"/>
        </w:rPr>
        <w:lastRenderedPageBreak/>
        <w:t>Edoxaban reducerede C</w:t>
      </w:r>
      <w:r w:rsidRPr="00CE778C">
        <w:rPr>
          <w:sz w:val="24"/>
          <w:szCs w:val="24"/>
          <w:vertAlign w:val="subscript"/>
        </w:rPr>
        <w:t>max</w:t>
      </w:r>
      <w:r w:rsidRPr="00CE778C">
        <w:rPr>
          <w:sz w:val="24"/>
          <w:szCs w:val="24"/>
        </w:rPr>
        <w:t xml:space="preserve"> og AUC for samtidigt administreret verapamil med hhv. 14 % og 16 %.</w:t>
      </w:r>
    </w:p>
    <w:p w14:paraId="7847D1A1" w14:textId="77777777" w:rsidR="009260DE" w:rsidRPr="00CE778C" w:rsidRDefault="009260DE" w:rsidP="009260DE">
      <w:pPr>
        <w:tabs>
          <w:tab w:val="left" w:pos="851"/>
        </w:tabs>
        <w:ind w:left="851"/>
        <w:rPr>
          <w:sz w:val="24"/>
          <w:szCs w:val="24"/>
        </w:rPr>
      </w:pPr>
    </w:p>
    <w:p w14:paraId="764214F5" w14:textId="77777777" w:rsidR="009260DE" w:rsidRPr="00CE778C" w:rsidRDefault="009260DE" w:rsidP="009260DE">
      <w:pPr>
        <w:tabs>
          <w:tab w:val="left" w:pos="851"/>
        </w:tabs>
        <w:ind w:left="851" w:hanging="851"/>
        <w:rPr>
          <w:b/>
          <w:sz w:val="24"/>
          <w:szCs w:val="24"/>
        </w:rPr>
      </w:pPr>
      <w:r w:rsidRPr="00CE778C">
        <w:rPr>
          <w:b/>
          <w:sz w:val="24"/>
          <w:szCs w:val="24"/>
        </w:rPr>
        <w:t>4.6</w:t>
      </w:r>
      <w:r w:rsidRPr="00CE778C">
        <w:rPr>
          <w:b/>
          <w:sz w:val="24"/>
          <w:szCs w:val="24"/>
        </w:rPr>
        <w:tab/>
      </w:r>
      <w:r w:rsidR="0071241E" w:rsidRPr="00CE778C">
        <w:rPr>
          <w:b/>
          <w:sz w:val="24"/>
          <w:szCs w:val="24"/>
        </w:rPr>
        <w:t>Fertilitet, g</w:t>
      </w:r>
      <w:r w:rsidRPr="00CE778C">
        <w:rPr>
          <w:b/>
          <w:sz w:val="24"/>
          <w:szCs w:val="24"/>
        </w:rPr>
        <w:t>raviditet og amning</w:t>
      </w:r>
    </w:p>
    <w:p w14:paraId="0B259FD9" w14:textId="77777777" w:rsidR="007553F5" w:rsidRDefault="007553F5" w:rsidP="00CE778C">
      <w:pPr>
        <w:ind w:left="851"/>
        <w:rPr>
          <w:sz w:val="24"/>
          <w:szCs w:val="24"/>
        </w:rPr>
      </w:pPr>
    </w:p>
    <w:p w14:paraId="555E521A" w14:textId="4A7BD19F" w:rsidR="00A75091" w:rsidRPr="007553F5" w:rsidRDefault="00A75091" w:rsidP="00CE778C">
      <w:pPr>
        <w:ind w:left="851"/>
        <w:rPr>
          <w:sz w:val="24"/>
          <w:szCs w:val="24"/>
          <w:u w:val="single"/>
          <w:lang w:eastAsia="da-DK"/>
        </w:rPr>
      </w:pPr>
      <w:r w:rsidRPr="007553F5">
        <w:rPr>
          <w:sz w:val="24"/>
          <w:szCs w:val="24"/>
          <w:u w:val="single"/>
        </w:rPr>
        <w:t>Kvinder i den fertile alder</w:t>
      </w:r>
    </w:p>
    <w:p w14:paraId="1E809739" w14:textId="77777777" w:rsidR="00A75091" w:rsidRPr="00CE778C" w:rsidRDefault="00A75091" w:rsidP="00CE778C">
      <w:pPr>
        <w:ind w:left="851"/>
        <w:rPr>
          <w:sz w:val="24"/>
          <w:szCs w:val="24"/>
        </w:rPr>
      </w:pPr>
    </w:p>
    <w:p w14:paraId="46362F23" w14:textId="77777777" w:rsidR="00A75091" w:rsidRPr="00CE778C" w:rsidRDefault="00A75091" w:rsidP="00CE778C">
      <w:pPr>
        <w:ind w:left="851"/>
        <w:rPr>
          <w:sz w:val="24"/>
          <w:szCs w:val="24"/>
        </w:rPr>
      </w:pPr>
      <w:r w:rsidRPr="00CE778C">
        <w:rPr>
          <w:sz w:val="24"/>
          <w:szCs w:val="24"/>
        </w:rPr>
        <w:t>Kvinder i den fertile alder skal undgå at blive gravide under behandling med edoxaban.</w:t>
      </w:r>
    </w:p>
    <w:p w14:paraId="27BB2BDB" w14:textId="77777777" w:rsidR="00A75091" w:rsidRPr="00CE778C" w:rsidRDefault="00A75091" w:rsidP="00CE778C">
      <w:pPr>
        <w:ind w:left="851"/>
        <w:rPr>
          <w:sz w:val="24"/>
          <w:szCs w:val="24"/>
        </w:rPr>
      </w:pPr>
    </w:p>
    <w:p w14:paraId="528E37BD" w14:textId="77777777" w:rsidR="00A75091" w:rsidRPr="007553F5" w:rsidRDefault="00A75091" w:rsidP="00CE778C">
      <w:pPr>
        <w:ind w:left="851"/>
        <w:rPr>
          <w:sz w:val="24"/>
          <w:szCs w:val="24"/>
          <w:u w:val="single"/>
        </w:rPr>
      </w:pPr>
      <w:r w:rsidRPr="007553F5">
        <w:rPr>
          <w:sz w:val="24"/>
          <w:szCs w:val="24"/>
          <w:u w:val="single"/>
        </w:rPr>
        <w:t>Graviditet</w:t>
      </w:r>
    </w:p>
    <w:p w14:paraId="34FD3CEE" w14:textId="77777777" w:rsidR="00A75091" w:rsidRPr="00CE778C" w:rsidRDefault="00A75091" w:rsidP="00CE778C">
      <w:pPr>
        <w:ind w:left="851"/>
        <w:rPr>
          <w:sz w:val="24"/>
          <w:szCs w:val="24"/>
        </w:rPr>
      </w:pPr>
    </w:p>
    <w:p w14:paraId="63BC9B2A" w14:textId="532B9B85" w:rsidR="00A75091" w:rsidRPr="00CE778C" w:rsidRDefault="00A75091" w:rsidP="00CE778C">
      <w:pPr>
        <w:ind w:left="851"/>
        <w:rPr>
          <w:sz w:val="24"/>
          <w:szCs w:val="24"/>
        </w:rPr>
      </w:pPr>
      <w:r w:rsidRPr="00CE778C">
        <w:rPr>
          <w:sz w:val="24"/>
          <w:szCs w:val="24"/>
        </w:rPr>
        <w:t>Edoxabans sikkerhed og virkning er ikke klarlagt hos gravide kvinder. Dyreforsøg har påvist</w:t>
      </w:r>
      <w:r w:rsidR="007553F5">
        <w:rPr>
          <w:sz w:val="24"/>
          <w:szCs w:val="24"/>
        </w:rPr>
        <w:t xml:space="preserve"> </w:t>
      </w:r>
      <w:r w:rsidRPr="00CE778C">
        <w:rPr>
          <w:sz w:val="24"/>
          <w:szCs w:val="24"/>
        </w:rPr>
        <w:t>reproduktionstoksicitet (se pkt. 5.3). På grund af den mulige reproduktionstoksicitet, den intrinsiske</w:t>
      </w:r>
      <w:r w:rsidR="007553F5">
        <w:rPr>
          <w:sz w:val="24"/>
          <w:szCs w:val="24"/>
        </w:rPr>
        <w:t xml:space="preserve"> </w:t>
      </w:r>
      <w:r w:rsidRPr="00CE778C">
        <w:rPr>
          <w:sz w:val="24"/>
          <w:szCs w:val="24"/>
        </w:rPr>
        <w:t xml:space="preserve">blødningsrisiko og beviset for, at edoxaban krydser placenta, er Edoxaban </w:t>
      </w:r>
      <w:r w:rsidR="00BC493D">
        <w:rPr>
          <w:sz w:val="24"/>
          <w:szCs w:val="24"/>
        </w:rPr>
        <w:t>"</w:t>
      </w:r>
      <w:r w:rsidRPr="00CE778C">
        <w:rPr>
          <w:sz w:val="24"/>
          <w:szCs w:val="24"/>
        </w:rPr>
        <w:t>Zentiva</w:t>
      </w:r>
      <w:r w:rsidR="00BC493D">
        <w:rPr>
          <w:sz w:val="24"/>
          <w:szCs w:val="24"/>
        </w:rPr>
        <w:t>"</w:t>
      </w:r>
      <w:r w:rsidRPr="00CE778C">
        <w:rPr>
          <w:sz w:val="24"/>
          <w:szCs w:val="24"/>
        </w:rPr>
        <w:t xml:space="preserve"> kontraindiceret under graviditeten (se pkt. 4.3).</w:t>
      </w:r>
    </w:p>
    <w:p w14:paraId="5599899A" w14:textId="77777777" w:rsidR="00A75091" w:rsidRPr="00CE778C" w:rsidRDefault="00A75091" w:rsidP="00CE778C">
      <w:pPr>
        <w:ind w:left="851"/>
        <w:rPr>
          <w:sz w:val="24"/>
          <w:szCs w:val="24"/>
        </w:rPr>
      </w:pPr>
    </w:p>
    <w:p w14:paraId="7E40C6A3" w14:textId="77777777" w:rsidR="00A75091" w:rsidRPr="007553F5" w:rsidRDefault="00A75091" w:rsidP="00CE778C">
      <w:pPr>
        <w:ind w:left="851"/>
        <w:rPr>
          <w:sz w:val="24"/>
          <w:szCs w:val="24"/>
          <w:u w:val="single"/>
        </w:rPr>
      </w:pPr>
      <w:r w:rsidRPr="007553F5">
        <w:rPr>
          <w:sz w:val="24"/>
          <w:szCs w:val="24"/>
          <w:u w:val="single"/>
        </w:rPr>
        <w:t>Amning</w:t>
      </w:r>
    </w:p>
    <w:p w14:paraId="1611586C" w14:textId="77777777" w:rsidR="00A75091" w:rsidRPr="00CE778C" w:rsidRDefault="00A75091" w:rsidP="00CE778C">
      <w:pPr>
        <w:ind w:left="851"/>
        <w:rPr>
          <w:sz w:val="24"/>
          <w:szCs w:val="24"/>
        </w:rPr>
      </w:pPr>
    </w:p>
    <w:p w14:paraId="0ACAA722" w14:textId="7AC3E3C1" w:rsidR="00A75091" w:rsidRPr="00CE778C" w:rsidRDefault="00A75091" w:rsidP="00CE778C">
      <w:pPr>
        <w:ind w:left="851"/>
        <w:rPr>
          <w:sz w:val="24"/>
          <w:szCs w:val="24"/>
        </w:rPr>
      </w:pPr>
      <w:r w:rsidRPr="00CE778C">
        <w:rPr>
          <w:sz w:val="24"/>
          <w:szCs w:val="24"/>
        </w:rPr>
        <w:t xml:space="preserve">Edoxabans sikkerhed og virkning er ikke klarlagt hos ammende kvinder. Data fra dyreforsøg indikerer, at edoxaban udskilles i modermælk. Derfor er Edoxaban </w:t>
      </w:r>
      <w:r w:rsidR="00BC493D">
        <w:rPr>
          <w:sz w:val="24"/>
          <w:szCs w:val="24"/>
        </w:rPr>
        <w:t>"</w:t>
      </w:r>
      <w:r w:rsidRPr="00CE778C">
        <w:rPr>
          <w:sz w:val="24"/>
          <w:szCs w:val="24"/>
        </w:rPr>
        <w:t>Zentiva</w:t>
      </w:r>
      <w:r w:rsidR="00BC493D">
        <w:rPr>
          <w:sz w:val="24"/>
          <w:szCs w:val="24"/>
        </w:rPr>
        <w:t>"</w:t>
      </w:r>
      <w:r w:rsidRPr="00CE778C">
        <w:rPr>
          <w:sz w:val="24"/>
          <w:szCs w:val="24"/>
        </w:rPr>
        <w:t xml:space="preserve"> kontraindiceret til ammende kvinder</w:t>
      </w:r>
      <w:r w:rsidR="007553F5">
        <w:rPr>
          <w:sz w:val="24"/>
          <w:szCs w:val="24"/>
        </w:rPr>
        <w:t xml:space="preserve"> </w:t>
      </w:r>
      <w:r w:rsidRPr="00CE778C">
        <w:rPr>
          <w:sz w:val="24"/>
          <w:szCs w:val="24"/>
        </w:rPr>
        <w:t>(se pkt. 4.3). Det skal besluttes, om amning skal ophøre eller behandling seponeres.</w:t>
      </w:r>
    </w:p>
    <w:p w14:paraId="1B7A7E79" w14:textId="77777777" w:rsidR="00A75091" w:rsidRPr="00CE778C" w:rsidRDefault="00A75091" w:rsidP="00CE778C">
      <w:pPr>
        <w:ind w:left="851"/>
        <w:rPr>
          <w:sz w:val="24"/>
          <w:szCs w:val="24"/>
        </w:rPr>
      </w:pPr>
    </w:p>
    <w:p w14:paraId="4552A77F" w14:textId="77777777" w:rsidR="00A75091" w:rsidRPr="007553F5" w:rsidRDefault="00A75091" w:rsidP="00CE778C">
      <w:pPr>
        <w:ind w:left="851"/>
        <w:rPr>
          <w:sz w:val="24"/>
          <w:szCs w:val="24"/>
          <w:u w:val="single"/>
        </w:rPr>
      </w:pPr>
      <w:r w:rsidRPr="007553F5">
        <w:rPr>
          <w:sz w:val="24"/>
          <w:szCs w:val="24"/>
          <w:u w:val="single"/>
        </w:rPr>
        <w:t>Fertilitet</w:t>
      </w:r>
    </w:p>
    <w:p w14:paraId="0EF08E2E" w14:textId="77777777" w:rsidR="00A75091" w:rsidRPr="00CE778C" w:rsidRDefault="00A75091" w:rsidP="00CE778C">
      <w:pPr>
        <w:ind w:left="851"/>
        <w:rPr>
          <w:sz w:val="24"/>
          <w:szCs w:val="24"/>
        </w:rPr>
      </w:pPr>
    </w:p>
    <w:p w14:paraId="3D8B226C" w14:textId="4A4B148C" w:rsidR="00A75091" w:rsidRPr="00CE778C" w:rsidRDefault="00A75091" w:rsidP="00CE778C">
      <w:pPr>
        <w:ind w:left="851"/>
        <w:rPr>
          <w:sz w:val="24"/>
          <w:szCs w:val="24"/>
        </w:rPr>
      </w:pPr>
      <w:r w:rsidRPr="00CE778C">
        <w:rPr>
          <w:sz w:val="24"/>
          <w:szCs w:val="24"/>
        </w:rPr>
        <w:t>Der er ikke udført specifikke studier med edoxaban hos mennesker for at evaluere virkningerne på fertilitet. I et studie af fertiliteten hos han- og hunrotter blev der ikke observeret nogen virkning (se pkt. 5.3).</w:t>
      </w:r>
    </w:p>
    <w:p w14:paraId="688A1950" w14:textId="77777777" w:rsidR="009260DE" w:rsidRPr="00CE778C" w:rsidRDefault="009260DE" w:rsidP="009260DE">
      <w:pPr>
        <w:tabs>
          <w:tab w:val="left" w:pos="851"/>
        </w:tabs>
        <w:ind w:left="851"/>
        <w:rPr>
          <w:sz w:val="24"/>
          <w:szCs w:val="24"/>
        </w:rPr>
      </w:pPr>
    </w:p>
    <w:p w14:paraId="14FA0B99" w14:textId="77777777" w:rsidR="009260DE" w:rsidRPr="00CE778C" w:rsidRDefault="009260DE" w:rsidP="009260DE">
      <w:pPr>
        <w:tabs>
          <w:tab w:val="left" w:pos="851"/>
        </w:tabs>
        <w:ind w:left="851" w:hanging="851"/>
        <w:rPr>
          <w:b/>
          <w:sz w:val="24"/>
          <w:szCs w:val="24"/>
        </w:rPr>
      </w:pPr>
      <w:r w:rsidRPr="00CE778C">
        <w:rPr>
          <w:b/>
          <w:sz w:val="24"/>
          <w:szCs w:val="24"/>
        </w:rPr>
        <w:t>4.7</w:t>
      </w:r>
      <w:r w:rsidRPr="00CE778C">
        <w:rPr>
          <w:b/>
          <w:sz w:val="24"/>
          <w:szCs w:val="24"/>
        </w:rPr>
        <w:tab/>
        <w:t xml:space="preserve">Virkning på evnen til at føre motorkøretøj </w:t>
      </w:r>
      <w:r w:rsidR="0071241E" w:rsidRPr="00CE778C">
        <w:rPr>
          <w:b/>
          <w:sz w:val="24"/>
          <w:szCs w:val="24"/>
        </w:rPr>
        <w:t>og</w:t>
      </w:r>
      <w:r w:rsidRPr="00CE778C">
        <w:rPr>
          <w:b/>
          <w:sz w:val="24"/>
          <w:szCs w:val="24"/>
        </w:rPr>
        <w:t xml:space="preserve"> betjene maskiner</w:t>
      </w:r>
    </w:p>
    <w:p w14:paraId="7F426259" w14:textId="77777777" w:rsidR="00A75091" w:rsidRPr="00CE778C" w:rsidRDefault="00A75091" w:rsidP="00CE778C">
      <w:pPr>
        <w:ind w:left="851"/>
        <w:rPr>
          <w:sz w:val="24"/>
          <w:szCs w:val="24"/>
        </w:rPr>
      </w:pPr>
      <w:r w:rsidRPr="00CE778C">
        <w:rPr>
          <w:sz w:val="24"/>
          <w:szCs w:val="24"/>
        </w:rPr>
        <w:t>Ikke mærkning.</w:t>
      </w:r>
    </w:p>
    <w:p w14:paraId="30C3FB7A" w14:textId="130A7D61" w:rsidR="00A75091" w:rsidRPr="00CE778C" w:rsidRDefault="00A75091" w:rsidP="00CE778C">
      <w:pPr>
        <w:ind w:left="851"/>
        <w:rPr>
          <w:sz w:val="24"/>
          <w:szCs w:val="24"/>
        </w:rPr>
      </w:pPr>
      <w:r w:rsidRPr="00CE778C">
        <w:rPr>
          <w:sz w:val="24"/>
          <w:szCs w:val="24"/>
        </w:rPr>
        <w:t xml:space="preserve">Edoxaban </w:t>
      </w:r>
      <w:r w:rsidR="00BC493D">
        <w:rPr>
          <w:sz w:val="24"/>
          <w:szCs w:val="24"/>
        </w:rPr>
        <w:t>"</w:t>
      </w:r>
      <w:r w:rsidRPr="00CE778C">
        <w:rPr>
          <w:sz w:val="24"/>
          <w:szCs w:val="24"/>
        </w:rPr>
        <w:t>Zentiva</w:t>
      </w:r>
      <w:r w:rsidR="00BC493D">
        <w:rPr>
          <w:sz w:val="24"/>
          <w:szCs w:val="24"/>
        </w:rPr>
        <w:t>"</w:t>
      </w:r>
      <w:r w:rsidRPr="00CE778C">
        <w:rPr>
          <w:sz w:val="24"/>
          <w:szCs w:val="24"/>
        </w:rPr>
        <w:t xml:space="preserve"> påvirker ikke eller kun i ubetydelig grad evnen til at føre motorkøretøj og betjene maskiner.</w:t>
      </w:r>
    </w:p>
    <w:p w14:paraId="0BEA4800" w14:textId="77777777" w:rsidR="009260DE" w:rsidRPr="00CE778C" w:rsidRDefault="009260DE" w:rsidP="009260DE">
      <w:pPr>
        <w:tabs>
          <w:tab w:val="left" w:pos="851"/>
        </w:tabs>
        <w:ind w:left="851"/>
        <w:rPr>
          <w:sz w:val="24"/>
          <w:szCs w:val="24"/>
        </w:rPr>
      </w:pPr>
    </w:p>
    <w:p w14:paraId="35D8D4E2" w14:textId="77777777" w:rsidR="009260DE" w:rsidRPr="00CE778C" w:rsidRDefault="009260DE" w:rsidP="009260DE">
      <w:pPr>
        <w:tabs>
          <w:tab w:val="left" w:pos="851"/>
        </w:tabs>
        <w:ind w:left="851" w:hanging="851"/>
        <w:rPr>
          <w:b/>
          <w:sz w:val="24"/>
          <w:szCs w:val="24"/>
        </w:rPr>
      </w:pPr>
      <w:r w:rsidRPr="00CE778C">
        <w:rPr>
          <w:b/>
          <w:sz w:val="24"/>
          <w:szCs w:val="24"/>
        </w:rPr>
        <w:t>4.8</w:t>
      </w:r>
      <w:r w:rsidRPr="00CE778C">
        <w:rPr>
          <w:b/>
          <w:sz w:val="24"/>
          <w:szCs w:val="24"/>
        </w:rPr>
        <w:tab/>
        <w:t>Bivirkninger</w:t>
      </w:r>
    </w:p>
    <w:p w14:paraId="1F1E7D26" w14:textId="77777777" w:rsidR="00A75091" w:rsidRPr="00CE778C" w:rsidRDefault="00A75091" w:rsidP="00CE778C">
      <w:pPr>
        <w:ind w:left="851"/>
        <w:rPr>
          <w:sz w:val="24"/>
          <w:szCs w:val="24"/>
        </w:rPr>
      </w:pPr>
    </w:p>
    <w:p w14:paraId="6FB3D6D2" w14:textId="77777777" w:rsidR="00A75091" w:rsidRPr="00CE778C" w:rsidRDefault="00A75091" w:rsidP="00CE778C">
      <w:pPr>
        <w:ind w:left="851"/>
        <w:rPr>
          <w:sz w:val="24"/>
          <w:szCs w:val="24"/>
          <w:u w:val="single"/>
        </w:rPr>
      </w:pPr>
      <w:r w:rsidRPr="00CE778C">
        <w:rPr>
          <w:sz w:val="24"/>
          <w:szCs w:val="24"/>
          <w:u w:val="single"/>
        </w:rPr>
        <w:t>Sammenfatning af sikkerhedsprofilen</w:t>
      </w:r>
    </w:p>
    <w:p w14:paraId="61452315" w14:textId="3D601554" w:rsidR="00A75091" w:rsidRPr="00CE778C" w:rsidRDefault="00A75091" w:rsidP="00CE778C">
      <w:pPr>
        <w:ind w:left="851"/>
        <w:rPr>
          <w:sz w:val="24"/>
          <w:szCs w:val="24"/>
        </w:rPr>
      </w:pPr>
      <w:r w:rsidRPr="00CE778C">
        <w:rPr>
          <w:sz w:val="24"/>
          <w:szCs w:val="24"/>
        </w:rPr>
        <w:t>Edoxabans sikkerhedsprofil er baseret på to fase III-studier (21.105 patienter med NVAF og 8.292 patienter med VTE (DVT og LE)) og på erfaringer efter markedsføring.</w:t>
      </w:r>
    </w:p>
    <w:p w14:paraId="345FD2F1" w14:textId="77777777" w:rsidR="00A75091" w:rsidRPr="00CE778C" w:rsidRDefault="00A75091" w:rsidP="00CE778C">
      <w:pPr>
        <w:ind w:left="851"/>
        <w:rPr>
          <w:sz w:val="24"/>
          <w:szCs w:val="24"/>
        </w:rPr>
      </w:pPr>
    </w:p>
    <w:p w14:paraId="5B2C3A1F" w14:textId="2A1F1986" w:rsidR="00A75091" w:rsidRPr="00CE778C" w:rsidRDefault="00A75091" w:rsidP="00CE778C">
      <w:pPr>
        <w:ind w:left="851"/>
        <w:rPr>
          <w:sz w:val="24"/>
          <w:szCs w:val="24"/>
        </w:rPr>
      </w:pPr>
      <w:r w:rsidRPr="00CE778C">
        <w:rPr>
          <w:sz w:val="24"/>
          <w:szCs w:val="24"/>
        </w:rPr>
        <w:t>De mest almindeligt indberettede bivirkninger i forbindelse med behandling med edoxaban er epistaxis (7,7 %), hæmaturi (6,9 %) og anæmi (5,3 %).</w:t>
      </w:r>
    </w:p>
    <w:p w14:paraId="4ABE978B" w14:textId="77777777" w:rsidR="00A75091" w:rsidRPr="00CE778C" w:rsidRDefault="00A75091" w:rsidP="00CE778C">
      <w:pPr>
        <w:ind w:left="851"/>
        <w:rPr>
          <w:sz w:val="24"/>
          <w:szCs w:val="24"/>
        </w:rPr>
      </w:pPr>
    </w:p>
    <w:p w14:paraId="0CC89900" w14:textId="77777777" w:rsidR="00A75091" w:rsidRPr="00CE778C" w:rsidRDefault="00A75091" w:rsidP="00CE778C">
      <w:pPr>
        <w:ind w:left="851"/>
        <w:rPr>
          <w:sz w:val="24"/>
          <w:szCs w:val="24"/>
        </w:rPr>
      </w:pPr>
      <w:r w:rsidRPr="00CE778C">
        <w:rPr>
          <w:sz w:val="24"/>
          <w:szCs w:val="24"/>
        </w:rPr>
        <w:t>Blødninger kan forekomme alle steder og kan være svære og endda dødelige (se pkt. 4.4).</w:t>
      </w:r>
    </w:p>
    <w:p w14:paraId="06A23EE4" w14:textId="77777777" w:rsidR="00A75091" w:rsidRPr="00CE778C" w:rsidRDefault="00A75091" w:rsidP="00CE778C">
      <w:pPr>
        <w:ind w:left="851"/>
        <w:rPr>
          <w:sz w:val="24"/>
          <w:szCs w:val="24"/>
        </w:rPr>
      </w:pPr>
    </w:p>
    <w:p w14:paraId="1953528C" w14:textId="77777777" w:rsidR="00A75091" w:rsidRPr="00CE778C" w:rsidRDefault="00A75091" w:rsidP="00CE778C">
      <w:pPr>
        <w:ind w:left="851"/>
        <w:rPr>
          <w:sz w:val="24"/>
          <w:szCs w:val="24"/>
          <w:u w:val="single"/>
        </w:rPr>
      </w:pPr>
      <w:r w:rsidRPr="00CE778C">
        <w:rPr>
          <w:sz w:val="24"/>
          <w:szCs w:val="24"/>
          <w:u w:val="single"/>
        </w:rPr>
        <w:t>Skema over bivirkninger</w:t>
      </w:r>
    </w:p>
    <w:p w14:paraId="2C9294A9" w14:textId="77777777" w:rsidR="00A75091" w:rsidRPr="00CE778C" w:rsidRDefault="00A75091" w:rsidP="00CE778C">
      <w:pPr>
        <w:ind w:left="851"/>
        <w:rPr>
          <w:sz w:val="24"/>
          <w:szCs w:val="24"/>
        </w:rPr>
      </w:pPr>
    </w:p>
    <w:p w14:paraId="41CEE111" w14:textId="05E97269" w:rsidR="00A75091" w:rsidRPr="00CE778C" w:rsidRDefault="00A75091" w:rsidP="00CE778C">
      <w:pPr>
        <w:ind w:left="851"/>
        <w:rPr>
          <w:sz w:val="24"/>
          <w:szCs w:val="24"/>
        </w:rPr>
      </w:pPr>
      <w:r w:rsidRPr="00CE778C">
        <w:rPr>
          <w:sz w:val="24"/>
          <w:szCs w:val="24"/>
        </w:rPr>
        <w:t xml:space="preserve">Tabel 3 viser listen over bivirkninger fra de to </w:t>
      </w:r>
      <w:proofErr w:type="gramStart"/>
      <w:r w:rsidRPr="00CE778C">
        <w:rPr>
          <w:sz w:val="24"/>
          <w:szCs w:val="24"/>
        </w:rPr>
        <w:t>pivotale</w:t>
      </w:r>
      <w:proofErr w:type="gramEnd"/>
      <w:r w:rsidRPr="00CE778C">
        <w:rPr>
          <w:sz w:val="24"/>
          <w:szCs w:val="24"/>
        </w:rPr>
        <w:t xml:space="preserve"> fase III-studier hos patienter med VTE og</w:t>
      </w:r>
      <w:r w:rsidR="007553F5">
        <w:rPr>
          <w:sz w:val="24"/>
          <w:szCs w:val="24"/>
        </w:rPr>
        <w:t xml:space="preserve"> </w:t>
      </w:r>
      <w:r w:rsidRPr="00CE778C">
        <w:rPr>
          <w:sz w:val="24"/>
          <w:szCs w:val="24"/>
        </w:rPr>
        <w:t>NVAF kombineret for begge indikationer og lægemiddelbivirkninger identificeret efter markedsføring. Bivirkningerne er klassificeret efter systemorganklasse (SOC) i henhold til MedDRA og hyppighed med følgende konvention:</w:t>
      </w:r>
    </w:p>
    <w:p w14:paraId="38C74F42" w14:textId="77127AF7" w:rsidR="00A75091" w:rsidRPr="00CE778C" w:rsidRDefault="00A75091" w:rsidP="00CE778C">
      <w:pPr>
        <w:ind w:left="851"/>
        <w:rPr>
          <w:sz w:val="24"/>
          <w:szCs w:val="24"/>
        </w:rPr>
      </w:pPr>
      <w:r w:rsidRPr="00CE778C">
        <w:rPr>
          <w:sz w:val="24"/>
          <w:szCs w:val="24"/>
        </w:rPr>
        <w:lastRenderedPageBreak/>
        <w:t>Meget almindelig (≥1/10), almindelig (≥1/100 til &lt; 1/10), ikke almindelig (≥1/1.000 til &lt;1/100),</w:t>
      </w:r>
      <w:r w:rsidR="007553F5">
        <w:rPr>
          <w:sz w:val="24"/>
          <w:szCs w:val="24"/>
        </w:rPr>
        <w:t xml:space="preserve"> </w:t>
      </w:r>
      <w:r w:rsidRPr="00CE778C">
        <w:rPr>
          <w:sz w:val="24"/>
          <w:szCs w:val="24"/>
        </w:rPr>
        <w:t>sjælden (≥1/10.000 til &lt;1/1.000), meget sjælden (&lt;1/10.000) og ikke kendt (kan ikke estimeres ud fra</w:t>
      </w:r>
      <w:r w:rsidR="007553F5">
        <w:rPr>
          <w:sz w:val="24"/>
          <w:szCs w:val="24"/>
        </w:rPr>
        <w:t xml:space="preserve"> </w:t>
      </w:r>
      <w:r w:rsidRPr="00CE778C">
        <w:rPr>
          <w:sz w:val="24"/>
          <w:szCs w:val="24"/>
        </w:rPr>
        <w:t>forhåndenværende data).</w:t>
      </w:r>
    </w:p>
    <w:p w14:paraId="51386307" w14:textId="77777777" w:rsidR="00A75091" w:rsidRPr="00CE778C" w:rsidRDefault="00A75091" w:rsidP="00CE778C">
      <w:pPr>
        <w:ind w:left="851"/>
        <w:rPr>
          <w:sz w:val="24"/>
          <w:szCs w:val="24"/>
        </w:rPr>
      </w:pPr>
    </w:p>
    <w:p w14:paraId="7B3BF6DB" w14:textId="77777777" w:rsidR="00A75091" w:rsidRPr="00CE778C" w:rsidRDefault="00A75091" w:rsidP="00CE778C">
      <w:pPr>
        <w:pStyle w:val="Brdtekst"/>
        <w:widowControl/>
        <w:suppressAutoHyphens/>
        <w:kinsoku w:val="0"/>
        <w:overflowPunct w:val="0"/>
        <w:ind w:left="851"/>
        <w:rPr>
          <w:b/>
          <w:bCs/>
          <w:color w:val="000000" w:themeColor="text1"/>
        </w:rPr>
      </w:pPr>
      <w:r w:rsidRPr="00CE778C">
        <w:rPr>
          <w:b/>
          <w:bCs/>
          <w:color w:val="000000" w:themeColor="text1"/>
        </w:rPr>
        <w:t>Tabel 3: Liste over bivirkninger for NVAF og VTE</w:t>
      </w:r>
    </w:p>
    <w:p w14:paraId="467A1E4D" w14:textId="77777777" w:rsidR="00A75091" w:rsidRPr="00CE778C" w:rsidRDefault="00A75091" w:rsidP="00CE778C">
      <w:pPr>
        <w:pStyle w:val="Brdtekst"/>
        <w:widowControl/>
        <w:suppressAutoHyphens/>
        <w:kinsoku w:val="0"/>
        <w:overflowPunct w:val="0"/>
        <w:ind w:left="851"/>
        <w:rPr>
          <w:b/>
          <w:bCs/>
          <w:color w:val="000000" w:themeColor="text1"/>
        </w:rPr>
      </w:pPr>
    </w:p>
    <w:tbl>
      <w:tblPr>
        <w:tblStyle w:val="Tabel-Gitter"/>
        <w:tblW w:w="8788" w:type="dxa"/>
        <w:tblInd w:w="846" w:type="dxa"/>
        <w:tblLook w:val="04A0" w:firstRow="1" w:lastRow="0" w:firstColumn="1" w:lastColumn="0" w:noHBand="0" w:noVBand="1"/>
      </w:tblPr>
      <w:tblGrid>
        <w:gridCol w:w="5528"/>
        <w:gridCol w:w="3260"/>
      </w:tblGrid>
      <w:tr w:rsidR="00A75091" w:rsidRPr="00CE778C" w14:paraId="09B156F3" w14:textId="77777777" w:rsidTr="00CE778C">
        <w:trPr>
          <w:tblHeader/>
        </w:trPr>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E95BCB" w14:textId="77777777" w:rsidR="00A75091" w:rsidRPr="00CE778C" w:rsidRDefault="00A75091">
            <w:pPr>
              <w:pStyle w:val="Brdtekst"/>
              <w:widowControl/>
              <w:suppressAutoHyphens/>
              <w:kinsoku w:val="0"/>
              <w:overflowPunct w:val="0"/>
              <w:rPr>
                <w:rFonts w:ascii="Times New Roman" w:hAnsi="Times New Roman"/>
                <w:b/>
                <w:bCs/>
                <w:color w:val="000000" w:themeColor="text1"/>
                <w:lang w:eastAsia="ru-RU"/>
              </w:rPr>
            </w:pPr>
            <w:r w:rsidRPr="00CE778C">
              <w:rPr>
                <w:rFonts w:ascii="Times New Roman" w:hAnsi="Times New Roman"/>
                <w:b/>
                <w:bCs/>
                <w:color w:val="000000" w:themeColor="text1"/>
                <w:lang w:eastAsia="ru-RU"/>
              </w:rPr>
              <w:t>Systemorganklasse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736331" w14:textId="77777777" w:rsidR="00A75091" w:rsidRPr="00CE778C" w:rsidRDefault="00A75091">
            <w:pPr>
              <w:pStyle w:val="Brdtekst"/>
              <w:widowControl/>
              <w:suppressAutoHyphens/>
              <w:kinsoku w:val="0"/>
              <w:overflowPunct w:val="0"/>
              <w:rPr>
                <w:rFonts w:ascii="Times New Roman" w:hAnsi="Times New Roman"/>
                <w:b/>
                <w:bCs/>
                <w:color w:val="000000" w:themeColor="text1"/>
                <w:lang w:eastAsia="ru-RU"/>
              </w:rPr>
            </w:pPr>
            <w:r w:rsidRPr="00CE778C">
              <w:rPr>
                <w:rFonts w:ascii="Times New Roman" w:hAnsi="Times New Roman"/>
                <w:b/>
                <w:bCs/>
                <w:color w:val="000000" w:themeColor="text1"/>
                <w:lang w:eastAsia="ru-RU"/>
              </w:rPr>
              <w:t>Hyppighed</w:t>
            </w:r>
          </w:p>
        </w:tc>
      </w:tr>
      <w:tr w:rsidR="00A75091" w:rsidRPr="00CE778C" w14:paraId="794909F0" w14:textId="77777777" w:rsidTr="00CE778C">
        <w:tc>
          <w:tcPr>
            <w:tcW w:w="8788" w:type="dxa"/>
            <w:gridSpan w:val="2"/>
            <w:tcBorders>
              <w:top w:val="single" w:sz="4" w:space="0" w:color="auto"/>
              <w:left w:val="single" w:sz="4" w:space="0" w:color="auto"/>
              <w:bottom w:val="single" w:sz="4" w:space="0" w:color="auto"/>
              <w:right w:val="single" w:sz="4" w:space="0" w:color="auto"/>
            </w:tcBorders>
            <w:hideMark/>
          </w:tcPr>
          <w:p w14:paraId="73615D66"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b/>
                <w:bCs/>
                <w:color w:val="000000" w:themeColor="text1"/>
                <w:lang w:eastAsia="ru-RU"/>
              </w:rPr>
              <w:t>Blod og lymfesystem</w:t>
            </w:r>
          </w:p>
        </w:tc>
      </w:tr>
      <w:tr w:rsidR="00A75091" w:rsidRPr="00CE778C" w14:paraId="01304042"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020F2E02"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Anæmi</w:t>
            </w:r>
          </w:p>
        </w:tc>
        <w:tc>
          <w:tcPr>
            <w:tcW w:w="3260" w:type="dxa"/>
            <w:tcBorders>
              <w:top w:val="single" w:sz="4" w:space="0" w:color="auto"/>
              <w:left w:val="single" w:sz="4" w:space="0" w:color="auto"/>
              <w:bottom w:val="single" w:sz="4" w:space="0" w:color="auto"/>
              <w:right w:val="single" w:sz="4" w:space="0" w:color="auto"/>
            </w:tcBorders>
            <w:hideMark/>
          </w:tcPr>
          <w:p w14:paraId="1B64B2E8"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Almindelig</w:t>
            </w:r>
          </w:p>
        </w:tc>
      </w:tr>
      <w:tr w:rsidR="00A75091" w:rsidRPr="00CE778C" w14:paraId="5E27FED9"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331DE384"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Trombocytopeni</w:t>
            </w:r>
          </w:p>
        </w:tc>
        <w:tc>
          <w:tcPr>
            <w:tcW w:w="3260" w:type="dxa"/>
            <w:tcBorders>
              <w:top w:val="single" w:sz="4" w:space="0" w:color="auto"/>
              <w:left w:val="single" w:sz="4" w:space="0" w:color="auto"/>
              <w:bottom w:val="single" w:sz="4" w:space="0" w:color="auto"/>
              <w:right w:val="single" w:sz="4" w:space="0" w:color="auto"/>
            </w:tcBorders>
            <w:hideMark/>
          </w:tcPr>
          <w:p w14:paraId="1CAE19FF"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Ikke almindelig</w:t>
            </w:r>
          </w:p>
        </w:tc>
      </w:tr>
      <w:tr w:rsidR="00A75091" w:rsidRPr="00CE778C" w14:paraId="3040D111" w14:textId="77777777" w:rsidTr="00CE778C">
        <w:tc>
          <w:tcPr>
            <w:tcW w:w="8788" w:type="dxa"/>
            <w:gridSpan w:val="2"/>
            <w:tcBorders>
              <w:top w:val="single" w:sz="4" w:space="0" w:color="auto"/>
              <w:left w:val="single" w:sz="4" w:space="0" w:color="auto"/>
              <w:bottom w:val="single" w:sz="4" w:space="0" w:color="auto"/>
              <w:right w:val="single" w:sz="4" w:space="0" w:color="auto"/>
            </w:tcBorders>
            <w:hideMark/>
          </w:tcPr>
          <w:p w14:paraId="3F68BDA9"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b/>
                <w:bCs/>
                <w:color w:val="000000" w:themeColor="text1"/>
                <w:lang w:eastAsia="ru-RU"/>
              </w:rPr>
              <w:t>Immunsystemet</w:t>
            </w:r>
          </w:p>
        </w:tc>
      </w:tr>
      <w:tr w:rsidR="00A75091" w:rsidRPr="00CE778C" w14:paraId="6EB2ACC7"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41A13664"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Overfølsomhed</w:t>
            </w:r>
          </w:p>
        </w:tc>
        <w:tc>
          <w:tcPr>
            <w:tcW w:w="3260" w:type="dxa"/>
            <w:tcBorders>
              <w:top w:val="single" w:sz="4" w:space="0" w:color="auto"/>
              <w:left w:val="single" w:sz="4" w:space="0" w:color="auto"/>
              <w:bottom w:val="single" w:sz="4" w:space="0" w:color="auto"/>
              <w:right w:val="single" w:sz="4" w:space="0" w:color="auto"/>
            </w:tcBorders>
            <w:hideMark/>
          </w:tcPr>
          <w:p w14:paraId="60B08387"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Ikke almindelig</w:t>
            </w:r>
          </w:p>
        </w:tc>
      </w:tr>
      <w:tr w:rsidR="00A75091" w:rsidRPr="00CE778C" w14:paraId="00D2A931"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579B4D38"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Anafylaktisk reaktion</w:t>
            </w:r>
          </w:p>
        </w:tc>
        <w:tc>
          <w:tcPr>
            <w:tcW w:w="3260" w:type="dxa"/>
            <w:tcBorders>
              <w:top w:val="single" w:sz="4" w:space="0" w:color="auto"/>
              <w:left w:val="single" w:sz="4" w:space="0" w:color="auto"/>
              <w:bottom w:val="single" w:sz="4" w:space="0" w:color="auto"/>
              <w:right w:val="single" w:sz="4" w:space="0" w:color="auto"/>
            </w:tcBorders>
            <w:hideMark/>
          </w:tcPr>
          <w:p w14:paraId="7BEE5227"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Sjælden</w:t>
            </w:r>
          </w:p>
        </w:tc>
      </w:tr>
      <w:tr w:rsidR="00A75091" w:rsidRPr="00CE778C" w14:paraId="3A1F0131"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2CB17C91"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Allergisk ødem</w:t>
            </w:r>
          </w:p>
        </w:tc>
        <w:tc>
          <w:tcPr>
            <w:tcW w:w="3260" w:type="dxa"/>
            <w:tcBorders>
              <w:top w:val="single" w:sz="4" w:space="0" w:color="auto"/>
              <w:left w:val="single" w:sz="4" w:space="0" w:color="auto"/>
              <w:bottom w:val="single" w:sz="4" w:space="0" w:color="auto"/>
              <w:right w:val="single" w:sz="4" w:space="0" w:color="auto"/>
            </w:tcBorders>
            <w:hideMark/>
          </w:tcPr>
          <w:p w14:paraId="30049042"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Sjælden</w:t>
            </w:r>
          </w:p>
        </w:tc>
      </w:tr>
      <w:tr w:rsidR="00A75091" w:rsidRPr="00CE778C" w14:paraId="3400005C" w14:textId="77777777" w:rsidTr="00CE778C">
        <w:tc>
          <w:tcPr>
            <w:tcW w:w="8788" w:type="dxa"/>
            <w:gridSpan w:val="2"/>
            <w:tcBorders>
              <w:top w:val="single" w:sz="4" w:space="0" w:color="auto"/>
              <w:left w:val="single" w:sz="4" w:space="0" w:color="auto"/>
              <w:bottom w:val="single" w:sz="4" w:space="0" w:color="auto"/>
              <w:right w:val="single" w:sz="4" w:space="0" w:color="auto"/>
            </w:tcBorders>
            <w:hideMark/>
          </w:tcPr>
          <w:p w14:paraId="527D8263" w14:textId="77777777" w:rsidR="00A75091" w:rsidRPr="00CE778C" w:rsidRDefault="00A75091">
            <w:pPr>
              <w:pStyle w:val="Brdtekst"/>
              <w:widowControl/>
              <w:suppressAutoHyphens/>
              <w:kinsoku w:val="0"/>
              <w:overflowPunct w:val="0"/>
              <w:rPr>
                <w:rFonts w:ascii="Times New Roman" w:hAnsi="Times New Roman"/>
                <w:b/>
                <w:bCs/>
                <w:color w:val="000000" w:themeColor="text1"/>
                <w:lang w:eastAsia="ru-RU"/>
              </w:rPr>
            </w:pPr>
            <w:r w:rsidRPr="00CE778C">
              <w:rPr>
                <w:rFonts w:ascii="Times New Roman" w:hAnsi="Times New Roman"/>
                <w:b/>
                <w:bCs/>
                <w:color w:val="000000" w:themeColor="text1"/>
                <w:lang w:eastAsia="ru-RU"/>
              </w:rPr>
              <w:t>Nervesystemet</w:t>
            </w:r>
          </w:p>
        </w:tc>
      </w:tr>
      <w:tr w:rsidR="00A75091" w:rsidRPr="00CE778C" w14:paraId="065A09CF"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7F1A8E94"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Svimmelhed</w:t>
            </w:r>
          </w:p>
        </w:tc>
        <w:tc>
          <w:tcPr>
            <w:tcW w:w="3260" w:type="dxa"/>
            <w:tcBorders>
              <w:top w:val="single" w:sz="4" w:space="0" w:color="auto"/>
              <w:left w:val="single" w:sz="4" w:space="0" w:color="auto"/>
              <w:bottom w:val="single" w:sz="4" w:space="0" w:color="auto"/>
              <w:right w:val="single" w:sz="4" w:space="0" w:color="auto"/>
            </w:tcBorders>
            <w:hideMark/>
          </w:tcPr>
          <w:p w14:paraId="38DCB6B5"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Almindelig</w:t>
            </w:r>
          </w:p>
        </w:tc>
      </w:tr>
      <w:tr w:rsidR="00A75091" w:rsidRPr="00CE778C" w14:paraId="0BCCCC43"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47370BB0"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Hovedpine</w:t>
            </w:r>
          </w:p>
        </w:tc>
        <w:tc>
          <w:tcPr>
            <w:tcW w:w="3260" w:type="dxa"/>
            <w:tcBorders>
              <w:top w:val="single" w:sz="4" w:space="0" w:color="auto"/>
              <w:left w:val="single" w:sz="4" w:space="0" w:color="auto"/>
              <w:bottom w:val="single" w:sz="4" w:space="0" w:color="auto"/>
              <w:right w:val="single" w:sz="4" w:space="0" w:color="auto"/>
            </w:tcBorders>
            <w:hideMark/>
          </w:tcPr>
          <w:p w14:paraId="25C82F56"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Almindelig</w:t>
            </w:r>
          </w:p>
        </w:tc>
      </w:tr>
      <w:tr w:rsidR="00A75091" w:rsidRPr="00CE778C" w14:paraId="68D8B9AB"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4AC4EDE5"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Intrakraniel blødning (ICH)</w:t>
            </w:r>
          </w:p>
        </w:tc>
        <w:tc>
          <w:tcPr>
            <w:tcW w:w="3260" w:type="dxa"/>
            <w:tcBorders>
              <w:top w:val="single" w:sz="4" w:space="0" w:color="auto"/>
              <w:left w:val="single" w:sz="4" w:space="0" w:color="auto"/>
              <w:bottom w:val="single" w:sz="4" w:space="0" w:color="auto"/>
              <w:right w:val="single" w:sz="4" w:space="0" w:color="auto"/>
            </w:tcBorders>
            <w:hideMark/>
          </w:tcPr>
          <w:p w14:paraId="7FE755EF"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Ikke almindelig</w:t>
            </w:r>
          </w:p>
        </w:tc>
      </w:tr>
      <w:tr w:rsidR="00A75091" w:rsidRPr="00CE778C" w14:paraId="7BF18C4E"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5D57BB19"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Subaraknoid blødning</w:t>
            </w:r>
          </w:p>
        </w:tc>
        <w:tc>
          <w:tcPr>
            <w:tcW w:w="3260" w:type="dxa"/>
            <w:tcBorders>
              <w:top w:val="single" w:sz="4" w:space="0" w:color="auto"/>
              <w:left w:val="single" w:sz="4" w:space="0" w:color="auto"/>
              <w:bottom w:val="single" w:sz="4" w:space="0" w:color="auto"/>
              <w:right w:val="single" w:sz="4" w:space="0" w:color="auto"/>
            </w:tcBorders>
            <w:hideMark/>
          </w:tcPr>
          <w:p w14:paraId="09B19018"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Sjælden</w:t>
            </w:r>
          </w:p>
        </w:tc>
      </w:tr>
      <w:tr w:rsidR="00A75091" w:rsidRPr="00CE778C" w14:paraId="37D76976" w14:textId="77777777" w:rsidTr="00CE778C">
        <w:tc>
          <w:tcPr>
            <w:tcW w:w="8788" w:type="dxa"/>
            <w:gridSpan w:val="2"/>
            <w:tcBorders>
              <w:top w:val="single" w:sz="4" w:space="0" w:color="auto"/>
              <w:left w:val="single" w:sz="4" w:space="0" w:color="auto"/>
              <w:bottom w:val="single" w:sz="4" w:space="0" w:color="auto"/>
              <w:right w:val="single" w:sz="4" w:space="0" w:color="auto"/>
            </w:tcBorders>
            <w:hideMark/>
          </w:tcPr>
          <w:p w14:paraId="7CA09740"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b/>
                <w:bCs/>
                <w:color w:val="000000" w:themeColor="text1"/>
                <w:lang w:eastAsia="ru-RU"/>
              </w:rPr>
              <w:t>Øjne</w:t>
            </w:r>
          </w:p>
        </w:tc>
      </w:tr>
      <w:tr w:rsidR="00A75091" w:rsidRPr="00CE778C" w14:paraId="66E9E96C"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5DF5AD68"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Konjunktival/skleral blødning</w:t>
            </w:r>
          </w:p>
        </w:tc>
        <w:tc>
          <w:tcPr>
            <w:tcW w:w="3260" w:type="dxa"/>
            <w:tcBorders>
              <w:top w:val="single" w:sz="4" w:space="0" w:color="auto"/>
              <w:left w:val="single" w:sz="4" w:space="0" w:color="auto"/>
              <w:bottom w:val="single" w:sz="4" w:space="0" w:color="auto"/>
              <w:right w:val="single" w:sz="4" w:space="0" w:color="auto"/>
            </w:tcBorders>
            <w:hideMark/>
          </w:tcPr>
          <w:p w14:paraId="350A4AF2"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Ikke almindelig</w:t>
            </w:r>
          </w:p>
        </w:tc>
      </w:tr>
      <w:tr w:rsidR="00A75091" w:rsidRPr="00CE778C" w14:paraId="29CBA5F2"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36ACC753"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Intraokulær blødning</w:t>
            </w:r>
          </w:p>
        </w:tc>
        <w:tc>
          <w:tcPr>
            <w:tcW w:w="3260" w:type="dxa"/>
            <w:tcBorders>
              <w:top w:val="single" w:sz="4" w:space="0" w:color="auto"/>
              <w:left w:val="single" w:sz="4" w:space="0" w:color="auto"/>
              <w:bottom w:val="single" w:sz="4" w:space="0" w:color="auto"/>
              <w:right w:val="single" w:sz="4" w:space="0" w:color="auto"/>
            </w:tcBorders>
            <w:hideMark/>
          </w:tcPr>
          <w:p w14:paraId="1D6794FE"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Ikke almindelig</w:t>
            </w:r>
          </w:p>
        </w:tc>
      </w:tr>
      <w:tr w:rsidR="00A75091" w:rsidRPr="00CE778C" w14:paraId="0AF39491" w14:textId="77777777" w:rsidTr="00CE778C">
        <w:tc>
          <w:tcPr>
            <w:tcW w:w="8788" w:type="dxa"/>
            <w:gridSpan w:val="2"/>
            <w:tcBorders>
              <w:top w:val="single" w:sz="4" w:space="0" w:color="auto"/>
              <w:left w:val="single" w:sz="4" w:space="0" w:color="auto"/>
              <w:bottom w:val="single" w:sz="4" w:space="0" w:color="auto"/>
              <w:right w:val="single" w:sz="4" w:space="0" w:color="auto"/>
            </w:tcBorders>
            <w:hideMark/>
          </w:tcPr>
          <w:p w14:paraId="04AA0E4F"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b/>
                <w:bCs/>
                <w:color w:val="000000" w:themeColor="text1"/>
                <w:lang w:eastAsia="ru-RU"/>
              </w:rPr>
              <w:t>Hjerte</w:t>
            </w:r>
          </w:p>
        </w:tc>
      </w:tr>
      <w:tr w:rsidR="00A75091" w:rsidRPr="00CE778C" w14:paraId="03F4F50E"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3D972411"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Perikardial blødning</w:t>
            </w:r>
          </w:p>
        </w:tc>
        <w:tc>
          <w:tcPr>
            <w:tcW w:w="3260" w:type="dxa"/>
            <w:tcBorders>
              <w:top w:val="single" w:sz="4" w:space="0" w:color="auto"/>
              <w:left w:val="single" w:sz="4" w:space="0" w:color="auto"/>
              <w:bottom w:val="single" w:sz="4" w:space="0" w:color="auto"/>
              <w:right w:val="single" w:sz="4" w:space="0" w:color="auto"/>
            </w:tcBorders>
            <w:hideMark/>
          </w:tcPr>
          <w:p w14:paraId="6A4F6C27"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Sjælden</w:t>
            </w:r>
          </w:p>
        </w:tc>
      </w:tr>
      <w:tr w:rsidR="00A75091" w:rsidRPr="00CE778C" w14:paraId="6033C82A" w14:textId="77777777" w:rsidTr="00CE778C">
        <w:tc>
          <w:tcPr>
            <w:tcW w:w="8788" w:type="dxa"/>
            <w:gridSpan w:val="2"/>
            <w:tcBorders>
              <w:top w:val="single" w:sz="4" w:space="0" w:color="auto"/>
              <w:left w:val="single" w:sz="4" w:space="0" w:color="auto"/>
              <w:bottom w:val="single" w:sz="4" w:space="0" w:color="auto"/>
              <w:right w:val="single" w:sz="4" w:space="0" w:color="auto"/>
            </w:tcBorders>
            <w:hideMark/>
          </w:tcPr>
          <w:p w14:paraId="6769C83D" w14:textId="77777777" w:rsidR="00A75091" w:rsidRPr="00CE778C" w:rsidRDefault="00A75091">
            <w:pPr>
              <w:pStyle w:val="Brdtekst"/>
              <w:widowControl/>
              <w:suppressAutoHyphens/>
              <w:kinsoku w:val="0"/>
              <w:overflowPunct w:val="0"/>
              <w:rPr>
                <w:rFonts w:ascii="Times New Roman" w:hAnsi="Times New Roman"/>
                <w:b/>
                <w:bCs/>
                <w:color w:val="000000" w:themeColor="text1"/>
                <w:lang w:eastAsia="ru-RU"/>
              </w:rPr>
            </w:pPr>
            <w:r w:rsidRPr="00CE778C">
              <w:rPr>
                <w:rFonts w:ascii="Times New Roman" w:hAnsi="Times New Roman"/>
                <w:b/>
                <w:bCs/>
                <w:color w:val="000000" w:themeColor="text1"/>
                <w:lang w:eastAsia="ru-RU"/>
              </w:rPr>
              <w:t>Vaskulære sygdomme</w:t>
            </w:r>
          </w:p>
        </w:tc>
      </w:tr>
      <w:tr w:rsidR="00A75091" w:rsidRPr="00CE778C" w14:paraId="42CE5610"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3D92E4B3"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Anden blødning</w:t>
            </w:r>
          </w:p>
        </w:tc>
        <w:tc>
          <w:tcPr>
            <w:tcW w:w="3260" w:type="dxa"/>
            <w:tcBorders>
              <w:top w:val="single" w:sz="4" w:space="0" w:color="auto"/>
              <w:left w:val="single" w:sz="4" w:space="0" w:color="auto"/>
              <w:bottom w:val="single" w:sz="4" w:space="0" w:color="auto"/>
              <w:right w:val="single" w:sz="4" w:space="0" w:color="auto"/>
            </w:tcBorders>
            <w:hideMark/>
          </w:tcPr>
          <w:p w14:paraId="475C8104"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Ikke almindelig</w:t>
            </w:r>
          </w:p>
        </w:tc>
      </w:tr>
      <w:tr w:rsidR="00A75091" w:rsidRPr="00CE778C" w14:paraId="253BD058" w14:textId="77777777" w:rsidTr="00CE778C">
        <w:tc>
          <w:tcPr>
            <w:tcW w:w="8788" w:type="dxa"/>
            <w:gridSpan w:val="2"/>
            <w:tcBorders>
              <w:top w:val="single" w:sz="4" w:space="0" w:color="auto"/>
              <w:left w:val="single" w:sz="4" w:space="0" w:color="auto"/>
              <w:bottom w:val="single" w:sz="4" w:space="0" w:color="auto"/>
              <w:right w:val="single" w:sz="4" w:space="0" w:color="auto"/>
            </w:tcBorders>
            <w:hideMark/>
          </w:tcPr>
          <w:p w14:paraId="00C874F7"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b/>
                <w:bCs/>
                <w:color w:val="000000" w:themeColor="text1"/>
                <w:lang w:eastAsia="ru-RU"/>
              </w:rPr>
              <w:t>Luftveje, thorax og mediastinum</w:t>
            </w:r>
          </w:p>
        </w:tc>
      </w:tr>
      <w:tr w:rsidR="00A75091" w:rsidRPr="00CE778C" w14:paraId="1FC8BA63"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02B484AF"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Epistaxis</w:t>
            </w:r>
          </w:p>
        </w:tc>
        <w:tc>
          <w:tcPr>
            <w:tcW w:w="3260" w:type="dxa"/>
            <w:tcBorders>
              <w:top w:val="single" w:sz="4" w:space="0" w:color="auto"/>
              <w:left w:val="single" w:sz="4" w:space="0" w:color="auto"/>
              <w:bottom w:val="single" w:sz="4" w:space="0" w:color="auto"/>
              <w:right w:val="single" w:sz="4" w:space="0" w:color="auto"/>
            </w:tcBorders>
            <w:hideMark/>
          </w:tcPr>
          <w:p w14:paraId="6252DBD7"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Almindelig</w:t>
            </w:r>
          </w:p>
        </w:tc>
      </w:tr>
      <w:tr w:rsidR="00A75091" w:rsidRPr="00CE778C" w14:paraId="594D94BA"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72A330A4"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Hæmoptyse</w:t>
            </w:r>
          </w:p>
        </w:tc>
        <w:tc>
          <w:tcPr>
            <w:tcW w:w="3260" w:type="dxa"/>
            <w:tcBorders>
              <w:top w:val="single" w:sz="4" w:space="0" w:color="auto"/>
              <w:left w:val="single" w:sz="4" w:space="0" w:color="auto"/>
              <w:bottom w:val="single" w:sz="4" w:space="0" w:color="auto"/>
              <w:right w:val="single" w:sz="4" w:space="0" w:color="auto"/>
            </w:tcBorders>
            <w:hideMark/>
          </w:tcPr>
          <w:p w14:paraId="798E0B1F"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Ikke almindelig</w:t>
            </w:r>
          </w:p>
        </w:tc>
      </w:tr>
      <w:tr w:rsidR="00A75091" w:rsidRPr="00CE778C" w14:paraId="583F8C23" w14:textId="77777777" w:rsidTr="00CE778C">
        <w:tc>
          <w:tcPr>
            <w:tcW w:w="8788" w:type="dxa"/>
            <w:gridSpan w:val="2"/>
            <w:tcBorders>
              <w:top w:val="single" w:sz="4" w:space="0" w:color="auto"/>
              <w:left w:val="single" w:sz="4" w:space="0" w:color="auto"/>
              <w:bottom w:val="single" w:sz="4" w:space="0" w:color="auto"/>
              <w:right w:val="single" w:sz="4" w:space="0" w:color="auto"/>
            </w:tcBorders>
            <w:hideMark/>
          </w:tcPr>
          <w:p w14:paraId="104F9624"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b/>
                <w:bCs/>
                <w:color w:val="000000" w:themeColor="text1"/>
                <w:lang w:eastAsia="ru-RU"/>
              </w:rPr>
              <w:t>Mave-tarm-kanalen</w:t>
            </w:r>
          </w:p>
        </w:tc>
      </w:tr>
      <w:tr w:rsidR="00A75091" w:rsidRPr="00CE778C" w14:paraId="31A49031"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18F0093D"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Abdominalsmerter</w:t>
            </w:r>
          </w:p>
        </w:tc>
        <w:tc>
          <w:tcPr>
            <w:tcW w:w="3260" w:type="dxa"/>
            <w:tcBorders>
              <w:top w:val="single" w:sz="4" w:space="0" w:color="auto"/>
              <w:left w:val="single" w:sz="4" w:space="0" w:color="auto"/>
              <w:bottom w:val="single" w:sz="4" w:space="0" w:color="auto"/>
              <w:right w:val="single" w:sz="4" w:space="0" w:color="auto"/>
            </w:tcBorders>
            <w:hideMark/>
          </w:tcPr>
          <w:p w14:paraId="4B9F1990"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Almindelig</w:t>
            </w:r>
          </w:p>
        </w:tc>
      </w:tr>
      <w:tr w:rsidR="00A75091" w:rsidRPr="00CE778C" w14:paraId="7FDDC6A4"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113C6A57"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Blødning i den nedre del af mave-tarm-kanalen</w:t>
            </w:r>
          </w:p>
        </w:tc>
        <w:tc>
          <w:tcPr>
            <w:tcW w:w="3260" w:type="dxa"/>
            <w:tcBorders>
              <w:top w:val="single" w:sz="4" w:space="0" w:color="auto"/>
              <w:left w:val="single" w:sz="4" w:space="0" w:color="auto"/>
              <w:bottom w:val="single" w:sz="4" w:space="0" w:color="auto"/>
              <w:right w:val="single" w:sz="4" w:space="0" w:color="auto"/>
            </w:tcBorders>
            <w:hideMark/>
          </w:tcPr>
          <w:p w14:paraId="55C84A78"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Almindelig</w:t>
            </w:r>
          </w:p>
        </w:tc>
      </w:tr>
      <w:tr w:rsidR="00A75091" w:rsidRPr="00CE778C" w14:paraId="0ED401E1"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7A1A74BD"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Blødning i den øvre del af mave-tarm-kanalen</w:t>
            </w:r>
          </w:p>
        </w:tc>
        <w:tc>
          <w:tcPr>
            <w:tcW w:w="3260" w:type="dxa"/>
            <w:tcBorders>
              <w:top w:val="single" w:sz="4" w:space="0" w:color="auto"/>
              <w:left w:val="single" w:sz="4" w:space="0" w:color="auto"/>
              <w:bottom w:val="single" w:sz="4" w:space="0" w:color="auto"/>
              <w:right w:val="single" w:sz="4" w:space="0" w:color="auto"/>
            </w:tcBorders>
            <w:hideMark/>
          </w:tcPr>
          <w:p w14:paraId="63FD7DE7"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Almindelig</w:t>
            </w:r>
          </w:p>
        </w:tc>
      </w:tr>
      <w:tr w:rsidR="00A75091" w:rsidRPr="00CE778C" w14:paraId="3190A917"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7658CAFC"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Oral/faryngeal blødning</w:t>
            </w:r>
          </w:p>
        </w:tc>
        <w:tc>
          <w:tcPr>
            <w:tcW w:w="3260" w:type="dxa"/>
            <w:tcBorders>
              <w:top w:val="single" w:sz="4" w:space="0" w:color="auto"/>
              <w:left w:val="single" w:sz="4" w:space="0" w:color="auto"/>
              <w:bottom w:val="single" w:sz="4" w:space="0" w:color="auto"/>
              <w:right w:val="single" w:sz="4" w:space="0" w:color="auto"/>
            </w:tcBorders>
            <w:hideMark/>
          </w:tcPr>
          <w:p w14:paraId="477012DE"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Almindelig</w:t>
            </w:r>
          </w:p>
        </w:tc>
      </w:tr>
      <w:tr w:rsidR="00A75091" w:rsidRPr="00CE778C" w14:paraId="270BAFAA"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15B3940D"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Kvalme</w:t>
            </w:r>
          </w:p>
        </w:tc>
        <w:tc>
          <w:tcPr>
            <w:tcW w:w="3260" w:type="dxa"/>
            <w:tcBorders>
              <w:top w:val="single" w:sz="4" w:space="0" w:color="auto"/>
              <w:left w:val="single" w:sz="4" w:space="0" w:color="auto"/>
              <w:bottom w:val="single" w:sz="4" w:space="0" w:color="auto"/>
              <w:right w:val="single" w:sz="4" w:space="0" w:color="auto"/>
            </w:tcBorders>
            <w:hideMark/>
          </w:tcPr>
          <w:p w14:paraId="25436F25"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Almindelig</w:t>
            </w:r>
          </w:p>
        </w:tc>
      </w:tr>
      <w:tr w:rsidR="00A75091" w:rsidRPr="00CE778C" w14:paraId="09700DB1"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065EE2B4"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Retroperitoneal blødning</w:t>
            </w:r>
          </w:p>
        </w:tc>
        <w:tc>
          <w:tcPr>
            <w:tcW w:w="3260" w:type="dxa"/>
            <w:tcBorders>
              <w:top w:val="single" w:sz="4" w:space="0" w:color="auto"/>
              <w:left w:val="single" w:sz="4" w:space="0" w:color="auto"/>
              <w:bottom w:val="single" w:sz="4" w:space="0" w:color="auto"/>
              <w:right w:val="single" w:sz="4" w:space="0" w:color="auto"/>
            </w:tcBorders>
            <w:hideMark/>
          </w:tcPr>
          <w:p w14:paraId="012BD3FC"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Sjælden</w:t>
            </w:r>
          </w:p>
        </w:tc>
      </w:tr>
      <w:tr w:rsidR="00A75091" w:rsidRPr="00CE778C" w14:paraId="218A6CED" w14:textId="77777777" w:rsidTr="00CE778C">
        <w:tc>
          <w:tcPr>
            <w:tcW w:w="8788" w:type="dxa"/>
            <w:gridSpan w:val="2"/>
            <w:tcBorders>
              <w:top w:val="single" w:sz="4" w:space="0" w:color="auto"/>
              <w:left w:val="single" w:sz="4" w:space="0" w:color="auto"/>
              <w:bottom w:val="single" w:sz="4" w:space="0" w:color="auto"/>
              <w:right w:val="single" w:sz="4" w:space="0" w:color="auto"/>
            </w:tcBorders>
            <w:hideMark/>
          </w:tcPr>
          <w:p w14:paraId="2AC9FA0C" w14:textId="77777777" w:rsidR="00A75091" w:rsidRPr="00CE778C" w:rsidRDefault="00A75091">
            <w:pPr>
              <w:pStyle w:val="Brdtekst"/>
              <w:widowControl/>
              <w:suppressAutoHyphens/>
              <w:kinsoku w:val="0"/>
              <w:overflowPunct w:val="0"/>
              <w:rPr>
                <w:rFonts w:ascii="Times New Roman" w:hAnsi="Times New Roman"/>
                <w:b/>
                <w:bCs/>
                <w:color w:val="000000" w:themeColor="text1"/>
                <w:lang w:eastAsia="ru-RU"/>
              </w:rPr>
            </w:pPr>
            <w:r w:rsidRPr="00CE778C">
              <w:rPr>
                <w:rFonts w:ascii="Times New Roman" w:hAnsi="Times New Roman"/>
                <w:b/>
                <w:bCs/>
                <w:color w:val="000000" w:themeColor="text1"/>
                <w:lang w:eastAsia="ru-RU"/>
              </w:rPr>
              <w:t>Lever og galdeveje</w:t>
            </w:r>
          </w:p>
        </w:tc>
      </w:tr>
      <w:tr w:rsidR="00A75091" w:rsidRPr="00CE778C" w14:paraId="7175461D"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568171A9"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Forhøjet bilirubin i blodet</w:t>
            </w:r>
          </w:p>
        </w:tc>
        <w:tc>
          <w:tcPr>
            <w:tcW w:w="3260" w:type="dxa"/>
            <w:tcBorders>
              <w:top w:val="single" w:sz="4" w:space="0" w:color="auto"/>
              <w:left w:val="single" w:sz="4" w:space="0" w:color="auto"/>
              <w:bottom w:val="single" w:sz="4" w:space="0" w:color="auto"/>
              <w:right w:val="single" w:sz="4" w:space="0" w:color="auto"/>
            </w:tcBorders>
            <w:hideMark/>
          </w:tcPr>
          <w:p w14:paraId="3EF2535F"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Almindelig</w:t>
            </w:r>
          </w:p>
        </w:tc>
      </w:tr>
      <w:tr w:rsidR="00A75091" w:rsidRPr="00CE778C" w14:paraId="707745F3"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3B0FC83D"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Forhøjet gammaglutamyltransferase</w:t>
            </w:r>
          </w:p>
        </w:tc>
        <w:tc>
          <w:tcPr>
            <w:tcW w:w="3260" w:type="dxa"/>
            <w:tcBorders>
              <w:top w:val="single" w:sz="4" w:space="0" w:color="auto"/>
              <w:left w:val="single" w:sz="4" w:space="0" w:color="auto"/>
              <w:bottom w:val="single" w:sz="4" w:space="0" w:color="auto"/>
              <w:right w:val="single" w:sz="4" w:space="0" w:color="auto"/>
            </w:tcBorders>
            <w:hideMark/>
          </w:tcPr>
          <w:p w14:paraId="67818FD1"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Almindelig</w:t>
            </w:r>
          </w:p>
        </w:tc>
      </w:tr>
      <w:tr w:rsidR="00A75091" w:rsidRPr="00CE778C" w14:paraId="6100AF58"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2AC3733D"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Forhøjet basisk fosfatase i blodet</w:t>
            </w:r>
          </w:p>
        </w:tc>
        <w:tc>
          <w:tcPr>
            <w:tcW w:w="3260" w:type="dxa"/>
            <w:tcBorders>
              <w:top w:val="single" w:sz="4" w:space="0" w:color="auto"/>
              <w:left w:val="single" w:sz="4" w:space="0" w:color="auto"/>
              <w:bottom w:val="single" w:sz="4" w:space="0" w:color="auto"/>
              <w:right w:val="single" w:sz="4" w:space="0" w:color="auto"/>
            </w:tcBorders>
            <w:hideMark/>
          </w:tcPr>
          <w:p w14:paraId="2728BDA8"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Ikke almindelig</w:t>
            </w:r>
          </w:p>
        </w:tc>
      </w:tr>
      <w:tr w:rsidR="00A75091" w:rsidRPr="00CE778C" w14:paraId="164DB1B0"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7253B096"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Forhøjede transaminaser</w:t>
            </w:r>
          </w:p>
        </w:tc>
        <w:tc>
          <w:tcPr>
            <w:tcW w:w="3260" w:type="dxa"/>
            <w:tcBorders>
              <w:top w:val="single" w:sz="4" w:space="0" w:color="auto"/>
              <w:left w:val="single" w:sz="4" w:space="0" w:color="auto"/>
              <w:bottom w:val="single" w:sz="4" w:space="0" w:color="auto"/>
              <w:right w:val="single" w:sz="4" w:space="0" w:color="auto"/>
            </w:tcBorders>
            <w:hideMark/>
          </w:tcPr>
          <w:p w14:paraId="0FAA60BB"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Ikke almindelig</w:t>
            </w:r>
          </w:p>
        </w:tc>
      </w:tr>
      <w:tr w:rsidR="00A75091" w:rsidRPr="00CE778C" w14:paraId="367989E4" w14:textId="77777777" w:rsidTr="00CE778C">
        <w:tc>
          <w:tcPr>
            <w:tcW w:w="8788" w:type="dxa"/>
            <w:gridSpan w:val="2"/>
            <w:tcBorders>
              <w:top w:val="single" w:sz="4" w:space="0" w:color="auto"/>
              <w:left w:val="single" w:sz="4" w:space="0" w:color="auto"/>
              <w:bottom w:val="single" w:sz="4" w:space="0" w:color="auto"/>
              <w:right w:val="single" w:sz="4" w:space="0" w:color="auto"/>
            </w:tcBorders>
            <w:hideMark/>
          </w:tcPr>
          <w:p w14:paraId="3DA678EA" w14:textId="77777777" w:rsidR="00A75091" w:rsidRPr="00CE778C" w:rsidRDefault="00A75091">
            <w:pPr>
              <w:pStyle w:val="Brdtekst"/>
              <w:widowControl/>
              <w:suppressAutoHyphens/>
              <w:kinsoku w:val="0"/>
              <w:overflowPunct w:val="0"/>
              <w:rPr>
                <w:rFonts w:ascii="Times New Roman" w:hAnsi="Times New Roman"/>
                <w:b/>
                <w:bCs/>
                <w:color w:val="000000" w:themeColor="text1"/>
                <w:lang w:eastAsia="ru-RU"/>
              </w:rPr>
            </w:pPr>
            <w:r w:rsidRPr="00CE778C">
              <w:rPr>
                <w:rFonts w:ascii="Times New Roman" w:hAnsi="Times New Roman"/>
                <w:b/>
                <w:bCs/>
                <w:color w:val="000000" w:themeColor="text1"/>
                <w:lang w:eastAsia="ru-RU"/>
              </w:rPr>
              <w:t>Hud og subkutane væv</w:t>
            </w:r>
          </w:p>
        </w:tc>
      </w:tr>
      <w:tr w:rsidR="00A75091" w:rsidRPr="00CE778C" w14:paraId="0FA6C4FA"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6FABC458" w14:textId="77777777" w:rsidR="00A75091" w:rsidRPr="00CE778C" w:rsidRDefault="00A75091">
            <w:pPr>
              <w:pStyle w:val="Brdtekst"/>
              <w:widowControl/>
              <w:suppressAutoHyphens/>
              <w:kinsoku w:val="0"/>
              <w:overflowPunct w:val="0"/>
              <w:rPr>
                <w:rFonts w:ascii="Times New Roman" w:hAnsi="Times New Roman"/>
                <w:color w:val="000000" w:themeColor="text1"/>
                <w:lang w:val="nb-NO" w:eastAsia="ru-RU"/>
              </w:rPr>
            </w:pPr>
            <w:r w:rsidRPr="00CE778C">
              <w:rPr>
                <w:rFonts w:ascii="Times New Roman" w:hAnsi="Times New Roman"/>
                <w:color w:val="000000" w:themeColor="text1"/>
                <w:lang w:val="nb-NO" w:eastAsia="ru-RU"/>
              </w:rPr>
              <w:t>Blødning i det kutane bløde væv</w:t>
            </w:r>
          </w:p>
        </w:tc>
        <w:tc>
          <w:tcPr>
            <w:tcW w:w="3260" w:type="dxa"/>
            <w:tcBorders>
              <w:top w:val="single" w:sz="4" w:space="0" w:color="auto"/>
              <w:left w:val="single" w:sz="4" w:space="0" w:color="auto"/>
              <w:bottom w:val="single" w:sz="4" w:space="0" w:color="auto"/>
              <w:right w:val="single" w:sz="4" w:space="0" w:color="auto"/>
            </w:tcBorders>
            <w:hideMark/>
          </w:tcPr>
          <w:p w14:paraId="2B985FFA"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Almindelig</w:t>
            </w:r>
          </w:p>
        </w:tc>
      </w:tr>
      <w:tr w:rsidR="00A75091" w:rsidRPr="00CE778C" w14:paraId="53A8FE28"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0BDF656B"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Udslæt</w:t>
            </w:r>
          </w:p>
        </w:tc>
        <w:tc>
          <w:tcPr>
            <w:tcW w:w="3260" w:type="dxa"/>
            <w:tcBorders>
              <w:top w:val="single" w:sz="4" w:space="0" w:color="auto"/>
              <w:left w:val="single" w:sz="4" w:space="0" w:color="auto"/>
              <w:bottom w:val="single" w:sz="4" w:space="0" w:color="auto"/>
              <w:right w:val="single" w:sz="4" w:space="0" w:color="auto"/>
            </w:tcBorders>
            <w:hideMark/>
          </w:tcPr>
          <w:p w14:paraId="14426F00"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Almindelig</w:t>
            </w:r>
          </w:p>
        </w:tc>
      </w:tr>
      <w:tr w:rsidR="00A75091" w:rsidRPr="00CE778C" w14:paraId="2600E57A"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152B365A"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Pruritus</w:t>
            </w:r>
          </w:p>
        </w:tc>
        <w:tc>
          <w:tcPr>
            <w:tcW w:w="3260" w:type="dxa"/>
            <w:tcBorders>
              <w:top w:val="single" w:sz="4" w:space="0" w:color="auto"/>
              <w:left w:val="single" w:sz="4" w:space="0" w:color="auto"/>
              <w:bottom w:val="single" w:sz="4" w:space="0" w:color="auto"/>
              <w:right w:val="single" w:sz="4" w:space="0" w:color="auto"/>
            </w:tcBorders>
            <w:hideMark/>
          </w:tcPr>
          <w:p w14:paraId="35D0CACD"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Almindelig</w:t>
            </w:r>
          </w:p>
        </w:tc>
      </w:tr>
      <w:tr w:rsidR="00A75091" w:rsidRPr="00CE778C" w14:paraId="63FA7903"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0B704C58"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Urticaria</w:t>
            </w:r>
          </w:p>
        </w:tc>
        <w:tc>
          <w:tcPr>
            <w:tcW w:w="3260" w:type="dxa"/>
            <w:tcBorders>
              <w:top w:val="single" w:sz="4" w:space="0" w:color="auto"/>
              <w:left w:val="single" w:sz="4" w:space="0" w:color="auto"/>
              <w:bottom w:val="single" w:sz="4" w:space="0" w:color="auto"/>
              <w:right w:val="single" w:sz="4" w:space="0" w:color="auto"/>
            </w:tcBorders>
            <w:hideMark/>
          </w:tcPr>
          <w:p w14:paraId="6E2D8955"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Ikke almindelig</w:t>
            </w:r>
          </w:p>
        </w:tc>
      </w:tr>
      <w:tr w:rsidR="00A75091" w:rsidRPr="00CE778C" w14:paraId="1EF6E356" w14:textId="77777777" w:rsidTr="00CE778C">
        <w:tc>
          <w:tcPr>
            <w:tcW w:w="8788" w:type="dxa"/>
            <w:gridSpan w:val="2"/>
            <w:tcBorders>
              <w:top w:val="single" w:sz="4" w:space="0" w:color="auto"/>
              <w:left w:val="single" w:sz="4" w:space="0" w:color="auto"/>
              <w:bottom w:val="single" w:sz="4" w:space="0" w:color="auto"/>
              <w:right w:val="single" w:sz="4" w:space="0" w:color="auto"/>
            </w:tcBorders>
            <w:hideMark/>
          </w:tcPr>
          <w:p w14:paraId="1B01611A" w14:textId="77777777" w:rsidR="00A75091" w:rsidRPr="00CE778C" w:rsidRDefault="00A75091">
            <w:pPr>
              <w:pStyle w:val="Brdtekst"/>
              <w:widowControl/>
              <w:suppressAutoHyphens/>
              <w:kinsoku w:val="0"/>
              <w:overflowPunct w:val="0"/>
              <w:rPr>
                <w:rFonts w:ascii="Times New Roman" w:hAnsi="Times New Roman"/>
                <w:b/>
                <w:bCs/>
                <w:color w:val="000000" w:themeColor="text1"/>
                <w:lang w:eastAsia="ru-RU"/>
              </w:rPr>
            </w:pPr>
            <w:r w:rsidRPr="00CE778C">
              <w:rPr>
                <w:rFonts w:ascii="Times New Roman" w:hAnsi="Times New Roman"/>
                <w:b/>
                <w:bCs/>
                <w:color w:val="000000" w:themeColor="text1"/>
                <w:lang w:eastAsia="ru-RU"/>
              </w:rPr>
              <w:t>Knogler, led, muskler og bindevæv</w:t>
            </w:r>
          </w:p>
        </w:tc>
      </w:tr>
      <w:tr w:rsidR="00A75091" w:rsidRPr="00CE778C" w14:paraId="77FFDD81"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007C1943"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Intramuskulær blødning (intet kompartmentsyndrom)</w:t>
            </w:r>
          </w:p>
        </w:tc>
        <w:tc>
          <w:tcPr>
            <w:tcW w:w="3260" w:type="dxa"/>
            <w:tcBorders>
              <w:top w:val="single" w:sz="4" w:space="0" w:color="auto"/>
              <w:left w:val="single" w:sz="4" w:space="0" w:color="auto"/>
              <w:bottom w:val="single" w:sz="4" w:space="0" w:color="auto"/>
              <w:right w:val="single" w:sz="4" w:space="0" w:color="auto"/>
            </w:tcBorders>
            <w:hideMark/>
          </w:tcPr>
          <w:p w14:paraId="33E1C99A"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Sjælden</w:t>
            </w:r>
          </w:p>
        </w:tc>
      </w:tr>
      <w:tr w:rsidR="00A75091" w:rsidRPr="00CE778C" w14:paraId="2215F618"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2DE18AEC"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Intraartikulær blødning</w:t>
            </w:r>
          </w:p>
        </w:tc>
        <w:tc>
          <w:tcPr>
            <w:tcW w:w="3260" w:type="dxa"/>
            <w:tcBorders>
              <w:top w:val="single" w:sz="4" w:space="0" w:color="auto"/>
              <w:left w:val="single" w:sz="4" w:space="0" w:color="auto"/>
              <w:bottom w:val="single" w:sz="4" w:space="0" w:color="auto"/>
              <w:right w:val="single" w:sz="4" w:space="0" w:color="auto"/>
            </w:tcBorders>
            <w:hideMark/>
          </w:tcPr>
          <w:p w14:paraId="409B54EE"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Sjælden</w:t>
            </w:r>
          </w:p>
        </w:tc>
      </w:tr>
      <w:tr w:rsidR="00A75091" w:rsidRPr="00CE778C" w14:paraId="62DE66E6" w14:textId="77777777" w:rsidTr="00CE778C">
        <w:tc>
          <w:tcPr>
            <w:tcW w:w="8788" w:type="dxa"/>
            <w:gridSpan w:val="2"/>
            <w:tcBorders>
              <w:top w:val="single" w:sz="4" w:space="0" w:color="auto"/>
              <w:left w:val="single" w:sz="4" w:space="0" w:color="auto"/>
              <w:bottom w:val="single" w:sz="4" w:space="0" w:color="auto"/>
              <w:right w:val="single" w:sz="4" w:space="0" w:color="auto"/>
            </w:tcBorders>
            <w:hideMark/>
          </w:tcPr>
          <w:p w14:paraId="3F8EC312" w14:textId="77777777" w:rsidR="00A75091" w:rsidRPr="00CE778C" w:rsidRDefault="00A75091">
            <w:pPr>
              <w:pStyle w:val="Brdtekst"/>
              <w:widowControl/>
              <w:suppressAutoHyphens/>
              <w:kinsoku w:val="0"/>
              <w:overflowPunct w:val="0"/>
              <w:rPr>
                <w:rFonts w:ascii="Times New Roman" w:hAnsi="Times New Roman"/>
                <w:b/>
                <w:bCs/>
                <w:color w:val="000000" w:themeColor="text1"/>
                <w:lang w:eastAsia="ru-RU"/>
              </w:rPr>
            </w:pPr>
            <w:r w:rsidRPr="00CE778C">
              <w:rPr>
                <w:rFonts w:ascii="Times New Roman" w:hAnsi="Times New Roman"/>
                <w:b/>
                <w:bCs/>
                <w:color w:val="000000" w:themeColor="text1"/>
                <w:lang w:eastAsia="ru-RU"/>
              </w:rPr>
              <w:t>Nyrer og urinveje</w:t>
            </w:r>
          </w:p>
        </w:tc>
      </w:tr>
      <w:tr w:rsidR="00A75091" w:rsidRPr="00CE778C" w14:paraId="121EAE07"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091E6BD6"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lastRenderedPageBreak/>
              <w:t>Makroskopisk hæmaturi/uretral blødning</w:t>
            </w:r>
          </w:p>
        </w:tc>
        <w:tc>
          <w:tcPr>
            <w:tcW w:w="3260" w:type="dxa"/>
            <w:tcBorders>
              <w:top w:val="single" w:sz="4" w:space="0" w:color="auto"/>
              <w:left w:val="single" w:sz="4" w:space="0" w:color="auto"/>
              <w:bottom w:val="single" w:sz="4" w:space="0" w:color="auto"/>
              <w:right w:val="single" w:sz="4" w:space="0" w:color="auto"/>
            </w:tcBorders>
            <w:hideMark/>
          </w:tcPr>
          <w:p w14:paraId="6F1BA1E5"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Almindelig</w:t>
            </w:r>
          </w:p>
        </w:tc>
      </w:tr>
      <w:tr w:rsidR="00A75091" w:rsidRPr="00CE778C" w14:paraId="78C43DDD"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3E07024F"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Antikoagulansrelateret nefropati</w:t>
            </w:r>
          </w:p>
        </w:tc>
        <w:tc>
          <w:tcPr>
            <w:tcW w:w="3260" w:type="dxa"/>
            <w:tcBorders>
              <w:top w:val="single" w:sz="4" w:space="0" w:color="auto"/>
              <w:left w:val="single" w:sz="4" w:space="0" w:color="auto"/>
              <w:bottom w:val="single" w:sz="4" w:space="0" w:color="auto"/>
              <w:right w:val="single" w:sz="4" w:space="0" w:color="auto"/>
            </w:tcBorders>
            <w:hideMark/>
          </w:tcPr>
          <w:p w14:paraId="2DF05A48"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Ikke kendt</w:t>
            </w:r>
          </w:p>
        </w:tc>
      </w:tr>
      <w:tr w:rsidR="00A75091" w:rsidRPr="00CE778C" w14:paraId="0B29244C" w14:textId="77777777" w:rsidTr="00CE778C">
        <w:tc>
          <w:tcPr>
            <w:tcW w:w="8788" w:type="dxa"/>
            <w:gridSpan w:val="2"/>
            <w:tcBorders>
              <w:top w:val="single" w:sz="4" w:space="0" w:color="auto"/>
              <w:left w:val="single" w:sz="4" w:space="0" w:color="auto"/>
              <w:bottom w:val="single" w:sz="4" w:space="0" w:color="auto"/>
              <w:right w:val="single" w:sz="4" w:space="0" w:color="auto"/>
            </w:tcBorders>
            <w:hideMark/>
          </w:tcPr>
          <w:p w14:paraId="1B8652F4" w14:textId="77777777" w:rsidR="00A75091" w:rsidRPr="00CE778C" w:rsidRDefault="00A75091">
            <w:pPr>
              <w:pStyle w:val="Brdtekst"/>
              <w:widowControl/>
              <w:suppressAutoHyphens/>
              <w:kinsoku w:val="0"/>
              <w:overflowPunct w:val="0"/>
              <w:rPr>
                <w:rFonts w:ascii="Times New Roman" w:hAnsi="Times New Roman"/>
                <w:b/>
                <w:bCs/>
                <w:color w:val="000000" w:themeColor="text1"/>
                <w:lang w:eastAsia="ru-RU"/>
              </w:rPr>
            </w:pPr>
            <w:r w:rsidRPr="00CE778C">
              <w:rPr>
                <w:rFonts w:ascii="Times New Roman" w:hAnsi="Times New Roman"/>
                <w:b/>
                <w:bCs/>
                <w:color w:val="000000" w:themeColor="text1"/>
                <w:lang w:eastAsia="ru-RU"/>
              </w:rPr>
              <w:t>Det reproduktive system og mammae</w:t>
            </w:r>
          </w:p>
        </w:tc>
      </w:tr>
      <w:tr w:rsidR="00A75091" w:rsidRPr="00CE778C" w14:paraId="7BF8AE34"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4462404A"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Vaginal blødning</w:t>
            </w:r>
            <w:r w:rsidRPr="00CE778C">
              <w:rPr>
                <w:rFonts w:ascii="Times New Roman" w:hAnsi="Times New Roman"/>
                <w:color w:val="000000" w:themeColor="text1"/>
                <w:vertAlign w:val="superscript"/>
                <w:lang w:eastAsia="ru-RU"/>
              </w:rPr>
              <w:t>1</w:t>
            </w:r>
          </w:p>
        </w:tc>
        <w:tc>
          <w:tcPr>
            <w:tcW w:w="3260" w:type="dxa"/>
            <w:tcBorders>
              <w:top w:val="single" w:sz="4" w:space="0" w:color="auto"/>
              <w:left w:val="single" w:sz="4" w:space="0" w:color="auto"/>
              <w:bottom w:val="single" w:sz="4" w:space="0" w:color="auto"/>
              <w:right w:val="single" w:sz="4" w:space="0" w:color="auto"/>
            </w:tcBorders>
            <w:hideMark/>
          </w:tcPr>
          <w:p w14:paraId="08493812"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Almindelig</w:t>
            </w:r>
          </w:p>
        </w:tc>
      </w:tr>
      <w:tr w:rsidR="00A75091" w:rsidRPr="00CE778C" w14:paraId="455D6B29" w14:textId="77777777" w:rsidTr="00CE778C">
        <w:tc>
          <w:tcPr>
            <w:tcW w:w="8788" w:type="dxa"/>
            <w:gridSpan w:val="2"/>
            <w:tcBorders>
              <w:top w:val="single" w:sz="4" w:space="0" w:color="auto"/>
              <w:left w:val="single" w:sz="4" w:space="0" w:color="auto"/>
              <w:bottom w:val="single" w:sz="4" w:space="0" w:color="auto"/>
              <w:right w:val="single" w:sz="4" w:space="0" w:color="auto"/>
            </w:tcBorders>
            <w:hideMark/>
          </w:tcPr>
          <w:p w14:paraId="0E3FEC6B" w14:textId="77777777" w:rsidR="00A75091" w:rsidRPr="00CE778C" w:rsidRDefault="00A75091">
            <w:pPr>
              <w:pStyle w:val="Brdtekst"/>
              <w:widowControl/>
              <w:suppressAutoHyphens/>
              <w:kinsoku w:val="0"/>
              <w:overflowPunct w:val="0"/>
              <w:rPr>
                <w:rFonts w:ascii="Times New Roman" w:hAnsi="Times New Roman"/>
                <w:b/>
                <w:bCs/>
                <w:color w:val="000000" w:themeColor="text1"/>
                <w:lang w:eastAsia="ru-RU"/>
              </w:rPr>
            </w:pPr>
            <w:r w:rsidRPr="00CE778C">
              <w:rPr>
                <w:rFonts w:ascii="Times New Roman" w:hAnsi="Times New Roman"/>
                <w:b/>
                <w:bCs/>
                <w:color w:val="000000" w:themeColor="text1"/>
                <w:lang w:eastAsia="ru-RU"/>
              </w:rPr>
              <w:t>Almene symptomer og reaktioner på administrationsstedet</w:t>
            </w:r>
          </w:p>
        </w:tc>
      </w:tr>
      <w:tr w:rsidR="00A75091" w:rsidRPr="00CE778C" w14:paraId="4FE9F9A7"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2BE4D6C4"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Blødning på indstiksstedet</w:t>
            </w:r>
          </w:p>
        </w:tc>
        <w:tc>
          <w:tcPr>
            <w:tcW w:w="3260" w:type="dxa"/>
            <w:tcBorders>
              <w:top w:val="single" w:sz="4" w:space="0" w:color="auto"/>
              <w:left w:val="single" w:sz="4" w:space="0" w:color="auto"/>
              <w:bottom w:val="single" w:sz="4" w:space="0" w:color="auto"/>
              <w:right w:val="single" w:sz="4" w:space="0" w:color="auto"/>
            </w:tcBorders>
            <w:hideMark/>
          </w:tcPr>
          <w:p w14:paraId="050FF300"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Almindelig</w:t>
            </w:r>
          </w:p>
        </w:tc>
      </w:tr>
      <w:tr w:rsidR="00A75091" w:rsidRPr="00CE778C" w14:paraId="5875BBDD" w14:textId="77777777" w:rsidTr="00CE778C">
        <w:tc>
          <w:tcPr>
            <w:tcW w:w="8788" w:type="dxa"/>
            <w:gridSpan w:val="2"/>
            <w:tcBorders>
              <w:top w:val="single" w:sz="4" w:space="0" w:color="auto"/>
              <w:left w:val="single" w:sz="4" w:space="0" w:color="auto"/>
              <w:bottom w:val="single" w:sz="4" w:space="0" w:color="auto"/>
              <w:right w:val="single" w:sz="4" w:space="0" w:color="auto"/>
            </w:tcBorders>
            <w:hideMark/>
          </w:tcPr>
          <w:p w14:paraId="5E1B4D6A" w14:textId="77777777" w:rsidR="00A75091" w:rsidRPr="00CE778C" w:rsidRDefault="00A75091">
            <w:pPr>
              <w:pStyle w:val="Brdtekst"/>
              <w:widowControl/>
              <w:suppressAutoHyphens/>
              <w:kinsoku w:val="0"/>
              <w:overflowPunct w:val="0"/>
              <w:rPr>
                <w:rFonts w:ascii="Times New Roman" w:hAnsi="Times New Roman"/>
                <w:b/>
                <w:bCs/>
                <w:color w:val="000000" w:themeColor="text1"/>
                <w:lang w:eastAsia="ru-RU"/>
              </w:rPr>
            </w:pPr>
            <w:r w:rsidRPr="00CE778C">
              <w:rPr>
                <w:rFonts w:ascii="Times New Roman" w:hAnsi="Times New Roman"/>
                <w:b/>
                <w:bCs/>
                <w:color w:val="000000" w:themeColor="text1"/>
                <w:lang w:eastAsia="ru-RU"/>
              </w:rPr>
              <w:t>Undersøgelser</w:t>
            </w:r>
          </w:p>
        </w:tc>
      </w:tr>
      <w:tr w:rsidR="00A75091" w:rsidRPr="00CE778C" w14:paraId="49718FFB"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37B4FDC1"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Unormal leverfunktionsundersøgelse</w:t>
            </w:r>
          </w:p>
        </w:tc>
        <w:tc>
          <w:tcPr>
            <w:tcW w:w="3260" w:type="dxa"/>
            <w:tcBorders>
              <w:top w:val="single" w:sz="4" w:space="0" w:color="auto"/>
              <w:left w:val="single" w:sz="4" w:space="0" w:color="auto"/>
              <w:bottom w:val="single" w:sz="4" w:space="0" w:color="auto"/>
              <w:right w:val="single" w:sz="4" w:space="0" w:color="auto"/>
            </w:tcBorders>
            <w:hideMark/>
          </w:tcPr>
          <w:p w14:paraId="3577A13E"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Almindelig</w:t>
            </w:r>
          </w:p>
        </w:tc>
      </w:tr>
      <w:tr w:rsidR="00A75091" w:rsidRPr="00CE778C" w14:paraId="29C0F143" w14:textId="77777777" w:rsidTr="00CE778C">
        <w:tc>
          <w:tcPr>
            <w:tcW w:w="8788" w:type="dxa"/>
            <w:gridSpan w:val="2"/>
            <w:tcBorders>
              <w:top w:val="single" w:sz="4" w:space="0" w:color="auto"/>
              <w:left w:val="single" w:sz="4" w:space="0" w:color="auto"/>
              <w:bottom w:val="single" w:sz="4" w:space="0" w:color="auto"/>
              <w:right w:val="single" w:sz="4" w:space="0" w:color="auto"/>
            </w:tcBorders>
            <w:hideMark/>
          </w:tcPr>
          <w:p w14:paraId="24AD5C76" w14:textId="77777777" w:rsidR="00A75091" w:rsidRPr="00CE778C" w:rsidRDefault="00A75091">
            <w:pPr>
              <w:pStyle w:val="Brdtekst"/>
              <w:widowControl/>
              <w:suppressAutoHyphens/>
              <w:kinsoku w:val="0"/>
              <w:overflowPunct w:val="0"/>
              <w:rPr>
                <w:rFonts w:ascii="Times New Roman" w:hAnsi="Times New Roman"/>
                <w:b/>
                <w:bCs/>
                <w:color w:val="000000" w:themeColor="text1"/>
                <w:lang w:eastAsia="ru-RU"/>
              </w:rPr>
            </w:pPr>
            <w:r w:rsidRPr="00CE778C">
              <w:rPr>
                <w:rFonts w:ascii="Times New Roman" w:hAnsi="Times New Roman"/>
                <w:b/>
                <w:bCs/>
                <w:color w:val="000000" w:themeColor="text1"/>
                <w:lang w:eastAsia="ru-RU"/>
              </w:rPr>
              <w:t>Traumer, forgiftninger og behandlingskomplikationer</w:t>
            </w:r>
          </w:p>
        </w:tc>
      </w:tr>
      <w:tr w:rsidR="00A75091" w:rsidRPr="00CE778C" w14:paraId="7B9801CE"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69F45B5F"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Blødning på indstiksstedet</w:t>
            </w:r>
          </w:p>
        </w:tc>
        <w:tc>
          <w:tcPr>
            <w:tcW w:w="3260" w:type="dxa"/>
            <w:tcBorders>
              <w:top w:val="single" w:sz="4" w:space="0" w:color="auto"/>
              <w:left w:val="single" w:sz="4" w:space="0" w:color="auto"/>
              <w:bottom w:val="single" w:sz="4" w:space="0" w:color="auto"/>
              <w:right w:val="single" w:sz="4" w:space="0" w:color="auto"/>
            </w:tcBorders>
            <w:hideMark/>
          </w:tcPr>
          <w:p w14:paraId="5E624904"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Ikke almindelig</w:t>
            </w:r>
          </w:p>
        </w:tc>
      </w:tr>
      <w:tr w:rsidR="00A75091" w:rsidRPr="00CE778C" w14:paraId="46CF56B0"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118A367F"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Subdural blødning</w:t>
            </w:r>
          </w:p>
        </w:tc>
        <w:tc>
          <w:tcPr>
            <w:tcW w:w="3260" w:type="dxa"/>
            <w:tcBorders>
              <w:top w:val="single" w:sz="4" w:space="0" w:color="auto"/>
              <w:left w:val="single" w:sz="4" w:space="0" w:color="auto"/>
              <w:bottom w:val="single" w:sz="4" w:space="0" w:color="auto"/>
              <w:right w:val="single" w:sz="4" w:space="0" w:color="auto"/>
            </w:tcBorders>
            <w:hideMark/>
          </w:tcPr>
          <w:p w14:paraId="7E5966F2"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Sjælden</w:t>
            </w:r>
          </w:p>
        </w:tc>
      </w:tr>
      <w:tr w:rsidR="00A75091" w:rsidRPr="00CE778C" w14:paraId="104A628F" w14:textId="77777777" w:rsidTr="00CE778C">
        <w:tc>
          <w:tcPr>
            <w:tcW w:w="5528" w:type="dxa"/>
            <w:tcBorders>
              <w:top w:val="single" w:sz="4" w:space="0" w:color="auto"/>
              <w:left w:val="single" w:sz="4" w:space="0" w:color="auto"/>
              <w:bottom w:val="single" w:sz="4" w:space="0" w:color="auto"/>
              <w:right w:val="single" w:sz="4" w:space="0" w:color="auto"/>
            </w:tcBorders>
            <w:hideMark/>
          </w:tcPr>
          <w:p w14:paraId="1B3D72AF"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Blødning under indgrebet</w:t>
            </w:r>
          </w:p>
        </w:tc>
        <w:tc>
          <w:tcPr>
            <w:tcW w:w="3260" w:type="dxa"/>
            <w:tcBorders>
              <w:top w:val="single" w:sz="4" w:space="0" w:color="auto"/>
              <w:left w:val="single" w:sz="4" w:space="0" w:color="auto"/>
              <w:bottom w:val="single" w:sz="4" w:space="0" w:color="auto"/>
              <w:right w:val="single" w:sz="4" w:space="0" w:color="auto"/>
            </w:tcBorders>
            <w:hideMark/>
          </w:tcPr>
          <w:p w14:paraId="1F6567C3" w14:textId="77777777" w:rsidR="00A75091" w:rsidRPr="00CE778C" w:rsidRDefault="00A75091">
            <w:pPr>
              <w:pStyle w:val="Brdtekst"/>
              <w:widowControl/>
              <w:suppressAutoHyphens/>
              <w:kinsoku w:val="0"/>
              <w:overflowPunct w:val="0"/>
              <w:rPr>
                <w:rFonts w:ascii="Times New Roman" w:hAnsi="Times New Roman"/>
                <w:color w:val="000000" w:themeColor="text1"/>
                <w:lang w:eastAsia="ru-RU"/>
              </w:rPr>
            </w:pPr>
            <w:r w:rsidRPr="00CE778C">
              <w:rPr>
                <w:rFonts w:ascii="Times New Roman" w:hAnsi="Times New Roman"/>
                <w:color w:val="000000" w:themeColor="text1"/>
                <w:lang w:eastAsia="ru-RU"/>
              </w:rPr>
              <w:t>Sjælden</w:t>
            </w:r>
          </w:p>
        </w:tc>
      </w:tr>
    </w:tbl>
    <w:p w14:paraId="10B3BCB4" w14:textId="77777777" w:rsidR="00A75091" w:rsidRPr="00CE778C" w:rsidRDefault="00A75091" w:rsidP="00CE778C">
      <w:pPr>
        <w:ind w:left="851"/>
        <w:rPr>
          <w:sz w:val="24"/>
          <w:szCs w:val="24"/>
        </w:rPr>
      </w:pPr>
      <w:r w:rsidRPr="00CE778C">
        <w:rPr>
          <w:sz w:val="24"/>
          <w:szCs w:val="24"/>
          <w:vertAlign w:val="superscript"/>
        </w:rPr>
        <w:t>1</w:t>
      </w:r>
      <w:r w:rsidRPr="00CE778C">
        <w:rPr>
          <w:sz w:val="24"/>
          <w:szCs w:val="24"/>
        </w:rPr>
        <w:t xml:space="preserve"> Rapporteringshyppighederne er baseret på den kvindelige population i kliniske studier.</w:t>
      </w:r>
    </w:p>
    <w:p w14:paraId="6E523698" w14:textId="0F6A4EB2" w:rsidR="00A75091" w:rsidRPr="00CE778C" w:rsidRDefault="00A75091" w:rsidP="00CE778C">
      <w:pPr>
        <w:ind w:left="851"/>
        <w:rPr>
          <w:sz w:val="24"/>
          <w:szCs w:val="24"/>
        </w:rPr>
      </w:pPr>
      <w:r w:rsidRPr="00CE778C">
        <w:rPr>
          <w:sz w:val="24"/>
          <w:szCs w:val="24"/>
        </w:rPr>
        <w:t>Vaginalblødninger blev rapporteret med almindelig hyppighed hos kvinder under 50 år, mens de</w:t>
      </w:r>
      <w:r w:rsidR="007553F5">
        <w:rPr>
          <w:sz w:val="24"/>
          <w:szCs w:val="24"/>
        </w:rPr>
        <w:t xml:space="preserve"> </w:t>
      </w:r>
      <w:r w:rsidRPr="00CE778C">
        <w:rPr>
          <w:sz w:val="24"/>
          <w:szCs w:val="24"/>
        </w:rPr>
        <w:t>ikke var almindelige hos kvinder over 50 år.</w:t>
      </w:r>
    </w:p>
    <w:p w14:paraId="6305602D" w14:textId="77777777" w:rsidR="00A75091" w:rsidRPr="00CE778C" w:rsidRDefault="00A75091" w:rsidP="00CE778C">
      <w:pPr>
        <w:ind w:left="851"/>
        <w:rPr>
          <w:sz w:val="24"/>
          <w:szCs w:val="24"/>
        </w:rPr>
      </w:pPr>
    </w:p>
    <w:p w14:paraId="60477B08" w14:textId="77777777" w:rsidR="00A75091" w:rsidRPr="00CE778C" w:rsidRDefault="00A75091" w:rsidP="00CE778C">
      <w:pPr>
        <w:ind w:left="851"/>
        <w:rPr>
          <w:sz w:val="24"/>
          <w:szCs w:val="24"/>
          <w:u w:val="single"/>
        </w:rPr>
      </w:pPr>
      <w:r w:rsidRPr="00CE778C">
        <w:rPr>
          <w:sz w:val="24"/>
          <w:szCs w:val="24"/>
          <w:u w:val="single"/>
        </w:rPr>
        <w:t>Beskrivelse af udvalgte bivirkninger</w:t>
      </w:r>
    </w:p>
    <w:p w14:paraId="3147D632" w14:textId="77777777" w:rsidR="00A75091" w:rsidRPr="00CE778C" w:rsidRDefault="00A75091" w:rsidP="00CE778C">
      <w:pPr>
        <w:ind w:left="851"/>
        <w:rPr>
          <w:i/>
          <w:iCs/>
          <w:sz w:val="24"/>
          <w:szCs w:val="24"/>
        </w:rPr>
      </w:pPr>
      <w:r w:rsidRPr="00CE778C">
        <w:rPr>
          <w:i/>
          <w:iCs/>
          <w:sz w:val="24"/>
          <w:szCs w:val="24"/>
        </w:rPr>
        <w:t>Hæmoragisk anæmi</w:t>
      </w:r>
    </w:p>
    <w:p w14:paraId="5A5BFC3E" w14:textId="54F57803" w:rsidR="00A75091" w:rsidRPr="00CE778C" w:rsidRDefault="00A75091" w:rsidP="00CE778C">
      <w:pPr>
        <w:ind w:left="851"/>
        <w:rPr>
          <w:sz w:val="24"/>
          <w:szCs w:val="24"/>
        </w:rPr>
      </w:pPr>
      <w:r w:rsidRPr="00CE778C">
        <w:rPr>
          <w:sz w:val="24"/>
          <w:szCs w:val="24"/>
        </w:rPr>
        <w:t>På grund af edoxabans farmakologiske virkningsmekanisme kan brugen af edoxaban være forbundet med en øget risiko for okkult eller synlig blødning fra alle væv eller organer, hvilket kan medføre</w:t>
      </w:r>
      <w:r w:rsidR="007553F5">
        <w:rPr>
          <w:sz w:val="24"/>
          <w:szCs w:val="24"/>
        </w:rPr>
        <w:t xml:space="preserve"> </w:t>
      </w:r>
      <w:r w:rsidRPr="00CE778C">
        <w:rPr>
          <w:sz w:val="24"/>
          <w:szCs w:val="24"/>
        </w:rPr>
        <w:t xml:space="preserve">posthæmoragisk anæmi. Tegnene, symptomerne og sværhedsgraden (herunder dødelig udgang) varierer i forhold til blødningens placering og graden eller omfanget af blødningen og/eller anæmien (se pkt. 4.9). </w:t>
      </w:r>
      <w:r w:rsidRPr="00CE778C">
        <w:rPr>
          <w:sz w:val="24"/>
          <w:szCs w:val="24"/>
        </w:rPr>
        <w:br/>
        <w:t>I de kliniske studier sås slimhindeblødninger (f.eks. epistaxis, blødning fra mave-tarm</w:t>
      </w:r>
      <w:r w:rsidR="00BC493D">
        <w:rPr>
          <w:sz w:val="24"/>
          <w:szCs w:val="24"/>
        </w:rPr>
        <w:t>-</w:t>
      </w:r>
      <w:r w:rsidRPr="00CE778C">
        <w:rPr>
          <w:sz w:val="24"/>
          <w:szCs w:val="24"/>
        </w:rPr>
        <w:t>kanalen, genitalier og urinveje) og anæmi hyppigere under langtidsbehandling med edoxaban i sammenligning med VKA-behandling. Ud over tilstrækkelig klinisk overvågning kan det derfor være af værdi at undersøge hæmoglobin/hæmatokrit for at opdage okkult blødning, hvis det skønnes nødvendigt. Risikoen for blødning kan være øget hos visse patientgrupper, f.eks. hos patienter med ukontrolleret, svær arteriel hypertension, og/eller som samtidig får anden behandling, der påvirker hæmostasen (se pkt</w:t>
      </w:r>
      <w:r w:rsidR="00BC493D">
        <w:rPr>
          <w:sz w:val="24"/>
          <w:szCs w:val="24"/>
        </w:rPr>
        <w:t>.</w:t>
      </w:r>
      <w:r w:rsidRPr="00CE778C">
        <w:rPr>
          <w:sz w:val="24"/>
          <w:szCs w:val="24"/>
        </w:rPr>
        <w:t xml:space="preserve"> 4.4). Menstruationsblødningen kan være kraftigere og/eller forlænget. Blødningskomplikationer kan optræde som svaghed, bleghed, svimmelhed, hovedpine eller uforklarlig hævelse, dyspnø og uforklarligt shock.</w:t>
      </w:r>
    </w:p>
    <w:p w14:paraId="1B9767E4" w14:textId="5B36448D" w:rsidR="00A75091" w:rsidRPr="00CE778C" w:rsidRDefault="00A75091" w:rsidP="00CE778C">
      <w:pPr>
        <w:ind w:left="851"/>
        <w:rPr>
          <w:sz w:val="24"/>
          <w:szCs w:val="24"/>
        </w:rPr>
      </w:pPr>
      <w:r w:rsidRPr="00CE778C">
        <w:rPr>
          <w:sz w:val="24"/>
          <w:szCs w:val="24"/>
        </w:rPr>
        <w:t>Der er for edoxaban indberettet kendte komplikationer sekundære til svær blødning som f.eks.</w:t>
      </w:r>
      <w:r w:rsidR="007553F5">
        <w:rPr>
          <w:sz w:val="24"/>
          <w:szCs w:val="24"/>
        </w:rPr>
        <w:t xml:space="preserve"> </w:t>
      </w:r>
      <w:r w:rsidRPr="00CE778C">
        <w:rPr>
          <w:sz w:val="24"/>
          <w:szCs w:val="24"/>
        </w:rPr>
        <w:t>kompartmentsyndrom og nyresvigt som følge af hypoperfusion eller antikoagulansrelateret nefropati.</w:t>
      </w:r>
    </w:p>
    <w:p w14:paraId="1A794ACE" w14:textId="77777777" w:rsidR="00A75091" w:rsidRPr="00CE778C" w:rsidRDefault="00A75091" w:rsidP="00CE778C">
      <w:pPr>
        <w:ind w:left="851"/>
        <w:rPr>
          <w:sz w:val="24"/>
          <w:szCs w:val="24"/>
        </w:rPr>
      </w:pPr>
      <w:r w:rsidRPr="00CE778C">
        <w:rPr>
          <w:sz w:val="24"/>
          <w:szCs w:val="24"/>
        </w:rPr>
        <w:t>Der skal derfor tages højde for risikoen for blødning, når tilstanden hos en patient, der får antikoagulans, evalueres.</w:t>
      </w:r>
    </w:p>
    <w:p w14:paraId="3A37846C" w14:textId="77777777" w:rsidR="00A75091" w:rsidRPr="00CE778C" w:rsidRDefault="00A75091" w:rsidP="00CE778C">
      <w:pPr>
        <w:ind w:left="851"/>
        <w:rPr>
          <w:sz w:val="24"/>
          <w:szCs w:val="24"/>
        </w:rPr>
      </w:pPr>
    </w:p>
    <w:p w14:paraId="7EDFF6ED" w14:textId="77777777" w:rsidR="00A75091" w:rsidRPr="00CE778C" w:rsidRDefault="00A75091" w:rsidP="00CE778C">
      <w:pPr>
        <w:ind w:left="851"/>
        <w:rPr>
          <w:color w:val="000000" w:themeColor="text1"/>
          <w:sz w:val="24"/>
          <w:szCs w:val="24"/>
          <w:u w:val="single"/>
        </w:rPr>
      </w:pPr>
      <w:r w:rsidRPr="00CE778C">
        <w:rPr>
          <w:color w:val="000000" w:themeColor="text1"/>
          <w:sz w:val="24"/>
          <w:szCs w:val="24"/>
          <w:u w:val="single"/>
        </w:rPr>
        <w:t>Pædiatrisk population</w:t>
      </w:r>
    </w:p>
    <w:p w14:paraId="7110DE2D" w14:textId="77777777" w:rsidR="00A75091" w:rsidRPr="00CE778C" w:rsidRDefault="00A75091" w:rsidP="00CE778C">
      <w:pPr>
        <w:ind w:left="851"/>
        <w:rPr>
          <w:color w:val="000000" w:themeColor="text1"/>
          <w:sz w:val="24"/>
          <w:szCs w:val="24"/>
        </w:rPr>
      </w:pPr>
    </w:p>
    <w:p w14:paraId="2F285CC2" w14:textId="77777777" w:rsidR="00A75091" w:rsidRPr="00CE778C" w:rsidRDefault="00A75091" w:rsidP="00CE778C">
      <w:pPr>
        <w:ind w:left="851"/>
        <w:rPr>
          <w:color w:val="000000" w:themeColor="text1"/>
          <w:sz w:val="24"/>
          <w:szCs w:val="24"/>
        </w:rPr>
      </w:pPr>
      <w:r w:rsidRPr="00CE778C">
        <w:rPr>
          <w:color w:val="000000" w:themeColor="text1"/>
          <w:sz w:val="24"/>
          <w:szCs w:val="24"/>
        </w:rPr>
        <w:t>Edoxabans sikkerhed er blevet evalueret i to fase 3-studier (Hokusai VTE PEDIATRICS og ENNOBLE-ATE) hos pædiatriske patienter i alderen 0 til under 18 år med VTE (286 patienter, 145 patienter behandlet med edoxaban) og hjertesygdomme med risiko for trombosehændelser (167 patienter, 109 patienter behandlet med edoxaban). Samlet set svarede sikkerhedsprofilen for børn til sikkerhedsprofilen for den voksne patientpopulation (se tabel 3). I alt 16,6 % af de pædiatriske patienter, der blev behandlet med edoxaban mod VTE, oplevede bivirkninger.</w:t>
      </w:r>
    </w:p>
    <w:p w14:paraId="3A7B546C" w14:textId="547F7CD7" w:rsidR="001D7285" w:rsidRDefault="001D7285">
      <w:pPr>
        <w:rPr>
          <w:color w:val="000000" w:themeColor="text1"/>
          <w:sz w:val="24"/>
          <w:szCs w:val="24"/>
        </w:rPr>
      </w:pPr>
      <w:r>
        <w:rPr>
          <w:color w:val="000000" w:themeColor="text1"/>
          <w:sz w:val="24"/>
          <w:szCs w:val="24"/>
        </w:rPr>
        <w:br w:type="page"/>
      </w:r>
    </w:p>
    <w:p w14:paraId="39E51DF2" w14:textId="77777777" w:rsidR="00A75091" w:rsidRPr="00CE778C" w:rsidRDefault="00A75091" w:rsidP="00CE778C">
      <w:pPr>
        <w:ind w:left="851"/>
        <w:rPr>
          <w:color w:val="000000" w:themeColor="text1"/>
          <w:sz w:val="24"/>
          <w:szCs w:val="24"/>
        </w:rPr>
      </w:pPr>
    </w:p>
    <w:p w14:paraId="286273D3" w14:textId="77777777" w:rsidR="00A75091" w:rsidRPr="00CE778C" w:rsidRDefault="00A75091" w:rsidP="00CE778C">
      <w:pPr>
        <w:ind w:left="851"/>
        <w:rPr>
          <w:color w:val="000000" w:themeColor="text1"/>
          <w:sz w:val="24"/>
          <w:szCs w:val="24"/>
        </w:rPr>
      </w:pPr>
      <w:r w:rsidRPr="00CE778C">
        <w:rPr>
          <w:color w:val="000000" w:themeColor="text1"/>
          <w:sz w:val="24"/>
          <w:szCs w:val="24"/>
          <w:u w:val="single"/>
        </w:rPr>
        <w:t>Indberetning af formodede bivirkninger</w:t>
      </w:r>
    </w:p>
    <w:p w14:paraId="64022F28" w14:textId="77777777" w:rsidR="00A75091" w:rsidRPr="00CE778C" w:rsidRDefault="00A75091" w:rsidP="00CE778C">
      <w:pPr>
        <w:ind w:left="851"/>
        <w:rPr>
          <w:noProof/>
          <w:sz w:val="24"/>
          <w:szCs w:val="24"/>
        </w:rPr>
      </w:pPr>
      <w:r w:rsidRPr="00CE778C">
        <w:rPr>
          <w:noProof/>
          <w:sz w:val="24"/>
          <w:szCs w:val="24"/>
        </w:rPr>
        <w:t>Når lægemidlet er godkendt, er indberetning af formodede bivirkninger vigtig.</w:t>
      </w:r>
      <w:r w:rsidRPr="00CE778C">
        <w:rPr>
          <w:sz w:val="24"/>
          <w:szCs w:val="24"/>
        </w:rPr>
        <w:t xml:space="preserve"> </w:t>
      </w:r>
      <w:r w:rsidRPr="00CE778C">
        <w:rPr>
          <w:noProof/>
          <w:sz w:val="24"/>
          <w:szCs w:val="24"/>
        </w:rPr>
        <w:t>Det muliggør løbende overvågning af benefit/risk-forholdet for lægemidlet.</w:t>
      </w:r>
      <w:r w:rsidRPr="00CE778C">
        <w:rPr>
          <w:sz w:val="24"/>
          <w:szCs w:val="24"/>
        </w:rPr>
        <w:t xml:space="preserve"> </w:t>
      </w:r>
      <w:r w:rsidRPr="00CE778C">
        <w:rPr>
          <w:noProof/>
          <w:sz w:val="24"/>
          <w:szCs w:val="24"/>
        </w:rPr>
        <w:t>Sundhedspersoner anmodes om at indberette alle formodede bivirkninger via:</w:t>
      </w:r>
    </w:p>
    <w:p w14:paraId="42D7F2A3" w14:textId="77777777" w:rsidR="00A75091" w:rsidRPr="00CE778C" w:rsidRDefault="00A75091" w:rsidP="00CE778C">
      <w:pPr>
        <w:ind w:left="851"/>
        <w:rPr>
          <w:color w:val="000000" w:themeColor="text1"/>
          <w:sz w:val="24"/>
          <w:szCs w:val="24"/>
        </w:rPr>
      </w:pPr>
    </w:p>
    <w:p w14:paraId="718440A3" w14:textId="77777777" w:rsidR="00A75091" w:rsidRPr="00CE778C" w:rsidRDefault="00A75091" w:rsidP="00CE778C">
      <w:pPr>
        <w:ind w:left="851"/>
        <w:rPr>
          <w:color w:val="000000" w:themeColor="text1"/>
          <w:sz w:val="24"/>
          <w:szCs w:val="24"/>
        </w:rPr>
      </w:pPr>
      <w:r w:rsidRPr="00CE778C">
        <w:rPr>
          <w:color w:val="000000" w:themeColor="text1"/>
          <w:sz w:val="24"/>
          <w:szCs w:val="24"/>
        </w:rPr>
        <w:t>Lægemiddelstyrelsen</w:t>
      </w:r>
      <w:r w:rsidRPr="00CE778C">
        <w:rPr>
          <w:color w:val="000000" w:themeColor="text1"/>
          <w:sz w:val="24"/>
          <w:szCs w:val="24"/>
        </w:rPr>
        <w:br/>
        <w:t>Axel Heides Gade 1</w:t>
      </w:r>
      <w:r w:rsidRPr="00CE778C">
        <w:rPr>
          <w:color w:val="000000" w:themeColor="text1"/>
          <w:sz w:val="24"/>
          <w:szCs w:val="24"/>
        </w:rPr>
        <w:br/>
        <w:t>DK-2300 København S</w:t>
      </w:r>
      <w:r w:rsidRPr="00CE778C">
        <w:rPr>
          <w:color w:val="000000" w:themeColor="text1"/>
          <w:sz w:val="24"/>
          <w:szCs w:val="24"/>
        </w:rPr>
        <w:br/>
        <w:t>Websted: </w:t>
      </w:r>
      <w:hyperlink r:id="rId8" w:history="1">
        <w:r w:rsidRPr="00CE778C">
          <w:rPr>
            <w:rStyle w:val="Hyperlink"/>
            <w:sz w:val="24"/>
            <w:szCs w:val="24"/>
          </w:rPr>
          <w:t>www.meldenbivirkning.dk</w:t>
        </w:r>
      </w:hyperlink>
    </w:p>
    <w:p w14:paraId="70F38B48" w14:textId="77777777" w:rsidR="009260DE" w:rsidRPr="00CE778C" w:rsidRDefault="009260DE" w:rsidP="00A10294">
      <w:pPr>
        <w:tabs>
          <w:tab w:val="left" w:pos="851"/>
        </w:tabs>
        <w:ind w:left="851"/>
        <w:rPr>
          <w:sz w:val="24"/>
          <w:szCs w:val="24"/>
        </w:rPr>
      </w:pPr>
    </w:p>
    <w:p w14:paraId="4A334324" w14:textId="77777777" w:rsidR="009260DE" w:rsidRPr="00CE778C" w:rsidRDefault="009260DE" w:rsidP="009260DE">
      <w:pPr>
        <w:tabs>
          <w:tab w:val="left" w:pos="851"/>
        </w:tabs>
        <w:ind w:left="851" w:hanging="851"/>
        <w:rPr>
          <w:b/>
          <w:sz w:val="24"/>
          <w:szCs w:val="24"/>
        </w:rPr>
      </w:pPr>
      <w:r w:rsidRPr="00CE778C">
        <w:rPr>
          <w:b/>
          <w:sz w:val="24"/>
          <w:szCs w:val="24"/>
        </w:rPr>
        <w:t>4.9</w:t>
      </w:r>
      <w:r w:rsidRPr="00CE778C">
        <w:rPr>
          <w:b/>
          <w:sz w:val="24"/>
          <w:szCs w:val="24"/>
        </w:rPr>
        <w:tab/>
        <w:t>Overdosering</w:t>
      </w:r>
    </w:p>
    <w:p w14:paraId="70A3F951" w14:textId="77777777" w:rsidR="00A75091" w:rsidRPr="00CE778C" w:rsidRDefault="00A75091" w:rsidP="00CE778C">
      <w:pPr>
        <w:ind w:left="851"/>
        <w:rPr>
          <w:sz w:val="24"/>
          <w:szCs w:val="24"/>
        </w:rPr>
      </w:pPr>
      <w:r w:rsidRPr="00CE778C">
        <w:rPr>
          <w:sz w:val="24"/>
          <w:szCs w:val="24"/>
          <w:lang w:val="nb-NO"/>
        </w:rPr>
        <w:t xml:space="preserve">En overdosering med edoxaban kan føre til blødning. </w:t>
      </w:r>
      <w:r w:rsidRPr="00CE778C">
        <w:rPr>
          <w:sz w:val="24"/>
          <w:szCs w:val="24"/>
        </w:rPr>
        <w:t>Erfaringen fra tilfælde med overdosering er meget begrænset.</w:t>
      </w:r>
    </w:p>
    <w:p w14:paraId="5DA09D1F" w14:textId="77777777" w:rsidR="00A75091" w:rsidRPr="00CE778C" w:rsidRDefault="00A75091" w:rsidP="00CE778C">
      <w:pPr>
        <w:ind w:left="851"/>
        <w:rPr>
          <w:sz w:val="24"/>
          <w:szCs w:val="24"/>
        </w:rPr>
      </w:pPr>
    </w:p>
    <w:p w14:paraId="75B8A279" w14:textId="77777777" w:rsidR="00A75091" w:rsidRPr="00CE778C" w:rsidRDefault="00A75091" w:rsidP="00CE778C">
      <w:pPr>
        <w:ind w:left="851"/>
        <w:rPr>
          <w:sz w:val="24"/>
          <w:szCs w:val="24"/>
        </w:rPr>
      </w:pPr>
      <w:r w:rsidRPr="00CE778C">
        <w:rPr>
          <w:sz w:val="24"/>
          <w:szCs w:val="24"/>
        </w:rPr>
        <w:t>Der findes ikke en specifik antidot, der antagoniserer edoxabans farmakodynamiske virkning.</w:t>
      </w:r>
    </w:p>
    <w:p w14:paraId="473DF198" w14:textId="77777777" w:rsidR="00A75091" w:rsidRPr="00CE778C" w:rsidRDefault="00A75091" w:rsidP="00CE778C">
      <w:pPr>
        <w:ind w:left="851"/>
        <w:rPr>
          <w:sz w:val="24"/>
          <w:szCs w:val="24"/>
        </w:rPr>
      </w:pPr>
    </w:p>
    <w:p w14:paraId="74B2D797" w14:textId="22B3AA45" w:rsidR="00A75091" w:rsidRPr="00CE778C" w:rsidRDefault="00A75091" w:rsidP="00CE778C">
      <w:pPr>
        <w:ind w:left="851"/>
        <w:rPr>
          <w:sz w:val="24"/>
          <w:szCs w:val="24"/>
        </w:rPr>
      </w:pPr>
      <w:r w:rsidRPr="00CE778C">
        <w:rPr>
          <w:sz w:val="24"/>
          <w:szCs w:val="24"/>
        </w:rPr>
        <w:t>Tidlig administration af aktivt kul kan overvejes i tilfælde af en overdosering med edoxaban for at reducere absorptionen. Denne anbefaling er baseret på standardbehandlingen af en lægemiddeloverdosering, og tilgængelige data med lignende stoffer, såsom anvendelsen af aktivt kul</w:t>
      </w:r>
      <w:r w:rsidR="007553F5">
        <w:rPr>
          <w:sz w:val="24"/>
          <w:szCs w:val="24"/>
        </w:rPr>
        <w:t xml:space="preserve"> </w:t>
      </w:r>
      <w:r w:rsidRPr="00CE778C">
        <w:rPr>
          <w:sz w:val="24"/>
          <w:szCs w:val="24"/>
        </w:rPr>
        <w:t>for at reducere absorption af edoxaban, er ikke blevet specifikt undersøgt i det kliniske program for</w:t>
      </w:r>
      <w:r w:rsidR="007553F5">
        <w:rPr>
          <w:sz w:val="24"/>
          <w:szCs w:val="24"/>
        </w:rPr>
        <w:t xml:space="preserve"> </w:t>
      </w:r>
      <w:r w:rsidRPr="00CE778C">
        <w:rPr>
          <w:sz w:val="24"/>
          <w:szCs w:val="24"/>
        </w:rPr>
        <w:t>edoxaban.</w:t>
      </w:r>
    </w:p>
    <w:p w14:paraId="0C05AC8D" w14:textId="77777777" w:rsidR="00A75091" w:rsidRPr="00CE778C" w:rsidRDefault="00A75091" w:rsidP="00CE778C">
      <w:pPr>
        <w:ind w:left="851"/>
        <w:rPr>
          <w:sz w:val="24"/>
          <w:szCs w:val="24"/>
        </w:rPr>
      </w:pPr>
    </w:p>
    <w:p w14:paraId="50B957E4" w14:textId="77777777" w:rsidR="00A75091" w:rsidRPr="00CE778C" w:rsidRDefault="00A75091" w:rsidP="00CE778C">
      <w:pPr>
        <w:ind w:left="851"/>
        <w:rPr>
          <w:sz w:val="24"/>
          <w:szCs w:val="24"/>
          <w:u w:val="single"/>
        </w:rPr>
      </w:pPr>
      <w:r w:rsidRPr="00CE778C">
        <w:rPr>
          <w:sz w:val="24"/>
          <w:szCs w:val="24"/>
          <w:u w:val="single"/>
        </w:rPr>
        <w:t>Behandling af blødning</w:t>
      </w:r>
    </w:p>
    <w:p w14:paraId="716DA848" w14:textId="77777777" w:rsidR="00A75091" w:rsidRPr="00CE778C" w:rsidRDefault="00A75091" w:rsidP="00CE778C">
      <w:pPr>
        <w:ind w:left="851"/>
        <w:rPr>
          <w:sz w:val="24"/>
          <w:szCs w:val="24"/>
        </w:rPr>
      </w:pPr>
    </w:p>
    <w:p w14:paraId="4B4AD921" w14:textId="7DFCD9B4" w:rsidR="00A75091" w:rsidRPr="00CE778C" w:rsidRDefault="00A75091" w:rsidP="00CE778C">
      <w:pPr>
        <w:ind w:left="851"/>
        <w:rPr>
          <w:sz w:val="24"/>
          <w:szCs w:val="24"/>
        </w:rPr>
      </w:pPr>
      <w:r w:rsidRPr="00CE778C">
        <w:rPr>
          <w:sz w:val="24"/>
          <w:szCs w:val="24"/>
        </w:rPr>
        <w:t>Såfremt der optræder blødningskomplikationer hos en patient, der får edoxaban, skal næste edoxabanadministration udsættes eller behandlingen seponeres, efter hvad der er hensigtsmæssigt. Edoxaban har en halveringstid på ca. 10 til 14 timer (se pkt. 5.2). Behandlingen tilpasses individuelt efter</w:t>
      </w:r>
      <w:r w:rsidR="007553F5">
        <w:rPr>
          <w:sz w:val="24"/>
          <w:szCs w:val="24"/>
        </w:rPr>
        <w:t xml:space="preserve"> </w:t>
      </w:r>
      <w:r w:rsidRPr="00CE778C">
        <w:rPr>
          <w:sz w:val="24"/>
          <w:szCs w:val="24"/>
        </w:rPr>
        <w:t>blødningens sværhedsgrad og sted. Hensigtsmæssig symptomatisk behandling kan benyttes efter behov som f.eks. mekanisk kompression (f.eks. for svær epistaxis), kirurgisk hæmostase med blødningskontrollerende indgreb, væskesubstitution og hæmodynamisk understøttelse, blodprodukter</w:t>
      </w:r>
      <w:r w:rsidR="007553F5">
        <w:rPr>
          <w:sz w:val="24"/>
          <w:szCs w:val="24"/>
        </w:rPr>
        <w:t xml:space="preserve"> </w:t>
      </w:r>
      <w:r w:rsidRPr="00CE778C">
        <w:rPr>
          <w:sz w:val="24"/>
          <w:szCs w:val="24"/>
        </w:rPr>
        <w:t>(pakkede røde blodlegemer eller frisk frosset plasma, afhængigt af den tilknyttede anæmi eller koagulopati) eller blodplader.</w:t>
      </w:r>
    </w:p>
    <w:p w14:paraId="11789FA2" w14:textId="77777777" w:rsidR="00A75091" w:rsidRPr="00CE778C" w:rsidRDefault="00A75091" w:rsidP="00CE778C">
      <w:pPr>
        <w:ind w:left="851"/>
        <w:rPr>
          <w:sz w:val="24"/>
          <w:szCs w:val="24"/>
        </w:rPr>
      </w:pPr>
    </w:p>
    <w:p w14:paraId="3524FC7F" w14:textId="481E61FD" w:rsidR="00A75091" w:rsidRPr="00CE778C" w:rsidRDefault="00A75091" w:rsidP="00CE778C">
      <w:pPr>
        <w:ind w:left="851"/>
        <w:rPr>
          <w:sz w:val="24"/>
          <w:szCs w:val="24"/>
        </w:rPr>
      </w:pPr>
      <w:r w:rsidRPr="00CE778C">
        <w:rPr>
          <w:sz w:val="24"/>
          <w:szCs w:val="24"/>
        </w:rPr>
        <w:t>For livstruende blødninger, der ikke kan kontrolleres ved behandling med transfusion eller hæmostase,</w:t>
      </w:r>
      <w:r w:rsidR="007553F5">
        <w:rPr>
          <w:sz w:val="24"/>
          <w:szCs w:val="24"/>
        </w:rPr>
        <w:t xml:space="preserve"> </w:t>
      </w:r>
      <w:r w:rsidRPr="00CE778C">
        <w:rPr>
          <w:sz w:val="24"/>
          <w:szCs w:val="24"/>
        </w:rPr>
        <w:t>har administrationen af 4-faktor protrombinkomplekskoncentrat (prothrombin complex concentrate, PCC) med 50 IE pr. kg vist sig at reversere virkningen af edoxaban 30 minutter efter infusionen er</w:t>
      </w:r>
      <w:r w:rsidR="007553F5">
        <w:rPr>
          <w:sz w:val="24"/>
          <w:szCs w:val="24"/>
        </w:rPr>
        <w:t xml:space="preserve"> </w:t>
      </w:r>
      <w:r w:rsidRPr="00CE778C">
        <w:rPr>
          <w:sz w:val="24"/>
          <w:szCs w:val="24"/>
        </w:rPr>
        <w:t>gennemført.</w:t>
      </w:r>
    </w:p>
    <w:p w14:paraId="66F771DF" w14:textId="77777777" w:rsidR="00A75091" w:rsidRPr="00CE778C" w:rsidRDefault="00A75091" w:rsidP="00CE778C">
      <w:pPr>
        <w:ind w:left="851"/>
        <w:rPr>
          <w:sz w:val="24"/>
          <w:szCs w:val="24"/>
        </w:rPr>
      </w:pPr>
    </w:p>
    <w:p w14:paraId="3DD85AC5" w14:textId="77777777" w:rsidR="00A75091" w:rsidRPr="00CE778C" w:rsidRDefault="00A75091" w:rsidP="00CE778C">
      <w:pPr>
        <w:ind w:left="851"/>
        <w:rPr>
          <w:sz w:val="24"/>
          <w:szCs w:val="24"/>
        </w:rPr>
      </w:pPr>
      <w:r w:rsidRPr="00CE778C">
        <w:rPr>
          <w:sz w:val="24"/>
          <w:szCs w:val="24"/>
        </w:rPr>
        <w:t>Rekombinant faktor VIIa (r-FVIIa) kan også overvejes. Der er imidlertid begrænset klinisk erfaring med anvendelsen af dette produkt hos personer, der får edoxaban.</w:t>
      </w:r>
    </w:p>
    <w:p w14:paraId="301EFA7B" w14:textId="77777777" w:rsidR="00A75091" w:rsidRPr="00CE778C" w:rsidRDefault="00A75091" w:rsidP="00CE778C">
      <w:pPr>
        <w:ind w:left="851"/>
        <w:rPr>
          <w:sz w:val="24"/>
          <w:szCs w:val="24"/>
        </w:rPr>
      </w:pPr>
    </w:p>
    <w:p w14:paraId="2F7BFC07" w14:textId="77777777" w:rsidR="00A75091" w:rsidRPr="00CE778C" w:rsidRDefault="00A75091" w:rsidP="00CE778C">
      <w:pPr>
        <w:ind w:left="851"/>
        <w:rPr>
          <w:sz w:val="24"/>
          <w:szCs w:val="24"/>
        </w:rPr>
      </w:pPr>
      <w:r w:rsidRPr="00CE778C">
        <w:rPr>
          <w:sz w:val="24"/>
          <w:szCs w:val="24"/>
        </w:rPr>
        <w:t>Afhængig af lokal tilgængelighed bør det overvejes at konsultere en koagulationsekspert i tilfælde af større blødninger.</w:t>
      </w:r>
    </w:p>
    <w:p w14:paraId="42806CFD" w14:textId="77777777" w:rsidR="00A75091" w:rsidRPr="00CE778C" w:rsidRDefault="00A75091" w:rsidP="00CE778C">
      <w:pPr>
        <w:ind w:left="851"/>
        <w:rPr>
          <w:sz w:val="24"/>
          <w:szCs w:val="24"/>
        </w:rPr>
      </w:pPr>
    </w:p>
    <w:p w14:paraId="53E1F495" w14:textId="77777777" w:rsidR="00A75091" w:rsidRPr="00CE778C" w:rsidRDefault="00A75091" w:rsidP="00CE778C">
      <w:pPr>
        <w:ind w:left="851"/>
        <w:rPr>
          <w:sz w:val="24"/>
          <w:szCs w:val="24"/>
        </w:rPr>
      </w:pPr>
      <w:r w:rsidRPr="00CE778C">
        <w:rPr>
          <w:sz w:val="24"/>
          <w:szCs w:val="24"/>
        </w:rPr>
        <w:t>Protaminsulfat og K-vitamin forventes ikke at påvirke edoxabans antikoagulerende aktivitet.</w:t>
      </w:r>
    </w:p>
    <w:p w14:paraId="1E70EDB2" w14:textId="77777777" w:rsidR="00A75091" w:rsidRPr="00CE778C" w:rsidRDefault="00A75091" w:rsidP="00CE778C">
      <w:pPr>
        <w:ind w:left="851"/>
        <w:rPr>
          <w:sz w:val="24"/>
          <w:szCs w:val="24"/>
        </w:rPr>
      </w:pPr>
    </w:p>
    <w:p w14:paraId="6D5B78EA" w14:textId="77777777" w:rsidR="00A75091" w:rsidRPr="00CE778C" w:rsidRDefault="00A75091" w:rsidP="00CE778C">
      <w:pPr>
        <w:ind w:left="851"/>
        <w:rPr>
          <w:sz w:val="24"/>
          <w:szCs w:val="24"/>
        </w:rPr>
      </w:pPr>
      <w:r w:rsidRPr="00CE778C">
        <w:rPr>
          <w:sz w:val="24"/>
          <w:szCs w:val="24"/>
        </w:rPr>
        <w:lastRenderedPageBreak/>
        <w:t>Der er ingen erfaring med antifibrinolytiske midler (tranexamsyre, aminokapronsyre) hos personer, der får edoxaban. Der er hverken videnskabeligt rationale for fordele eller erfaring med anvendelse af systemiske hæmostatika (desmopressin, aprotinin) hos personer, der får edoxaban. På grund af edoxabans høje plasmaproteinbinding forventes det ikke, at lægemidlet kan dialyseres.</w:t>
      </w:r>
    </w:p>
    <w:p w14:paraId="3C11BD2F" w14:textId="77777777" w:rsidR="009260DE" w:rsidRPr="00CE778C" w:rsidRDefault="009260DE" w:rsidP="009260DE">
      <w:pPr>
        <w:tabs>
          <w:tab w:val="left" w:pos="851"/>
        </w:tabs>
        <w:ind w:left="851"/>
        <w:rPr>
          <w:sz w:val="24"/>
          <w:szCs w:val="24"/>
        </w:rPr>
      </w:pPr>
    </w:p>
    <w:p w14:paraId="0F938992" w14:textId="77777777" w:rsidR="009260DE" w:rsidRPr="00CE778C" w:rsidRDefault="009260DE" w:rsidP="009260DE">
      <w:pPr>
        <w:tabs>
          <w:tab w:val="left" w:pos="851"/>
        </w:tabs>
        <w:ind w:left="851" w:hanging="851"/>
        <w:rPr>
          <w:b/>
          <w:sz w:val="24"/>
          <w:szCs w:val="24"/>
        </w:rPr>
      </w:pPr>
      <w:r w:rsidRPr="00CE778C">
        <w:rPr>
          <w:b/>
          <w:sz w:val="24"/>
          <w:szCs w:val="24"/>
        </w:rPr>
        <w:t>4.10</w:t>
      </w:r>
      <w:r w:rsidRPr="00CE778C">
        <w:rPr>
          <w:b/>
          <w:sz w:val="24"/>
          <w:szCs w:val="24"/>
        </w:rPr>
        <w:tab/>
        <w:t>Udlevering</w:t>
      </w:r>
    </w:p>
    <w:p w14:paraId="2A11632F" w14:textId="1474713A" w:rsidR="009260DE" w:rsidRPr="00CE778C" w:rsidRDefault="006E6856" w:rsidP="009260DE">
      <w:pPr>
        <w:tabs>
          <w:tab w:val="left" w:pos="851"/>
        </w:tabs>
        <w:ind w:left="851"/>
        <w:rPr>
          <w:sz w:val="24"/>
          <w:szCs w:val="24"/>
        </w:rPr>
      </w:pPr>
      <w:r w:rsidRPr="00CE778C">
        <w:rPr>
          <w:sz w:val="24"/>
          <w:szCs w:val="24"/>
        </w:rPr>
        <w:t>B</w:t>
      </w:r>
    </w:p>
    <w:p w14:paraId="7816BDF0" w14:textId="77777777" w:rsidR="009260DE" w:rsidRPr="00CE778C" w:rsidRDefault="009260DE" w:rsidP="009260DE">
      <w:pPr>
        <w:tabs>
          <w:tab w:val="left" w:pos="851"/>
        </w:tabs>
        <w:ind w:left="851"/>
        <w:rPr>
          <w:sz w:val="24"/>
          <w:szCs w:val="24"/>
        </w:rPr>
      </w:pPr>
    </w:p>
    <w:p w14:paraId="1B81A56A" w14:textId="77777777" w:rsidR="009260DE" w:rsidRPr="00CE778C" w:rsidRDefault="009260DE" w:rsidP="009260DE">
      <w:pPr>
        <w:tabs>
          <w:tab w:val="left" w:pos="851"/>
        </w:tabs>
        <w:ind w:left="851"/>
        <w:rPr>
          <w:sz w:val="24"/>
          <w:szCs w:val="24"/>
        </w:rPr>
      </w:pPr>
    </w:p>
    <w:p w14:paraId="57B3857C" w14:textId="77777777" w:rsidR="009260DE" w:rsidRPr="00CE778C" w:rsidRDefault="009260DE" w:rsidP="009260DE">
      <w:pPr>
        <w:tabs>
          <w:tab w:val="left" w:pos="851"/>
        </w:tabs>
        <w:ind w:left="851" w:hanging="851"/>
        <w:rPr>
          <w:b/>
          <w:sz w:val="24"/>
          <w:szCs w:val="24"/>
        </w:rPr>
      </w:pPr>
      <w:r w:rsidRPr="00CE778C">
        <w:rPr>
          <w:b/>
          <w:sz w:val="24"/>
          <w:szCs w:val="24"/>
        </w:rPr>
        <w:t>5.</w:t>
      </w:r>
      <w:r w:rsidRPr="00CE778C">
        <w:rPr>
          <w:b/>
          <w:sz w:val="24"/>
          <w:szCs w:val="24"/>
        </w:rPr>
        <w:tab/>
        <w:t>FARMAKOLOGISKE EGENSKABER</w:t>
      </w:r>
    </w:p>
    <w:p w14:paraId="1D14C5CF" w14:textId="77777777" w:rsidR="009260DE" w:rsidRPr="00CE778C" w:rsidRDefault="009260DE" w:rsidP="009260DE">
      <w:pPr>
        <w:tabs>
          <w:tab w:val="left" w:pos="851"/>
        </w:tabs>
        <w:ind w:left="851"/>
        <w:rPr>
          <w:sz w:val="24"/>
          <w:szCs w:val="24"/>
        </w:rPr>
      </w:pPr>
    </w:p>
    <w:p w14:paraId="40F54EEC" w14:textId="77777777" w:rsidR="009260DE" w:rsidRPr="00CE778C" w:rsidRDefault="009260DE" w:rsidP="009260DE">
      <w:pPr>
        <w:tabs>
          <w:tab w:val="num" w:pos="851"/>
        </w:tabs>
        <w:ind w:left="851" w:hanging="851"/>
        <w:rPr>
          <w:b/>
          <w:sz w:val="24"/>
          <w:szCs w:val="24"/>
        </w:rPr>
      </w:pPr>
      <w:r w:rsidRPr="00CE778C">
        <w:rPr>
          <w:b/>
          <w:sz w:val="24"/>
          <w:szCs w:val="24"/>
        </w:rPr>
        <w:t>5.1</w:t>
      </w:r>
      <w:r w:rsidRPr="00CE778C">
        <w:rPr>
          <w:b/>
          <w:sz w:val="24"/>
          <w:szCs w:val="24"/>
        </w:rPr>
        <w:tab/>
        <w:t>Farmakodynamiske egenskaber</w:t>
      </w:r>
    </w:p>
    <w:p w14:paraId="61BC20CD" w14:textId="77777777" w:rsidR="00A75091" w:rsidRPr="00CE778C" w:rsidRDefault="00A75091" w:rsidP="00CE778C">
      <w:pPr>
        <w:ind w:left="851"/>
        <w:rPr>
          <w:sz w:val="24"/>
          <w:szCs w:val="24"/>
        </w:rPr>
      </w:pPr>
      <w:r w:rsidRPr="00CE778C">
        <w:rPr>
          <w:sz w:val="24"/>
          <w:szCs w:val="24"/>
        </w:rPr>
        <w:t>Farmakoterapeutisk klassifikation: Antitrombotika, direkte faktor Xa-hæmmere, ATC-kode: B01AF03</w:t>
      </w:r>
    </w:p>
    <w:p w14:paraId="094355AE" w14:textId="77777777" w:rsidR="00A75091" w:rsidRPr="00CE778C" w:rsidRDefault="00A75091" w:rsidP="00CE778C">
      <w:pPr>
        <w:ind w:left="851"/>
        <w:rPr>
          <w:sz w:val="24"/>
          <w:szCs w:val="24"/>
        </w:rPr>
      </w:pPr>
    </w:p>
    <w:p w14:paraId="773ABBB1" w14:textId="77777777" w:rsidR="00A75091" w:rsidRPr="00CE778C" w:rsidRDefault="00A75091" w:rsidP="00CE778C">
      <w:pPr>
        <w:ind w:left="851"/>
        <w:rPr>
          <w:sz w:val="24"/>
          <w:szCs w:val="24"/>
          <w:u w:val="single"/>
        </w:rPr>
      </w:pPr>
      <w:r w:rsidRPr="00CE778C">
        <w:rPr>
          <w:sz w:val="24"/>
          <w:szCs w:val="24"/>
          <w:u w:val="single"/>
        </w:rPr>
        <w:t>Virkningsmekanisme</w:t>
      </w:r>
    </w:p>
    <w:p w14:paraId="233F5A15" w14:textId="77777777" w:rsidR="00A75091" w:rsidRPr="00CE778C" w:rsidRDefault="00A75091" w:rsidP="00CE778C">
      <w:pPr>
        <w:ind w:left="851"/>
        <w:rPr>
          <w:sz w:val="24"/>
          <w:szCs w:val="24"/>
        </w:rPr>
      </w:pPr>
    </w:p>
    <w:p w14:paraId="506F96F1" w14:textId="77777777" w:rsidR="00A75091" w:rsidRPr="00CE778C" w:rsidRDefault="00A75091" w:rsidP="00CE778C">
      <w:pPr>
        <w:ind w:left="851"/>
        <w:rPr>
          <w:sz w:val="24"/>
          <w:szCs w:val="24"/>
        </w:rPr>
      </w:pPr>
      <w:r w:rsidRPr="00CE778C">
        <w:rPr>
          <w:sz w:val="24"/>
          <w:szCs w:val="24"/>
        </w:rPr>
        <w:t xml:space="preserve">Edoxaban er en højselektiv, direkte og </w:t>
      </w:r>
      <w:proofErr w:type="gramStart"/>
      <w:r w:rsidRPr="00CE778C">
        <w:rPr>
          <w:sz w:val="24"/>
          <w:szCs w:val="24"/>
        </w:rPr>
        <w:t>reversibel</w:t>
      </w:r>
      <w:proofErr w:type="gramEnd"/>
      <w:r w:rsidRPr="00CE778C">
        <w:rPr>
          <w:sz w:val="24"/>
          <w:szCs w:val="24"/>
        </w:rPr>
        <w:t xml:space="preserve"> hæmmer af FXa, den serinprotease, der findes i den sidste fælles sti i koagulationskaskaden. Edoxaban hæmmer frit FXa og protrombinaseaktiviteten.</w:t>
      </w:r>
    </w:p>
    <w:p w14:paraId="36B60ECC" w14:textId="74791B19" w:rsidR="00A75091" w:rsidRPr="00CE778C" w:rsidRDefault="00A75091" w:rsidP="00CE778C">
      <w:pPr>
        <w:ind w:left="851"/>
        <w:rPr>
          <w:sz w:val="24"/>
          <w:szCs w:val="24"/>
        </w:rPr>
      </w:pPr>
      <w:r w:rsidRPr="00CE778C">
        <w:rPr>
          <w:sz w:val="24"/>
          <w:szCs w:val="24"/>
        </w:rPr>
        <w:t>Hæmning af FXa i koagulationskaskaden reducerer trombindannelsen, forlænger størkningstiden og</w:t>
      </w:r>
      <w:r w:rsidR="007553F5">
        <w:rPr>
          <w:sz w:val="24"/>
          <w:szCs w:val="24"/>
        </w:rPr>
        <w:t xml:space="preserve"> </w:t>
      </w:r>
      <w:r w:rsidRPr="00CE778C">
        <w:rPr>
          <w:sz w:val="24"/>
          <w:szCs w:val="24"/>
        </w:rPr>
        <w:t>reducerer risikoen for trombedannelse.</w:t>
      </w:r>
    </w:p>
    <w:p w14:paraId="01628B2B" w14:textId="77777777" w:rsidR="00A75091" w:rsidRPr="00CE778C" w:rsidRDefault="00A75091" w:rsidP="00CE778C">
      <w:pPr>
        <w:ind w:left="851"/>
        <w:rPr>
          <w:sz w:val="24"/>
          <w:szCs w:val="24"/>
        </w:rPr>
      </w:pPr>
    </w:p>
    <w:p w14:paraId="3C81A90B" w14:textId="77777777" w:rsidR="00A75091" w:rsidRPr="00CE778C" w:rsidRDefault="00A75091" w:rsidP="00CE778C">
      <w:pPr>
        <w:ind w:left="851"/>
        <w:rPr>
          <w:sz w:val="24"/>
          <w:szCs w:val="24"/>
          <w:u w:val="single"/>
        </w:rPr>
      </w:pPr>
      <w:r w:rsidRPr="00CE778C">
        <w:rPr>
          <w:sz w:val="24"/>
          <w:szCs w:val="24"/>
          <w:u w:val="single"/>
        </w:rPr>
        <w:t>Farmakodynamisk virkning</w:t>
      </w:r>
    </w:p>
    <w:p w14:paraId="553EDC38" w14:textId="77777777" w:rsidR="00A75091" w:rsidRPr="00CE778C" w:rsidRDefault="00A75091" w:rsidP="00CE778C">
      <w:pPr>
        <w:ind w:left="851"/>
        <w:rPr>
          <w:sz w:val="24"/>
          <w:szCs w:val="24"/>
          <w:u w:val="single"/>
        </w:rPr>
      </w:pPr>
    </w:p>
    <w:p w14:paraId="1ADA6B00" w14:textId="4BDE6B51" w:rsidR="00A75091" w:rsidRPr="00CE778C" w:rsidRDefault="00A75091" w:rsidP="00CE778C">
      <w:pPr>
        <w:ind w:left="851"/>
        <w:rPr>
          <w:sz w:val="24"/>
          <w:szCs w:val="24"/>
        </w:rPr>
      </w:pPr>
      <w:r w:rsidRPr="00CE778C">
        <w:rPr>
          <w:sz w:val="24"/>
          <w:szCs w:val="24"/>
        </w:rPr>
        <w:t>Edoxaban fremkalder en hurtigt indsættende farmakokinetisk virkning inden for 1 - 2 timer, hvilket</w:t>
      </w:r>
      <w:r w:rsidR="007553F5">
        <w:rPr>
          <w:sz w:val="24"/>
          <w:szCs w:val="24"/>
        </w:rPr>
        <w:t xml:space="preserve"> </w:t>
      </w:r>
      <w:r w:rsidRPr="00CE778C">
        <w:rPr>
          <w:sz w:val="24"/>
          <w:szCs w:val="24"/>
        </w:rPr>
        <w:t>svarer til den maksimale edoxabaneksponering (C</w:t>
      </w:r>
      <w:r w:rsidRPr="00CE778C">
        <w:rPr>
          <w:sz w:val="24"/>
          <w:szCs w:val="24"/>
          <w:vertAlign w:val="subscript"/>
        </w:rPr>
        <w:t>max</w:t>
      </w:r>
      <w:r w:rsidRPr="00CE778C">
        <w:rPr>
          <w:sz w:val="24"/>
          <w:szCs w:val="24"/>
        </w:rPr>
        <w:t>). De farmakodynamiske virkninger, der er målt</w:t>
      </w:r>
      <w:r w:rsidR="007553F5">
        <w:rPr>
          <w:sz w:val="24"/>
          <w:szCs w:val="24"/>
        </w:rPr>
        <w:t xml:space="preserve"> </w:t>
      </w:r>
      <w:r w:rsidRPr="00CE778C">
        <w:rPr>
          <w:sz w:val="24"/>
          <w:szCs w:val="24"/>
        </w:rPr>
        <w:t>med anti-FXa-analysen, er forudsigelige og korrelerer med dosis og koncentration for edoxaban. Som</w:t>
      </w:r>
      <w:r w:rsidR="007553F5">
        <w:rPr>
          <w:sz w:val="24"/>
          <w:szCs w:val="24"/>
        </w:rPr>
        <w:t xml:space="preserve"> </w:t>
      </w:r>
      <w:r w:rsidRPr="00CE778C">
        <w:rPr>
          <w:sz w:val="24"/>
          <w:szCs w:val="24"/>
        </w:rPr>
        <w:t>et resultat af FXa-hæmningen forlænger edoxaban også størkningstiden i tests, såsom PT samt aPTT.</w:t>
      </w:r>
    </w:p>
    <w:p w14:paraId="4847A056" w14:textId="77777777" w:rsidR="00A75091" w:rsidRPr="00CE778C" w:rsidRDefault="00A75091" w:rsidP="00CE778C">
      <w:pPr>
        <w:ind w:left="851"/>
        <w:rPr>
          <w:sz w:val="24"/>
          <w:szCs w:val="24"/>
        </w:rPr>
      </w:pPr>
      <w:r w:rsidRPr="00CE778C">
        <w:rPr>
          <w:sz w:val="24"/>
          <w:szCs w:val="24"/>
        </w:rPr>
        <w:t>Ændringer, der observeres i disse størkningstests, forventes ved den terapeutiske dosis. Disse ændringer er imidlertid små med en stor grad af variabilitet og er ikke anvendelige til at overvåge den antikoagulerende virkning af edoxaban.</w:t>
      </w:r>
    </w:p>
    <w:p w14:paraId="7EDEEC10" w14:textId="77777777" w:rsidR="00A75091" w:rsidRPr="00CE778C" w:rsidRDefault="00A75091" w:rsidP="00CE778C">
      <w:pPr>
        <w:ind w:left="851"/>
        <w:rPr>
          <w:i/>
          <w:iCs/>
          <w:sz w:val="24"/>
          <w:szCs w:val="24"/>
        </w:rPr>
      </w:pPr>
    </w:p>
    <w:p w14:paraId="7EB65DA4" w14:textId="42F29E8A" w:rsidR="00A75091" w:rsidRPr="00CE778C" w:rsidRDefault="00A75091" w:rsidP="00CE778C">
      <w:pPr>
        <w:ind w:left="851"/>
        <w:rPr>
          <w:i/>
          <w:iCs/>
          <w:sz w:val="24"/>
          <w:szCs w:val="24"/>
        </w:rPr>
      </w:pPr>
      <w:r w:rsidRPr="00CE778C">
        <w:rPr>
          <w:i/>
          <w:iCs/>
          <w:sz w:val="24"/>
          <w:szCs w:val="24"/>
        </w:rPr>
        <w:t>Virkningen af koagulationsmarkører, når der skiftes fra rivaroxaban, dabigatran eller apixaban til</w:t>
      </w:r>
      <w:r w:rsidR="007553F5">
        <w:rPr>
          <w:i/>
          <w:iCs/>
          <w:sz w:val="24"/>
          <w:szCs w:val="24"/>
        </w:rPr>
        <w:t xml:space="preserve"> </w:t>
      </w:r>
      <w:r w:rsidRPr="00CE778C">
        <w:rPr>
          <w:i/>
          <w:iCs/>
          <w:sz w:val="24"/>
          <w:szCs w:val="24"/>
        </w:rPr>
        <w:t>edoxaban</w:t>
      </w:r>
    </w:p>
    <w:p w14:paraId="2BD2B2E2" w14:textId="6809DCD6" w:rsidR="00A75091" w:rsidRPr="00CE778C" w:rsidRDefault="00A75091" w:rsidP="00CE778C">
      <w:pPr>
        <w:ind w:left="851"/>
        <w:rPr>
          <w:sz w:val="24"/>
          <w:szCs w:val="24"/>
        </w:rPr>
      </w:pPr>
      <w:r w:rsidRPr="00CE778C">
        <w:rPr>
          <w:sz w:val="24"/>
          <w:szCs w:val="24"/>
        </w:rPr>
        <w:t>I kliniske farmakologistudier fik raske personer rivaroxaban 20 mg en gang dagligt, dabigatran 150 mg to gange dagligt eller apixaban 5 mg to gange dagligt efterfulgt af en enkelt dosis edoxaban 60 mg på dag 4. Virkningen på PT og andre koagulations</w:t>
      </w:r>
      <w:r w:rsidR="00BC493D">
        <w:rPr>
          <w:sz w:val="24"/>
          <w:szCs w:val="24"/>
        </w:rPr>
        <w:softHyphen/>
      </w:r>
      <w:r w:rsidRPr="00CE778C">
        <w:rPr>
          <w:sz w:val="24"/>
          <w:szCs w:val="24"/>
        </w:rPr>
        <w:t xml:space="preserve">biomarkører (f.eks. anti-FXa og aPTT) blev målt. </w:t>
      </w:r>
      <w:r w:rsidRPr="00CE778C">
        <w:rPr>
          <w:sz w:val="24"/>
          <w:szCs w:val="24"/>
        </w:rPr>
        <w:br/>
        <w:t xml:space="preserve">Efter skiftet til edoxaban på dag 4 var PT ækvivalent med dag 3 for rivaroxaban og apixaban. </w:t>
      </w:r>
      <w:r w:rsidRPr="00CE778C">
        <w:rPr>
          <w:sz w:val="24"/>
          <w:szCs w:val="24"/>
        </w:rPr>
        <w:br/>
        <w:t>For dabigatran blev en højere aPTT-aktivitet observeret efter administration af edoxaban sammen med</w:t>
      </w:r>
      <w:r w:rsidR="007553F5">
        <w:rPr>
          <w:sz w:val="24"/>
          <w:szCs w:val="24"/>
        </w:rPr>
        <w:t xml:space="preserve"> </w:t>
      </w:r>
      <w:r w:rsidRPr="00CE778C">
        <w:rPr>
          <w:sz w:val="24"/>
          <w:szCs w:val="24"/>
        </w:rPr>
        <w:t>tidligere dabigatranbehandling, når den blev sammenlignet med aktiviteten efter behandling med edoxaban alene. Dette skyldes formentligt den overførte virkning af dabigatranbehandling. Dette førte</w:t>
      </w:r>
      <w:r w:rsidR="007553F5">
        <w:rPr>
          <w:sz w:val="24"/>
          <w:szCs w:val="24"/>
        </w:rPr>
        <w:t xml:space="preserve"> </w:t>
      </w:r>
      <w:r w:rsidRPr="00CE778C">
        <w:rPr>
          <w:sz w:val="24"/>
          <w:szCs w:val="24"/>
        </w:rPr>
        <w:t>imidlertid ikke til en forlænget blødningstid.</w:t>
      </w:r>
    </w:p>
    <w:p w14:paraId="36093D3F" w14:textId="447CAD5C" w:rsidR="00A75091" w:rsidRPr="00CE778C" w:rsidRDefault="00A75091" w:rsidP="00CE778C">
      <w:pPr>
        <w:ind w:left="851"/>
        <w:rPr>
          <w:sz w:val="24"/>
          <w:szCs w:val="24"/>
        </w:rPr>
      </w:pPr>
      <w:r w:rsidRPr="00CE778C">
        <w:rPr>
          <w:sz w:val="24"/>
          <w:szCs w:val="24"/>
        </w:rPr>
        <w:t>Baseret på disse data kan den første dosis af edoxaban, når der skiftes fra disse antikoagulantia til</w:t>
      </w:r>
      <w:r w:rsidR="007553F5">
        <w:rPr>
          <w:sz w:val="24"/>
          <w:szCs w:val="24"/>
        </w:rPr>
        <w:t xml:space="preserve"> </w:t>
      </w:r>
      <w:r w:rsidRPr="00CE778C">
        <w:rPr>
          <w:sz w:val="24"/>
          <w:szCs w:val="24"/>
        </w:rPr>
        <w:t>edoxaban, påbegyndes ved tidspunktet for den næste planlagte dosis af den tidligere antikoagulation</w:t>
      </w:r>
      <w:r w:rsidR="007553F5">
        <w:rPr>
          <w:sz w:val="24"/>
          <w:szCs w:val="24"/>
        </w:rPr>
        <w:t xml:space="preserve"> </w:t>
      </w:r>
      <w:r w:rsidRPr="00CE778C">
        <w:rPr>
          <w:sz w:val="24"/>
          <w:szCs w:val="24"/>
        </w:rPr>
        <w:t>(se pkt. 4.2).</w:t>
      </w:r>
    </w:p>
    <w:p w14:paraId="1B7F5EAC" w14:textId="77777777" w:rsidR="00A75091" w:rsidRPr="00CE778C" w:rsidRDefault="00A75091" w:rsidP="00CE778C">
      <w:pPr>
        <w:ind w:left="851"/>
        <w:rPr>
          <w:sz w:val="24"/>
          <w:szCs w:val="24"/>
        </w:rPr>
      </w:pPr>
    </w:p>
    <w:p w14:paraId="005FBC96" w14:textId="77777777" w:rsidR="00A75091" w:rsidRPr="00CE778C" w:rsidRDefault="00A75091" w:rsidP="00CE778C">
      <w:pPr>
        <w:ind w:left="851"/>
        <w:rPr>
          <w:sz w:val="24"/>
          <w:szCs w:val="24"/>
          <w:u w:val="single"/>
        </w:rPr>
      </w:pPr>
      <w:r w:rsidRPr="00CE778C">
        <w:rPr>
          <w:sz w:val="24"/>
          <w:szCs w:val="24"/>
          <w:u w:val="single"/>
        </w:rPr>
        <w:lastRenderedPageBreak/>
        <w:t>Klinisk virkning og sikkerhed</w:t>
      </w:r>
    </w:p>
    <w:p w14:paraId="73D280A2" w14:textId="77777777" w:rsidR="00A75091" w:rsidRPr="00CE778C" w:rsidRDefault="00A75091" w:rsidP="00CE778C">
      <w:pPr>
        <w:ind w:left="851"/>
        <w:rPr>
          <w:i/>
          <w:iCs/>
          <w:sz w:val="24"/>
          <w:szCs w:val="24"/>
        </w:rPr>
      </w:pPr>
    </w:p>
    <w:p w14:paraId="6D9DC541" w14:textId="77777777" w:rsidR="00A75091" w:rsidRPr="00CE778C" w:rsidRDefault="00A75091" w:rsidP="00CE778C">
      <w:pPr>
        <w:ind w:left="851"/>
        <w:rPr>
          <w:i/>
          <w:iCs/>
          <w:sz w:val="24"/>
          <w:szCs w:val="24"/>
        </w:rPr>
      </w:pPr>
      <w:r w:rsidRPr="00CE778C">
        <w:rPr>
          <w:i/>
          <w:iCs/>
          <w:sz w:val="24"/>
          <w:szCs w:val="24"/>
        </w:rPr>
        <w:t>Forebyggelse af apopleksi og systemisk emboli</w:t>
      </w:r>
    </w:p>
    <w:p w14:paraId="4A403EC7" w14:textId="10F5388B" w:rsidR="00A75091" w:rsidRPr="00CE778C" w:rsidRDefault="00A75091" w:rsidP="00CE778C">
      <w:pPr>
        <w:ind w:left="851"/>
        <w:rPr>
          <w:sz w:val="24"/>
          <w:szCs w:val="24"/>
        </w:rPr>
      </w:pPr>
      <w:r w:rsidRPr="00CE778C">
        <w:rPr>
          <w:sz w:val="24"/>
          <w:szCs w:val="24"/>
        </w:rPr>
        <w:t>Det kliniske program med edoxaban ved atrieflimren var designet for at påvise virkning og sikkerhed</w:t>
      </w:r>
      <w:r w:rsidR="007553F5">
        <w:rPr>
          <w:sz w:val="24"/>
          <w:szCs w:val="24"/>
        </w:rPr>
        <w:t xml:space="preserve"> </w:t>
      </w:r>
      <w:r w:rsidRPr="00CE778C">
        <w:rPr>
          <w:sz w:val="24"/>
          <w:szCs w:val="24"/>
        </w:rPr>
        <w:t>af to dosisgrupper af edoxaban sammenlignet med warfarin til forebyggelse af apopleksi og systemisk</w:t>
      </w:r>
      <w:r w:rsidR="007553F5">
        <w:rPr>
          <w:sz w:val="24"/>
          <w:szCs w:val="24"/>
        </w:rPr>
        <w:t xml:space="preserve"> </w:t>
      </w:r>
      <w:r w:rsidRPr="00CE778C">
        <w:rPr>
          <w:sz w:val="24"/>
          <w:szCs w:val="24"/>
        </w:rPr>
        <w:t>emboli hos personer med NVAF og med en moderat til høj risiko for apopleksi og systemiske emboliske hændelser (SEE).</w:t>
      </w:r>
    </w:p>
    <w:p w14:paraId="1DB5234C" w14:textId="77777777" w:rsidR="00A75091" w:rsidRPr="00CE778C" w:rsidRDefault="00A75091" w:rsidP="00CE778C">
      <w:pPr>
        <w:ind w:left="851"/>
        <w:rPr>
          <w:sz w:val="24"/>
          <w:szCs w:val="24"/>
        </w:rPr>
      </w:pPr>
    </w:p>
    <w:p w14:paraId="4917EDA1" w14:textId="77777777" w:rsidR="00A75091" w:rsidRPr="00CE778C" w:rsidRDefault="00A75091" w:rsidP="00CE778C">
      <w:pPr>
        <w:ind w:left="851"/>
        <w:rPr>
          <w:sz w:val="24"/>
          <w:szCs w:val="24"/>
        </w:rPr>
      </w:pPr>
      <w:r w:rsidRPr="00CE778C">
        <w:rPr>
          <w:sz w:val="24"/>
          <w:szCs w:val="24"/>
        </w:rPr>
        <w:t xml:space="preserve">I det pivotale ENGAGE AF-TIMI 48-studie (et hændelsesdrevet, fase III, randomiseret, dobbeltblindet, double-dummy multicenterstudie med parallelle grupper) var 21.105 personer med en gennemsnitlig kongestivt hjertesvigt, hypertension, alder </w:t>
      </w:r>
      <w:r w:rsidRPr="00CE778C">
        <w:rPr>
          <w:bCs/>
          <w:sz w:val="24"/>
          <w:szCs w:val="24"/>
        </w:rPr>
        <w:t xml:space="preserve">≥ </w:t>
      </w:r>
      <w:r w:rsidRPr="00CE778C">
        <w:rPr>
          <w:sz w:val="24"/>
          <w:szCs w:val="24"/>
        </w:rPr>
        <w:t>75 år, diabetes mellitus, apopleksi (CHADS</w:t>
      </w:r>
      <w:proofErr w:type="gramStart"/>
      <w:r w:rsidRPr="00CE778C">
        <w:rPr>
          <w:sz w:val="24"/>
          <w:szCs w:val="24"/>
          <w:vertAlign w:val="subscript"/>
        </w:rPr>
        <w:t>2</w:t>
      </w:r>
      <w:r w:rsidRPr="00CE778C">
        <w:rPr>
          <w:sz w:val="24"/>
          <w:szCs w:val="24"/>
        </w:rPr>
        <w:t>)-</w:t>
      </w:r>
      <w:proofErr w:type="gramEnd"/>
      <w:r w:rsidRPr="00CE778C">
        <w:rPr>
          <w:sz w:val="24"/>
          <w:szCs w:val="24"/>
        </w:rPr>
        <w:t>score på 2,8 randomiseret til enten en behandlingsgruppe med edoxaban 30 mg en gang dagligt eller en behandlingsgruppe med edoxaban 60 mg en gang dagligt eller warfarin. I begge behandlingsgrupper med edoxaban fik personerne deres dosis halveret, hvis en eller flere af følgende kliniske faktorer var til stede: moderat nedsat nyrefunktion (CrCl 30 – 50 ml/min.), lav legemsvægt (≤ 60 kg) eller samtidig anvendelse af specifikke P-gp-hæmmere (verapamil, quinidin, dronedaron).</w:t>
      </w:r>
    </w:p>
    <w:p w14:paraId="36041D38" w14:textId="77777777" w:rsidR="00A75091" w:rsidRPr="00CE778C" w:rsidRDefault="00A75091" w:rsidP="00CE778C">
      <w:pPr>
        <w:ind w:left="851"/>
        <w:rPr>
          <w:sz w:val="24"/>
          <w:szCs w:val="24"/>
        </w:rPr>
      </w:pPr>
    </w:p>
    <w:p w14:paraId="3CDDEEFC" w14:textId="501EB61C" w:rsidR="00A75091" w:rsidRPr="00CE778C" w:rsidRDefault="00A75091" w:rsidP="00CE778C">
      <w:pPr>
        <w:ind w:left="851"/>
        <w:rPr>
          <w:sz w:val="24"/>
          <w:szCs w:val="24"/>
        </w:rPr>
      </w:pPr>
      <w:r w:rsidRPr="00CE778C">
        <w:rPr>
          <w:sz w:val="24"/>
          <w:szCs w:val="24"/>
        </w:rPr>
        <w:t>Det primære endepunkt for virkningen var sammensætningen af apopleksi og SEE. De sekundære</w:t>
      </w:r>
      <w:r w:rsidR="007553F5">
        <w:rPr>
          <w:sz w:val="24"/>
          <w:szCs w:val="24"/>
        </w:rPr>
        <w:t xml:space="preserve"> </w:t>
      </w:r>
      <w:r w:rsidRPr="00CE778C">
        <w:rPr>
          <w:sz w:val="24"/>
          <w:szCs w:val="24"/>
        </w:rPr>
        <w:t>endepunkter for virkningen omfattede: Sammensætningen af apopleksi, SEE og kardiovaskulær (CV)</w:t>
      </w:r>
      <w:r w:rsidR="007553F5">
        <w:rPr>
          <w:sz w:val="24"/>
          <w:szCs w:val="24"/>
        </w:rPr>
        <w:t xml:space="preserve"> </w:t>
      </w:r>
      <w:r w:rsidRPr="00CE778C">
        <w:rPr>
          <w:sz w:val="24"/>
          <w:szCs w:val="24"/>
        </w:rPr>
        <w:t>mortalitet, større kardiovaskulære bivirkninger (MACE), som er sammensætningen af ikke-</w:t>
      </w:r>
      <w:proofErr w:type="gramStart"/>
      <w:r w:rsidRPr="00CE778C">
        <w:rPr>
          <w:sz w:val="24"/>
          <w:szCs w:val="24"/>
        </w:rPr>
        <w:t>dødelig</w:t>
      </w:r>
      <w:r w:rsidR="007553F5">
        <w:rPr>
          <w:sz w:val="24"/>
          <w:szCs w:val="24"/>
        </w:rPr>
        <w:t xml:space="preserve"> </w:t>
      </w:r>
      <w:r w:rsidRPr="00CE778C">
        <w:rPr>
          <w:sz w:val="24"/>
          <w:szCs w:val="24"/>
        </w:rPr>
        <w:t>myokardieinfarkt</w:t>
      </w:r>
      <w:proofErr w:type="gramEnd"/>
      <w:r w:rsidRPr="00CE778C">
        <w:rPr>
          <w:sz w:val="24"/>
          <w:szCs w:val="24"/>
        </w:rPr>
        <w:t xml:space="preserve"> (MI), ikke-dødelig apopleksi, ikke-dødelig SEE og dødsfald, der skyldes en CV årsag eller blødning; sammensætningen af apopleksi, SEE og mortalitet af alle årsager.</w:t>
      </w:r>
    </w:p>
    <w:p w14:paraId="2926096C" w14:textId="77777777" w:rsidR="00A75091" w:rsidRPr="00CE778C" w:rsidRDefault="00A75091" w:rsidP="00CE778C">
      <w:pPr>
        <w:ind w:left="851"/>
        <w:rPr>
          <w:sz w:val="24"/>
          <w:szCs w:val="24"/>
        </w:rPr>
      </w:pPr>
    </w:p>
    <w:p w14:paraId="4B044991" w14:textId="523FB772" w:rsidR="00A75091" w:rsidRPr="00CE778C" w:rsidRDefault="00A75091" w:rsidP="00CE778C">
      <w:pPr>
        <w:ind w:left="851"/>
        <w:rPr>
          <w:sz w:val="24"/>
          <w:szCs w:val="24"/>
        </w:rPr>
      </w:pPr>
      <w:r w:rsidRPr="00CE778C">
        <w:rPr>
          <w:sz w:val="24"/>
          <w:szCs w:val="24"/>
        </w:rPr>
        <w:t>Medianen for eksponering for studielægemidlet for både edoxaban 60 mg- og 30 mg behandlingsgrupperne var 2,5 år. Medianen for studieopfølgning for både edoxaban 60 mg- og 30 mg behandlingsgrupperne var 2,8 år. Medianen for eksponeringen i personår var hhv.15.471 og 15.840 for</w:t>
      </w:r>
      <w:r w:rsidR="007553F5">
        <w:rPr>
          <w:sz w:val="24"/>
          <w:szCs w:val="24"/>
        </w:rPr>
        <w:t xml:space="preserve"> </w:t>
      </w:r>
      <w:r w:rsidRPr="00CE778C">
        <w:rPr>
          <w:sz w:val="24"/>
          <w:szCs w:val="24"/>
        </w:rPr>
        <w:t>behandlingsgrupperne med 60 mg og 30 mg, og medianen for opfølgning i personår var hhv. 19.191</w:t>
      </w:r>
      <w:r w:rsidR="007553F5">
        <w:rPr>
          <w:sz w:val="24"/>
          <w:szCs w:val="24"/>
        </w:rPr>
        <w:t xml:space="preserve"> </w:t>
      </w:r>
      <w:r w:rsidRPr="00CE778C">
        <w:rPr>
          <w:sz w:val="24"/>
          <w:szCs w:val="24"/>
        </w:rPr>
        <w:t>og 19.216 for behandlingsgrupperne med 60 mg og 30 mg.</w:t>
      </w:r>
    </w:p>
    <w:p w14:paraId="7E871371" w14:textId="77777777" w:rsidR="00A75091" w:rsidRPr="00CE778C" w:rsidRDefault="00A75091" w:rsidP="00CE778C">
      <w:pPr>
        <w:ind w:left="851"/>
        <w:rPr>
          <w:sz w:val="24"/>
          <w:szCs w:val="24"/>
        </w:rPr>
      </w:pPr>
    </w:p>
    <w:p w14:paraId="1F01D91A" w14:textId="77777777" w:rsidR="00A75091" w:rsidRPr="00CE778C" w:rsidRDefault="00A75091" w:rsidP="00CE778C">
      <w:pPr>
        <w:ind w:left="851"/>
        <w:rPr>
          <w:sz w:val="24"/>
          <w:szCs w:val="24"/>
        </w:rPr>
      </w:pPr>
      <w:r w:rsidRPr="00CE778C">
        <w:rPr>
          <w:sz w:val="24"/>
          <w:szCs w:val="24"/>
        </w:rPr>
        <w:t>I warfaringruppen var den mediane TTR (tid i terapeutisk interval, INR 2,0 til 3,0) 68,4%.</w:t>
      </w:r>
    </w:p>
    <w:p w14:paraId="24F28873" w14:textId="77777777" w:rsidR="00A75091" w:rsidRPr="00CE778C" w:rsidRDefault="00A75091" w:rsidP="00CE778C">
      <w:pPr>
        <w:ind w:left="851"/>
        <w:rPr>
          <w:sz w:val="24"/>
          <w:szCs w:val="24"/>
        </w:rPr>
      </w:pPr>
    </w:p>
    <w:p w14:paraId="07695AA1" w14:textId="77777777" w:rsidR="00A75091" w:rsidRPr="00CE778C" w:rsidRDefault="00A75091" w:rsidP="00CE778C">
      <w:pPr>
        <w:ind w:left="851"/>
        <w:rPr>
          <w:sz w:val="24"/>
          <w:szCs w:val="24"/>
        </w:rPr>
      </w:pPr>
      <w:r w:rsidRPr="00CE778C">
        <w:rPr>
          <w:sz w:val="24"/>
          <w:szCs w:val="24"/>
        </w:rPr>
        <w:t>Den primære analyse af virkning havde det formål at vise non-inferioritet for edoxaban versus warfarin på første apopleksianfald eller SEE, der forekom under behandling eller inden for 3 dage fra den sidste dosis, der blevet taget i den modificerede intention-to-treat (mITT)-population. Edoxaban 60 mg var non-inferior i forhold til warfarin for det primære endepunkt for virkning apopleksianfald eller SEE (øvre grænse for 97,5% CI for hazard ratio (HR) var under den præspecificerede noninferioritetsmargin på 1,38) (tabel 4).</w:t>
      </w:r>
    </w:p>
    <w:p w14:paraId="6FC68476" w14:textId="77777777" w:rsidR="00A75091" w:rsidRPr="00CE778C" w:rsidRDefault="00A75091" w:rsidP="00CE778C">
      <w:pPr>
        <w:ind w:left="851"/>
        <w:rPr>
          <w:sz w:val="24"/>
          <w:szCs w:val="24"/>
        </w:rPr>
      </w:pPr>
    </w:p>
    <w:p w14:paraId="2DD4A8FE" w14:textId="77777777" w:rsidR="00A75091" w:rsidRPr="00CE778C" w:rsidRDefault="00A75091" w:rsidP="00A75091">
      <w:pPr>
        <w:pStyle w:val="Brdtekst"/>
        <w:suppressAutoHyphens/>
        <w:kinsoku w:val="0"/>
        <w:overflowPunct w:val="0"/>
        <w:ind w:left="0"/>
        <w:rPr>
          <w:b/>
          <w:bCs/>
        </w:rPr>
      </w:pPr>
      <w:r w:rsidRPr="00CE778C">
        <w:rPr>
          <w:b/>
          <w:bCs/>
        </w:rPr>
        <w:t>Tabel 4: Apopleksianfald og SEE i ENGAGE AF–TIMI 48-studiet – mITT, under behandling</w:t>
      </w:r>
    </w:p>
    <w:p w14:paraId="5263D125" w14:textId="77777777" w:rsidR="00A75091" w:rsidRPr="00CE778C" w:rsidRDefault="00A75091" w:rsidP="00A75091">
      <w:pPr>
        <w:pStyle w:val="Brdtekst"/>
        <w:suppressAutoHyphens/>
        <w:kinsoku w:val="0"/>
        <w:overflowPunct w:val="0"/>
        <w:ind w:left="0"/>
        <w:rPr>
          <w:b/>
          <w:bCs/>
        </w:rPr>
      </w:pPr>
    </w:p>
    <w:tbl>
      <w:tblPr>
        <w:tblStyle w:val="TableNormal1"/>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512"/>
        <w:gridCol w:w="3081"/>
        <w:gridCol w:w="3029"/>
      </w:tblGrid>
      <w:tr w:rsidR="00A75091" w:rsidRPr="00CE778C" w14:paraId="45B3F91E" w14:textId="77777777" w:rsidTr="00CE778C">
        <w:trPr>
          <w:trHeight w:val="624"/>
        </w:trPr>
        <w:tc>
          <w:tcPr>
            <w:tcW w:w="1825" w:type="pct"/>
            <w:tcBorders>
              <w:top w:val="single" w:sz="6" w:space="0" w:color="000000"/>
              <w:left w:val="single" w:sz="6" w:space="0" w:color="000000"/>
              <w:bottom w:val="single" w:sz="4" w:space="0" w:color="000000"/>
              <w:right w:val="single" w:sz="6" w:space="0" w:color="000000"/>
            </w:tcBorders>
            <w:shd w:val="clear" w:color="auto" w:fill="DADADA"/>
            <w:vAlign w:val="center"/>
            <w:hideMark/>
          </w:tcPr>
          <w:p w14:paraId="5A5B4D1C" w14:textId="77777777" w:rsidR="00A75091" w:rsidRPr="00CE778C" w:rsidRDefault="00A75091">
            <w:pPr>
              <w:pStyle w:val="TableParagraph"/>
              <w:ind w:left="57"/>
              <w:rPr>
                <w:rFonts w:ascii="Times New Roman" w:hAnsi="Times New Roman" w:cs="Times New Roman"/>
                <w:b/>
                <w:lang w:eastAsia="en-US"/>
              </w:rPr>
            </w:pPr>
            <w:r w:rsidRPr="00CE778C">
              <w:rPr>
                <w:rFonts w:ascii="Times New Roman" w:hAnsi="Times New Roman" w:cs="Times New Roman"/>
                <w:b/>
                <w:bCs/>
                <w:lang w:eastAsia="en-US"/>
              </w:rPr>
              <w:t>Primære endepunkt</w:t>
            </w:r>
          </w:p>
        </w:tc>
        <w:tc>
          <w:tcPr>
            <w:tcW w:w="1601" w:type="pct"/>
            <w:tcBorders>
              <w:top w:val="single" w:sz="6" w:space="0" w:color="000000"/>
              <w:left w:val="single" w:sz="6" w:space="0" w:color="000000"/>
              <w:bottom w:val="single" w:sz="4" w:space="0" w:color="000000"/>
              <w:right w:val="single" w:sz="6" w:space="0" w:color="000000"/>
            </w:tcBorders>
            <w:shd w:val="clear" w:color="auto" w:fill="DADADA"/>
            <w:vAlign w:val="center"/>
            <w:hideMark/>
          </w:tcPr>
          <w:p w14:paraId="7BAA0EC0" w14:textId="77777777" w:rsidR="00A75091" w:rsidRPr="00CE778C" w:rsidRDefault="00A75091">
            <w:pPr>
              <w:pStyle w:val="TableParagraph"/>
              <w:ind w:left="57" w:firstLine="211"/>
              <w:jc w:val="center"/>
              <w:rPr>
                <w:rFonts w:ascii="Times New Roman" w:hAnsi="Times New Roman" w:cs="Times New Roman"/>
                <w:b/>
                <w:lang w:eastAsia="en-US"/>
              </w:rPr>
            </w:pPr>
            <w:r w:rsidRPr="00CE778C">
              <w:rPr>
                <w:rFonts w:ascii="Times New Roman" w:hAnsi="Times New Roman" w:cs="Times New Roman"/>
                <w:b/>
                <w:lang w:eastAsia="en-US"/>
              </w:rPr>
              <w:t>Edoxaban 60 mg</w:t>
            </w:r>
          </w:p>
          <w:p w14:paraId="4604C4F3" w14:textId="77777777" w:rsidR="00A75091" w:rsidRPr="00CE778C" w:rsidRDefault="00A75091">
            <w:pPr>
              <w:pStyle w:val="TableParagraph"/>
              <w:ind w:left="57" w:firstLine="211"/>
              <w:jc w:val="center"/>
              <w:rPr>
                <w:rFonts w:ascii="Times New Roman" w:hAnsi="Times New Roman" w:cs="Times New Roman"/>
                <w:b/>
                <w:lang w:eastAsia="en-US"/>
              </w:rPr>
            </w:pPr>
            <w:r w:rsidRPr="00CE778C">
              <w:rPr>
                <w:rFonts w:ascii="Times New Roman" w:hAnsi="Times New Roman" w:cs="Times New Roman"/>
                <w:b/>
                <w:lang w:eastAsia="en-US"/>
              </w:rPr>
              <w:t>(30 mg dosisreduceret)</w:t>
            </w:r>
          </w:p>
          <w:p w14:paraId="40047904" w14:textId="77777777" w:rsidR="00A75091" w:rsidRPr="00CE778C" w:rsidRDefault="00A75091">
            <w:pPr>
              <w:pStyle w:val="TableParagraph"/>
              <w:ind w:left="57"/>
              <w:jc w:val="center"/>
              <w:rPr>
                <w:rFonts w:ascii="Times New Roman" w:hAnsi="Times New Roman" w:cs="Times New Roman"/>
                <w:b/>
                <w:lang w:eastAsia="en-US"/>
              </w:rPr>
            </w:pPr>
            <w:r w:rsidRPr="00CE778C">
              <w:rPr>
                <w:rFonts w:ascii="Times New Roman" w:hAnsi="Times New Roman" w:cs="Times New Roman"/>
                <w:b/>
                <w:lang w:eastAsia="en-US"/>
              </w:rPr>
              <w:t>(N = 7012)</w:t>
            </w:r>
          </w:p>
        </w:tc>
        <w:tc>
          <w:tcPr>
            <w:tcW w:w="1575" w:type="pct"/>
            <w:tcBorders>
              <w:top w:val="single" w:sz="6" w:space="0" w:color="000000"/>
              <w:left w:val="single" w:sz="6" w:space="0" w:color="000000"/>
              <w:bottom w:val="single" w:sz="4" w:space="0" w:color="000000"/>
              <w:right w:val="single" w:sz="6" w:space="0" w:color="000000"/>
            </w:tcBorders>
            <w:shd w:val="clear" w:color="auto" w:fill="DADADA"/>
            <w:vAlign w:val="center"/>
            <w:hideMark/>
          </w:tcPr>
          <w:p w14:paraId="06A36706" w14:textId="77777777" w:rsidR="00A75091" w:rsidRPr="00CE778C" w:rsidRDefault="00A75091">
            <w:pPr>
              <w:pStyle w:val="TableParagraph"/>
              <w:ind w:left="57"/>
              <w:jc w:val="center"/>
              <w:rPr>
                <w:rFonts w:ascii="Times New Roman" w:hAnsi="Times New Roman" w:cs="Times New Roman"/>
                <w:b/>
                <w:lang w:eastAsia="en-US"/>
              </w:rPr>
            </w:pPr>
            <w:r w:rsidRPr="00CE778C">
              <w:rPr>
                <w:rFonts w:ascii="Times New Roman" w:hAnsi="Times New Roman" w:cs="Times New Roman"/>
                <w:b/>
                <w:lang w:eastAsia="en-US"/>
              </w:rPr>
              <w:t xml:space="preserve">Warfarin </w:t>
            </w:r>
            <w:r w:rsidRPr="00CE778C">
              <w:rPr>
                <w:rFonts w:ascii="Times New Roman" w:hAnsi="Times New Roman" w:cs="Times New Roman"/>
                <w:b/>
                <w:lang w:eastAsia="en-US"/>
              </w:rPr>
              <w:br/>
              <w:t>(N = 7012)</w:t>
            </w:r>
          </w:p>
        </w:tc>
      </w:tr>
      <w:tr w:rsidR="00A75091" w:rsidRPr="00CE778C" w14:paraId="226A2508" w14:textId="77777777" w:rsidTr="00CE778C">
        <w:trPr>
          <w:trHeight w:val="20"/>
        </w:trPr>
        <w:tc>
          <w:tcPr>
            <w:tcW w:w="1825" w:type="pct"/>
            <w:tcBorders>
              <w:top w:val="single" w:sz="4" w:space="0" w:color="000000"/>
              <w:left w:val="single" w:sz="4" w:space="0" w:color="000000"/>
              <w:bottom w:val="single" w:sz="4" w:space="0" w:color="000000"/>
              <w:right w:val="single" w:sz="6" w:space="0" w:color="000000"/>
            </w:tcBorders>
            <w:shd w:val="clear" w:color="auto" w:fill="DADADA"/>
            <w:hideMark/>
          </w:tcPr>
          <w:p w14:paraId="2468C69F" w14:textId="77777777" w:rsidR="00A75091" w:rsidRPr="00CE778C" w:rsidRDefault="00A75091">
            <w:pPr>
              <w:pStyle w:val="TableParagraph"/>
              <w:ind w:left="57"/>
              <w:rPr>
                <w:rFonts w:ascii="Times New Roman" w:hAnsi="Times New Roman" w:cs="Times New Roman"/>
                <w:lang w:eastAsia="en-US"/>
              </w:rPr>
            </w:pPr>
            <w:r w:rsidRPr="00CE778C">
              <w:rPr>
                <w:rFonts w:ascii="Times New Roman" w:hAnsi="Times New Roman" w:cs="Times New Roman"/>
                <w:b/>
                <w:bCs/>
                <w:lang w:eastAsia="en-US"/>
              </w:rPr>
              <w:t>Første apopleksianfald/SEE</w:t>
            </w:r>
            <w:r w:rsidRPr="00CE778C">
              <w:rPr>
                <w:rFonts w:ascii="Times New Roman" w:hAnsi="Times New Roman" w:cs="Times New Roman"/>
                <w:b/>
                <w:vertAlign w:val="superscript"/>
                <w:lang w:eastAsia="en-US"/>
              </w:rPr>
              <w:t>a</w:t>
            </w:r>
          </w:p>
        </w:tc>
        <w:tc>
          <w:tcPr>
            <w:tcW w:w="1601" w:type="pct"/>
            <w:tcBorders>
              <w:top w:val="single" w:sz="4" w:space="0" w:color="000000"/>
              <w:left w:val="single" w:sz="6" w:space="0" w:color="000000"/>
              <w:bottom w:val="single" w:sz="4" w:space="0" w:color="000000"/>
              <w:right w:val="single" w:sz="6" w:space="0" w:color="000000"/>
            </w:tcBorders>
            <w:shd w:val="clear" w:color="auto" w:fill="DADADA"/>
          </w:tcPr>
          <w:p w14:paraId="6298899E" w14:textId="77777777" w:rsidR="00A75091" w:rsidRPr="00CE778C" w:rsidRDefault="00A75091">
            <w:pPr>
              <w:pStyle w:val="TableParagraph"/>
              <w:ind w:left="57"/>
              <w:rPr>
                <w:rFonts w:ascii="Times New Roman" w:hAnsi="Times New Roman" w:cs="Times New Roman"/>
                <w:lang w:eastAsia="en-US"/>
              </w:rPr>
            </w:pPr>
          </w:p>
        </w:tc>
        <w:tc>
          <w:tcPr>
            <w:tcW w:w="1575" w:type="pct"/>
            <w:tcBorders>
              <w:top w:val="single" w:sz="4" w:space="0" w:color="000000"/>
              <w:left w:val="single" w:sz="6" w:space="0" w:color="000000"/>
              <w:bottom w:val="single" w:sz="4" w:space="0" w:color="000000"/>
              <w:right w:val="single" w:sz="6" w:space="0" w:color="000000"/>
            </w:tcBorders>
            <w:shd w:val="clear" w:color="auto" w:fill="DADADA"/>
          </w:tcPr>
          <w:p w14:paraId="10E453A9" w14:textId="77777777" w:rsidR="00A75091" w:rsidRPr="00CE778C" w:rsidRDefault="00A75091">
            <w:pPr>
              <w:pStyle w:val="TableParagraph"/>
              <w:ind w:left="57"/>
              <w:rPr>
                <w:rFonts w:ascii="Times New Roman" w:hAnsi="Times New Roman" w:cs="Times New Roman"/>
                <w:lang w:eastAsia="en-US"/>
              </w:rPr>
            </w:pPr>
          </w:p>
        </w:tc>
      </w:tr>
      <w:tr w:rsidR="00A75091" w:rsidRPr="00CE778C" w14:paraId="76B5355D" w14:textId="77777777" w:rsidTr="00CE778C">
        <w:trPr>
          <w:trHeight w:val="20"/>
        </w:trPr>
        <w:tc>
          <w:tcPr>
            <w:tcW w:w="1825" w:type="pct"/>
            <w:tcBorders>
              <w:top w:val="single" w:sz="4" w:space="0" w:color="000000"/>
              <w:left w:val="single" w:sz="6" w:space="0" w:color="000000"/>
              <w:bottom w:val="single" w:sz="6" w:space="0" w:color="000000"/>
              <w:right w:val="single" w:sz="6" w:space="0" w:color="000000"/>
            </w:tcBorders>
            <w:hideMark/>
          </w:tcPr>
          <w:p w14:paraId="5D1B64F1" w14:textId="77777777" w:rsidR="00A75091" w:rsidRPr="00CE778C" w:rsidRDefault="00A75091">
            <w:pPr>
              <w:pStyle w:val="TableParagraph"/>
              <w:ind w:left="57"/>
              <w:rPr>
                <w:rFonts w:ascii="Times New Roman" w:hAnsi="Times New Roman" w:cs="Times New Roman"/>
                <w:lang w:eastAsia="en-US"/>
              </w:rPr>
            </w:pPr>
            <w:r w:rsidRPr="00CE778C">
              <w:rPr>
                <w:rFonts w:ascii="Times New Roman" w:hAnsi="Times New Roman" w:cs="Times New Roman"/>
                <w:lang w:eastAsia="en-US"/>
              </w:rPr>
              <w:t>n</w:t>
            </w:r>
          </w:p>
        </w:tc>
        <w:tc>
          <w:tcPr>
            <w:tcW w:w="1601" w:type="pct"/>
            <w:tcBorders>
              <w:top w:val="single" w:sz="4" w:space="0" w:color="000000"/>
              <w:left w:val="single" w:sz="6" w:space="0" w:color="000000"/>
              <w:bottom w:val="single" w:sz="6" w:space="0" w:color="000000"/>
              <w:right w:val="single" w:sz="6" w:space="0" w:color="000000"/>
            </w:tcBorders>
            <w:hideMark/>
          </w:tcPr>
          <w:p w14:paraId="7EFC64DD" w14:textId="77777777" w:rsidR="00A75091" w:rsidRPr="00CE778C" w:rsidRDefault="00A75091">
            <w:pPr>
              <w:pStyle w:val="TableParagraph"/>
              <w:ind w:left="57"/>
              <w:jc w:val="center"/>
              <w:rPr>
                <w:rFonts w:ascii="Times New Roman" w:hAnsi="Times New Roman" w:cs="Times New Roman"/>
                <w:lang w:eastAsia="en-US"/>
              </w:rPr>
            </w:pPr>
            <w:r w:rsidRPr="00CE778C">
              <w:rPr>
                <w:rFonts w:ascii="Times New Roman" w:hAnsi="Times New Roman" w:cs="Times New Roman"/>
                <w:lang w:eastAsia="en-US"/>
              </w:rPr>
              <w:t>182</w:t>
            </w:r>
          </w:p>
        </w:tc>
        <w:tc>
          <w:tcPr>
            <w:tcW w:w="1575" w:type="pct"/>
            <w:tcBorders>
              <w:top w:val="single" w:sz="4" w:space="0" w:color="000000"/>
              <w:left w:val="single" w:sz="6" w:space="0" w:color="000000"/>
              <w:bottom w:val="single" w:sz="6" w:space="0" w:color="000000"/>
              <w:right w:val="single" w:sz="6" w:space="0" w:color="000000"/>
            </w:tcBorders>
            <w:hideMark/>
          </w:tcPr>
          <w:p w14:paraId="33B66108" w14:textId="77777777" w:rsidR="00A75091" w:rsidRPr="00CE778C" w:rsidRDefault="00A75091">
            <w:pPr>
              <w:pStyle w:val="TableParagraph"/>
              <w:ind w:left="57"/>
              <w:jc w:val="center"/>
              <w:rPr>
                <w:rFonts w:ascii="Times New Roman" w:hAnsi="Times New Roman" w:cs="Times New Roman"/>
                <w:lang w:eastAsia="en-US"/>
              </w:rPr>
            </w:pPr>
            <w:r w:rsidRPr="00CE778C">
              <w:rPr>
                <w:rFonts w:ascii="Times New Roman" w:hAnsi="Times New Roman" w:cs="Times New Roman"/>
                <w:lang w:eastAsia="en-US"/>
              </w:rPr>
              <w:t>232</w:t>
            </w:r>
          </w:p>
        </w:tc>
      </w:tr>
      <w:tr w:rsidR="00A75091" w:rsidRPr="00CE778C" w14:paraId="4C095C32" w14:textId="77777777" w:rsidTr="00CE778C">
        <w:trPr>
          <w:trHeight w:val="20"/>
        </w:trPr>
        <w:tc>
          <w:tcPr>
            <w:tcW w:w="1825" w:type="pct"/>
            <w:tcBorders>
              <w:top w:val="single" w:sz="6" w:space="0" w:color="000000"/>
              <w:left w:val="single" w:sz="6" w:space="0" w:color="000000"/>
              <w:bottom w:val="single" w:sz="6" w:space="0" w:color="000000"/>
              <w:right w:val="single" w:sz="6" w:space="0" w:color="000000"/>
            </w:tcBorders>
            <w:hideMark/>
          </w:tcPr>
          <w:p w14:paraId="20CD193D" w14:textId="77777777" w:rsidR="00A75091" w:rsidRPr="00CE778C" w:rsidRDefault="00A75091">
            <w:pPr>
              <w:pStyle w:val="TableParagraph"/>
              <w:ind w:left="57"/>
              <w:rPr>
                <w:rFonts w:ascii="Times New Roman" w:hAnsi="Times New Roman" w:cs="Times New Roman"/>
                <w:lang w:eastAsia="en-US"/>
              </w:rPr>
            </w:pPr>
            <w:r w:rsidRPr="00CE778C">
              <w:rPr>
                <w:rFonts w:ascii="Times New Roman" w:hAnsi="Times New Roman" w:cs="Times New Roman"/>
                <w:lang w:eastAsia="en-US"/>
              </w:rPr>
              <w:t>Hændelsesrate (%/</w:t>
            </w:r>
            <w:proofErr w:type="gramStart"/>
            <w:r w:rsidRPr="00CE778C">
              <w:rPr>
                <w:rFonts w:ascii="Times New Roman" w:hAnsi="Times New Roman" w:cs="Times New Roman"/>
                <w:lang w:eastAsia="en-US"/>
              </w:rPr>
              <w:t>år)</w:t>
            </w:r>
            <w:r w:rsidRPr="00CE778C">
              <w:rPr>
                <w:rFonts w:ascii="Times New Roman" w:hAnsi="Times New Roman" w:cs="Times New Roman"/>
                <w:vertAlign w:val="superscript"/>
                <w:lang w:eastAsia="en-US"/>
              </w:rPr>
              <w:t>b</w:t>
            </w:r>
            <w:proofErr w:type="gramEnd"/>
          </w:p>
        </w:tc>
        <w:tc>
          <w:tcPr>
            <w:tcW w:w="1601" w:type="pct"/>
            <w:tcBorders>
              <w:top w:val="single" w:sz="6" w:space="0" w:color="000000"/>
              <w:left w:val="single" w:sz="6" w:space="0" w:color="000000"/>
              <w:bottom w:val="single" w:sz="6" w:space="0" w:color="000000"/>
              <w:right w:val="single" w:sz="6" w:space="0" w:color="000000"/>
            </w:tcBorders>
            <w:hideMark/>
          </w:tcPr>
          <w:p w14:paraId="774DF4BA" w14:textId="77777777" w:rsidR="00A75091" w:rsidRPr="00CE778C" w:rsidRDefault="00A75091">
            <w:pPr>
              <w:pStyle w:val="TableParagraph"/>
              <w:ind w:left="57"/>
              <w:jc w:val="center"/>
              <w:rPr>
                <w:rFonts w:ascii="Times New Roman" w:hAnsi="Times New Roman" w:cs="Times New Roman"/>
                <w:lang w:eastAsia="en-US"/>
              </w:rPr>
            </w:pPr>
            <w:r w:rsidRPr="00CE778C">
              <w:rPr>
                <w:rFonts w:ascii="Times New Roman" w:hAnsi="Times New Roman" w:cs="Times New Roman"/>
                <w:lang w:eastAsia="en-US"/>
              </w:rPr>
              <w:t>1,18</w:t>
            </w:r>
          </w:p>
        </w:tc>
        <w:tc>
          <w:tcPr>
            <w:tcW w:w="1575" w:type="pct"/>
            <w:tcBorders>
              <w:top w:val="single" w:sz="6" w:space="0" w:color="000000"/>
              <w:left w:val="single" w:sz="6" w:space="0" w:color="000000"/>
              <w:bottom w:val="single" w:sz="6" w:space="0" w:color="000000"/>
              <w:right w:val="single" w:sz="6" w:space="0" w:color="000000"/>
            </w:tcBorders>
            <w:hideMark/>
          </w:tcPr>
          <w:p w14:paraId="04B26CEC" w14:textId="77777777" w:rsidR="00A75091" w:rsidRPr="00CE778C" w:rsidRDefault="00A75091">
            <w:pPr>
              <w:pStyle w:val="TableParagraph"/>
              <w:ind w:left="57"/>
              <w:jc w:val="center"/>
              <w:rPr>
                <w:rFonts w:ascii="Times New Roman" w:hAnsi="Times New Roman" w:cs="Times New Roman"/>
                <w:lang w:eastAsia="en-US"/>
              </w:rPr>
            </w:pPr>
            <w:r w:rsidRPr="00CE778C">
              <w:rPr>
                <w:rFonts w:ascii="Times New Roman" w:hAnsi="Times New Roman" w:cs="Times New Roman"/>
                <w:lang w:eastAsia="en-US"/>
              </w:rPr>
              <w:t>1,50</w:t>
            </w:r>
          </w:p>
        </w:tc>
      </w:tr>
      <w:tr w:rsidR="00A75091" w:rsidRPr="00CE778C" w14:paraId="71655395" w14:textId="77777777" w:rsidTr="00CE778C">
        <w:trPr>
          <w:trHeight w:val="20"/>
        </w:trPr>
        <w:tc>
          <w:tcPr>
            <w:tcW w:w="1825" w:type="pct"/>
            <w:tcBorders>
              <w:top w:val="single" w:sz="6" w:space="0" w:color="000000"/>
              <w:left w:val="single" w:sz="6" w:space="0" w:color="000000"/>
              <w:bottom w:val="single" w:sz="6" w:space="0" w:color="000000"/>
              <w:right w:val="single" w:sz="6" w:space="0" w:color="000000"/>
            </w:tcBorders>
            <w:hideMark/>
          </w:tcPr>
          <w:p w14:paraId="1E22C86D" w14:textId="77777777" w:rsidR="00A75091" w:rsidRPr="00CE778C" w:rsidRDefault="00A75091">
            <w:pPr>
              <w:pStyle w:val="TableParagraph"/>
              <w:ind w:left="57"/>
              <w:rPr>
                <w:rFonts w:ascii="Times New Roman" w:hAnsi="Times New Roman" w:cs="Times New Roman"/>
                <w:lang w:eastAsia="en-US"/>
              </w:rPr>
            </w:pPr>
            <w:r w:rsidRPr="00CE778C">
              <w:rPr>
                <w:rFonts w:ascii="Times New Roman" w:hAnsi="Times New Roman" w:cs="Times New Roman"/>
                <w:lang w:eastAsia="en-US"/>
              </w:rPr>
              <w:t>HR (97.5% CI)</w:t>
            </w:r>
          </w:p>
        </w:tc>
        <w:tc>
          <w:tcPr>
            <w:tcW w:w="1601" w:type="pct"/>
            <w:tcBorders>
              <w:top w:val="single" w:sz="6" w:space="0" w:color="000000"/>
              <w:left w:val="single" w:sz="6" w:space="0" w:color="000000"/>
              <w:bottom w:val="single" w:sz="6" w:space="0" w:color="000000"/>
              <w:right w:val="single" w:sz="6" w:space="0" w:color="000000"/>
            </w:tcBorders>
            <w:hideMark/>
          </w:tcPr>
          <w:p w14:paraId="376FC468" w14:textId="77777777" w:rsidR="00A75091" w:rsidRPr="00CE778C" w:rsidRDefault="00A75091">
            <w:pPr>
              <w:pStyle w:val="TableParagraph"/>
              <w:ind w:left="57"/>
              <w:jc w:val="center"/>
              <w:rPr>
                <w:rFonts w:ascii="Times New Roman" w:hAnsi="Times New Roman" w:cs="Times New Roman"/>
                <w:lang w:eastAsia="en-US"/>
              </w:rPr>
            </w:pPr>
            <w:r w:rsidRPr="00CE778C">
              <w:rPr>
                <w:rFonts w:ascii="Times New Roman" w:hAnsi="Times New Roman" w:cs="Times New Roman"/>
                <w:lang w:eastAsia="en-US"/>
              </w:rPr>
              <w:t>0,79 (0,63; 0,99)</w:t>
            </w:r>
          </w:p>
        </w:tc>
        <w:tc>
          <w:tcPr>
            <w:tcW w:w="1575" w:type="pct"/>
            <w:tcBorders>
              <w:top w:val="single" w:sz="6" w:space="0" w:color="000000"/>
              <w:left w:val="single" w:sz="6" w:space="0" w:color="000000"/>
              <w:bottom w:val="single" w:sz="6" w:space="0" w:color="000000"/>
              <w:right w:val="single" w:sz="6" w:space="0" w:color="000000"/>
            </w:tcBorders>
          </w:tcPr>
          <w:p w14:paraId="55CE9635" w14:textId="77777777" w:rsidR="00A75091" w:rsidRPr="00CE778C" w:rsidRDefault="00A75091">
            <w:pPr>
              <w:pStyle w:val="TableParagraph"/>
              <w:ind w:left="57"/>
              <w:rPr>
                <w:rFonts w:ascii="Times New Roman" w:hAnsi="Times New Roman" w:cs="Times New Roman"/>
                <w:lang w:eastAsia="en-US"/>
              </w:rPr>
            </w:pPr>
          </w:p>
        </w:tc>
      </w:tr>
      <w:tr w:rsidR="00A75091" w:rsidRPr="00CE778C" w14:paraId="5FF03EE1" w14:textId="77777777" w:rsidTr="00CE778C">
        <w:trPr>
          <w:trHeight w:val="20"/>
        </w:trPr>
        <w:tc>
          <w:tcPr>
            <w:tcW w:w="1825" w:type="pct"/>
            <w:tcBorders>
              <w:top w:val="single" w:sz="6" w:space="0" w:color="000000"/>
              <w:left w:val="single" w:sz="6" w:space="0" w:color="000000"/>
              <w:bottom w:val="single" w:sz="6" w:space="0" w:color="000000"/>
              <w:right w:val="single" w:sz="6" w:space="0" w:color="000000"/>
            </w:tcBorders>
            <w:hideMark/>
          </w:tcPr>
          <w:p w14:paraId="57445D49" w14:textId="77777777" w:rsidR="00A75091" w:rsidRPr="00CE778C" w:rsidRDefault="00A75091">
            <w:pPr>
              <w:pStyle w:val="TableParagraph"/>
              <w:ind w:left="57"/>
              <w:rPr>
                <w:rFonts w:ascii="Times New Roman" w:hAnsi="Times New Roman" w:cs="Times New Roman"/>
                <w:lang w:val="da-DK" w:eastAsia="en-US"/>
              </w:rPr>
            </w:pPr>
            <w:r w:rsidRPr="00CE778C">
              <w:rPr>
                <w:rFonts w:ascii="Times New Roman" w:hAnsi="Times New Roman" w:cs="Times New Roman"/>
                <w:lang w:val="da-DK" w:eastAsia="en-US"/>
              </w:rPr>
              <w:t>p-værdi for non-inferioritet</w:t>
            </w:r>
            <w:r w:rsidRPr="00CE778C">
              <w:rPr>
                <w:rFonts w:ascii="Times New Roman" w:hAnsi="Times New Roman" w:cs="Times New Roman"/>
                <w:vertAlign w:val="superscript"/>
                <w:lang w:val="da-DK" w:eastAsia="en-US"/>
              </w:rPr>
              <w:t>c</w:t>
            </w:r>
          </w:p>
        </w:tc>
        <w:tc>
          <w:tcPr>
            <w:tcW w:w="1601" w:type="pct"/>
            <w:tcBorders>
              <w:top w:val="single" w:sz="6" w:space="0" w:color="000000"/>
              <w:left w:val="single" w:sz="6" w:space="0" w:color="000000"/>
              <w:bottom w:val="single" w:sz="6" w:space="0" w:color="000000"/>
              <w:right w:val="single" w:sz="6" w:space="0" w:color="000000"/>
            </w:tcBorders>
            <w:hideMark/>
          </w:tcPr>
          <w:p w14:paraId="74BB918F" w14:textId="77777777" w:rsidR="00A75091" w:rsidRPr="00CE778C" w:rsidRDefault="00A75091">
            <w:pPr>
              <w:pStyle w:val="TableParagraph"/>
              <w:ind w:left="57"/>
              <w:jc w:val="center"/>
              <w:rPr>
                <w:rFonts w:ascii="Times New Roman" w:hAnsi="Times New Roman" w:cs="Times New Roman"/>
                <w:lang w:eastAsia="en-US"/>
              </w:rPr>
            </w:pPr>
            <w:r w:rsidRPr="00CE778C">
              <w:rPr>
                <w:rFonts w:ascii="Times New Roman" w:hAnsi="Times New Roman" w:cs="Times New Roman"/>
                <w:lang w:eastAsia="en-US"/>
              </w:rPr>
              <w:t>&lt;0,0001</w:t>
            </w:r>
          </w:p>
        </w:tc>
        <w:tc>
          <w:tcPr>
            <w:tcW w:w="1575" w:type="pct"/>
            <w:tcBorders>
              <w:top w:val="single" w:sz="6" w:space="0" w:color="000000"/>
              <w:left w:val="single" w:sz="6" w:space="0" w:color="000000"/>
              <w:bottom w:val="single" w:sz="6" w:space="0" w:color="000000"/>
              <w:right w:val="single" w:sz="6" w:space="0" w:color="000000"/>
            </w:tcBorders>
          </w:tcPr>
          <w:p w14:paraId="5ACC0532" w14:textId="77777777" w:rsidR="00A75091" w:rsidRPr="00CE778C" w:rsidRDefault="00A75091">
            <w:pPr>
              <w:pStyle w:val="TableParagraph"/>
              <w:ind w:left="57"/>
              <w:rPr>
                <w:rFonts w:ascii="Times New Roman" w:hAnsi="Times New Roman" w:cs="Times New Roman"/>
                <w:lang w:eastAsia="en-US"/>
              </w:rPr>
            </w:pPr>
          </w:p>
        </w:tc>
      </w:tr>
      <w:tr w:rsidR="00A75091" w:rsidRPr="00CE778C" w14:paraId="5BFAD742" w14:textId="77777777" w:rsidTr="00CE778C">
        <w:trPr>
          <w:trHeight w:val="20"/>
        </w:trPr>
        <w:tc>
          <w:tcPr>
            <w:tcW w:w="1825" w:type="pct"/>
            <w:tcBorders>
              <w:top w:val="single" w:sz="6" w:space="0" w:color="000000"/>
              <w:left w:val="single" w:sz="6" w:space="0" w:color="000000"/>
              <w:bottom w:val="single" w:sz="6" w:space="0" w:color="000000"/>
              <w:right w:val="single" w:sz="6" w:space="0" w:color="000000"/>
            </w:tcBorders>
            <w:shd w:val="clear" w:color="auto" w:fill="DADADA"/>
            <w:hideMark/>
          </w:tcPr>
          <w:p w14:paraId="1EA93746" w14:textId="77777777" w:rsidR="00A75091" w:rsidRPr="00CE778C" w:rsidRDefault="00A75091">
            <w:pPr>
              <w:pStyle w:val="TableParagraph"/>
              <w:ind w:left="57"/>
              <w:rPr>
                <w:rFonts w:ascii="Times New Roman" w:hAnsi="Times New Roman" w:cs="Times New Roman"/>
                <w:b/>
                <w:lang w:eastAsia="en-US"/>
              </w:rPr>
            </w:pPr>
            <w:r w:rsidRPr="00CE778C">
              <w:rPr>
                <w:rFonts w:ascii="Times New Roman" w:hAnsi="Times New Roman" w:cs="Times New Roman"/>
                <w:b/>
                <w:bCs/>
                <w:lang w:eastAsia="en-US"/>
              </w:rPr>
              <w:lastRenderedPageBreak/>
              <w:t>Første iskæmiske apopleksianfald</w:t>
            </w:r>
          </w:p>
        </w:tc>
        <w:tc>
          <w:tcPr>
            <w:tcW w:w="1601" w:type="pct"/>
            <w:tcBorders>
              <w:top w:val="single" w:sz="6" w:space="0" w:color="000000"/>
              <w:left w:val="single" w:sz="6" w:space="0" w:color="000000"/>
              <w:bottom w:val="single" w:sz="6" w:space="0" w:color="000000"/>
              <w:right w:val="single" w:sz="6" w:space="0" w:color="000000"/>
            </w:tcBorders>
            <w:shd w:val="clear" w:color="auto" w:fill="DADADA"/>
          </w:tcPr>
          <w:p w14:paraId="5CBA43BB" w14:textId="77777777" w:rsidR="00A75091" w:rsidRPr="00CE778C" w:rsidRDefault="00A75091">
            <w:pPr>
              <w:pStyle w:val="TableParagraph"/>
              <w:ind w:left="57"/>
              <w:rPr>
                <w:rFonts w:ascii="Times New Roman" w:hAnsi="Times New Roman" w:cs="Times New Roman"/>
                <w:lang w:eastAsia="en-US"/>
              </w:rPr>
            </w:pPr>
          </w:p>
        </w:tc>
        <w:tc>
          <w:tcPr>
            <w:tcW w:w="1575" w:type="pct"/>
            <w:tcBorders>
              <w:top w:val="single" w:sz="6" w:space="0" w:color="000000"/>
              <w:left w:val="single" w:sz="6" w:space="0" w:color="000000"/>
              <w:bottom w:val="single" w:sz="6" w:space="0" w:color="000000"/>
              <w:right w:val="single" w:sz="6" w:space="0" w:color="000000"/>
            </w:tcBorders>
            <w:shd w:val="clear" w:color="auto" w:fill="DADADA"/>
          </w:tcPr>
          <w:p w14:paraId="70C54BD3" w14:textId="77777777" w:rsidR="00A75091" w:rsidRPr="00CE778C" w:rsidRDefault="00A75091">
            <w:pPr>
              <w:pStyle w:val="TableParagraph"/>
              <w:ind w:left="57"/>
              <w:rPr>
                <w:rFonts w:ascii="Times New Roman" w:hAnsi="Times New Roman" w:cs="Times New Roman"/>
                <w:lang w:eastAsia="en-US"/>
              </w:rPr>
            </w:pPr>
          </w:p>
        </w:tc>
      </w:tr>
      <w:tr w:rsidR="00A75091" w:rsidRPr="00CE778C" w14:paraId="1448D33A" w14:textId="77777777" w:rsidTr="00CE778C">
        <w:trPr>
          <w:trHeight w:val="20"/>
        </w:trPr>
        <w:tc>
          <w:tcPr>
            <w:tcW w:w="1825" w:type="pct"/>
            <w:tcBorders>
              <w:top w:val="single" w:sz="6" w:space="0" w:color="000000"/>
              <w:left w:val="single" w:sz="6" w:space="0" w:color="000000"/>
              <w:bottom w:val="single" w:sz="6" w:space="0" w:color="000000"/>
              <w:right w:val="single" w:sz="6" w:space="0" w:color="000000"/>
            </w:tcBorders>
            <w:hideMark/>
          </w:tcPr>
          <w:p w14:paraId="4120F7B0" w14:textId="77777777" w:rsidR="00A75091" w:rsidRPr="00CE778C" w:rsidRDefault="00A75091">
            <w:pPr>
              <w:pStyle w:val="TableParagraph"/>
              <w:ind w:left="57"/>
              <w:rPr>
                <w:rFonts w:ascii="Times New Roman" w:hAnsi="Times New Roman" w:cs="Times New Roman"/>
                <w:lang w:eastAsia="en-US"/>
              </w:rPr>
            </w:pPr>
            <w:r w:rsidRPr="00CE778C">
              <w:rPr>
                <w:rFonts w:ascii="Times New Roman" w:hAnsi="Times New Roman" w:cs="Times New Roman"/>
                <w:lang w:eastAsia="en-US"/>
              </w:rPr>
              <w:t>n</w:t>
            </w:r>
          </w:p>
        </w:tc>
        <w:tc>
          <w:tcPr>
            <w:tcW w:w="1601" w:type="pct"/>
            <w:tcBorders>
              <w:top w:val="single" w:sz="6" w:space="0" w:color="000000"/>
              <w:left w:val="single" w:sz="6" w:space="0" w:color="000000"/>
              <w:bottom w:val="single" w:sz="6" w:space="0" w:color="000000"/>
              <w:right w:val="single" w:sz="6" w:space="0" w:color="000000"/>
            </w:tcBorders>
            <w:hideMark/>
          </w:tcPr>
          <w:p w14:paraId="28CAE651" w14:textId="77777777" w:rsidR="00A75091" w:rsidRPr="00CE778C" w:rsidRDefault="00A75091">
            <w:pPr>
              <w:pStyle w:val="TableParagraph"/>
              <w:ind w:left="57"/>
              <w:jc w:val="center"/>
              <w:rPr>
                <w:rFonts w:ascii="Times New Roman" w:hAnsi="Times New Roman" w:cs="Times New Roman"/>
                <w:lang w:eastAsia="en-US"/>
              </w:rPr>
            </w:pPr>
            <w:r w:rsidRPr="00CE778C">
              <w:rPr>
                <w:rFonts w:ascii="Times New Roman" w:hAnsi="Times New Roman" w:cs="Times New Roman"/>
                <w:lang w:eastAsia="en-US"/>
              </w:rPr>
              <w:t>135</w:t>
            </w:r>
          </w:p>
        </w:tc>
        <w:tc>
          <w:tcPr>
            <w:tcW w:w="1575" w:type="pct"/>
            <w:tcBorders>
              <w:top w:val="single" w:sz="6" w:space="0" w:color="000000"/>
              <w:left w:val="single" w:sz="6" w:space="0" w:color="000000"/>
              <w:bottom w:val="single" w:sz="6" w:space="0" w:color="000000"/>
              <w:right w:val="single" w:sz="6" w:space="0" w:color="000000"/>
            </w:tcBorders>
            <w:hideMark/>
          </w:tcPr>
          <w:p w14:paraId="0AF280EE" w14:textId="77777777" w:rsidR="00A75091" w:rsidRPr="00CE778C" w:rsidRDefault="00A75091">
            <w:pPr>
              <w:pStyle w:val="TableParagraph"/>
              <w:ind w:left="57"/>
              <w:jc w:val="center"/>
              <w:rPr>
                <w:rFonts w:ascii="Times New Roman" w:hAnsi="Times New Roman" w:cs="Times New Roman"/>
                <w:lang w:eastAsia="en-US"/>
              </w:rPr>
            </w:pPr>
            <w:r w:rsidRPr="00CE778C">
              <w:rPr>
                <w:rFonts w:ascii="Times New Roman" w:hAnsi="Times New Roman" w:cs="Times New Roman"/>
                <w:lang w:eastAsia="en-US"/>
              </w:rPr>
              <w:t>144</w:t>
            </w:r>
          </w:p>
        </w:tc>
      </w:tr>
      <w:tr w:rsidR="00A75091" w:rsidRPr="00CE778C" w14:paraId="0344C1DF" w14:textId="77777777" w:rsidTr="00CE778C">
        <w:trPr>
          <w:trHeight w:val="20"/>
        </w:trPr>
        <w:tc>
          <w:tcPr>
            <w:tcW w:w="1825" w:type="pct"/>
            <w:tcBorders>
              <w:top w:val="single" w:sz="6" w:space="0" w:color="000000"/>
              <w:left w:val="single" w:sz="6" w:space="0" w:color="000000"/>
              <w:bottom w:val="single" w:sz="6" w:space="0" w:color="000000"/>
              <w:right w:val="single" w:sz="6" w:space="0" w:color="000000"/>
            </w:tcBorders>
            <w:hideMark/>
          </w:tcPr>
          <w:p w14:paraId="48DC045A" w14:textId="77777777" w:rsidR="00A75091" w:rsidRPr="00CE778C" w:rsidRDefault="00A75091">
            <w:pPr>
              <w:pStyle w:val="TableParagraph"/>
              <w:ind w:left="57"/>
              <w:rPr>
                <w:rFonts w:ascii="Times New Roman" w:hAnsi="Times New Roman" w:cs="Times New Roman"/>
                <w:lang w:eastAsia="en-US"/>
              </w:rPr>
            </w:pPr>
            <w:r w:rsidRPr="00CE778C">
              <w:rPr>
                <w:rFonts w:ascii="Times New Roman" w:hAnsi="Times New Roman" w:cs="Times New Roman"/>
                <w:lang w:eastAsia="en-US"/>
              </w:rPr>
              <w:t>Hændelsesrate (%/</w:t>
            </w:r>
            <w:proofErr w:type="gramStart"/>
            <w:r w:rsidRPr="00CE778C">
              <w:rPr>
                <w:rFonts w:ascii="Times New Roman" w:hAnsi="Times New Roman" w:cs="Times New Roman"/>
                <w:lang w:eastAsia="en-US"/>
              </w:rPr>
              <w:t>år)</w:t>
            </w:r>
            <w:r w:rsidRPr="00CE778C">
              <w:rPr>
                <w:rFonts w:ascii="Times New Roman" w:hAnsi="Times New Roman" w:cs="Times New Roman"/>
                <w:vertAlign w:val="superscript"/>
                <w:lang w:eastAsia="en-US"/>
              </w:rPr>
              <w:t>b</w:t>
            </w:r>
            <w:proofErr w:type="gramEnd"/>
          </w:p>
        </w:tc>
        <w:tc>
          <w:tcPr>
            <w:tcW w:w="1601" w:type="pct"/>
            <w:tcBorders>
              <w:top w:val="single" w:sz="6" w:space="0" w:color="000000"/>
              <w:left w:val="single" w:sz="6" w:space="0" w:color="000000"/>
              <w:bottom w:val="single" w:sz="6" w:space="0" w:color="000000"/>
              <w:right w:val="single" w:sz="6" w:space="0" w:color="000000"/>
            </w:tcBorders>
            <w:hideMark/>
          </w:tcPr>
          <w:p w14:paraId="3B9FD7F2" w14:textId="77777777" w:rsidR="00A75091" w:rsidRPr="00CE778C" w:rsidRDefault="00A75091">
            <w:pPr>
              <w:pStyle w:val="TableParagraph"/>
              <w:ind w:left="57"/>
              <w:jc w:val="center"/>
              <w:rPr>
                <w:rFonts w:ascii="Times New Roman" w:hAnsi="Times New Roman" w:cs="Times New Roman"/>
                <w:lang w:eastAsia="en-US"/>
              </w:rPr>
            </w:pPr>
            <w:r w:rsidRPr="00CE778C">
              <w:rPr>
                <w:rFonts w:ascii="Times New Roman" w:hAnsi="Times New Roman" w:cs="Times New Roman"/>
                <w:lang w:eastAsia="en-US"/>
              </w:rPr>
              <w:t>0,87</w:t>
            </w:r>
          </w:p>
        </w:tc>
        <w:tc>
          <w:tcPr>
            <w:tcW w:w="1575" w:type="pct"/>
            <w:tcBorders>
              <w:top w:val="single" w:sz="6" w:space="0" w:color="000000"/>
              <w:left w:val="single" w:sz="6" w:space="0" w:color="000000"/>
              <w:bottom w:val="single" w:sz="6" w:space="0" w:color="000000"/>
              <w:right w:val="single" w:sz="6" w:space="0" w:color="000000"/>
            </w:tcBorders>
            <w:hideMark/>
          </w:tcPr>
          <w:p w14:paraId="7E2C444A" w14:textId="77777777" w:rsidR="00A75091" w:rsidRPr="00CE778C" w:rsidRDefault="00A75091">
            <w:pPr>
              <w:pStyle w:val="TableParagraph"/>
              <w:ind w:left="57"/>
              <w:jc w:val="center"/>
              <w:rPr>
                <w:rFonts w:ascii="Times New Roman" w:hAnsi="Times New Roman" w:cs="Times New Roman"/>
                <w:lang w:eastAsia="en-US"/>
              </w:rPr>
            </w:pPr>
            <w:r w:rsidRPr="00CE778C">
              <w:rPr>
                <w:rFonts w:ascii="Times New Roman" w:hAnsi="Times New Roman" w:cs="Times New Roman"/>
                <w:lang w:eastAsia="en-US"/>
              </w:rPr>
              <w:t>0,93</w:t>
            </w:r>
          </w:p>
        </w:tc>
      </w:tr>
      <w:tr w:rsidR="00A75091" w:rsidRPr="00CE778C" w14:paraId="4B21D371" w14:textId="77777777" w:rsidTr="00CE778C">
        <w:trPr>
          <w:trHeight w:val="20"/>
        </w:trPr>
        <w:tc>
          <w:tcPr>
            <w:tcW w:w="1825" w:type="pct"/>
            <w:tcBorders>
              <w:top w:val="single" w:sz="6" w:space="0" w:color="000000"/>
              <w:left w:val="single" w:sz="6" w:space="0" w:color="000000"/>
              <w:bottom w:val="single" w:sz="6" w:space="0" w:color="000000"/>
              <w:right w:val="single" w:sz="6" w:space="0" w:color="000000"/>
            </w:tcBorders>
            <w:hideMark/>
          </w:tcPr>
          <w:p w14:paraId="7FCE4C91" w14:textId="77777777" w:rsidR="00A75091" w:rsidRPr="00CE778C" w:rsidRDefault="00A75091">
            <w:pPr>
              <w:pStyle w:val="TableParagraph"/>
              <w:ind w:left="57"/>
              <w:rPr>
                <w:rFonts w:ascii="Times New Roman" w:hAnsi="Times New Roman" w:cs="Times New Roman"/>
                <w:lang w:eastAsia="en-US"/>
              </w:rPr>
            </w:pPr>
            <w:r w:rsidRPr="00CE778C">
              <w:rPr>
                <w:rFonts w:ascii="Times New Roman" w:hAnsi="Times New Roman" w:cs="Times New Roman"/>
                <w:lang w:eastAsia="en-US"/>
              </w:rPr>
              <w:t>HR (95% CI)</w:t>
            </w:r>
          </w:p>
        </w:tc>
        <w:tc>
          <w:tcPr>
            <w:tcW w:w="1601" w:type="pct"/>
            <w:tcBorders>
              <w:top w:val="single" w:sz="6" w:space="0" w:color="000000"/>
              <w:left w:val="single" w:sz="6" w:space="0" w:color="000000"/>
              <w:bottom w:val="single" w:sz="6" w:space="0" w:color="000000"/>
              <w:right w:val="single" w:sz="6" w:space="0" w:color="000000"/>
            </w:tcBorders>
            <w:hideMark/>
          </w:tcPr>
          <w:p w14:paraId="285C5E9A" w14:textId="77777777" w:rsidR="00A75091" w:rsidRPr="00CE778C" w:rsidRDefault="00A75091">
            <w:pPr>
              <w:pStyle w:val="TableParagraph"/>
              <w:ind w:left="57"/>
              <w:jc w:val="center"/>
              <w:rPr>
                <w:rFonts w:ascii="Times New Roman" w:hAnsi="Times New Roman" w:cs="Times New Roman"/>
                <w:lang w:eastAsia="en-US"/>
              </w:rPr>
            </w:pPr>
            <w:r w:rsidRPr="00CE778C">
              <w:rPr>
                <w:rFonts w:ascii="Times New Roman" w:hAnsi="Times New Roman" w:cs="Times New Roman"/>
                <w:lang w:eastAsia="en-US"/>
              </w:rPr>
              <w:t>0,94 (0,75; 1,19)</w:t>
            </w:r>
          </w:p>
        </w:tc>
        <w:tc>
          <w:tcPr>
            <w:tcW w:w="1575" w:type="pct"/>
            <w:tcBorders>
              <w:top w:val="single" w:sz="6" w:space="0" w:color="000000"/>
              <w:left w:val="single" w:sz="6" w:space="0" w:color="000000"/>
              <w:bottom w:val="single" w:sz="6" w:space="0" w:color="000000"/>
              <w:right w:val="single" w:sz="6" w:space="0" w:color="000000"/>
            </w:tcBorders>
          </w:tcPr>
          <w:p w14:paraId="7AA5F12A" w14:textId="77777777" w:rsidR="00A75091" w:rsidRPr="00CE778C" w:rsidRDefault="00A75091">
            <w:pPr>
              <w:pStyle w:val="TableParagraph"/>
              <w:ind w:left="57"/>
              <w:rPr>
                <w:rFonts w:ascii="Times New Roman" w:hAnsi="Times New Roman" w:cs="Times New Roman"/>
                <w:lang w:eastAsia="en-US"/>
              </w:rPr>
            </w:pPr>
          </w:p>
        </w:tc>
      </w:tr>
      <w:tr w:rsidR="00A75091" w:rsidRPr="00CE778C" w14:paraId="32BAE30E" w14:textId="77777777" w:rsidTr="00CE778C">
        <w:trPr>
          <w:trHeight w:val="20"/>
        </w:trPr>
        <w:tc>
          <w:tcPr>
            <w:tcW w:w="1825" w:type="pct"/>
            <w:tcBorders>
              <w:top w:val="single" w:sz="6" w:space="0" w:color="000000"/>
              <w:left w:val="single" w:sz="6" w:space="0" w:color="000000"/>
              <w:bottom w:val="single" w:sz="6" w:space="0" w:color="000000"/>
              <w:right w:val="single" w:sz="6" w:space="0" w:color="000000"/>
            </w:tcBorders>
            <w:shd w:val="clear" w:color="auto" w:fill="DADADA"/>
            <w:hideMark/>
          </w:tcPr>
          <w:p w14:paraId="6BB96134" w14:textId="77777777" w:rsidR="00A75091" w:rsidRPr="00CE778C" w:rsidRDefault="00A75091">
            <w:pPr>
              <w:pStyle w:val="TableParagraph"/>
              <w:ind w:left="57"/>
              <w:rPr>
                <w:rFonts w:ascii="Times New Roman" w:hAnsi="Times New Roman" w:cs="Times New Roman"/>
                <w:b/>
                <w:lang w:eastAsia="en-US"/>
              </w:rPr>
            </w:pPr>
            <w:r w:rsidRPr="00CE778C">
              <w:rPr>
                <w:rFonts w:ascii="Times New Roman" w:hAnsi="Times New Roman" w:cs="Times New Roman"/>
                <w:b/>
                <w:bCs/>
                <w:lang w:eastAsia="en-US"/>
              </w:rPr>
              <w:t>Første hæmoragiske apopleksianfald</w:t>
            </w:r>
          </w:p>
        </w:tc>
        <w:tc>
          <w:tcPr>
            <w:tcW w:w="1601" w:type="pct"/>
            <w:tcBorders>
              <w:top w:val="single" w:sz="6" w:space="0" w:color="000000"/>
              <w:left w:val="single" w:sz="6" w:space="0" w:color="000000"/>
              <w:bottom w:val="single" w:sz="6" w:space="0" w:color="000000"/>
              <w:right w:val="single" w:sz="6" w:space="0" w:color="000000"/>
            </w:tcBorders>
            <w:shd w:val="clear" w:color="auto" w:fill="DADADA"/>
          </w:tcPr>
          <w:p w14:paraId="41D2E8D9" w14:textId="77777777" w:rsidR="00A75091" w:rsidRPr="00CE778C" w:rsidRDefault="00A75091">
            <w:pPr>
              <w:pStyle w:val="TableParagraph"/>
              <w:ind w:left="57"/>
              <w:rPr>
                <w:rFonts w:ascii="Times New Roman" w:hAnsi="Times New Roman" w:cs="Times New Roman"/>
                <w:lang w:eastAsia="en-US"/>
              </w:rPr>
            </w:pPr>
          </w:p>
        </w:tc>
        <w:tc>
          <w:tcPr>
            <w:tcW w:w="1575" w:type="pct"/>
            <w:tcBorders>
              <w:top w:val="single" w:sz="6" w:space="0" w:color="000000"/>
              <w:left w:val="single" w:sz="6" w:space="0" w:color="000000"/>
              <w:bottom w:val="single" w:sz="6" w:space="0" w:color="000000"/>
              <w:right w:val="single" w:sz="6" w:space="0" w:color="000000"/>
            </w:tcBorders>
            <w:shd w:val="clear" w:color="auto" w:fill="DADADA"/>
          </w:tcPr>
          <w:p w14:paraId="533BA878" w14:textId="77777777" w:rsidR="00A75091" w:rsidRPr="00CE778C" w:rsidRDefault="00A75091">
            <w:pPr>
              <w:pStyle w:val="TableParagraph"/>
              <w:ind w:left="57"/>
              <w:rPr>
                <w:rFonts w:ascii="Times New Roman" w:hAnsi="Times New Roman" w:cs="Times New Roman"/>
                <w:lang w:eastAsia="en-US"/>
              </w:rPr>
            </w:pPr>
          </w:p>
        </w:tc>
      </w:tr>
      <w:tr w:rsidR="00A75091" w:rsidRPr="00CE778C" w14:paraId="7879D7FE" w14:textId="77777777" w:rsidTr="00CE778C">
        <w:trPr>
          <w:trHeight w:val="20"/>
        </w:trPr>
        <w:tc>
          <w:tcPr>
            <w:tcW w:w="1825" w:type="pct"/>
            <w:tcBorders>
              <w:top w:val="single" w:sz="6" w:space="0" w:color="000000"/>
              <w:left w:val="single" w:sz="6" w:space="0" w:color="000000"/>
              <w:bottom w:val="single" w:sz="6" w:space="0" w:color="000000"/>
              <w:right w:val="single" w:sz="6" w:space="0" w:color="000000"/>
            </w:tcBorders>
            <w:hideMark/>
          </w:tcPr>
          <w:p w14:paraId="46A5534C" w14:textId="77777777" w:rsidR="00A75091" w:rsidRPr="00CE778C" w:rsidRDefault="00A75091">
            <w:pPr>
              <w:pStyle w:val="TableParagraph"/>
              <w:ind w:left="57"/>
              <w:rPr>
                <w:rFonts w:ascii="Times New Roman" w:hAnsi="Times New Roman" w:cs="Times New Roman"/>
                <w:lang w:eastAsia="en-US"/>
              </w:rPr>
            </w:pPr>
            <w:r w:rsidRPr="00CE778C">
              <w:rPr>
                <w:rFonts w:ascii="Times New Roman" w:hAnsi="Times New Roman" w:cs="Times New Roman"/>
                <w:lang w:eastAsia="en-US"/>
              </w:rPr>
              <w:t>n</w:t>
            </w:r>
          </w:p>
        </w:tc>
        <w:tc>
          <w:tcPr>
            <w:tcW w:w="1601" w:type="pct"/>
            <w:tcBorders>
              <w:top w:val="single" w:sz="6" w:space="0" w:color="000000"/>
              <w:left w:val="single" w:sz="6" w:space="0" w:color="000000"/>
              <w:bottom w:val="single" w:sz="6" w:space="0" w:color="000000"/>
              <w:right w:val="single" w:sz="6" w:space="0" w:color="000000"/>
            </w:tcBorders>
            <w:hideMark/>
          </w:tcPr>
          <w:p w14:paraId="4F7961D3" w14:textId="77777777" w:rsidR="00A75091" w:rsidRPr="00CE778C" w:rsidRDefault="00A75091">
            <w:pPr>
              <w:pStyle w:val="TableParagraph"/>
              <w:ind w:left="57"/>
              <w:jc w:val="center"/>
              <w:rPr>
                <w:rFonts w:ascii="Times New Roman" w:hAnsi="Times New Roman" w:cs="Times New Roman"/>
                <w:lang w:eastAsia="en-US"/>
              </w:rPr>
            </w:pPr>
            <w:r w:rsidRPr="00CE778C">
              <w:rPr>
                <w:rFonts w:ascii="Times New Roman" w:hAnsi="Times New Roman" w:cs="Times New Roman"/>
                <w:lang w:eastAsia="en-US"/>
              </w:rPr>
              <w:t>40</w:t>
            </w:r>
          </w:p>
        </w:tc>
        <w:tc>
          <w:tcPr>
            <w:tcW w:w="1575" w:type="pct"/>
            <w:tcBorders>
              <w:top w:val="single" w:sz="6" w:space="0" w:color="000000"/>
              <w:left w:val="single" w:sz="6" w:space="0" w:color="000000"/>
              <w:bottom w:val="single" w:sz="6" w:space="0" w:color="000000"/>
              <w:right w:val="single" w:sz="6" w:space="0" w:color="000000"/>
            </w:tcBorders>
            <w:hideMark/>
          </w:tcPr>
          <w:p w14:paraId="7EAAC5F9" w14:textId="77777777" w:rsidR="00A75091" w:rsidRPr="00CE778C" w:rsidRDefault="00A75091">
            <w:pPr>
              <w:pStyle w:val="TableParagraph"/>
              <w:ind w:left="57"/>
              <w:jc w:val="center"/>
              <w:rPr>
                <w:rFonts w:ascii="Times New Roman" w:hAnsi="Times New Roman" w:cs="Times New Roman"/>
                <w:lang w:eastAsia="en-US"/>
              </w:rPr>
            </w:pPr>
            <w:r w:rsidRPr="00CE778C">
              <w:rPr>
                <w:rFonts w:ascii="Times New Roman" w:hAnsi="Times New Roman" w:cs="Times New Roman"/>
                <w:lang w:eastAsia="en-US"/>
              </w:rPr>
              <w:t>76</w:t>
            </w:r>
          </w:p>
        </w:tc>
      </w:tr>
      <w:tr w:rsidR="00A75091" w:rsidRPr="00CE778C" w14:paraId="0515EC3E" w14:textId="77777777" w:rsidTr="00CE778C">
        <w:trPr>
          <w:trHeight w:val="20"/>
        </w:trPr>
        <w:tc>
          <w:tcPr>
            <w:tcW w:w="1825" w:type="pct"/>
            <w:tcBorders>
              <w:top w:val="single" w:sz="6" w:space="0" w:color="000000"/>
              <w:left w:val="single" w:sz="6" w:space="0" w:color="000000"/>
              <w:bottom w:val="single" w:sz="6" w:space="0" w:color="000000"/>
              <w:right w:val="single" w:sz="6" w:space="0" w:color="000000"/>
            </w:tcBorders>
            <w:hideMark/>
          </w:tcPr>
          <w:p w14:paraId="756012E5" w14:textId="77777777" w:rsidR="00A75091" w:rsidRPr="00CE778C" w:rsidRDefault="00A75091">
            <w:pPr>
              <w:pStyle w:val="TableParagraph"/>
              <w:ind w:left="57"/>
              <w:rPr>
                <w:rFonts w:ascii="Times New Roman" w:hAnsi="Times New Roman" w:cs="Times New Roman"/>
                <w:lang w:eastAsia="en-US"/>
              </w:rPr>
            </w:pPr>
            <w:r w:rsidRPr="00CE778C">
              <w:rPr>
                <w:rFonts w:ascii="Times New Roman" w:hAnsi="Times New Roman" w:cs="Times New Roman"/>
                <w:lang w:eastAsia="en-US"/>
              </w:rPr>
              <w:t>Hændelsesrate (%/</w:t>
            </w:r>
            <w:proofErr w:type="gramStart"/>
            <w:r w:rsidRPr="00CE778C">
              <w:rPr>
                <w:rFonts w:ascii="Times New Roman" w:hAnsi="Times New Roman" w:cs="Times New Roman"/>
                <w:lang w:eastAsia="en-US"/>
              </w:rPr>
              <w:t>år)</w:t>
            </w:r>
            <w:r w:rsidRPr="00CE778C">
              <w:rPr>
                <w:rFonts w:ascii="Times New Roman" w:hAnsi="Times New Roman" w:cs="Times New Roman"/>
                <w:vertAlign w:val="superscript"/>
                <w:lang w:eastAsia="en-US"/>
              </w:rPr>
              <w:t>b</w:t>
            </w:r>
            <w:proofErr w:type="gramEnd"/>
          </w:p>
        </w:tc>
        <w:tc>
          <w:tcPr>
            <w:tcW w:w="1601" w:type="pct"/>
            <w:tcBorders>
              <w:top w:val="single" w:sz="6" w:space="0" w:color="000000"/>
              <w:left w:val="single" w:sz="6" w:space="0" w:color="000000"/>
              <w:bottom w:val="single" w:sz="6" w:space="0" w:color="000000"/>
              <w:right w:val="single" w:sz="6" w:space="0" w:color="000000"/>
            </w:tcBorders>
            <w:hideMark/>
          </w:tcPr>
          <w:p w14:paraId="01C1E37D" w14:textId="77777777" w:rsidR="00A75091" w:rsidRPr="00CE778C" w:rsidRDefault="00A75091">
            <w:pPr>
              <w:pStyle w:val="TableParagraph"/>
              <w:ind w:left="57"/>
              <w:jc w:val="center"/>
              <w:rPr>
                <w:rFonts w:ascii="Times New Roman" w:hAnsi="Times New Roman" w:cs="Times New Roman"/>
                <w:lang w:eastAsia="en-US"/>
              </w:rPr>
            </w:pPr>
            <w:r w:rsidRPr="00CE778C">
              <w:rPr>
                <w:rFonts w:ascii="Times New Roman" w:hAnsi="Times New Roman" w:cs="Times New Roman"/>
                <w:lang w:eastAsia="en-US"/>
              </w:rPr>
              <w:t>0,26</w:t>
            </w:r>
          </w:p>
        </w:tc>
        <w:tc>
          <w:tcPr>
            <w:tcW w:w="1575" w:type="pct"/>
            <w:tcBorders>
              <w:top w:val="single" w:sz="6" w:space="0" w:color="000000"/>
              <w:left w:val="single" w:sz="6" w:space="0" w:color="000000"/>
              <w:bottom w:val="single" w:sz="6" w:space="0" w:color="000000"/>
              <w:right w:val="single" w:sz="6" w:space="0" w:color="000000"/>
            </w:tcBorders>
            <w:hideMark/>
          </w:tcPr>
          <w:p w14:paraId="0640F57A" w14:textId="77777777" w:rsidR="00A75091" w:rsidRPr="00CE778C" w:rsidRDefault="00A75091">
            <w:pPr>
              <w:pStyle w:val="TableParagraph"/>
              <w:ind w:left="57"/>
              <w:jc w:val="center"/>
              <w:rPr>
                <w:rFonts w:ascii="Times New Roman" w:hAnsi="Times New Roman" w:cs="Times New Roman"/>
                <w:lang w:eastAsia="en-US"/>
              </w:rPr>
            </w:pPr>
            <w:r w:rsidRPr="00CE778C">
              <w:rPr>
                <w:rFonts w:ascii="Times New Roman" w:hAnsi="Times New Roman" w:cs="Times New Roman"/>
                <w:lang w:eastAsia="en-US"/>
              </w:rPr>
              <w:t>0,49</w:t>
            </w:r>
          </w:p>
        </w:tc>
      </w:tr>
      <w:tr w:rsidR="00A75091" w:rsidRPr="00CE778C" w14:paraId="2ABED8FB" w14:textId="77777777" w:rsidTr="00CE778C">
        <w:trPr>
          <w:trHeight w:val="20"/>
        </w:trPr>
        <w:tc>
          <w:tcPr>
            <w:tcW w:w="1825" w:type="pct"/>
            <w:tcBorders>
              <w:top w:val="single" w:sz="6" w:space="0" w:color="000000"/>
              <w:left w:val="single" w:sz="6" w:space="0" w:color="000000"/>
              <w:bottom w:val="single" w:sz="6" w:space="0" w:color="000000"/>
              <w:right w:val="single" w:sz="6" w:space="0" w:color="000000"/>
            </w:tcBorders>
            <w:hideMark/>
          </w:tcPr>
          <w:p w14:paraId="3514C35B" w14:textId="77777777" w:rsidR="00A75091" w:rsidRPr="00CE778C" w:rsidRDefault="00A75091">
            <w:pPr>
              <w:pStyle w:val="TableParagraph"/>
              <w:ind w:left="57"/>
              <w:rPr>
                <w:rFonts w:ascii="Times New Roman" w:hAnsi="Times New Roman" w:cs="Times New Roman"/>
                <w:lang w:eastAsia="en-US"/>
              </w:rPr>
            </w:pPr>
            <w:r w:rsidRPr="00CE778C">
              <w:rPr>
                <w:rFonts w:ascii="Times New Roman" w:hAnsi="Times New Roman" w:cs="Times New Roman"/>
                <w:lang w:eastAsia="en-US"/>
              </w:rPr>
              <w:t>HR (95% CI)</w:t>
            </w:r>
          </w:p>
        </w:tc>
        <w:tc>
          <w:tcPr>
            <w:tcW w:w="1601" w:type="pct"/>
            <w:tcBorders>
              <w:top w:val="single" w:sz="6" w:space="0" w:color="000000"/>
              <w:left w:val="single" w:sz="6" w:space="0" w:color="000000"/>
              <w:bottom w:val="single" w:sz="6" w:space="0" w:color="000000"/>
              <w:right w:val="single" w:sz="6" w:space="0" w:color="000000"/>
            </w:tcBorders>
            <w:hideMark/>
          </w:tcPr>
          <w:p w14:paraId="78975785" w14:textId="77777777" w:rsidR="00A75091" w:rsidRPr="00CE778C" w:rsidRDefault="00A75091">
            <w:pPr>
              <w:pStyle w:val="TableParagraph"/>
              <w:ind w:left="57"/>
              <w:jc w:val="center"/>
              <w:rPr>
                <w:rFonts w:ascii="Times New Roman" w:hAnsi="Times New Roman" w:cs="Times New Roman"/>
                <w:lang w:eastAsia="en-US"/>
              </w:rPr>
            </w:pPr>
            <w:r w:rsidRPr="00CE778C">
              <w:rPr>
                <w:rFonts w:ascii="Times New Roman" w:hAnsi="Times New Roman" w:cs="Times New Roman"/>
                <w:lang w:eastAsia="en-US"/>
              </w:rPr>
              <w:t>0,53 (0,36; 0,78)</w:t>
            </w:r>
          </w:p>
        </w:tc>
        <w:tc>
          <w:tcPr>
            <w:tcW w:w="1575" w:type="pct"/>
            <w:tcBorders>
              <w:top w:val="single" w:sz="6" w:space="0" w:color="000000"/>
              <w:left w:val="single" w:sz="6" w:space="0" w:color="000000"/>
              <w:bottom w:val="single" w:sz="6" w:space="0" w:color="000000"/>
              <w:right w:val="single" w:sz="6" w:space="0" w:color="000000"/>
            </w:tcBorders>
          </w:tcPr>
          <w:p w14:paraId="61057DFA" w14:textId="77777777" w:rsidR="00A75091" w:rsidRPr="00CE778C" w:rsidRDefault="00A75091">
            <w:pPr>
              <w:pStyle w:val="TableParagraph"/>
              <w:ind w:left="57"/>
              <w:rPr>
                <w:rFonts w:ascii="Times New Roman" w:hAnsi="Times New Roman" w:cs="Times New Roman"/>
                <w:lang w:eastAsia="en-US"/>
              </w:rPr>
            </w:pPr>
          </w:p>
        </w:tc>
      </w:tr>
      <w:tr w:rsidR="00A75091" w:rsidRPr="00CE778C" w14:paraId="76FF68C7" w14:textId="77777777" w:rsidTr="00CE778C">
        <w:trPr>
          <w:trHeight w:val="20"/>
        </w:trPr>
        <w:tc>
          <w:tcPr>
            <w:tcW w:w="1825" w:type="pct"/>
            <w:tcBorders>
              <w:top w:val="single" w:sz="6" w:space="0" w:color="000000"/>
              <w:left w:val="single" w:sz="6" w:space="0" w:color="000000"/>
              <w:bottom w:val="single" w:sz="6" w:space="0" w:color="000000"/>
              <w:right w:val="single" w:sz="6" w:space="0" w:color="000000"/>
            </w:tcBorders>
            <w:shd w:val="clear" w:color="auto" w:fill="DADADA"/>
            <w:hideMark/>
          </w:tcPr>
          <w:p w14:paraId="7696E401" w14:textId="77777777" w:rsidR="00A75091" w:rsidRPr="00CE778C" w:rsidRDefault="00A75091">
            <w:pPr>
              <w:pStyle w:val="TableParagraph"/>
              <w:ind w:left="57"/>
              <w:rPr>
                <w:rFonts w:ascii="Times New Roman" w:hAnsi="Times New Roman" w:cs="Times New Roman"/>
                <w:b/>
                <w:lang w:eastAsia="en-US"/>
              </w:rPr>
            </w:pPr>
            <w:r w:rsidRPr="00CE778C">
              <w:rPr>
                <w:rFonts w:ascii="Times New Roman" w:hAnsi="Times New Roman" w:cs="Times New Roman"/>
                <w:b/>
                <w:bCs/>
                <w:lang w:eastAsia="en-US"/>
              </w:rPr>
              <w:t>Første</w:t>
            </w:r>
            <w:r w:rsidRPr="00CE778C">
              <w:rPr>
                <w:rFonts w:ascii="Times New Roman" w:hAnsi="Times New Roman" w:cs="Times New Roman"/>
                <w:b/>
                <w:lang w:eastAsia="en-US"/>
              </w:rPr>
              <w:t xml:space="preserve"> SEE</w:t>
            </w:r>
          </w:p>
        </w:tc>
        <w:tc>
          <w:tcPr>
            <w:tcW w:w="1601" w:type="pct"/>
            <w:tcBorders>
              <w:top w:val="single" w:sz="6" w:space="0" w:color="000000"/>
              <w:left w:val="single" w:sz="6" w:space="0" w:color="000000"/>
              <w:bottom w:val="single" w:sz="6" w:space="0" w:color="000000"/>
              <w:right w:val="single" w:sz="6" w:space="0" w:color="000000"/>
            </w:tcBorders>
            <w:shd w:val="clear" w:color="auto" w:fill="DADADA"/>
          </w:tcPr>
          <w:p w14:paraId="15B5FDDE" w14:textId="77777777" w:rsidR="00A75091" w:rsidRPr="00CE778C" w:rsidRDefault="00A75091">
            <w:pPr>
              <w:pStyle w:val="TableParagraph"/>
              <w:ind w:left="57"/>
              <w:rPr>
                <w:rFonts w:ascii="Times New Roman" w:hAnsi="Times New Roman" w:cs="Times New Roman"/>
                <w:lang w:eastAsia="en-US"/>
              </w:rPr>
            </w:pPr>
          </w:p>
        </w:tc>
        <w:tc>
          <w:tcPr>
            <w:tcW w:w="1575" w:type="pct"/>
            <w:tcBorders>
              <w:top w:val="single" w:sz="6" w:space="0" w:color="000000"/>
              <w:left w:val="single" w:sz="6" w:space="0" w:color="000000"/>
              <w:bottom w:val="single" w:sz="6" w:space="0" w:color="000000"/>
              <w:right w:val="single" w:sz="6" w:space="0" w:color="000000"/>
            </w:tcBorders>
            <w:shd w:val="clear" w:color="auto" w:fill="DADADA"/>
          </w:tcPr>
          <w:p w14:paraId="01D8D8BD" w14:textId="77777777" w:rsidR="00A75091" w:rsidRPr="00CE778C" w:rsidRDefault="00A75091">
            <w:pPr>
              <w:pStyle w:val="TableParagraph"/>
              <w:ind w:left="57"/>
              <w:rPr>
                <w:rFonts w:ascii="Times New Roman" w:hAnsi="Times New Roman" w:cs="Times New Roman"/>
                <w:lang w:eastAsia="en-US"/>
              </w:rPr>
            </w:pPr>
          </w:p>
        </w:tc>
      </w:tr>
      <w:tr w:rsidR="00A75091" w:rsidRPr="00CE778C" w14:paraId="0DEB96B2" w14:textId="77777777" w:rsidTr="00CE778C">
        <w:trPr>
          <w:trHeight w:val="20"/>
        </w:trPr>
        <w:tc>
          <w:tcPr>
            <w:tcW w:w="1825" w:type="pct"/>
            <w:tcBorders>
              <w:top w:val="single" w:sz="6" w:space="0" w:color="000000"/>
              <w:left w:val="single" w:sz="6" w:space="0" w:color="000000"/>
              <w:bottom w:val="single" w:sz="6" w:space="0" w:color="000000"/>
              <w:right w:val="single" w:sz="6" w:space="0" w:color="000000"/>
            </w:tcBorders>
            <w:hideMark/>
          </w:tcPr>
          <w:p w14:paraId="3F639B3F" w14:textId="77777777" w:rsidR="00A75091" w:rsidRPr="00CE778C" w:rsidRDefault="00A75091">
            <w:pPr>
              <w:pStyle w:val="TableParagraph"/>
              <w:ind w:left="57"/>
              <w:rPr>
                <w:rFonts w:ascii="Times New Roman" w:hAnsi="Times New Roman" w:cs="Times New Roman"/>
                <w:lang w:eastAsia="en-US"/>
              </w:rPr>
            </w:pPr>
            <w:r w:rsidRPr="00CE778C">
              <w:rPr>
                <w:rFonts w:ascii="Times New Roman" w:hAnsi="Times New Roman" w:cs="Times New Roman"/>
                <w:lang w:eastAsia="en-US"/>
              </w:rPr>
              <w:t xml:space="preserve">n </w:t>
            </w:r>
            <w:r w:rsidRPr="00CE778C">
              <w:rPr>
                <w:rFonts w:ascii="Times New Roman" w:hAnsi="Times New Roman" w:cs="Times New Roman"/>
                <w:lang w:val="nb-NO" w:eastAsia="en-US"/>
              </w:rPr>
              <w:t>(%/</w:t>
            </w:r>
            <w:proofErr w:type="gramStart"/>
            <w:r w:rsidRPr="00CE778C">
              <w:rPr>
                <w:rFonts w:ascii="Times New Roman" w:hAnsi="Times New Roman" w:cs="Times New Roman"/>
                <w:lang w:val="nb-NO" w:eastAsia="en-US"/>
              </w:rPr>
              <w:t>år)</w:t>
            </w:r>
            <w:r w:rsidRPr="00CE778C">
              <w:rPr>
                <w:rFonts w:ascii="Times New Roman" w:hAnsi="Times New Roman" w:cs="Times New Roman"/>
                <w:vertAlign w:val="superscript"/>
                <w:lang w:val="nb-NO" w:eastAsia="en-US"/>
              </w:rPr>
              <w:t>a</w:t>
            </w:r>
            <w:proofErr w:type="gramEnd"/>
          </w:p>
        </w:tc>
        <w:tc>
          <w:tcPr>
            <w:tcW w:w="1601" w:type="pct"/>
            <w:tcBorders>
              <w:top w:val="single" w:sz="6" w:space="0" w:color="000000"/>
              <w:left w:val="single" w:sz="6" w:space="0" w:color="000000"/>
              <w:bottom w:val="single" w:sz="6" w:space="0" w:color="000000"/>
              <w:right w:val="single" w:sz="6" w:space="0" w:color="000000"/>
            </w:tcBorders>
            <w:hideMark/>
          </w:tcPr>
          <w:p w14:paraId="6B47A184" w14:textId="77777777" w:rsidR="00A75091" w:rsidRPr="00CE778C" w:rsidRDefault="00A75091">
            <w:pPr>
              <w:pStyle w:val="TableParagraph"/>
              <w:ind w:left="57"/>
              <w:jc w:val="center"/>
              <w:rPr>
                <w:rFonts w:ascii="Times New Roman" w:hAnsi="Times New Roman" w:cs="Times New Roman"/>
                <w:lang w:eastAsia="en-US"/>
              </w:rPr>
            </w:pPr>
            <w:r w:rsidRPr="00CE778C">
              <w:rPr>
                <w:rFonts w:ascii="Times New Roman" w:hAnsi="Times New Roman" w:cs="Times New Roman"/>
                <w:lang w:eastAsia="en-US"/>
              </w:rPr>
              <w:t>8 (0,05)</w:t>
            </w:r>
          </w:p>
        </w:tc>
        <w:tc>
          <w:tcPr>
            <w:tcW w:w="1575" w:type="pct"/>
            <w:tcBorders>
              <w:top w:val="single" w:sz="6" w:space="0" w:color="000000"/>
              <w:left w:val="single" w:sz="6" w:space="0" w:color="000000"/>
              <w:bottom w:val="single" w:sz="6" w:space="0" w:color="000000"/>
              <w:right w:val="single" w:sz="6" w:space="0" w:color="000000"/>
            </w:tcBorders>
            <w:hideMark/>
          </w:tcPr>
          <w:p w14:paraId="360C38CB" w14:textId="77777777" w:rsidR="00A75091" w:rsidRPr="00CE778C" w:rsidRDefault="00A75091">
            <w:pPr>
              <w:pStyle w:val="TableParagraph"/>
              <w:ind w:left="57"/>
              <w:jc w:val="center"/>
              <w:rPr>
                <w:rFonts w:ascii="Times New Roman" w:hAnsi="Times New Roman" w:cs="Times New Roman"/>
                <w:lang w:eastAsia="en-US"/>
              </w:rPr>
            </w:pPr>
            <w:r w:rsidRPr="00CE778C">
              <w:rPr>
                <w:rFonts w:ascii="Times New Roman" w:hAnsi="Times New Roman" w:cs="Times New Roman"/>
                <w:lang w:eastAsia="en-US"/>
              </w:rPr>
              <w:t>13 (0,08)</w:t>
            </w:r>
          </w:p>
        </w:tc>
      </w:tr>
      <w:tr w:rsidR="00A75091" w:rsidRPr="00CE778C" w14:paraId="7609EA35" w14:textId="77777777" w:rsidTr="00CE778C">
        <w:trPr>
          <w:trHeight w:val="20"/>
        </w:trPr>
        <w:tc>
          <w:tcPr>
            <w:tcW w:w="1825" w:type="pct"/>
            <w:tcBorders>
              <w:top w:val="single" w:sz="6" w:space="0" w:color="000000"/>
              <w:left w:val="single" w:sz="6" w:space="0" w:color="000000"/>
              <w:bottom w:val="single" w:sz="6" w:space="0" w:color="000000"/>
              <w:right w:val="single" w:sz="6" w:space="0" w:color="000000"/>
            </w:tcBorders>
            <w:hideMark/>
          </w:tcPr>
          <w:p w14:paraId="2200E110" w14:textId="77777777" w:rsidR="00A75091" w:rsidRPr="00CE778C" w:rsidRDefault="00A75091">
            <w:pPr>
              <w:pStyle w:val="TableParagraph"/>
              <w:ind w:left="57"/>
              <w:rPr>
                <w:rFonts w:ascii="Times New Roman" w:hAnsi="Times New Roman" w:cs="Times New Roman"/>
                <w:lang w:eastAsia="en-US"/>
              </w:rPr>
            </w:pPr>
            <w:r w:rsidRPr="00CE778C">
              <w:rPr>
                <w:rFonts w:ascii="Times New Roman" w:hAnsi="Times New Roman" w:cs="Times New Roman"/>
                <w:lang w:eastAsia="en-US"/>
              </w:rPr>
              <w:t>HR (95% CI)</w:t>
            </w:r>
          </w:p>
        </w:tc>
        <w:tc>
          <w:tcPr>
            <w:tcW w:w="1601" w:type="pct"/>
            <w:tcBorders>
              <w:top w:val="single" w:sz="6" w:space="0" w:color="000000"/>
              <w:left w:val="single" w:sz="6" w:space="0" w:color="000000"/>
              <w:bottom w:val="single" w:sz="6" w:space="0" w:color="000000"/>
              <w:right w:val="single" w:sz="6" w:space="0" w:color="000000"/>
            </w:tcBorders>
            <w:hideMark/>
          </w:tcPr>
          <w:p w14:paraId="16C6F7B6" w14:textId="77777777" w:rsidR="00A75091" w:rsidRPr="00CE778C" w:rsidRDefault="00A75091">
            <w:pPr>
              <w:pStyle w:val="TableParagraph"/>
              <w:ind w:left="57"/>
              <w:jc w:val="center"/>
              <w:rPr>
                <w:rFonts w:ascii="Times New Roman" w:hAnsi="Times New Roman" w:cs="Times New Roman"/>
                <w:lang w:eastAsia="en-US"/>
              </w:rPr>
            </w:pPr>
            <w:r w:rsidRPr="00CE778C">
              <w:rPr>
                <w:rFonts w:ascii="Times New Roman" w:hAnsi="Times New Roman" w:cs="Times New Roman"/>
                <w:lang w:eastAsia="en-US"/>
              </w:rPr>
              <w:t>0,62 (0,26; 1,50)</w:t>
            </w:r>
          </w:p>
        </w:tc>
        <w:tc>
          <w:tcPr>
            <w:tcW w:w="1575" w:type="pct"/>
            <w:tcBorders>
              <w:top w:val="single" w:sz="6" w:space="0" w:color="000000"/>
              <w:left w:val="single" w:sz="6" w:space="0" w:color="000000"/>
              <w:bottom w:val="single" w:sz="6" w:space="0" w:color="000000"/>
              <w:right w:val="single" w:sz="6" w:space="0" w:color="000000"/>
            </w:tcBorders>
          </w:tcPr>
          <w:p w14:paraId="6A19ACE0" w14:textId="77777777" w:rsidR="00A75091" w:rsidRPr="00CE778C" w:rsidRDefault="00A75091">
            <w:pPr>
              <w:pStyle w:val="TableParagraph"/>
              <w:ind w:left="57"/>
              <w:rPr>
                <w:rFonts w:ascii="Times New Roman" w:hAnsi="Times New Roman" w:cs="Times New Roman"/>
                <w:lang w:eastAsia="en-US"/>
              </w:rPr>
            </w:pPr>
          </w:p>
        </w:tc>
      </w:tr>
    </w:tbl>
    <w:p w14:paraId="756AF57A" w14:textId="77777777" w:rsidR="00A75091" w:rsidRPr="00CE778C" w:rsidRDefault="00A75091" w:rsidP="00A75091">
      <w:pPr>
        <w:pStyle w:val="Brdtekst"/>
        <w:suppressAutoHyphens/>
        <w:kinsoku w:val="0"/>
        <w:overflowPunct w:val="0"/>
        <w:ind w:left="0"/>
      </w:pPr>
      <w:r w:rsidRPr="00CE778C">
        <w:t xml:space="preserve">Forkortelser: HR = Hazard Ratio versus warfarin, CI = konfidensinterval, n = antal hændelser, </w:t>
      </w:r>
      <w:r w:rsidRPr="00CE778C">
        <w:br/>
        <w:t>mITT = modificeret intention-to-treat, N = antal personer i mITT-populationen,</w:t>
      </w:r>
    </w:p>
    <w:p w14:paraId="23583DD6" w14:textId="77777777" w:rsidR="00A75091" w:rsidRPr="00CE778C" w:rsidRDefault="00A75091" w:rsidP="00A75091">
      <w:pPr>
        <w:pStyle w:val="Brdtekst"/>
        <w:suppressAutoHyphens/>
        <w:kinsoku w:val="0"/>
        <w:overflowPunct w:val="0"/>
        <w:ind w:left="0"/>
      </w:pPr>
      <w:r w:rsidRPr="00CE778C">
        <w:t>SEE = systemisk embolisk hændelse.</w:t>
      </w:r>
    </w:p>
    <w:p w14:paraId="0B48FF9B" w14:textId="344EC6FB" w:rsidR="00A75091" w:rsidRPr="00CE778C" w:rsidRDefault="00A75091" w:rsidP="007553F5">
      <w:pPr>
        <w:pStyle w:val="Brdtekst"/>
        <w:suppressAutoHyphens/>
        <w:kinsoku w:val="0"/>
        <w:overflowPunct w:val="0"/>
        <w:ind w:left="284" w:hanging="284"/>
      </w:pPr>
      <w:r w:rsidRPr="00CE778C">
        <w:rPr>
          <w:vertAlign w:val="superscript"/>
        </w:rPr>
        <w:t>a</w:t>
      </w:r>
      <w:r w:rsidRPr="00CE778C">
        <w:t xml:space="preserve"> </w:t>
      </w:r>
      <w:r w:rsidR="007553F5">
        <w:tab/>
      </w:r>
      <w:r w:rsidRPr="00CE778C">
        <w:t>En person kan være repræsenteret i flere rækker.</w:t>
      </w:r>
    </w:p>
    <w:p w14:paraId="0A828E04" w14:textId="4D346253" w:rsidR="00A75091" w:rsidRPr="00CE778C" w:rsidRDefault="00A75091" w:rsidP="007553F5">
      <w:pPr>
        <w:pStyle w:val="Brdtekst"/>
        <w:suppressAutoHyphens/>
        <w:kinsoku w:val="0"/>
        <w:overflowPunct w:val="0"/>
        <w:ind w:left="284" w:hanging="284"/>
      </w:pPr>
      <w:r w:rsidRPr="00CE778C">
        <w:rPr>
          <w:vertAlign w:val="superscript"/>
        </w:rPr>
        <w:t>b</w:t>
      </w:r>
      <w:r w:rsidRPr="00CE778C">
        <w:t xml:space="preserve"> </w:t>
      </w:r>
      <w:r w:rsidR="007553F5">
        <w:tab/>
      </w:r>
      <w:r w:rsidRPr="00CE778C">
        <w:t>Hændelsesraten (%/år) er beregnet som antal hændelser/personårs-eksponering.</w:t>
      </w:r>
    </w:p>
    <w:p w14:paraId="4D8EE57A" w14:textId="6DACED81" w:rsidR="00A75091" w:rsidRPr="00CE778C" w:rsidRDefault="00A75091" w:rsidP="007553F5">
      <w:pPr>
        <w:pStyle w:val="Brdtekst"/>
        <w:suppressAutoHyphens/>
        <w:kinsoku w:val="0"/>
        <w:overflowPunct w:val="0"/>
        <w:ind w:left="284" w:hanging="284"/>
      </w:pPr>
      <w:r w:rsidRPr="00CE778C">
        <w:rPr>
          <w:vertAlign w:val="superscript"/>
        </w:rPr>
        <w:t>c</w:t>
      </w:r>
      <w:r w:rsidRPr="00CE778C">
        <w:t xml:space="preserve"> </w:t>
      </w:r>
      <w:r w:rsidR="007553F5">
        <w:tab/>
      </w:r>
      <w:r w:rsidRPr="00CE778C">
        <w:t>Den tosidede p-værdi er baseret på non-inferioritetsmarginen på 1,38.</w:t>
      </w:r>
    </w:p>
    <w:p w14:paraId="7E0651BB" w14:textId="77777777" w:rsidR="00A75091" w:rsidRPr="00CE778C" w:rsidRDefault="00A75091" w:rsidP="00A75091">
      <w:pPr>
        <w:pStyle w:val="Brdtekst"/>
        <w:suppressAutoHyphens/>
        <w:kinsoku w:val="0"/>
        <w:overflowPunct w:val="0"/>
        <w:ind w:left="0"/>
      </w:pPr>
    </w:p>
    <w:p w14:paraId="1D8E4138" w14:textId="01E4C930" w:rsidR="00A75091" w:rsidRPr="00CE778C" w:rsidRDefault="00A75091" w:rsidP="00CE778C">
      <w:pPr>
        <w:ind w:left="851"/>
        <w:rPr>
          <w:sz w:val="24"/>
          <w:szCs w:val="24"/>
        </w:rPr>
      </w:pPr>
      <w:r w:rsidRPr="00CE778C">
        <w:rPr>
          <w:sz w:val="24"/>
          <w:szCs w:val="24"/>
        </w:rPr>
        <w:t>I løbet af den samlede studieperiode i ITT-populationen (analysesæt til at vise superioritet) forekom</w:t>
      </w:r>
      <w:r w:rsidR="007553F5">
        <w:rPr>
          <w:sz w:val="24"/>
          <w:szCs w:val="24"/>
        </w:rPr>
        <w:t xml:space="preserve"> </w:t>
      </w:r>
      <w:r w:rsidRPr="00CE778C">
        <w:rPr>
          <w:sz w:val="24"/>
          <w:szCs w:val="24"/>
        </w:rPr>
        <w:t>adjudikeret apopleksi eller SEE hos 296 personer i edoxaban 60 mg-gruppen (1,57% pr. år) og 337 personer i warfaringruppen (1,80% pr. år). Sammenlignet med warfarinbehandlede personer var HR i edoxaban 60 mg-gruppen 0,87 (99% CI: 0,71; 1,07, p = 0,08 for superioritet).</w:t>
      </w:r>
    </w:p>
    <w:p w14:paraId="7568CF6B" w14:textId="77777777" w:rsidR="00A75091" w:rsidRPr="00CE778C" w:rsidRDefault="00A75091" w:rsidP="00CE778C">
      <w:pPr>
        <w:ind w:left="851"/>
        <w:rPr>
          <w:sz w:val="24"/>
          <w:szCs w:val="24"/>
        </w:rPr>
      </w:pPr>
    </w:p>
    <w:p w14:paraId="6E217E06" w14:textId="09B0B2CF" w:rsidR="00A75091" w:rsidRPr="00CE778C" w:rsidRDefault="00A75091" w:rsidP="00CE778C">
      <w:pPr>
        <w:ind w:left="851"/>
        <w:rPr>
          <w:sz w:val="24"/>
          <w:szCs w:val="24"/>
        </w:rPr>
      </w:pPr>
      <w:r w:rsidRPr="00CE778C">
        <w:rPr>
          <w:sz w:val="24"/>
          <w:szCs w:val="24"/>
        </w:rPr>
        <w:t>I undergruppeanalyser med personerne i behandlingsgruppen med 60 mg, hvor dosis var reduceret til</w:t>
      </w:r>
      <w:r w:rsidR="007553F5">
        <w:rPr>
          <w:sz w:val="24"/>
          <w:szCs w:val="24"/>
        </w:rPr>
        <w:t xml:space="preserve"> </w:t>
      </w:r>
      <w:r w:rsidRPr="00CE778C">
        <w:rPr>
          <w:sz w:val="24"/>
          <w:szCs w:val="24"/>
        </w:rPr>
        <w:t>30 mg i ENGAGE AF-TIMI 48-studiet (for legemsvægt ≤ 60 kg, moderat nedsat nyrefunktion eller samtidig anvendelse af P-gp-hæmmere), var hændelsesraten: 2,29</w:t>
      </w:r>
      <w:r w:rsidR="00BC493D">
        <w:rPr>
          <w:sz w:val="24"/>
          <w:szCs w:val="24"/>
        </w:rPr>
        <w:t> </w:t>
      </w:r>
      <w:r w:rsidRPr="00CE778C">
        <w:rPr>
          <w:sz w:val="24"/>
          <w:szCs w:val="24"/>
        </w:rPr>
        <w:t>% pr. år for det primære endepunkt</w:t>
      </w:r>
      <w:r w:rsidR="007553F5">
        <w:rPr>
          <w:sz w:val="24"/>
          <w:szCs w:val="24"/>
        </w:rPr>
        <w:t xml:space="preserve"> </w:t>
      </w:r>
      <w:r w:rsidRPr="00CE778C">
        <w:rPr>
          <w:sz w:val="24"/>
          <w:szCs w:val="24"/>
        </w:rPr>
        <w:t>sammenlignet med hændelsesraten på 2,66</w:t>
      </w:r>
      <w:r w:rsidR="00BC493D">
        <w:rPr>
          <w:sz w:val="24"/>
          <w:szCs w:val="24"/>
        </w:rPr>
        <w:t> </w:t>
      </w:r>
      <w:r w:rsidRPr="00CE778C">
        <w:rPr>
          <w:sz w:val="24"/>
          <w:szCs w:val="24"/>
        </w:rPr>
        <w:t>% pr. år for de matchende personer i warfaringruppen [HR</w:t>
      </w:r>
      <w:r w:rsidR="007553F5">
        <w:rPr>
          <w:sz w:val="24"/>
          <w:szCs w:val="24"/>
        </w:rPr>
        <w:t xml:space="preserve"> </w:t>
      </w:r>
      <w:r w:rsidRPr="00CE778C">
        <w:rPr>
          <w:sz w:val="24"/>
          <w:szCs w:val="24"/>
        </w:rPr>
        <w:t>(95 % CI): 0,86 (0,66; 1,13)].</w:t>
      </w:r>
    </w:p>
    <w:p w14:paraId="15ECAB69" w14:textId="77777777" w:rsidR="00A75091" w:rsidRPr="00CE778C" w:rsidRDefault="00A75091" w:rsidP="00CE778C">
      <w:pPr>
        <w:ind w:left="851"/>
        <w:rPr>
          <w:sz w:val="24"/>
          <w:szCs w:val="24"/>
        </w:rPr>
      </w:pPr>
    </w:p>
    <w:p w14:paraId="33789F1B" w14:textId="77777777" w:rsidR="00A75091" w:rsidRPr="00CE778C" w:rsidRDefault="00A75091" w:rsidP="00CE778C">
      <w:pPr>
        <w:ind w:left="851"/>
        <w:rPr>
          <w:sz w:val="24"/>
          <w:szCs w:val="24"/>
        </w:rPr>
      </w:pPr>
      <w:r w:rsidRPr="00CE778C">
        <w:rPr>
          <w:sz w:val="24"/>
          <w:szCs w:val="24"/>
        </w:rPr>
        <w:t>Resultaterne for virkning for præspecificerede større undergrupper (med dosisreduktion som påkrævet), herunder alder, legemsvægt, køn, nyrefunktionsstatus, tidligere apopleksi eller TIA, diabetes og P-gp-hæmmere var generelt i overensstemmelse med de primære virkningsresultater for den samlede population, der blev undersøgt i studiet.</w:t>
      </w:r>
    </w:p>
    <w:p w14:paraId="357C9EFC" w14:textId="77777777" w:rsidR="00A75091" w:rsidRPr="00CE778C" w:rsidRDefault="00A75091" w:rsidP="00CE778C">
      <w:pPr>
        <w:ind w:left="851"/>
        <w:rPr>
          <w:sz w:val="24"/>
          <w:szCs w:val="24"/>
        </w:rPr>
      </w:pPr>
    </w:p>
    <w:p w14:paraId="64BBCCAF" w14:textId="1D598B00" w:rsidR="00A75091" w:rsidRPr="00CE778C" w:rsidRDefault="00A75091" w:rsidP="00CE778C">
      <w:pPr>
        <w:ind w:left="851"/>
        <w:rPr>
          <w:sz w:val="24"/>
          <w:szCs w:val="24"/>
        </w:rPr>
      </w:pPr>
      <w:r w:rsidRPr="00CE778C">
        <w:rPr>
          <w:sz w:val="24"/>
          <w:szCs w:val="24"/>
        </w:rPr>
        <w:t>HR (edoxaban 60 mg vs. warfarin) for det primære endepunkt i centre med en lavere gennemsnitlig tid</w:t>
      </w:r>
      <w:r w:rsidR="007553F5">
        <w:rPr>
          <w:sz w:val="24"/>
          <w:szCs w:val="24"/>
        </w:rPr>
        <w:t xml:space="preserve"> </w:t>
      </w:r>
      <w:r w:rsidRPr="00CE778C">
        <w:rPr>
          <w:sz w:val="24"/>
          <w:szCs w:val="24"/>
        </w:rPr>
        <w:t>for INR i det terapeutiske område (INR TTR) for warfarin var 0,73 - 0,80 for de 3 laveste kvartiler</w:t>
      </w:r>
      <w:r w:rsidR="007553F5">
        <w:rPr>
          <w:sz w:val="24"/>
          <w:szCs w:val="24"/>
        </w:rPr>
        <w:t xml:space="preserve"> </w:t>
      </w:r>
      <w:r w:rsidRPr="00CE778C">
        <w:rPr>
          <w:sz w:val="24"/>
          <w:szCs w:val="24"/>
        </w:rPr>
        <w:t>(INR TTR ≤ 57,7 % til ≤ 73,9 %). Den var 1,07 i centre med den bedste kontrol over warfarinbehandlingen (4. kvartil med &gt; 73,9 % af INR-værdier i det terapeutiske område).</w:t>
      </w:r>
    </w:p>
    <w:p w14:paraId="13A841A0" w14:textId="77777777" w:rsidR="00A75091" w:rsidRPr="00CE778C" w:rsidRDefault="00A75091" w:rsidP="00CE778C">
      <w:pPr>
        <w:ind w:left="851"/>
        <w:rPr>
          <w:sz w:val="24"/>
          <w:szCs w:val="24"/>
        </w:rPr>
      </w:pPr>
    </w:p>
    <w:p w14:paraId="4B4F19F1" w14:textId="3D716608" w:rsidR="00A75091" w:rsidRPr="00CE778C" w:rsidRDefault="00A75091" w:rsidP="00CE778C">
      <w:pPr>
        <w:ind w:left="851"/>
        <w:rPr>
          <w:sz w:val="24"/>
          <w:szCs w:val="24"/>
        </w:rPr>
      </w:pPr>
      <w:r w:rsidRPr="00CE778C">
        <w:rPr>
          <w:sz w:val="24"/>
          <w:szCs w:val="24"/>
        </w:rPr>
        <w:t>Der var en statistisk signifikant interaktion mellem virkningen af edoxaban versus warfarin på udfaldet</w:t>
      </w:r>
      <w:r w:rsidR="007553F5">
        <w:rPr>
          <w:sz w:val="24"/>
          <w:szCs w:val="24"/>
        </w:rPr>
        <w:t xml:space="preserve"> </w:t>
      </w:r>
      <w:r w:rsidRPr="00CE778C">
        <w:rPr>
          <w:sz w:val="24"/>
          <w:szCs w:val="24"/>
        </w:rPr>
        <w:t>af det primære studie (apopleksianfald/SEE) og nyrefunktion (p-værdi 0,0042; mITT, samlet</w:t>
      </w:r>
      <w:r w:rsidR="007553F5">
        <w:rPr>
          <w:sz w:val="24"/>
          <w:szCs w:val="24"/>
        </w:rPr>
        <w:t xml:space="preserve"> </w:t>
      </w:r>
      <w:r w:rsidRPr="00CE778C">
        <w:rPr>
          <w:sz w:val="24"/>
          <w:szCs w:val="24"/>
        </w:rPr>
        <w:t>studieperiode).</w:t>
      </w:r>
    </w:p>
    <w:p w14:paraId="34A318E7" w14:textId="77777777" w:rsidR="00A75091" w:rsidRPr="00CE778C" w:rsidRDefault="00A75091" w:rsidP="00CE778C">
      <w:pPr>
        <w:ind w:left="851"/>
        <w:rPr>
          <w:sz w:val="24"/>
          <w:szCs w:val="24"/>
        </w:rPr>
      </w:pPr>
    </w:p>
    <w:p w14:paraId="2C8A2F22" w14:textId="12C24153" w:rsidR="00A75091" w:rsidRPr="00CE778C" w:rsidRDefault="00A75091" w:rsidP="00CE778C">
      <w:pPr>
        <w:ind w:left="851"/>
        <w:rPr>
          <w:sz w:val="24"/>
          <w:szCs w:val="24"/>
        </w:rPr>
      </w:pPr>
      <w:r w:rsidRPr="00CE778C">
        <w:rPr>
          <w:sz w:val="24"/>
          <w:szCs w:val="24"/>
        </w:rPr>
        <w:t>Tabel 5 viser iskæmiske apopleksianfald/SEE pr. CrCl-kategori hos patienter med NVAF i ENGAGE</w:t>
      </w:r>
      <w:r w:rsidR="007553F5">
        <w:rPr>
          <w:sz w:val="24"/>
          <w:szCs w:val="24"/>
        </w:rPr>
        <w:t xml:space="preserve"> </w:t>
      </w:r>
      <w:r w:rsidRPr="00CE778C">
        <w:rPr>
          <w:sz w:val="24"/>
          <w:szCs w:val="24"/>
        </w:rPr>
        <w:t>AF-TIMI 48. Der er en faldende hændelsesrate ved stigende CrCl i begge behandlingsgrupper.</w:t>
      </w:r>
    </w:p>
    <w:p w14:paraId="4C3EEB6A" w14:textId="5AC8734F" w:rsidR="00BC493D" w:rsidRDefault="00BC493D">
      <w:pPr>
        <w:rPr>
          <w:sz w:val="24"/>
          <w:szCs w:val="24"/>
        </w:rPr>
      </w:pPr>
      <w:r>
        <w:rPr>
          <w:sz w:val="24"/>
          <w:szCs w:val="24"/>
        </w:rPr>
        <w:br w:type="page"/>
      </w:r>
    </w:p>
    <w:p w14:paraId="56FC7BCF" w14:textId="77777777" w:rsidR="00A75091" w:rsidRPr="00CE778C" w:rsidRDefault="00A75091" w:rsidP="00CE778C">
      <w:pPr>
        <w:ind w:left="851"/>
        <w:rPr>
          <w:sz w:val="24"/>
          <w:szCs w:val="24"/>
        </w:rPr>
      </w:pPr>
    </w:p>
    <w:p w14:paraId="24DA26F6" w14:textId="77777777" w:rsidR="00A75091" w:rsidRPr="00CE778C" w:rsidRDefault="00A75091" w:rsidP="00A75091">
      <w:pPr>
        <w:pStyle w:val="Brdtekst"/>
        <w:suppressAutoHyphens/>
        <w:kinsoku w:val="0"/>
        <w:overflowPunct w:val="0"/>
        <w:ind w:left="0"/>
        <w:rPr>
          <w:b/>
          <w:bCs/>
        </w:rPr>
      </w:pPr>
      <w:r w:rsidRPr="00CE778C">
        <w:rPr>
          <w:b/>
          <w:bCs/>
        </w:rPr>
        <w:t>Tabel 5: Antal iskæmiske apopleksianfald/SEE pr. CrCl-kategori i ENGAGE AF-TIMI 48,</w:t>
      </w:r>
    </w:p>
    <w:p w14:paraId="601582F5" w14:textId="77777777" w:rsidR="00A75091" w:rsidRPr="00CE778C" w:rsidRDefault="00A75091" w:rsidP="00A75091">
      <w:pPr>
        <w:pStyle w:val="Brdtekst"/>
        <w:widowControl/>
        <w:suppressAutoHyphens/>
        <w:kinsoku w:val="0"/>
        <w:overflowPunct w:val="0"/>
        <w:ind w:left="0"/>
        <w:rPr>
          <w:b/>
          <w:bCs/>
        </w:rPr>
      </w:pPr>
      <w:r w:rsidRPr="00CE778C">
        <w:rPr>
          <w:b/>
          <w:bCs/>
        </w:rPr>
        <w:t>mITT-analysesæt, samlet studie</w:t>
      </w:r>
    </w:p>
    <w:p w14:paraId="344DD7CE" w14:textId="77777777" w:rsidR="00A75091" w:rsidRPr="00CE778C" w:rsidRDefault="00A75091" w:rsidP="00A75091">
      <w:pPr>
        <w:pStyle w:val="Brdtekst"/>
        <w:widowControl/>
        <w:suppressAutoHyphens/>
        <w:kinsoku w:val="0"/>
        <w:overflowPunct w:val="0"/>
        <w:ind w:left="0"/>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82"/>
        <w:gridCol w:w="707"/>
        <w:gridCol w:w="1090"/>
        <w:gridCol w:w="1290"/>
        <w:gridCol w:w="707"/>
        <w:gridCol w:w="1090"/>
        <w:gridCol w:w="1290"/>
        <w:gridCol w:w="1872"/>
      </w:tblGrid>
      <w:tr w:rsidR="00A75091" w:rsidRPr="007553F5" w14:paraId="638254D2" w14:textId="77777777" w:rsidTr="00CE778C">
        <w:trPr>
          <w:trHeight w:val="558"/>
        </w:trPr>
        <w:tc>
          <w:tcPr>
            <w:tcW w:w="834" w:type="pct"/>
            <w:vMerge w:val="restart"/>
            <w:tcBorders>
              <w:top w:val="single" w:sz="4" w:space="0" w:color="000000"/>
              <w:left w:val="single" w:sz="4" w:space="0" w:color="000000"/>
              <w:bottom w:val="single" w:sz="4" w:space="0" w:color="000000"/>
              <w:right w:val="single" w:sz="4" w:space="0" w:color="000000"/>
            </w:tcBorders>
            <w:shd w:val="clear" w:color="auto" w:fill="DADADA"/>
            <w:hideMark/>
          </w:tcPr>
          <w:p w14:paraId="295CDBC5" w14:textId="77777777" w:rsidR="00A75091" w:rsidRPr="007553F5" w:rsidRDefault="00A75091">
            <w:pPr>
              <w:pStyle w:val="TableParagraph"/>
              <w:keepNext/>
              <w:ind w:left="57" w:right="57"/>
              <w:jc w:val="center"/>
              <w:rPr>
                <w:rFonts w:ascii="Times New Roman" w:hAnsi="Times New Roman" w:cs="Times New Roman"/>
                <w:b/>
                <w:sz w:val="22"/>
                <w:szCs w:val="22"/>
                <w:lang w:eastAsia="en-US"/>
              </w:rPr>
            </w:pPr>
            <w:r w:rsidRPr="007553F5">
              <w:rPr>
                <w:rFonts w:ascii="Times New Roman" w:hAnsi="Times New Roman" w:cs="Times New Roman"/>
                <w:b/>
                <w:sz w:val="22"/>
                <w:szCs w:val="22"/>
                <w:lang w:eastAsia="en-US"/>
              </w:rPr>
              <w:t>CrCl-undergruppe</w:t>
            </w:r>
          </w:p>
          <w:p w14:paraId="6A67D78D" w14:textId="77777777" w:rsidR="00A75091" w:rsidRPr="007553F5" w:rsidRDefault="00A75091">
            <w:pPr>
              <w:pStyle w:val="TableParagraph"/>
              <w:keepNext/>
              <w:ind w:left="57" w:right="57"/>
              <w:jc w:val="center"/>
              <w:rPr>
                <w:rFonts w:ascii="Times New Roman" w:hAnsi="Times New Roman" w:cs="Times New Roman"/>
                <w:b/>
                <w:sz w:val="22"/>
                <w:szCs w:val="22"/>
                <w:lang w:eastAsia="en-US"/>
              </w:rPr>
            </w:pPr>
            <w:r w:rsidRPr="007553F5">
              <w:rPr>
                <w:rFonts w:ascii="Times New Roman" w:hAnsi="Times New Roman" w:cs="Times New Roman"/>
                <w:b/>
                <w:sz w:val="22"/>
                <w:szCs w:val="22"/>
                <w:lang w:eastAsia="en-US"/>
              </w:rPr>
              <w:t>(ml/min.)</w:t>
            </w:r>
          </w:p>
        </w:tc>
        <w:tc>
          <w:tcPr>
            <w:tcW w:w="1591" w:type="pct"/>
            <w:gridSpan w:val="3"/>
            <w:tcBorders>
              <w:top w:val="single" w:sz="4" w:space="0" w:color="000000"/>
              <w:left w:val="single" w:sz="4" w:space="0" w:color="000000"/>
              <w:bottom w:val="single" w:sz="4" w:space="0" w:color="000000"/>
              <w:right w:val="single" w:sz="4" w:space="0" w:color="000000"/>
            </w:tcBorders>
            <w:shd w:val="clear" w:color="auto" w:fill="DADADA"/>
            <w:hideMark/>
          </w:tcPr>
          <w:p w14:paraId="2CC524E6" w14:textId="77777777" w:rsidR="00A75091" w:rsidRPr="007553F5" w:rsidRDefault="00A75091">
            <w:pPr>
              <w:pStyle w:val="TableParagraph"/>
              <w:keepNext/>
              <w:ind w:left="57" w:right="57"/>
              <w:jc w:val="center"/>
              <w:rPr>
                <w:rFonts w:ascii="Times New Roman" w:hAnsi="Times New Roman" w:cs="Times New Roman"/>
                <w:b/>
                <w:sz w:val="22"/>
                <w:szCs w:val="22"/>
                <w:lang w:eastAsia="en-US"/>
              </w:rPr>
            </w:pPr>
            <w:r w:rsidRPr="007553F5">
              <w:rPr>
                <w:rFonts w:ascii="Times New Roman" w:hAnsi="Times New Roman" w:cs="Times New Roman"/>
                <w:b/>
                <w:sz w:val="22"/>
                <w:szCs w:val="22"/>
                <w:lang w:eastAsia="en-US"/>
              </w:rPr>
              <w:t>Edoxaban 60 mg</w:t>
            </w:r>
          </w:p>
          <w:p w14:paraId="22255BE1" w14:textId="77777777" w:rsidR="00A75091" w:rsidRPr="007553F5" w:rsidRDefault="00A75091">
            <w:pPr>
              <w:pStyle w:val="TableParagraph"/>
              <w:keepNext/>
              <w:ind w:left="57" w:right="57"/>
              <w:jc w:val="center"/>
              <w:rPr>
                <w:rFonts w:ascii="Times New Roman" w:hAnsi="Times New Roman" w:cs="Times New Roman"/>
                <w:b/>
                <w:sz w:val="22"/>
                <w:szCs w:val="22"/>
                <w:lang w:eastAsia="en-US"/>
              </w:rPr>
            </w:pPr>
            <w:r w:rsidRPr="007553F5">
              <w:rPr>
                <w:rFonts w:ascii="Times New Roman" w:hAnsi="Times New Roman" w:cs="Times New Roman"/>
                <w:b/>
                <w:sz w:val="22"/>
                <w:szCs w:val="22"/>
                <w:lang w:eastAsia="en-US"/>
              </w:rPr>
              <w:t>(N = 7012)</w:t>
            </w:r>
          </w:p>
        </w:tc>
        <w:tc>
          <w:tcPr>
            <w:tcW w:w="1591" w:type="pct"/>
            <w:gridSpan w:val="3"/>
            <w:tcBorders>
              <w:top w:val="single" w:sz="4" w:space="0" w:color="000000"/>
              <w:left w:val="single" w:sz="4" w:space="0" w:color="000000"/>
              <w:bottom w:val="single" w:sz="4" w:space="0" w:color="000000"/>
              <w:right w:val="single" w:sz="4" w:space="0" w:color="000000"/>
            </w:tcBorders>
            <w:shd w:val="clear" w:color="auto" w:fill="DADADA"/>
            <w:hideMark/>
          </w:tcPr>
          <w:p w14:paraId="0E4295CA" w14:textId="77777777" w:rsidR="00A75091" w:rsidRPr="007553F5" w:rsidRDefault="00A75091">
            <w:pPr>
              <w:pStyle w:val="TableParagraph"/>
              <w:keepNext/>
              <w:ind w:left="57" w:right="57"/>
              <w:jc w:val="center"/>
              <w:rPr>
                <w:rFonts w:ascii="Times New Roman" w:hAnsi="Times New Roman" w:cs="Times New Roman"/>
                <w:b/>
                <w:sz w:val="22"/>
                <w:szCs w:val="22"/>
                <w:lang w:eastAsia="en-US"/>
              </w:rPr>
            </w:pPr>
            <w:r w:rsidRPr="007553F5">
              <w:rPr>
                <w:rFonts w:ascii="Times New Roman" w:hAnsi="Times New Roman" w:cs="Times New Roman"/>
                <w:b/>
                <w:sz w:val="22"/>
                <w:szCs w:val="22"/>
                <w:lang w:eastAsia="en-US"/>
              </w:rPr>
              <w:t>Warfarin (N = 7012)</w:t>
            </w:r>
          </w:p>
        </w:tc>
        <w:tc>
          <w:tcPr>
            <w:tcW w:w="985" w:type="pct"/>
            <w:tcBorders>
              <w:top w:val="single" w:sz="4" w:space="0" w:color="000000"/>
              <w:left w:val="single" w:sz="4" w:space="0" w:color="000000"/>
              <w:bottom w:val="single" w:sz="4" w:space="0" w:color="000000"/>
              <w:right w:val="single" w:sz="4" w:space="0" w:color="000000"/>
            </w:tcBorders>
            <w:shd w:val="clear" w:color="auto" w:fill="DADADA"/>
          </w:tcPr>
          <w:p w14:paraId="2B793210" w14:textId="77777777" w:rsidR="00A75091" w:rsidRPr="007553F5" w:rsidRDefault="00A75091">
            <w:pPr>
              <w:pStyle w:val="TableParagraph"/>
              <w:keepNext/>
              <w:ind w:left="57" w:right="57"/>
              <w:jc w:val="center"/>
              <w:rPr>
                <w:rFonts w:ascii="Times New Roman" w:hAnsi="Times New Roman" w:cs="Times New Roman"/>
                <w:sz w:val="22"/>
                <w:szCs w:val="22"/>
                <w:lang w:eastAsia="en-US"/>
              </w:rPr>
            </w:pPr>
          </w:p>
        </w:tc>
      </w:tr>
      <w:tr w:rsidR="00A75091" w:rsidRPr="007553F5" w14:paraId="6B1E7E37" w14:textId="77777777" w:rsidTr="00CE778C">
        <w:trPr>
          <w:trHeight w:val="880"/>
        </w:trPr>
        <w:tc>
          <w:tcPr>
            <w:tcW w:w="834" w:type="pct"/>
            <w:vMerge/>
            <w:tcBorders>
              <w:top w:val="single" w:sz="4" w:space="0" w:color="000000"/>
              <w:left w:val="single" w:sz="4" w:space="0" w:color="000000"/>
              <w:bottom w:val="single" w:sz="4" w:space="0" w:color="000000"/>
              <w:right w:val="single" w:sz="4" w:space="0" w:color="000000"/>
            </w:tcBorders>
            <w:vAlign w:val="center"/>
            <w:hideMark/>
          </w:tcPr>
          <w:p w14:paraId="19FCE14C" w14:textId="77777777" w:rsidR="00A75091" w:rsidRPr="007553F5" w:rsidRDefault="00A75091">
            <w:pPr>
              <w:rPr>
                <w:rFonts w:ascii="Times New Roman" w:hAnsi="Times New Roman" w:cs="Times New Roman"/>
                <w:b/>
                <w:sz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DADADA"/>
            <w:hideMark/>
          </w:tcPr>
          <w:p w14:paraId="155BCE65" w14:textId="77777777" w:rsidR="00A75091" w:rsidRPr="007553F5" w:rsidRDefault="00A75091">
            <w:pPr>
              <w:pStyle w:val="TableParagraph"/>
              <w:keepNext/>
              <w:ind w:left="57" w:right="57"/>
              <w:jc w:val="center"/>
              <w:rPr>
                <w:rFonts w:ascii="Times New Roman" w:hAnsi="Times New Roman" w:cs="Times New Roman"/>
                <w:b/>
                <w:sz w:val="22"/>
                <w:szCs w:val="22"/>
                <w:lang w:eastAsia="en-US"/>
              </w:rPr>
            </w:pPr>
            <w:r w:rsidRPr="007553F5">
              <w:rPr>
                <w:rFonts w:ascii="Times New Roman" w:hAnsi="Times New Roman" w:cs="Times New Roman"/>
                <w:b/>
                <w:sz w:val="22"/>
                <w:szCs w:val="22"/>
                <w:lang w:eastAsia="en-US"/>
              </w:rPr>
              <w:t>n</w:t>
            </w:r>
          </w:p>
        </w:tc>
        <w:tc>
          <w:tcPr>
            <w:tcW w:w="530" w:type="pct"/>
            <w:tcBorders>
              <w:top w:val="single" w:sz="4" w:space="0" w:color="000000"/>
              <w:left w:val="single" w:sz="4" w:space="0" w:color="000000"/>
              <w:bottom w:val="single" w:sz="4" w:space="0" w:color="000000"/>
              <w:right w:val="single" w:sz="4" w:space="0" w:color="000000"/>
            </w:tcBorders>
            <w:shd w:val="clear" w:color="auto" w:fill="DADADA"/>
            <w:hideMark/>
          </w:tcPr>
          <w:p w14:paraId="7E09AB7D" w14:textId="77777777" w:rsidR="00A75091" w:rsidRPr="007553F5" w:rsidRDefault="00A75091">
            <w:pPr>
              <w:pStyle w:val="TableParagraph"/>
              <w:keepNext/>
              <w:ind w:left="57" w:right="57"/>
              <w:jc w:val="center"/>
              <w:rPr>
                <w:rFonts w:ascii="Times New Roman" w:hAnsi="Times New Roman" w:cs="Times New Roman"/>
                <w:b/>
                <w:bCs/>
                <w:sz w:val="22"/>
                <w:szCs w:val="22"/>
                <w:lang w:eastAsia="en-US"/>
              </w:rPr>
            </w:pPr>
            <w:r w:rsidRPr="007553F5">
              <w:rPr>
                <w:rFonts w:ascii="Times New Roman" w:hAnsi="Times New Roman" w:cs="Times New Roman"/>
                <w:b/>
                <w:bCs/>
                <w:sz w:val="22"/>
                <w:szCs w:val="22"/>
                <w:lang w:eastAsia="en-US"/>
              </w:rPr>
              <w:t>Antal</w:t>
            </w:r>
          </w:p>
          <w:p w14:paraId="5404E075" w14:textId="77777777" w:rsidR="00A75091" w:rsidRPr="007553F5" w:rsidRDefault="00A75091">
            <w:pPr>
              <w:pStyle w:val="TableParagraph"/>
              <w:keepNext/>
              <w:ind w:left="57" w:right="57"/>
              <w:jc w:val="center"/>
              <w:rPr>
                <w:rFonts w:ascii="Times New Roman" w:hAnsi="Times New Roman" w:cs="Times New Roman"/>
                <w:b/>
                <w:sz w:val="22"/>
                <w:szCs w:val="22"/>
                <w:lang w:eastAsia="en-US"/>
              </w:rPr>
            </w:pPr>
            <w:r w:rsidRPr="007553F5">
              <w:rPr>
                <w:rFonts w:ascii="Times New Roman" w:hAnsi="Times New Roman" w:cs="Times New Roman"/>
                <w:b/>
                <w:bCs/>
                <w:sz w:val="22"/>
                <w:szCs w:val="22"/>
                <w:lang w:eastAsia="en-US"/>
              </w:rPr>
              <w:t>hændelser</w:t>
            </w:r>
          </w:p>
        </w:tc>
        <w:tc>
          <w:tcPr>
            <w:tcW w:w="682" w:type="pct"/>
            <w:tcBorders>
              <w:top w:val="single" w:sz="4" w:space="0" w:color="000000"/>
              <w:left w:val="single" w:sz="4" w:space="0" w:color="000000"/>
              <w:bottom w:val="single" w:sz="4" w:space="0" w:color="000000"/>
              <w:right w:val="single" w:sz="4" w:space="0" w:color="000000"/>
            </w:tcBorders>
            <w:shd w:val="clear" w:color="auto" w:fill="DADADA"/>
            <w:hideMark/>
          </w:tcPr>
          <w:p w14:paraId="5A23C0B1" w14:textId="77777777" w:rsidR="00A75091" w:rsidRPr="007553F5" w:rsidRDefault="00A75091">
            <w:pPr>
              <w:pStyle w:val="TableParagraph"/>
              <w:keepNext/>
              <w:ind w:left="57" w:right="57"/>
              <w:jc w:val="center"/>
              <w:rPr>
                <w:rFonts w:ascii="Times New Roman" w:hAnsi="Times New Roman" w:cs="Times New Roman"/>
                <w:b/>
                <w:bCs/>
                <w:sz w:val="22"/>
                <w:szCs w:val="22"/>
                <w:lang w:eastAsia="en-US"/>
              </w:rPr>
            </w:pPr>
            <w:r w:rsidRPr="007553F5">
              <w:rPr>
                <w:rFonts w:ascii="Times New Roman" w:hAnsi="Times New Roman" w:cs="Times New Roman"/>
                <w:b/>
                <w:bCs/>
                <w:sz w:val="22"/>
                <w:szCs w:val="22"/>
                <w:lang w:eastAsia="en-US"/>
              </w:rPr>
              <w:t>Hændelses-rate</w:t>
            </w:r>
          </w:p>
          <w:p w14:paraId="28A43E7D" w14:textId="77777777" w:rsidR="00A75091" w:rsidRPr="007553F5" w:rsidRDefault="00A75091">
            <w:pPr>
              <w:pStyle w:val="TableParagraph"/>
              <w:keepNext/>
              <w:ind w:left="57" w:right="57"/>
              <w:jc w:val="center"/>
              <w:rPr>
                <w:rFonts w:ascii="Times New Roman" w:hAnsi="Times New Roman" w:cs="Times New Roman"/>
                <w:b/>
                <w:sz w:val="22"/>
                <w:szCs w:val="22"/>
                <w:lang w:eastAsia="en-US"/>
              </w:rPr>
            </w:pPr>
            <w:r w:rsidRPr="007553F5">
              <w:rPr>
                <w:rFonts w:ascii="Times New Roman" w:hAnsi="Times New Roman" w:cs="Times New Roman"/>
                <w:b/>
                <w:bCs/>
                <w:sz w:val="22"/>
                <w:szCs w:val="22"/>
                <w:lang w:eastAsia="en-US"/>
              </w:rPr>
              <w:t>(%/år)</w:t>
            </w:r>
          </w:p>
        </w:tc>
        <w:tc>
          <w:tcPr>
            <w:tcW w:w="379" w:type="pct"/>
            <w:tcBorders>
              <w:top w:val="single" w:sz="4" w:space="0" w:color="000000"/>
              <w:left w:val="single" w:sz="4" w:space="0" w:color="000000"/>
              <w:bottom w:val="single" w:sz="4" w:space="0" w:color="000000"/>
              <w:right w:val="single" w:sz="4" w:space="0" w:color="000000"/>
            </w:tcBorders>
            <w:shd w:val="clear" w:color="auto" w:fill="DADADA"/>
            <w:hideMark/>
          </w:tcPr>
          <w:p w14:paraId="3FFE0260" w14:textId="77777777" w:rsidR="00A75091" w:rsidRPr="007553F5" w:rsidRDefault="00A75091">
            <w:pPr>
              <w:pStyle w:val="TableParagraph"/>
              <w:keepNext/>
              <w:ind w:left="57" w:right="57"/>
              <w:jc w:val="center"/>
              <w:rPr>
                <w:rFonts w:ascii="Times New Roman" w:hAnsi="Times New Roman" w:cs="Times New Roman"/>
                <w:b/>
                <w:sz w:val="22"/>
                <w:szCs w:val="22"/>
                <w:lang w:eastAsia="en-US"/>
              </w:rPr>
            </w:pPr>
            <w:r w:rsidRPr="007553F5">
              <w:rPr>
                <w:rFonts w:ascii="Times New Roman" w:hAnsi="Times New Roman" w:cs="Times New Roman"/>
                <w:b/>
                <w:sz w:val="22"/>
                <w:szCs w:val="22"/>
                <w:lang w:eastAsia="en-US"/>
              </w:rPr>
              <w:t>n</w:t>
            </w:r>
          </w:p>
        </w:tc>
        <w:tc>
          <w:tcPr>
            <w:tcW w:w="530" w:type="pct"/>
            <w:tcBorders>
              <w:top w:val="single" w:sz="4" w:space="0" w:color="000000"/>
              <w:left w:val="single" w:sz="4" w:space="0" w:color="000000"/>
              <w:bottom w:val="single" w:sz="4" w:space="0" w:color="000000"/>
              <w:right w:val="single" w:sz="4" w:space="0" w:color="000000"/>
            </w:tcBorders>
            <w:shd w:val="clear" w:color="auto" w:fill="DADADA"/>
            <w:hideMark/>
          </w:tcPr>
          <w:p w14:paraId="0EADE2DD" w14:textId="77777777" w:rsidR="00A75091" w:rsidRPr="007553F5" w:rsidRDefault="00A75091">
            <w:pPr>
              <w:pStyle w:val="TableParagraph"/>
              <w:keepNext/>
              <w:ind w:left="57" w:right="57"/>
              <w:jc w:val="center"/>
              <w:rPr>
                <w:rFonts w:ascii="Times New Roman" w:hAnsi="Times New Roman" w:cs="Times New Roman"/>
                <w:b/>
                <w:bCs/>
                <w:sz w:val="22"/>
                <w:szCs w:val="22"/>
                <w:lang w:eastAsia="en-US"/>
              </w:rPr>
            </w:pPr>
            <w:r w:rsidRPr="007553F5">
              <w:rPr>
                <w:rFonts w:ascii="Times New Roman" w:hAnsi="Times New Roman" w:cs="Times New Roman"/>
                <w:b/>
                <w:bCs/>
                <w:sz w:val="22"/>
                <w:szCs w:val="22"/>
                <w:lang w:eastAsia="en-US"/>
              </w:rPr>
              <w:t>Antal</w:t>
            </w:r>
          </w:p>
          <w:p w14:paraId="3FE4DE6D" w14:textId="77777777" w:rsidR="00A75091" w:rsidRPr="007553F5" w:rsidRDefault="00A75091">
            <w:pPr>
              <w:pStyle w:val="TableParagraph"/>
              <w:keepNext/>
              <w:ind w:left="57" w:right="57"/>
              <w:jc w:val="center"/>
              <w:rPr>
                <w:rFonts w:ascii="Times New Roman" w:hAnsi="Times New Roman" w:cs="Times New Roman"/>
                <w:b/>
                <w:sz w:val="22"/>
                <w:szCs w:val="22"/>
                <w:lang w:eastAsia="en-US"/>
              </w:rPr>
            </w:pPr>
            <w:r w:rsidRPr="007553F5">
              <w:rPr>
                <w:rFonts w:ascii="Times New Roman" w:hAnsi="Times New Roman" w:cs="Times New Roman"/>
                <w:b/>
                <w:bCs/>
                <w:sz w:val="22"/>
                <w:szCs w:val="22"/>
                <w:lang w:eastAsia="en-US"/>
              </w:rPr>
              <w:t>hændelser</w:t>
            </w:r>
          </w:p>
        </w:tc>
        <w:tc>
          <w:tcPr>
            <w:tcW w:w="682" w:type="pct"/>
            <w:tcBorders>
              <w:top w:val="single" w:sz="4" w:space="0" w:color="000000"/>
              <w:left w:val="single" w:sz="4" w:space="0" w:color="000000"/>
              <w:bottom w:val="single" w:sz="4" w:space="0" w:color="000000"/>
              <w:right w:val="single" w:sz="4" w:space="0" w:color="000000"/>
            </w:tcBorders>
            <w:shd w:val="clear" w:color="auto" w:fill="DADADA"/>
            <w:hideMark/>
          </w:tcPr>
          <w:p w14:paraId="4A35C088" w14:textId="77777777" w:rsidR="00A75091" w:rsidRPr="007553F5" w:rsidRDefault="00A75091">
            <w:pPr>
              <w:pStyle w:val="TableParagraph"/>
              <w:keepNext/>
              <w:ind w:left="57" w:right="57"/>
              <w:jc w:val="center"/>
              <w:rPr>
                <w:rFonts w:ascii="Times New Roman" w:hAnsi="Times New Roman" w:cs="Times New Roman"/>
                <w:b/>
                <w:bCs/>
                <w:sz w:val="22"/>
                <w:szCs w:val="22"/>
                <w:lang w:eastAsia="en-US"/>
              </w:rPr>
            </w:pPr>
            <w:r w:rsidRPr="007553F5">
              <w:rPr>
                <w:rFonts w:ascii="Times New Roman" w:hAnsi="Times New Roman" w:cs="Times New Roman"/>
                <w:b/>
                <w:bCs/>
                <w:sz w:val="22"/>
                <w:szCs w:val="22"/>
                <w:lang w:eastAsia="en-US"/>
              </w:rPr>
              <w:t>Hændelses-rate</w:t>
            </w:r>
          </w:p>
          <w:p w14:paraId="0B27FF72" w14:textId="77777777" w:rsidR="00A75091" w:rsidRPr="007553F5" w:rsidRDefault="00A75091">
            <w:pPr>
              <w:pStyle w:val="TableParagraph"/>
              <w:keepNext/>
              <w:ind w:left="57" w:right="57"/>
              <w:jc w:val="center"/>
              <w:rPr>
                <w:rFonts w:ascii="Times New Roman" w:hAnsi="Times New Roman" w:cs="Times New Roman"/>
                <w:b/>
                <w:sz w:val="22"/>
                <w:szCs w:val="22"/>
                <w:lang w:eastAsia="en-US"/>
              </w:rPr>
            </w:pPr>
            <w:r w:rsidRPr="007553F5">
              <w:rPr>
                <w:rFonts w:ascii="Times New Roman" w:hAnsi="Times New Roman" w:cs="Times New Roman"/>
                <w:b/>
                <w:bCs/>
                <w:sz w:val="22"/>
                <w:szCs w:val="22"/>
                <w:lang w:eastAsia="en-US"/>
              </w:rPr>
              <w:t>(%/år)</w:t>
            </w:r>
          </w:p>
        </w:tc>
        <w:tc>
          <w:tcPr>
            <w:tcW w:w="985" w:type="pct"/>
            <w:tcBorders>
              <w:top w:val="single" w:sz="4" w:space="0" w:color="000000"/>
              <w:left w:val="single" w:sz="4" w:space="0" w:color="000000"/>
              <w:bottom w:val="single" w:sz="4" w:space="0" w:color="000000"/>
              <w:right w:val="single" w:sz="4" w:space="0" w:color="000000"/>
            </w:tcBorders>
            <w:shd w:val="clear" w:color="auto" w:fill="DADADA"/>
            <w:hideMark/>
          </w:tcPr>
          <w:p w14:paraId="187F6A52" w14:textId="77777777" w:rsidR="00A75091" w:rsidRPr="007553F5" w:rsidRDefault="00A75091">
            <w:pPr>
              <w:pStyle w:val="TableParagraph"/>
              <w:keepNext/>
              <w:ind w:left="57" w:right="57"/>
              <w:jc w:val="center"/>
              <w:rPr>
                <w:rFonts w:ascii="Times New Roman" w:hAnsi="Times New Roman" w:cs="Times New Roman"/>
                <w:b/>
                <w:sz w:val="22"/>
                <w:szCs w:val="22"/>
                <w:lang w:eastAsia="en-US"/>
              </w:rPr>
            </w:pPr>
            <w:r w:rsidRPr="007553F5">
              <w:rPr>
                <w:rFonts w:ascii="Times New Roman" w:hAnsi="Times New Roman" w:cs="Times New Roman"/>
                <w:b/>
                <w:sz w:val="22"/>
                <w:szCs w:val="22"/>
                <w:lang w:eastAsia="en-US"/>
              </w:rPr>
              <w:t>HR (95% CI)</w:t>
            </w:r>
          </w:p>
        </w:tc>
      </w:tr>
      <w:tr w:rsidR="00A75091" w:rsidRPr="007553F5" w14:paraId="307F6A0A" w14:textId="77777777" w:rsidTr="00CE778C">
        <w:trPr>
          <w:trHeight w:val="20"/>
        </w:trPr>
        <w:tc>
          <w:tcPr>
            <w:tcW w:w="834" w:type="pct"/>
            <w:tcBorders>
              <w:top w:val="single" w:sz="4" w:space="0" w:color="000000"/>
              <w:left w:val="single" w:sz="4" w:space="0" w:color="000000"/>
              <w:bottom w:val="single" w:sz="4" w:space="0" w:color="000000"/>
              <w:right w:val="single" w:sz="4" w:space="0" w:color="000000"/>
            </w:tcBorders>
            <w:hideMark/>
          </w:tcPr>
          <w:p w14:paraId="0BDCE730" w14:textId="77777777" w:rsidR="00A75091" w:rsidRPr="007553F5" w:rsidRDefault="00A75091">
            <w:pPr>
              <w:pStyle w:val="TableParagraph"/>
              <w:ind w:left="57" w:right="57"/>
              <w:rPr>
                <w:rFonts w:ascii="Times New Roman" w:hAnsi="Times New Roman" w:cs="Times New Roman"/>
                <w:sz w:val="22"/>
                <w:szCs w:val="22"/>
                <w:lang w:eastAsia="en-US"/>
              </w:rPr>
            </w:pPr>
            <w:r w:rsidRPr="007553F5">
              <w:rPr>
                <w:rFonts w:ascii="Times New Roman" w:hAnsi="Times New Roman" w:cs="Times New Roman"/>
                <w:sz w:val="22"/>
                <w:szCs w:val="22"/>
                <w:lang w:eastAsia="en-US"/>
              </w:rPr>
              <w:t>≥ 30 til ≤ 50</w:t>
            </w:r>
          </w:p>
        </w:tc>
        <w:tc>
          <w:tcPr>
            <w:tcW w:w="379" w:type="pct"/>
            <w:tcBorders>
              <w:top w:val="single" w:sz="4" w:space="0" w:color="000000"/>
              <w:left w:val="single" w:sz="4" w:space="0" w:color="000000"/>
              <w:bottom w:val="single" w:sz="4" w:space="0" w:color="000000"/>
              <w:right w:val="single" w:sz="4" w:space="0" w:color="000000"/>
            </w:tcBorders>
            <w:hideMark/>
          </w:tcPr>
          <w:p w14:paraId="349DE2CC"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1302</w:t>
            </w:r>
          </w:p>
        </w:tc>
        <w:tc>
          <w:tcPr>
            <w:tcW w:w="530" w:type="pct"/>
            <w:tcBorders>
              <w:top w:val="single" w:sz="4" w:space="0" w:color="000000"/>
              <w:left w:val="single" w:sz="4" w:space="0" w:color="000000"/>
              <w:bottom w:val="single" w:sz="4" w:space="0" w:color="000000"/>
              <w:right w:val="single" w:sz="4" w:space="0" w:color="000000"/>
            </w:tcBorders>
            <w:hideMark/>
          </w:tcPr>
          <w:p w14:paraId="28127517"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63</w:t>
            </w:r>
          </w:p>
        </w:tc>
        <w:tc>
          <w:tcPr>
            <w:tcW w:w="682" w:type="pct"/>
            <w:tcBorders>
              <w:top w:val="single" w:sz="4" w:space="0" w:color="000000"/>
              <w:left w:val="single" w:sz="4" w:space="0" w:color="000000"/>
              <w:bottom w:val="single" w:sz="4" w:space="0" w:color="000000"/>
              <w:right w:val="single" w:sz="4" w:space="0" w:color="000000"/>
            </w:tcBorders>
            <w:hideMark/>
          </w:tcPr>
          <w:p w14:paraId="6722CA0C"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1,89</w:t>
            </w:r>
          </w:p>
        </w:tc>
        <w:tc>
          <w:tcPr>
            <w:tcW w:w="379" w:type="pct"/>
            <w:tcBorders>
              <w:top w:val="single" w:sz="4" w:space="0" w:color="000000"/>
              <w:left w:val="single" w:sz="4" w:space="0" w:color="000000"/>
              <w:bottom w:val="single" w:sz="4" w:space="0" w:color="000000"/>
              <w:right w:val="single" w:sz="4" w:space="0" w:color="000000"/>
            </w:tcBorders>
            <w:hideMark/>
          </w:tcPr>
          <w:p w14:paraId="3CAE0E45"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1305</w:t>
            </w:r>
          </w:p>
        </w:tc>
        <w:tc>
          <w:tcPr>
            <w:tcW w:w="530" w:type="pct"/>
            <w:tcBorders>
              <w:top w:val="single" w:sz="4" w:space="0" w:color="000000"/>
              <w:left w:val="single" w:sz="4" w:space="0" w:color="000000"/>
              <w:bottom w:val="single" w:sz="4" w:space="0" w:color="000000"/>
              <w:right w:val="single" w:sz="4" w:space="0" w:color="000000"/>
            </w:tcBorders>
            <w:hideMark/>
          </w:tcPr>
          <w:p w14:paraId="7C6633B8"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67</w:t>
            </w:r>
          </w:p>
        </w:tc>
        <w:tc>
          <w:tcPr>
            <w:tcW w:w="682" w:type="pct"/>
            <w:tcBorders>
              <w:top w:val="single" w:sz="4" w:space="0" w:color="000000"/>
              <w:left w:val="single" w:sz="4" w:space="0" w:color="000000"/>
              <w:bottom w:val="single" w:sz="4" w:space="0" w:color="000000"/>
              <w:right w:val="single" w:sz="4" w:space="0" w:color="000000"/>
            </w:tcBorders>
            <w:hideMark/>
          </w:tcPr>
          <w:p w14:paraId="77DB250F"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2,05</w:t>
            </w:r>
          </w:p>
        </w:tc>
        <w:tc>
          <w:tcPr>
            <w:tcW w:w="985" w:type="pct"/>
            <w:tcBorders>
              <w:top w:val="single" w:sz="4" w:space="0" w:color="000000"/>
              <w:left w:val="single" w:sz="4" w:space="0" w:color="000000"/>
              <w:bottom w:val="single" w:sz="4" w:space="0" w:color="000000"/>
              <w:right w:val="single" w:sz="4" w:space="0" w:color="000000"/>
            </w:tcBorders>
            <w:hideMark/>
          </w:tcPr>
          <w:p w14:paraId="2D299D2C"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0,93 (0,66; 1,31)</w:t>
            </w:r>
          </w:p>
        </w:tc>
      </w:tr>
      <w:tr w:rsidR="00A75091" w:rsidRPr="007553F5" w14:paraId="0D48AB37" w14:textId="77777777" w:rsidTr="00CE778C">
        <w:trPr>
          <w:trHeight w:val="20"/>
        </w:trPr>
        <w:tc>
          <w:tcPr>
            <w:tcW w:w="834" w:type="pct"/>
            <w:tcBorders>
              <w:top w:val="single" w:sz="4" w:space="0" w:color="000000"/>
              <w:left w:val="single" w:sz="4" w:space="0" w:color="000000"/>
              <w:bottom w:val="single" w:sz="4" w:space="0" w:color="000000"/>
              <w:right w:val="single" w:sz="4" w:space="0" w:color="000000"/>
            </w:tcBorders>
            <w:hideMark/>
          </w:tcPr>
          <w:p w14:paraId="2313DF4C" w14:textId="77777777" w:rsidR="00A75091" w:rsidRPr="007553F5" w:rsidRDefault="00A75091">
            <w:pPr>
              <w:pStyle w:val="TableParagraph"/>
              <w:ind w:left="57" w:right="57"/>
              <w:rPr>
                <w:rFonts w:ascii="Times New Roman" w:hAnsi="Times New Roman" w:cs="Times New Roman"/>
                <w:sz w:val="22"/>
                <w:szCs w:val="22"/>
                <w:lang w:eastAsia="en-US"/>
              </w:rPr>
            </w:pPr>
            <w:r w:rsidRPr="007553F5">
              <w:rPr>
                <w:rFonts w:ascii="Times New Roman" w:hAnsi="Times New Roman" w:cs="Times New Roman"/>
                <w:sz w:val="22"/>
                <w:szCs w:val="22"/>
                <w:lang w:eastAsia="en-US"/>
              </w:rPr>
              <w:t>&gt; 50 til ≤ 70</w:t>
            </w:r>
          </w:p>
        </w:tc>
        <w:tc>
          <w:tcPr>
            <w:tcW w:w="379" w:type="pct"/>
            <w:tcBorders>
              <w:top w:val="single" w:sz="4" w:space="0" w:color="000000"/>
              <w:left w:val="single" w:sz="4" w:space="0" w:color="000000"/>
              <w:bottom w:val="single" w:sz="4" w:space="0" w:color="000000"/>
              <w:right w:val="single" w:sz="4" w:space="0" w:color="000000"/>
            </w:tcBorders>
            <w:hideMark/>
          </w:tcPr>
          <w:p w14:paraId="4C6A1C08"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2093</w:t>
            </w:r>
          </w:p>
        </w:tc>
        <w:tc>
          <w:tcPr>
            <w:tcW w:w="530" w:type="pct"/>
            <w:tcBorders>
              <w:top w:val="single" w:sz="4" w:space="0" w:color="000000"/>
              <w:left w:val="single" w:sz="4" w:space="0" w:color="000000"/>
              <w:bottom w:val="single" w:sz="4" w:space="0" w:color="000000"/>
              <w:right w:val="single" w:sz="4" w:space="0" w:color="000000"/>
            </w:tcBorders>
            <w:hideMark/>
          </w:tcPr>
          <w:p w14:paraId="1DC24C4E"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85</w:t>
            </w:r>
          </w:p>
        </w:tc>
        <w:tc>
          <w:tcPr>
            <w:tcW w:w="682" w:type="pct"/>
            <w:tcBorders>
              <w:top w:val="single" w:sz="4" w:space="0" w:color="000000"/>
              <w:left w:val="single" w:sz="4" w:space="0" w:color="000000"/>
              <w:bottom w:val="single" w:sz="4" w:space="0" w:color="000000"/>
              <w:right w:val="single" w:sz="4" w:space="0" w:color="000000"/>
            </w:tcBorders>
            <w:hideMark/>
          </w:tcPr>
          <w:p w14:paraId="41F6074E"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1,51</w:t>
            </w:r>
          </w:p>
        </w:tc>
        <w:tc>
          <w:tcPr>
            <w:tcW w:w="379" w:type="pct"/>
            <w:tcBorders>
              <w:top w:val="single" w:sz="4" w:space="0" w:color="000000"/>
              <w:left w:val="single" w:sz="4" w:space="0" w:color="000000"/>
              <w:bottom w:val="single" w:sz="4" w:space="0" w:color="000000"/>
              <w:right w:val="single" w:sz="4" w:space="0" w:color="000000"/>
            </w:tcBorders>
            <w:hideMark/>
          </w:tcPr>
          <w:p w14:paraId="1683134E"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2106</w:t>
            </w:r>
          </w:p>
        </w:tc>
        <w:tc>
          <w:tcPr>
            <w:tcW w:w="530" w:type="pct"/>
            <w:tcBorders>
              <w:top w:val="single" w:sz="4" w:space="0" w:color="000000"/>
              <w:left w:val="single" w:sz="4" w:space="0" w:color="000000"/>
              <w:bottom w:val="single" w:sz="4" w:space="0" w:color="000000"/>
              <w:right w:val="single" w:sz="4" w:space="0" w:color="000000"/>
            </w:tcBorders>
            <w:hideMark/>
          </w:tcPr>
          <w:p w14:paraId="3D885441"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95</w:t>
            </w:r>
          </w:p>
        </w:tc>
        <w:tc>
          <w:tcPr>
            <w:tcW w:w="682" w:type="pct"/>
            <w:tcBorders>
              <w:top w:val="single" w:sz="4" w:space="0" w:color="000000"/>
              <w:left w:val="single" w:sz="4" w:space="0" w:color="000000"/>
              <w:bottom w:val="single" w:sz="4" w:space="0" w:color="000000"/>
              <w:right w:val="single" w:sz="4" w:space="0" w:color="000000"/>
            </w:tcBorders>
            <w:hideMark/>
          </w:tcPr>
          <w:p w14:paraId="32150EF1"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1,70</w:t>
            </w:r>
          </w:p>
        </w:tc>
        <w:tc>
          <w:tcPr>
            <w:tcW w:w="985" w:type="pct"/>
            <w:tcBorders>
              <w:top w:val="single" w:sz="4" w:space="0" w:color="000000"/>
              <w:left w:val="single" w:sz="4" w:space="0" w:color="000000"/>
              <w:bottom w:val="single" w:sz="4" w:space="0" w:color="000000"/>
              <w:right w:val="single" w:sz="4" w:space="0" w:color="000000"/>
            </w:tcBorders>
            <w:hideMark/>
          </w:tcPr>
          <w:p w14:paraId="6CEAF868"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0,88 (0,66; 1,18)</w:t>
            </w:r>
          </w:p>
        </w:tc>
      </w:tr>
      <w:tr w:rsidR="00A75091" w:rsidRPr="007553F5" w14:paraId="66B23496" w14:textId="77777777" w:rsidTr="00CE778C">
        <w:trPr>
          <w:trHeight w:val="20"/>
        </w:trPr>
        <w:tc>
          <w:tcPr>
            <w:tcW w:w="834" w:type="pct"/>
            <w:tcBorders>
              <w:top w:val="single" w:sz="4" w:space="0" w:color="000000"/>
              <w:left w:val="single" w:sz="4" w:space="0" w:color="000000"/>
              <w:bottom w:val="single" w:sz="4" w:space="0" w:color="000000"/>
              <w:right w:val="single" w:sz="4" w:space="0" w:color="000000"/>
            </w:tcBorders>
            <w:hideMark/>
          </w:tcPr>
          <w:p w14:paraId="37DD1328" w14:textId="77777777" w:rsidR="00A75091" w:rsidRPr="007553F5" w:rsidRDefault="00A75091">
            <w:pPr>
              <w:pStyle w:val="TableParagraph"/>
              <w:ind w:left="57" w:right="57"/>
              <w:rPr>
                <w:rFonts w:ascii="Times New Roman" w:hAnsi="Times New Roman" w:cs="Times New Roman"/>
                <w:sz w:val="22"/>
                <w:szCs w:val="22"/>
                <w:lang w:eastAsia="en-US"/>
              </w:rPr>
            </w:pPr>
            <w:r w:rsidRPr="007553F5">
              <w:rPr>
                <w:rFonts w:ascii="Times New Roman" w:hAnsi="Times New Roman" w:cs="Times New Roman"/>
                <w:sz w:val="22"/>
                <w:szCs w:val="22"/>
                <w:lang w:eastAsia="en-US"/>
              </w:rPr>
              <w:t>&gt; 70 til ≤ 90</w:t>
            </w:r>
          </w:p>
        </w:tc>
        <w:tc>
          <w:tcPr>
            <w:tcW w:w="379" w:type="pct"/>
            <w:tcBorders>
              <w:top w:val="single" w:sz="4" w:space="0" w:color="000000"/>
              <w:left w:val="single" w:sz="4" w:space="0" w:color="000000"/>
              <w:bottom w:val="single" w:sz="4" w:space="0" w:color="000000"/>
              <w:right w:val="single" w:sz="4" w:space="0" w:color="000000"/>
            </w:tcBorders>
            <w:hideMark/>
          </w:tcPr>
          <w:p w14:paraId="3734A585"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1661</w:t>
            </w:r>
          </w:p>
        </w:tc>
        <w:tc>
          <w:tcPr>
            <w:tcW w:w="530" w:type="pct"/>
            <w:tcBorders>
              <w:top w:val="single" w:sz="4" w:space="0" w:color="000000"/>
              <w:left w:val="single" w:sz="4" w:space="0" w:color="000000"/>
              <w:bottom w:val="single" w:sz="4" w:space="0" w:color="000000"/>
              <w:right w:val="single" w:sz="4" w:space="0" w:color="000000"/>
            </w:tcBorders>
            <w:hideMark/>
          </w:tcPr>
          <w:p w14:paraId="79BEBDCC"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45</w:t>
            </w:r>
          </w:p>
        </w:tc>
        <w:tc>
          <w:tcPr>
            <w:tcW w:w="682" w:type="pct"/>
            <w:tcBorders>
              <w:top w:val="single" w:sz="4" w:space="0" w:color="000000"/>
              <w:left w:val="single" w:sz="4" w:space="0" w:color="000000"/>
              <w:bottom w:val="single" w:sz="4" w:space="0" w:color="000000"/>
              <w:right w:val="single" w:sz="4" w:space="0" w:color="000000"/>
            </w:tcBorders>
            <w:hideMark/>
          </w:tcPr>
          <w:p w14:paraId="25843D30"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0,99</w:t>
            </w:r>
          </w:p>
        </w:tc>
        <w:tc>
          <w:tcPr>
            <w:tcW w:w="379" w:type="pct"/>
            <w:tcBorders>
              <w:top w:val="single" w:sz="4" w:space="0" w:color="000000"/>
              <w:left w:val="single" w:sz="4" w:space="0" w:color="000000"/>
              <w:bottom w:val="single" w:sz="4" w:space="0" w:color="000000"/>
              <w:right w:val="single" w:sz="4" w:space="0" w:color="000000"/>
            </w:tcBorders>
            <w:hideMark/>
          </w:tcPr>
          <w:p w14:paraId="5D2C1A80"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1703</w:t>
            </w:r>
          </w:p>
        </w:tc>
        <w:tc>
          <w:tcPr>
            <w:tcW w:w="530" w:type="pct"/>
            <w:tcBorders>
              <w:top w:val="single" w:sz="4" w:space="0" w:color="000000"/>
              <w:left w:val="single" w:sz="4" w:space="0" w:color="000000"/>
              <w:bottom w:val="single" w:sz="4" w:space="0" w:color="000000"/>
              <w:right w:val="single" w:sz="4" w:space="0" w:color="000000"/>
            </w:tcBorders>
            <w:hideMark/>
          </w:tcPr>
          <w:p w14:paraId="000185F5"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50</w:t>
            </w:r>
          </w:p>
        </w:tc>
        <w:tc>
          <w:tcPr>
            <w:tcW w:w="682" w:type="pct"/>
            <w:tcBorders>
              <w:top w:val="single" w:sz="4" w:space="0" w:color="000000"/>
              <w:left w:val="single" w:sz="4" w:space="0" w:color="000000"/>
              <w:bottom w:val="single" w:sz="4" w:space="0" w:color="000000"/>
              <w:right w:val="single" w:sz="4" w:space="0" w:color="000000"/>
            </w:tcBorders>
            <w:hideMark/>
          </w:tcPr>
          <w:p w14:paraId="557CB93B"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1,08</w:t>
            </w:r>
          </w:p>
        </w:tc>
        <w:tc>
          <w:tcPr>
            <w:tcW w:w="985" w:type="pct"/>
            <w:tcBorders>
              <w:top w:val="single" w:sz="4" w:space="0" w:color="000000"/>
              <w:left w:val="single" w:sz="4" w:space="0" w:color="000000"/>
              <w:bottom w:val="single" w:sz="4" w:space="0" w:color="000000"/>
              <w:right w:val="single" w:sz="4" w:space="0" w:color="000000"/>
            </w:tcBorders>
            <w:hideMark/>
          </w:tcPr>
          <w:p w14:paraId="2CDAF33D"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0,92 (0,61; 1,37)</w:t>
            </w:r>
          </w:p>
        </w:tc>
      </w:tr>
      <w:tr w:rsidR="00A75091" w:rsidRPr="007553F5" w14:paraId="361A1990" w14:textId="77777777" w:rsidTr="00CE778C">
        <w:trPr>
          <w:trHeight w:val="20"/>
        </w:trPr>
        <w:tc>
          <w:tcPr>
            <w:tcW w:w="834" w:type="pct"/>
            <w:tcBorders>
              <w:top w:val="single" w:sz="4" w:space="0" w:color="000000"/>
              <w:left w:val="single" w:sz="4" w:space="0" w:color="000000"/>
              <w:bottom w:val="single" w:sz="4" w:space="0" w:color="000000"/>
              <w:right w:val="single" w:sz="4" w:space="0" w:color="000000"/>
            </w:tcBorders>
            <w:hideMark/>
          </w:tcPr>
          <w:p w14:paraId="5D985EFE" w14:textId="77777777" w:rsidR="00A75091" w:rsidRPr="007553F5" w:rsidRDefault="00A75091">
            <w:pPr>
              <w:pStyle w:val="TableParagraph"/>
              <w:ind w:left="57" w:right="57"/>
              <w:rPr>
                <w:rFonts w:ascii="Times New Roman" w:hAnsi="Times New Roman" w:cs="Times New Roman"/>
                <w:sz w:val="22"/>
                <w:szCs w:val="22"/>
                <w:lang w:eastAsia="en-US"/>
              </w:rPr>
            </w:pPr>
            <w:r w:rsidRPr="007553F5">
              <w:rPr>
                <w:rFonts w:ascii="Times New Roman" w:hAnsi="Times New Roman" w:cs="Times New Roman"/>
                <w:sz w:val="22"/>
                <w:szCs w:val="22"/>
                <w:lang w:eastAsia="en-US"/>
              </w:rPr>
              <w:t>&gt; 90 til ≤ 110</w:t>
            </w:r>
          </w:p>
        </w:tc>
        <w:tc>
          <w:tcPr>
            <w:tcW w:w="379" w:type="pct"/>
            <w:tcBorders>
              <w:top w:val="single" w:sz="4" w:space="0" w:color="000000"/>
              <w:left w:val="single" w:sz="4" w:space="0" w:color="000000"/>
              <w:bottom w:val="single" w:sz="4" w:space="0" w:color="000000"/>
              <w:right w:val="single" w:sz="4" w:space="0" w:color="000000"/>
            </w:tcBorders>
            <w:hideMark/>
          </w:tcPr>
          <w:p w14:paraId="398123D2"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927</w:t>
            </w:r>
          </w:p>
        </w:tc>
        <w:tc>
          <w:tcPr>
            <w:tcW w:w="530" w:type="pct"/>
            <w:tcBorders>
              <w:top w:val="single" w:sz="4" w:space="0" w:color="000000"/>
              <w:left w:val="single" w:sz="4" w:space="0" w:color="000000"/>
              <w:bottom w:val="single" w:sz="4" w:space="0" w:color="000000"/>
              <w:right w:val="single" w:sz="4" w:space="0" w:color="000000"/>
            </w:tcBorders>
            <w:hideMark/>
          </w:tcPr>
          <w:p w14:paraId="2A47F832"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27</w:t>
            </w:r>
          </w:p>
        </w:tc>
        <w:tc>
          <w:tcPr>
            <w:tcW w:w="682" w:type="pct"/>
            <w:tcBorders>
              <w:top w:val="single" w:sz="4" w:space="0" w:color="000000"/>
              <w:left w:val="single" w:sz="4" w:space="0" w:color="000000"/>
              <w:bottom w:val="single" w:sz="4" w:space="0" w:color="000000"/>
              <w:right w:val="single" w:sz="4" w:space="0" w:color="000000"/>
            </w:tcBorders>
            <w:hideMark/>
          </w:tcPr>
          <w:p w14:paraId="260965E4"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1,08</w:t>
            </w:r>
          </w:p>
        </w:tc>
        <w:tc>
          <w:tcPr>
            <w:tcW w:w="379" w:type="pct"/>
            <w:tcBorders>
              <w:top w:val="single" w:sz="4" w:space="0" w:color="000000"/>
              <w:left w:val="single" w:sz="4" w:space="0" w:color="000000"/>
              <w:bottom w:val="single" w:sz="4" w:space="0" w:color="000000"/>
              <w:right w:val="single" w:sz="4" w:space="0" w:color="000000"/>
            </w:tcBorders>
            <w:hideMark/>
          </w:tcPr>
          <w:p w14:paraId="5196997E"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960</w:t>
            </w:r>
          </w:p>
        </w:tc>
        <w:tc>
          <w:tcPr>
            <w:tcW w:w="530" w:type="pct"/>
            <w:tcBorders>
              <w:top w:val="single" w:sz="4" w:space="0" w:color="000000"/>
              <w:left w:val="single" w:sz="4" w:space="0" w:color="000000"/>
              <w:bottom w:val="single" w:sz="4" w:space="0" w:color="000000"/>
              <w:right w:val="single" w:sz="4" w:space="0" w:color="000000"/>
            </w:tcBorders>
            <w:hideMark/>
          </w:tcPr>
          <w:p w14:paraId="198B636C"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26</w:t>
            </w:r>
          </w:p>
        </w:tc>
        <w:tc>
          <w:tcPr>
            <w:tcW w:w="682" w:type="pct"/>
            <w:tcBorders>
              <w:top w:val="single" w:sz="4" w:space="0" w:color="000000"/>
              <w:left w:val="single" w:sz="4" w:space="0" w:color="000000"/>
              <w:bottom w:val="single" w:sz="4" w:space="0" w:color="000000"/>
              <w:right w:val="single" w:sz="4" w:space="0" w:color="000000"/>
            </w:tcBorders>
            <w:hideMark/>
          </w:tcPr>
          <w:p w14:paraId="1371E840"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0,98</w:t>
            </w:r>
          </w:p>
        </w:tc>
        <w:tc>
          <w:tcPr>
            <w:tcW w:w="985" w:type="pct"/>
            <w:tcBorders>
              <w:top w:val="single" w:sz="4" w:space="0" w:color="000000"/>
              <w:left w:val="single" w:sz="4" w:space="0" w:color="000000"/>
              <w:bottom w:val="single" w:sz="4" w:space="0" w:color="000000"/>
              <w:right w:val="single" w:sz="4" w:space="0" w:color="000000"/>
            </w:tcBorders>
            <w:hideMark/>
          </w:tcPr>
          <w:p w14:paraId="13E793B4"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1,10 (0,64; 1,89)</w:t>
            </w:r>
          </w:p>
        </w:tc>
      </w:tr>
      <w:tr w:rsidR="00A75091" w:rsidRPr="007553F5" w14:paraId="5DCF9680" w14:textId="77777777" w:rsidTr="00CE778C">
        <w:trPr>
          <w:trHeight w:val="20"/>
        </w:trPr>
        <w:tc>
          <w:tcPr>
            <w:tcW w:w="834" w:type="pct"/>
            <w:tcBorders>
              <w:top w:val="single" w:sz="4" w:space="0" w:color="000000"/>
              <w:left w:val="single" w:sz="4" w:space="0" w:color="000000"/>
              <w:bottom w:val="single" w:sz="4" w:space="0" w:color="000000"/>
              <w:right w:val="single" w:sz="4" w:space="0" w:color="000000"/>
            </w:tcBorders>
            <w:hideMark/>
          </w:tcPr>
          <w:p w14:paraId="2253737E" w14:textId="77777777" w:rsidR="00A75091" w:rsidRPr="007553F5" w:rsidRDefault="00A75091">
            <w:pPr>
              <w:pStyle w:val="TableParagraph"/>
              <w:ind w:left="57" w:right="57"/>
              <w:rPr>
                <w:rFonts w:ascii="Times New Roman" w:hAnsi="Times New Roman" w:cs="Times New Roman"/>
                <w:sz w:val="22"/>
                <w:szCs w:val="22"/>
                <w:lang w:eastAsia="en-US"/>
              </w:rPr>
            </w:pPr>
            <w:r w:rsidRPr="007553F5">
              <w:rPr>
                <w:rFonts w:ascii="Times New Roman" w:hAnsi="Times New Roman" w:cs="Times New Roman"/>
                <w:sz w:val="22"/>
                <w:szCs w:val="22"/>
                <w:lang w:eastAsia="en-US"/>
              </w:rPr>
              <w:t>&gt; 110 til ≤ 130</w:t>
            </w:r>
          </w:p>
        </w:tc>
        <w:tc>
          <w:tcPr>
            <w:tcW w:w="379" w:type="pct"/>
            <w:tcBorders>
              <w:top w:val="single" w:sz="4" w:space="0" w:color="000000"/>
              <w:left w:val="single" w:sz="4" w:space="0" w:color="000000"/>
              <w:bottom w:val="single" w:sz="4" w:space="0" w:color="000000"/>
              <w:right w:val="single" w:sz="4" w:space="0" w:color="000000"/>
            </w:tcBorders>
            <w:hideMark/>
          </w:tcPr>
          <w:p w14:paraId="76827BDE"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497</w:t>
            </w:r>
          </w:p>
        </w:tc>
        <w:tc>
          <w:tcPr>
            <w:tcW w:w="530" w:type="pct"/>
            <w:tcBorders>
              <w:top w:val="single" w:sz="4" w:space="0" w:color="000000"/>
              <w:left w:val="single" w:sz="4" w:space="0" w:color="000000"/>
              <w:bottom w:val="single" w:sz="4" w:space="0" w:color="000000"/>
              <w:right w:val="single" w:sz="4" w:space="0" w:color="000000"/>
            </w:tcBorders>
            <w:hideMark/>
          </w:tcPr>
          <w:p w14:paraId="06D6DE5A"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14</w:t>
            </w:r>
          </w:p>
        </w:tc>
        <w:tc>
          <w:tcPr>
            <w:tcW w:w="682" w:type="pct"/>
            <w:tcBorders>
              <w:top w:val="single" w:sz="4" w:space="0" w:color="000000"/>
              <w:left w:val="single" w:sz="4" w:space="0" w:color="000000"/>
              <w:bottom w:val="single" w:sz="4" w:space="0" w:color="000000"/>
              <w:right w:val="single" w:sz="4" w:space="0" w:color="000000"/>
            </w:tcBorders>
            <w:hideMark/>
          </w:tcPr>
          <w:p w14:paraId="7C1CC8FB"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1,01</w:t>
            </w:r>
          </w:p>
        </w:tc>
        <w:tc>
          <w:tcPr>
            <w:tcW w:w="379" w:type="pct"/>
            <w:tcBorders>
              <w:top w:val="single" w:sz="4" w:space="0" w:color="000000"/>
              <w:left w:val="single" w:sz="4" w:space="0" w:color="000000"/>
              <w:bottom w:val="single" w:sz="4" w:space="0" w:color="000000"/>
              <w:right w:val="single" w:sz="4" w:space="0" w:color="000000"/>
            </w:tcBorders>
            <w:hideMark/>
          </w:tcPr>
          <w:p w14:paraId="77573E6A"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469</w:t>
            </w:r>
          </w:p>
        </w:tc>
        <w:tc>
          <w:tcPr>
            <w:tcW w:w="530" w:type="pct"/>
            <w:tcBorders>
              <w:top w:val="single" w:sz="4" w:space="0" w:color="000000"/>
              <w:left w:val="single" w:sz="4" w:space="0" w:color="000000"/>
              <w:bottom w:val="single" w:sz="4" w:space="0" w:color="000000"/>
              <w:right w:val="single" w:sz="4" w:space="0" w:color="000000"/>
            </w:tcBorders>
            <w:hideMark/>
          </w:tcPr>
          <w:p w14:paraId="690264D0"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10</w:t>
            </w:r>
          </w:p>
        </w:tc>
        <w:tc>
          <w:tcPr>
            <w:tcW w:w="682" w:type="pct"/>
            <w:tcBorders>
              <w:top w:val="single" w:sz="4" w:space="0" w:color="000000"/>
              <w:left w:val="single" w:sz="4" w:space="0" w:color="000000"/>
              <w:bottom w:val="single" w:sz="4" w:space="0" w:color="000000"/>
              <w:right w:val="single" w:sz="4" w:space="0" w:color="000000"/>
            </w:tcBorders>
            <w:hideMark/>
          </w:tcPr>
          <w:p w14:paraId="1BE26697"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0,78</w:t>
            </w:r>
          </w:p>
        </w:tc>
        <w:tc>
          <w:tcPr>
            <w:tcW w:w="985" w:type="pct"/>
            <w:tcBorders>
              <w:top w:val="single" w:sz="4" w:space="0" w:color="000000"/>
              <w:left w:val="single" w:sz="4" w:space="0" w:color="000000"/>
              <w:bottom w:val="single" w:sz="4" w:space="0" w:color="000000"/>
              <w:right w:val="single" w:sz="4" w:space="0" w:color="000000"/>
            </w:tcBorders>
            <w:hideMark/>
          </w:tcPr>
          <w:p w14:paraId="57867F54"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1,27 (0,57; 2,85)</w:t>
            </w:r>
          </w:p>
        </w:tc>
      </w:tr>
      <w:tr w:rsidR="00A75091" w:rsidRPr="007553F5" w14:paraId="3890EC6F" w14:textId="77777777" w:rsidTr="00CE778C">
        <w:trPr>
          <w:trHeight w:val="20"/>
        </w:trPr>
        <w:tc>
          <w:tcPr>
            <w:tcW w:w="834" w:type="pct"/>
            <w:tcBorders>
              <w:top w:val="single" w:sz="4" w:space="0" w:color="000000"/>
              <w:left w:val="single" w:sz="4" w:space="0" w:color="000000"/>
              <w:bottom w:val="single" w:sz="4" w:space="0" w:color="000000"/>
              <w:right w:val="single" w:sz="4" w:space="0" w:color="000000"/>
            </w:tcBorders>
            <w:hideMark/>
          </w:tcPr>
          <w:p w14:paraId="7FCD964C" w14:textId="77777777" w:rsidR="00A75091" w:rsidRPr="007553F5" w:rsidRDefault="00A75091">
            <w:pPr>
              <w:pStyle w:val="TableParagraph"/>
              <w:ind w:left="57" w:right="57"/>
              <w:rPr>
                <w:rFonts w:ascii="Times New Roman" w:hAnsi="Times New Roman" w:cs="Times New Roman"/>
                <w:sz w:val="22"/>
                <w:szCs w:val="22"/>
                <w:lang w:eastAsia="en-US"/>
              </w:rPr>
            </w:pPr>
            <w:r w:rsidRPr="007553F5">
              <w:rPr>
                <w:rFonts w:ascii="Times New Roman" w:hAnsi="Times New Roman" w:cs="Times New Roman"/>
                <w:sz w:val="22"/>
                <w:szCs w:val="22"/>
                <w:lang w:eastAsia="en-US"/>
              </w:rPr>
              <w:t>&gt; 130</w:t>
            </w:r>
          </w:p>
        </w:tc>
        <w:tc>
          <w:tcPr>
            <w:tcW w:w="379" w:type="pct"/>
            <w:tcBorders>
              <w:top w:val="single" w:sz="4" w:space="0" w:color="000000"/>
              <w:left w:val="single" w:sz="4" w:space="0" w:color="000000"/>
              <w:bottom w:val="single" w:sz="4" w:space="0" w:color="000000"/>
              <w:right w:val="single" w:sz="4" w:space="0" w:color="000000"/>
            </w:tcBorders>
            <w:hideMark/>
          </w:tcPr>
          <w:p w14:paraId="0D0BCDBC"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462</w:t>
            </w:r>
          </w:p>
        </w:tc>
        <w:tc>
          <w:tcPr>
            <w:tcW w:w="530" w:type="pct"/>
            <w:tcBorders>
              <w:top w:val="single" w:sz="4" w:space="0" w:color="000000"/>
              <w:left w:val="single" w:sz="4" w:space="0" w:color="000000"/>
              <w:bottom w:val="single" w:sz="4" w:space="0" w:color="000000"/>
              <w:right w:val="single" w:sz="4" w:space="0" w:color="000000"/>
            </w:tcBorders>
            <w:hideMark/>
          </w:tcPr>
          <w:p w14:paraId="18E05CF9"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10</w:t>
            </w:r>
          </w:p>
        </w:tc>
        <w:tc>
          <w:tcPr>
            <w:tcW w:w="682" w:type="pct"/>
            <w:tcBorders>
              <w:top w:val="single" w:sz="4" w:space="0" w:color="000000"/>
              <w:left w:val="single" w:sz="4" w:space="0" w:color="000000"/>
              <w:bottom w:val="single" w:sz="4" w:space="0" w:color="000000"/>
              <w:right w:val="single" w:sz="4" w:space="0" w:color="000000"/>
            </w:tcBorders>
            <w:hideMark/>
          </w:tcPr>
          <w:p w14:paraId="725B6E5B"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0,78</w:t>
            </w:r>
          </w:p>
        </w:tc>
        <w:tc>
          <w:tcPr>
            <w:tcW w:w="379" w:type="pct"/>
            <w:tcBorders>
              <w:top w:val="single" w:sz="4" w:space="0" w:color="000000"/>
              <w:left w:val="single" w:sz="4" w:space="0" w:color="000000"/>
              <w:bottom w:val="single" w:sz="4" w:space="0" w:color="000000"/>
              <w:right w:val="single" w:sz="4" w:space="0" w:color="000000"/>
            </w:tcBorders>
            <w:hideMark/>
          </w:tcPr>
          <w:p w14:paraId="38A59836"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418</w:t>
            </w:r>
          </w:p>
        </w:tc>
        <w:tc>
          <w:tcPr>
            <w:tcW w:w="530" w:type="pct"/>
            <w:tcBorders>
              <w:top w:val="single" w:sz="4" w:space="0" w:color="000000"/>
              <w:left w:val="single" w:sz="4" w:space="0" w:color="000000"/>
              <w:bottom w:val="single" w:sz="4" w:space="0" w:color="000000"/>
              <w:right w:val="single" w:sz="4" w:space="0" w:color="000000"/>
            </w:tcBorders>
            <w:hideMark/>
          </w:tcPr>
          <w:p w14:paraId="43CD32E6"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3</w:t>
            </w:r>
          </w:p>
        </w:tc>
        <w:tc>
          <w:tcPr>
            <w:tcW w:w="682" w:type="pct"/>
            <w:tcBorders>
              <w:top w:val="single" w:sz="4" w:space="0" w:color="000000"/>
              <w:left w:val="single" w:sz="4" w:space="0" w:color="000000"/>
              <w:bottom w:val="single" w:sz="4" w:space="0" w:color="000000"/>
              <w:right w:val="single" w:sz="4" w:space="0" w:color="000000"/>
            </w:tcBorders>
            <w:hideMark/>
          </w:tcPr>
          <w:p w14:paraId="32266EE2"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0,25</w:t>
            </w:r>
          </w:p>
        </w:tc>
        <w:tc>
          <w:tcPr>
            <w:tcW w:w="985" w:type="pct"/>
            <w:tcBorders>
              <w:top w:val="single" w:sz="4" w:space="0" w:color="000000"/>
              <w:left w:val="single" w:sz="4" w:space="0" w:color="000000"/>
              <w:bottom w:val="single" w:sz="4" w:space="0" w:color="000000"/>
              <w:right w:val="single" w:sz="4" w:space="0" w:color="000000"/>
            </w:tcBorders>
            <w:hideMark/>
          </w:tcPr>
          <w:p w14:paraId="077898F7" w14:textId="77777777" w:rsidR="00A75091" w:rsidRPr="007553F5" w:rsidRDefault="00A75091">
            <w:pPr>
              <w:pStyle w:val="TableParagraph"/>
              <w:ind w:left="57" w:right="57"/>
              <w:jc w:val="center"/>
              <w:rPr>
                <w:rFonts w:ascii="Times New Roman" w:hAnsi="Times New Roman" w:cs="Times New Roman"/>
                <w:sz w:val="22"/>
                <w:szCs w:val="22"/>
                <w:lang w:eastAsia="en-US"/>
              </w:rPr>
            </w:pPr>
            <w:r w:rsidRPr="007553F5">
              <w:rPr>
                <w:rFonts w:ascii="Times New Roman" w:hAnsi="Times New Roman" w:cs="Times New Roman"/>
                <w:sz w:val="22"/>
                <w:szCs w:val="22"/>
                <w:lang w:eastAsia="en-US"/>
              </w:rPr>
              <w:t>--</w:t>
            </w:r>
            <w:r w:rsidRPr="007553F5">
              <w:rPr>
                <w:rFonts w:ascii="Times New Roman" w:hAnsi="Times New Roman" w:cs="Times New Roman"/>
                <w:sz w:val="22"/>
                <w:szCs w:val="22"/>
                <w:vertAlign w:val="superscript"/>
                <w:lang w:eastAsia="en-US"/>
              </w:rPr>
              <w:t>*</w:t>
            </w:r>
          </w:p>
        </w:tc>
      </w:tr>
    </w:tbl>
    <w:p w14:paraId="2ACB3AB6" w14:textId="77777777" w:rsidR="00A75091" w:rsidRPr="00CE778C" w:rsidRDefault="00A75091" w:rsidP="00A75091">
      <w:pPr>
        <w:pStyle w:val="Brdtekst"/>
        <w:suppressAutoHyphens/>
        <w:kinsoku w:val="0"/>
        <w:overflowPunct w:val="0"/>
        <w:ind w:left="0"/>
      </w:pPr>
      <w:r w:rsidRPr="00CE778C">
        <w:t>Forkortelser: CrCl = kreatininclearance, N = antal personer i mITT-population samlet studieperiode,</w:t>
      </w:r>
    </w:p>
    <w:p w14:paraId="51983088" w14:textId="77777777" w:rsidR="00A75091" w:rsidRPr="00CE778C" w:rsidRDefault="00A75091" w:rsidP="00A75091">
      <w:pPr>
        <w:pStyle w:val="Brdtekst"/>
        <w:suppressAutoHyphens/>
        <w:kinsoku w:val="0"/>
        <w:overflowPunct w:val="0"/>
        <w:ind w:left="0"/>
      </w:pPr>
      <w:r w:rsidRPr="00CE778C">
        <w:t>mITT = modificeret intention-to-treat, n = antal patienter i undergruppen, HR = hazard ratio versus</w:t>
      </w:r>
    </w:p>
    <w:p w14:paraId="568AB822" w14:textId="77777777" w:rsidR="00A75091" w:rsidRPr="00CE778C" w:rsidRDefault="00A75091" w:rsidP="00A75091">
      <w:pPr>
        <w:pStyle w:val="Brdtekst"/>
        <w:suppressAutoHyphens/>
        <w:kinsoku w:val="0"/>
        <w:overflowPunct w:val="0"/>
        <w:ind w:left="0"/>
      </w:pPr>
      <w:r w:rsidRPr="00CE778C">
        <w:t>warfarin, CI = konfidensinterval.</w:t>
      </w:r>
    </w:p>
    <w:p w14:paraId="22C6CB51" w14:textId="77777777" w:rsidR="00A75091" w:rsidRPr="00CE778C" w:rsidRDefault="00A75091" w:rsidP="00A75091">
      <w:pPr>
        <w:pStyle w:val="Brdtekst"/>
        <w:widowControl/>
        <w:suppressAutoHyphens/>
        <w:kinsoku w:val="0"/>
        <w:overflowPunct w:val="0"/>
        <w:ind w:left="0"/>
      </w:pPr>
      <w:r w:rsidRPr="00CE778C">
        <w:rPr>
          <w:vertAlign w:val="superscript"/>
        </w:rPr>
        <w:t>*</w:t>
      </w:r>
      <w:r w:rsidRPr="00CE778C">
        <w:t>HR blev ikke beregnet, hvis antallet af hændelser &lt;5 i en behandlingsgruppe.</w:t>
      </w:r>
    </w:p>
    <w:p w14:paraId="3F72A988" w14:textId="77777777" w:rsidR="00A75091" w:rsidRPr="00CE778C" w:rsidRDefault="00A75091" w:rsidP="00A75091">
      <w:pPr>
        <w:pStyle w:val="Brdtekst"/>
        <w:widowControl/>
        <w:suppressAutoHyphens/>
        <w:kinsoku w:val="0"/>
        <w:overflowPunct w:val="0"/>
        <w:ind w:left="0"/>
      </w:pPr>
    </w:p>
    <w:p w14:paraId="75E12998" w14:textId="7E6CE4B0" w:rsidR="00A75091" w:rsidRPr="00CE778C" w:rsidRDefault="00A75091" w:rsidP="00CE778C">
      <w:pPr>
        <w:ind w:left="851"/>
        <w:rPr>
          <w:sz w:val="24"/>
          <w:szCs w:val="24"/>
        </w:rPr>
      </w:pPr>
      <w:r w:rsidRPr="00CE778C">
        <w:rPr>
          <w:sz w:val="24"/>
          <w:szCs w:val="24"/>
        </w:rPr>
        <w:t>Inden for undergrupperne for nyrefunktionen var resultaterne for sekundære virkningsendepunkter i</w:t>
      </w:r>
      <w:r w:rsidR="007553F5">
        <w:rPr>
          <w:sz w:val="24"/>
          <w:szCs w:val="24"/>
        </w:rPr>
        <w:t xml:space="preserve"> </w:t>
      </w:r>
      <w:r w:rsidRPr="00CE778C">
        <w:rPr>
          <w:sz w:val="24"/>
          <w:szCs w:val="24"/>
        </w:rPr>
        <w:t>overensstemmelse med resultaterne for det primære endepunkt.</w:t>
      </w:r>
    </w:p>
    <w:p w14:paraId="5A05B63C" w14:textId="77777777" w:rsidR="00A75091" w:rsidRPr="00CE778C" w:rsidRDefault="00A75091" w:rsidP="00CE778C">
      <w:pPr>
        <w:ind w:left="851"/>
        <w:rPr>
          <w:sz w:val="24"/>
          <w:szCs w:val="24"/>
        </w:rPr>
      </w:pPr>
    </w:p>
    <w:p w14:paraId="282D0C1E" w14:textId="77777777" w:rsidR="00A75091" w:rsidRPr="00CE778C" w:rsidRDefault="00A75091" w:rsidP="00CE778C">
      <w:pPr>
        <w:ind w:left="851"/>
        <w:rPr>
          <w:sz w:val="24"/>
          <w:szCs w:val="24"/>
        </w:rPr>
      </w:pPr>
      <w:r w:rsidRPr="00CE778C">
        <w:rPr>
          <w:sz w:val="24"/>
          <w:szCs w:val="24"/>
        </w:rPr>
        <w:t>Superioritetstests blev udført på den samlede studieperiode for ITT.</w:t>
      </w:r>
    </w:p>
    <w:p w14:paraId="35BC5C9D" w14:textId="1E054BD2" w:rsidR="00A75091" w:rsidRPr="00CE778C" w:rsidRDefault="00A75091" w:rsidP="00CE778C">
      <w:pPr>
        <w:ind w:left="851"/>
        <w:rPr>
          <w:sz w:val="24"/>
          <w:szCs w:val="24"/>
        </w:rPr>
      </w:pPr>
      <w:r w:rsidRPr="00CE778C">
        <w:rPr>
          <w:sz w:val="24"/>
          <w:szCs w:val="24"/>
        </w:rPr>
        <w:t>Apopleksi og SEE opstod hos færre personer i behandlingsgruppen med edoxaban 60 mg end i</w:t>
      </w:r>
      <w:r w:rsidR="007553F5">
        <w:rPr>
          <w:sz w:val="24"/>
          <w:szCs w:val="24"/>
        </w:rPr>
        <w:t xml:space="preserve"> </w:t>
      </w:r>
      <w:r w:rsidRPr="00CE778C">
        <w:rPr>
          <w:sz w:val="24"/>
          <w:szCs w:val="24"/>
        </w:rPr>
        <w:t>warfaringruppen (hhv. 1,57 % og 1,80 % pr. år), med en HR på 0,87 (99 % CI: 0,71; 1,07, p = 0,0807</w:t>
      </w:r>
      <w:r w:rsidR="007553F5">
        <w:rPr>
          <w:sz w:val="24"/>
          <w:szCs w:val="24"/>
        </w:rPr>
        <w:t xml:space="preserve"> </w:t>
      </w:r>
      <w:r w:rsidRPr="00CE778C">
        <w:rPr>
          <w:sz w:val="24"/>
          <w:szCs w:val="24"/>
        </w:rPr>
        <w:t>for superioritet).</w:t>
      </w:r>
    </w:p>
    <w:p w14:paraId="1639D079" w14:textId="77777777" w:rsidR="00A75091" w:rsidRPr="00CE778C" w:rsidRDefault="00A75091" w:rsidP="00CE778C">
      <w:pPr>
        <w:ind w:left="851"/>
        <w:rPr>
          <w:sz w:val="24"/>
          <w:szCs w:val="24"/>
        </w:rPr>
      </w:pPr>
    </w:p>
    <w:p w14:paraId="42FF78D7" w14:textId="0DD3A3E8" w:rsidR="00A75091" w:rsidRPr="00CE778C" w:rsidRDefault="00A75091" w:rsidP="00CE778C">
      <w:pPr>
        <w:ind w:left="851"/>
        <w:rPr>
          <w:sz w:val="24"/>
          <w:szCs w:val="24"/>
        </w:rPr>
      </w:pPr>
      <w:r w:rsidRPr="00CE778C">
        <w:rPr>
          <w:sz w:val="24"/>
          <w:szCs w:val="24"/>
        </w:rPr>
        <w:t>De præspecificerede sammensatte endepunkter til sammenligning af behandlingsgruppen med edoxaban 60 mg og warfarin for apopleksi, SEE og CV-mortalitet HR (99 % CI) var 0,87 (0,76; 0,99), MACE</w:t>
      </w:r>
      <w:r w:rsidR="007553F5">
        <w:rPr>
          <w:sz w:val="24"/>
          <w:szCs w:val="24"/>
        </w:rPr>
        <w:t xml:space="preserve"> </w:t>
      </w:r>
      <w:r w:rsidRPr="00CE778C">
        <w:rPr>
          <w:sz w:val="24"/>
          <w:szCs w:val="24"/>
        </w:rPr>
        <w:t>0,89 (0,78; 1,00) og apopleksi, SEE og mortalitet af alle årsager 0,90 (0,80; 1,01).</w:t>
      </w:r>
    </w:p>
    <w:p w14:paraId="5DCBA380" w14:textId="77777777" w:rsidR="00A75091" w:rsidRPr="00CE778C" w:rsidRDefault="00A75091" w:rsidP="00CE778C">
      <w:pPr>
        <w:ind w:left="851"/>
        <w:rPr>
          <w:sz w:val="24"/>
          <w:szCs w:val="24"/>
        </w:rPr>
      </w:pPr>
    </w:p>
    <w:p w14:paraId="684C45B5" w14:textId="3FF88A1D" w:rsidR="00A75091" w:rsidRPr="00CE778C" w:rsidRDefault="00A75091" w:rsidP="00CE778C">
      <w:pPr>
        <w:ind w:left="851"/>
        <w:rPr>
          <w:sz w:val="24"/>
          <w:szCs w:val="24"/>
        </w:rPr>
      </w:pPr>
      <w:r w:rsidRPr="00CE778C">
        <w:rPr>
          <w:sz w:val="24"/>
          <w:szCs w:val="24"/>
        </w:rPr>
        <w:t>Resultaterne for mortalitet af alle årsager (bedømte dødsfald) i ENGAGE AF-TIME 48-studiet var 769 (3,99 % pr. år) for personer, der tog edoxaban 60 mg (30 mg dosisreduceret) i modsætning til 836 (4,35 % pr. år) for warfarin, [HR (95 % CI): 0,91 (0,83; 1,01)].</w:t>
      </w:r>
    </w:p>
    <w:p w14:paraId="511B1349" w14:textId="29E40E89" w:rsidR="00A75091" w:rsidRPr="00CE778C" w:rsidRDefault="00A75091" w:rsidP="00CE778C">
      <w:pPr>
        <w:ind w:left="851"/>
        <w:rPr>
          <w:sz w:val="24"/>
          <w:szCs w:val="24"/>
        </w:rPr>
      </w:pPr>
      <w:r w:rsidRPr="00CE778C">
        <w:rPr>
          <w:sz w:val="24"/>
          <w:szCs w:val="24"/>
        </w:rPr>
        <w:t>Mortalitet af alle årsager (bedømte dødsfald) pr. renal undergruppe (edoxaban vs. warfarin): CrCl 30 til ≤ 50 ml/min. [HR (95 % CI): 0,81 (0,68; 0,97)], CrCl &gt; 50 til &lt; 80 ml/min. [HR (95 % CI): 0,87 (0,75; 1,02)], CrCl ≥ 80 ml/min. [HR (95 % CI): 1,15 (0,95; 1,40)].</w:t>
      </w:r>
    </w:p>
    <w:p w14:paraId="52321189" w14:textId="68E81CA4" w:rsidR="00A75091" w:rsidRPr="00CE778C" w:rsidRDefault="00A75091" w:rsidP="00CE778C">
      <w:pPr>
        <w:ind w:left="851"/>
        <w:rPr>
          <w:sz w:val="24"/>
          <w:szCs w:val="24"/>
        </w:rPr>
      </w:pPr>
      <w:r w:rsidRPr="00CE778C">
        <w:rPr>
          <w:sz w:val="24"/>
          <w:szCs w:val="24"/>
        </w:rPr>
        <w:t>Edoxaban 60 mg (30 mg dosisreduceret) førte til en lavere hyppighed for kardiovaskulær mortalitet</w:t>
      </w:r>
      <w:r w:rsidR="004D17AE">
        <w:rPr>
          <w:sz w:val="24"/>
          <w:szCs w:val="24"/>
        </w:rPr>
        <w:t xml:space="preserve"> </w:t>
      </w:r>
      <w:r w:rsidRPr="00CE778C">
        <w:rPr>
          <w:sz w:val="24"/>
          <w:szCs w:val="24"/>
        </w:rPr>
        <w:t>sammenlignet med warfarin [HR (95 % CI): 0,86 (0,77; 0,97)].</w:t>
      </w:r>
    </w:p>
    <w:p w14:paraId="65D78816" w14:textId="2B9FA76E" w:rsidR="00A75091" w:rsidRPr="00CE778C" w:rsidRDefault="00A75091" w:rsidP="00CE778C">
      <w:pPr>
        <w:ind w:left="851"/>
        <w:rPr>
          <w:sz w:val="24"/>
          <w:szCs w:val="24"/>
          <w:lang w:val="nb-NO"/>
        </w:rPr>
      </w:pPr>
      <w:r w:rsidRPr="00CE778C">
        <w:rPr>
          <w:sz w:val="24"/>
          <w:szCs w:val="24"/>
        </w:rPr>
        <w:t xml:space="preserve">Bedømte virkningsdata for kardiovaskulær mortalitet pr. renal undergruppe (edoxaban vs. warfarin): CrCl 30 til ≤ 50 ml/min. [HR (95 % CI): 0,80 (0,65; 0,99)], CrCl &gt; 50 til &lt; 80 ml/min. [HR (95 % CI): 0,75 (0,62; 0,90)], CrCl ≥ 80 ml/min. </w:t>
      </w:r>
      <w:r w:rsidRPr="00CE778C">
        <w:rPr>
          <w:sz w:val="24"/>
          <w:szCs w:val="24"/>
          <w:lang w:val="nb-NO"/>
        </w:rPr>
        <w:t>[HR (95 % CI): 1,16 (0,92; 1,46)].</w:t>
      </w:r>
    </w:p>
    <w:p w14:paraId="188CB399" w14:textId="77777777" w:rsidR="00A75091" w:rsidRPr="00CE778C" w:rsidRDefault="00A75091" w:rsidP="00CE778C">
      <w:pPr>
        <w:ind w:left="851"/>
        <w:rPr>
          <w:sz w:val="24"/>
          <w:szCs w:val="24"/>
          <w:lang w:val="nb-NO"/>
        </w:rPr>
      </w:pPr>
    </w:p>
    <w:p w14:paraId="68D2B4DE" w14:textId="77777777" w:rsidR="00A75091" w:rsidRPr="00CE778C" w:rsidRDefault="00A75091" w:rsidP="00CE778C">
      <w:pPr>
        <w:ind w:left="851"/>
        <w:rPr>
          <w:sz w:val="24"/>
          <w:szCs w:val="24"/>
          <w:lang w:val="nb-NO"/>
        </w:rPr>
      </w:pPr>
      <w:r w:rsidRPr="00CE778C">
        <w:rPr>
          <w:sz w:val="24"/>
          <w:szCs w:val="24"/>
          <w:lang w:val="nb-NO"/>
        </w:rPr>
        <w:t>Det primære endepunkt for sikkerhed var svær blødning.</w:t>
      </w:r>
    </w:p>
    <w:p w14:paraId="7671A301" w14:textId="77777777" w:rsidR="00A75091" w:rsidRPr="00CE778C" w:rsidRDefault="00A75091" w:rsidP="00CE778C">
      <w:pPr>
        <w:ind w:left="851"/>
        <w:rPr>
          <w:sz w:val="24"/>
          <w:szCs w:val="24"/>
          <w:lang w:val="nb-NO"/>
        </w:rPr>
      </w:pPr>
    </w:p>
    <w:p w14:paraId="54BD680B" w14:textId="36B7EE0E" w:rsidR="00A75091" w:rsidRPr="00CE778C" w:rsidRDefault="00A75091" w:rsidP="00CE778C">
      <w:pPr>
        <w:ind w:left="851"/>
        <w:rPr>
          <w:sz w:val="24"/>
          <w:szCs w:val="24"/>
          <w:lang w:val="nb-NO"/>
        </w:rPr>
      </w:pPr>
      <w:r w:rsidRPr="00CE778C">
        <w:rPr>
          <w:sz w:val="24"/>
          <w:szCs w:val="24"/>
          <w:lang w:val="nb-NO"/>
        </w:rPr>
        <w:lastRenderedPageBreak/>
        <w:t>Der var en signifikant risikoreduktion i behandlingsgruppen med edoxaban 60 mg sammenlignet med</w:t>
      </w:r>
      <w:r w:rsidR="004D17AE">
        <w:rPr>
          <w:sz w:val="24"/>
          <w:szCs w:val="24"/>
          <w:lang w:val="nb-NO"/>
        </w:rPr>
        <w:t xml:space="preserve"> </w:t>
      </w:r>
      <w:r w:rsidRPr="00CE778C">
        <w:rPr>
          <w:sz w:val="24"/>
          <w:szCs w:val="24"/>
          <w:lang w:val="nb-NO"/>
        </w:rPr>
        <w:t>warfaringruppen for svær blødning (hhv. 2,75 %, og 3,43 % pr. år) [HR (95 % CI): 0,80 (0,71; 0,91),</w:t>
      </w:r>
      <w:r w:rsidR="004D17AE">
        <w:rPr>
          <w:sz w:val="24"/>
          <w:szCs w:val="24"/>
          <w:lang w:val="nb-NO"/>
        </w:rPr>
        <w:t xml:space="preserve"> </w:t>
      </w:r>
      <w:r w:rsidRPr="00CE778C">
        <w:rPr>
          <w:sz w:val="24"/>
          <w:szCs w:val="24"/>
          <w:lang w:val="nb-NO"/>
        </w:rPr>
        <w:t>p = 0,0009], ICH (hhv. 0,39 % og 0,85 % pr. år) [HR (95 % CI): 0,47 (0,34; 0,63), p &lt; 0,0001] og andre blødningstyper (tabel 6).</w:t>
      </w:r>
    </w:p>
    <w:p w14:paraId="014D4B5C" w14:textId="77777777" w:rsidR="00A75091" w:rsidRPr="00CE778C" w:rsidRDefault="00A75091" w:rsidP="00CE778C">
      <w:pPr>
        <w:ind w:left="851"/>
        <w:rPr>
          <w:sz w:val="24"/>
          <w:szCs w:val="24"/>
          <w:lang w:val="nb-NO"/>
        </w:rPr>
      </w:pPr>
    </w:p>
    <w:p w14:paraId="7753D502" w14:textId="650A36C3" w:rsidR="00A75091" w:rsidRPr="00CE778C" w:rsidRDefault="00A75091" w:rsidP="00CE778C">
      <w:pPr>
        <w:ind w:left="851"/>
        <w:rPr>
          <w:sz w:val="24"/>
          <w:szCs w:val="24"/>
        </w:rPr>
      </w:pPr>
      <w:r w:rsidRPr="00CE778C">
        <w:rPr>
          <w:sz w:val="24"/>
          <w:szCs w:val="24"/>
          <w:lang w:val="nb-NO"/>
        </w:rPr>
        <w:t>Reduktionen i dødelige blødninger var også signifikant for behandlingsgruppen, der fik edoxaban</w:t>
      </w:r>
      <w:r w:rsidR="004D17AE">
        <w:rPr>
          <w:sz w:val="24"/>
          <w:szCs w:val="24"/>
          <w:lang w:val="nb-NO"/>
        </w:rPr>
        <w:t xml:space="preserve"> </w:t>
      </w:r>
      <w:r w:rsidRPr="00CE778C">
        <w:rPr>
          <w:sz w:val="24"/>
          <w:szCs w:val="24"/>
          <w:lang w:val="nb-NO"/>
        </w:rPr>
        <w:t>60 mg, sammenlignet med warfaringruppen (0,21 % og 0,38 %) [HR (95 % CI): 0,55 (0,36; 0,84),</w:t>
      </w:r>
      <w:r w:rsidR="004D17AE">
        <w:rPr>
          <w:sz w:val="24"/>
          <w:szCs w:val="24"/>
          <w:lang w:val="nb-NO"/>
        </w:rPr>
        <w:t xml:space="preserve"> </w:t>
      </w:r>
      <w:r w:rsidRPr="00CE778C">
        <w:rPr>
          <w:sz w:val="24"/>
          <w:szCs w:val="24"/>
          <w:lang w:val="nb-NO"/>
        </w:rPr>
        <w:t>p = 0,0059 for superioritet], primært på grund af reduktionen i dødelige ICH-blødninger [HR (95 %</w:t>
      </w:r>
      <w:r w:rsidR="004D17AE">
        <w:rPr>
          <w:sz w:val="24"/>
          <w:szCs w:val="24"/>
          <w:lang w:val="nb-NO"/>
        </w:rPr>
        <w:t xml:space="preserve"> </w:t>
      </w:r>
      <w:r w:rsidRPr="00CE778C">
        <w:rPr>
          <w:sz w:val="24"/>
          <w:szCs w:val="24"/>
        </w:rPr>
        <w:t>CI): 0,58 (0,35; 0,95), p = 0,0312].</w:t>
      </w:r>
    </w:p>
    <w:p w14:paraId="661FB4BF" w14:textId="77777777" w:rsidR="00A75091" w:rsidRPr="00CE778C" w:rsidRDefault="00A75091" w:rsidP="00CE778C">
      <w:pPr>
        <w:ind w:left="851"/>
        <w:rPr>
          <w:sz w:val="24"/>
          <w:szCs w:val="24"/>
        </w:rPr>
      </w:pPr>
    </w:p>
    <w:p w14:paraId="6965E983" w14:textId="77777777" w:rsidR="00A75091" w:rsidRPr="00CE778C" w:rsidRDefault="00A75091" w:rsidP="00A75091">
      <w:pPr>
        <w:pStyle w:val="Brdtekst"/>
        <w:suppressAutoHyphens/>
        <w:kinsoku w:val="0"/>
        <w:overflowPunct w:val="0"/>
        <w:ind w:left="0"/>
        <w:rPr>
          <w:b/>
          <w:bCs/>
        </w:rPr>
      </w:pPr>
      <w:r w:rsidRPr="00CE778C">
        <w:rPr>
          <w:b/>
          <w:bCs/>
        </w:rPr>
        <w:t>Tabel 6: Blødningshændelser i ENGAGE AF-TIMI 48-studiet - Sikkerhedsanalyse i behandlingen</w:t>
      </w:r>
    </w:p>
    <w:p w14:paraId="05BC3689" w14:textId="77777777" w:rsidR="00A75091" w:rsidRPr="00CE778C" w:rsidRDefault="00A75091" w:rsidP="00A75091">
      <w:pPr>
        <w:pStyle w:val="Brdtekst"/>
        <w:widowControl/>
        <w:suppressAutoHyphens/>
        <w:kinsoku w:val="0"/>
        <w:overflowPunct w:val="0"/>
        <w:ind w:left="0"/>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72"/>
        <w:gridCol w:w="2983"/>
        <w:gridCol w:w="2873"/>
      </w:tblGrid>
      <w:tr w:rsidR="00A75091" w:rsidRPr="00CE778C" w14:paraId="6B9B008D" w14:textId="77777777" w:rsidTr="00CE778C">
        <w:trPr>
          <w:trHeight w:val="839"/>
          <w:tblHeader/>
        </w:trPr>
        <w:tc>
          <w:tcPr>
            <w:tcW w:w="1959" w:type="pct"/>
            <w:tcBorders>
              <w:top w:val="single" w:sz="4" w:space="0" w:color="000000"/>
              <w:left w:val="single" w:sz="4" w:space="0" w:color="000000"/>
              <w:bottom w:val="single" w:sz="4" w:space="0" w:color="000000"/>
              <w:right w:val="single" w:sz="4" w:space="0" w:color="000000"/>
            </w:tcBorders>
            <w:shd w:val="clear" w:color="auto" w:fill="DADADA"/>
          </w:tcPr>
          <w:p w14:paraId="2084E77C" w14:textId="77777777" w:rsidR="00A75091" w:rsidRPr="00CE778C" w:rsidRDefault="00A75091">
            <w:pPr>
              <w:pStyle w:val="TableParagraph"/>
              <w:keepNext/>
              <w:ind w:left="57" w:right="57"/>
              <w:rPr>
                <w:rFonts w:ascii="Times New Roman" w:hAnsi="Times New Roman" w:cs="Times New Roman"/>
                <w:lang w:val="da-DK" w:eastAsia="en-US"/>
              </w:rPr>
            </w:pPr>
          </w:p>
        </w:tc>
        <w:tc>
          <w:tcPr>
            <w:tcW w:w="1549" w:type="pct"/>
            <w:tcBorders>
              <w:top w:val="single" w:sz="4" w:space="0" w:color="000000"/>
              <w:left w:val="single" w:sz="4" w:space="0" w:color="000000"/>
              <w:bottom w:val="single" w:sz="4" w:space="0" w:color="000000"/>
              <w:right w:val="single" w:sz="4" w:space="0" w:color="000000"/>
            </w:tcBorders>
            <w:shd w:val="clear" w:color="auto" w:fill="DADADA"/>
            <w:vAlign w:val="center"/>
            <w:hideMark/>
          </w:tcPr>
          <w:p w14:paraId="25B13EFD" w14:textId="77777777" w:rsidR="00A75091" w:rsidRPr="00CE778C" w:rsidRDefault="00A75091">
            <w:pPr>
              <w:pStyle w:val="TableParagraph"/>
              <w:keepNext/>
              <w:ind w:left="57" w:right="57"/>
              <w:jc w:val="center"/>
              <w:rPr>
                <w:rFonts w:ascii="Times New Roman" w:hAnsi="Times New Roman" w:cs="Times New Roman"/>
                <w:b/>
                <w:bCs/>
                <w:lang w:val="sv-SE" w:eastAsia="en-US"/>
              </w:rPr>
            </w:pPr>
            <w:r w:rsidRPr="00CE778C">
              <w:rPr>
                <w:rFonts w:ascii="Times New Roman" w:hAnsi="Times New Roman" w:cs="Times New Roman"/>
                <w:b/>
                <w:bCs/>
                <w:lang w:val="sv-SE" w:eastAsia="en-US"/>
              </w:rPr>
              <w:t>Edoxaban 60 mg</w:t>
            </w:r>
          </w:p>
          <w:p w14:paraId="1BCA3991" w14:textId="77777777" w:rsidR="00A75091" w:rsidRPr="00CE778C" w:rsidRDefault="00A75091">
            <w:pPr>
              <w:pStyle w:val="TableParagraph"/>
              <w:keepNext/>
              <w:ind w:left="57" w:right="57"/>
              <w:jc w:val="center"/>
              <w:rPr>
                <w:rFonts w:ascii="Times New Roman" w:hAnsi="Times New Roman" w:cs="Times New Roman"/>
                <w:b/>
                <w:bCs/>
                <w:lang w:val="sv-SE" w:eastAsia="en-US"/>
              </w:rPr>
            </w:pPr>
            <w:r w:rsidRPr="00CE778C">
              <w:rPr>
                <w:rFonts w:ascii="Times New Roman" w:hAnsi="Times New Roman" w:cs="Times New Roman"/>
                <w:b/>
                <w:bCs/>
                <w:lang w:val="sv-SE" w:eastAsia="en-US"/>
              </w:rPr>
              <w:t>(30 mg dosisreduktion)</w:t>
            </w:r>
          </w:p>
          <w:p w14:paraId="380F385B" w14:textId="77777777" w:rsidR="00A75091" w:rsidRPr="00CE778C" w:rsidRDefault="00A75091">
            <w:pPr>
              <w:pStyle w:val="TableParagraph"/>
              <w:keepNext/>
              <w:ind w:left="57" w:right="57"/>
              <w:jc w:val="center"/>
              <w:rPr>
                <w:rFonts w:ascii="Times New Roman" w:hAnsi="Times New Roman" w:cs="Times New Roman"/>
                <w:b/>
                <w:lang w:val="sv-SE" w:eastAsia="en-US"/>
              </w:rPr>
            </w:pPr>
            <w:r w:rsidRPr="00CE778C">
              <w:rPr>
                <w:rFonts w:ascii="Times New Roman" w:hAnsi="Times New Roman" w:cs="Times New Roman"/>
                <w:b/>
                <w:bCs/>
                <w:lang w:val="sv-SE" w:eastAsia="en-US"/>
              </w:rPr>
              <w:t>(N = 7012)</w:t>
            </w:r>
          </w:p>
        </w:tc>
        <w:tc>
          <w:tcPr>
            <w:tcW w:w="1492" w:type="pct"/>
            <w:tcBorders>
              <w:top w:val="single" w:sz="4" w:space="0" w:color="000000"/>
              <w:left w:val="single" w:sz="4" w:space="0" w:color="000000"/>
              <w:bottom w:val="single" w:sz="4" w:space="0" w:color="000000"/>
              <w:right w:val="single" w:sz="4" w:space="0" w:color="000000"/>
            </w:tcBorders>
            <w:shd w:val="clear" w:color="auto" w:fill="DADADA"/>
            <w:vAlign w:val="center"/>
            <w:hideMark/>
          </w:tcPr>
          <w:p w14:paraId="3AF1DC3E" w14:textId="77777777" w:rsidR="00A75091" w:rsidRPr="00CE778C" w:rsidRDefault="00A75091">
            <w:pPr>
              <w:pStyle w:val="TableParagraph"/>
              <w:keepNext/>
              <w:ind w:left="57" w:right="57"/>
              <w:jc w:val="center"/>
              <w:rPr>
                <w:rFonts w:ascii="Times New Roman" w:hAnsi="Times New Roman" w:cs="Times New Roman"/>
                <w:b/>
                <w:lang w:eastAsia="en-US"/>
              </w:rPr>
            </w:pPr>
            <w:r w:rsidRPr="00CE778C">
              <w:rPr>
                <w:rFonts w:ascii="Times New Roman" w:hAnsi="Times New Roman" w:cs="Times New Roman"/>
                <w:b/>
                <w:lang w:eastAsia="en-US"/>
              </w:rPr>
              <w:t xml:space="preserve">Warfarin </w:t>
            </w:r>
            <w:r w:rsidRPr="00CE778C">
              <w:rPr>
                <w:rFonts w:ascii="Times New Roman" w:hAnsi="Times New Roman" w:cs="Times New Roman"/>
                <w:b/>
                <w:lang w:eastAsia="en-US"/>
              </w:rPr>
              <w:br/>
              <w:t>(N = 7012)</w:t>
            </w:r>
          </w:p>
        </w:tc>
      </w:tr>
      <w:tr w:rsidR="00A75091" w:rsidRPr="00CE778C" w14:paraId="4756FCCE" w14:textId="77777777" w:rsidTr="00CE778C">
        <w:trPr>
          <w:trHeight w:val="20"/>
        </w:trPr>
        <w:tc>
          <w:tcPr>
            <w:tcW w:w="1959" w:type="pct"/>
            <w:tcBorders>
              <w:top w:val="single" w:sz="4" w:space="0" w:color="000000"/>
              <w:left w:val="single" w:sz="4" w:space="0" w:color="000000"/>
              <w:bottom w:val="single" w:sz="4" w:space="0" w:color="000000"/>
              <w:right w:val="single" w:sz="4" w:space="0" w:color="000000"/>
            </w:tcBorders>
            <w:shd w:val="clear" w:color="auto" w:fill="DADADA"/>
            <w:hideMark/>
          </w:tcPr>
          <w:p w14:paraId="34710CBF" w14:textId="77777777" w:rsidR="00A75091" w:rsidRPr="00CE778C" w:rsidRDefault="00A75091">
            <w:pPr>
              <w:pStyle w:val="TableParagraph"/>
              <w:ind w:left="57" w:right="57"/>
              <w:rPr>
                <w:rFonts w:ascii="Times New Roman" w:hAnsi="Times New Roman" w:cs="Times New Roman"/>
                <w:b/>
                <w:lang w:eastAsia="en-US"/>
              </w:rPr>
            </w:pPr>
            <w:r w:rsidRPr="00CE778C">
              <w:rPr>
                <w:rFonts w:ascii="Times New Roman" w:hAnsi="Times New Roman" w:cs="Times New Roman"/>
                <w:b/>
                <w:bCs/>
                <w:lang w:eastAsia="en-US"/>
              </w:rPr>
              <w:t>Svære blødninger</w:t>
            </w:r>
          </w:p>
        </w:tc>
        <w:tc>
          <w:tcPr>
            <w:tcW w:w="1549" w:type="pct"/>
            <w:tcBorders>
              <w:top w:val="single" w:sz="4" w:space="0" w:color="000000"/>
              <w:left w:val="single" w:sz="4" w:space="0" w:color="000000"/>
              <w:bottom w:val="single" w:sz="4" w:space="0" w:color="000000"/>
              <w:right w:val="single" w:sz="4" w:space="0" w:color="000000"/>
            </w:tcBorders>
            <w:shd w:val="clear" w:color="auto" w:fill="DADADA"/>
          </w:tcPr>
          <w:p w14:paraId="7002C809" w14:textId="77777777" w:rsidR="00A75091" w:rsidRPr="00CE778C" w:rsidRDefault="00A75091">
            <w:pPr>
              <w:pStyle w:val="TableParagraph"/>
              <w:ind w:left="57" w:right="57"/>
              <w:rPr>
                <w:rFonts w:ascii="Times New Roman" w:hAnsi="Times New Roman" w:cs="Times New Roman"/>
                <w:lang w:eastAsia="en-US"/>
              </w:rPr>
            </w:pPr>
          </w:p>
        </w:tc>
        <w:tc>
          <w:tcPr>
            <w:tcW w:w="1492" w:type="pct"/>
            <w:tcBorders>
              <w:top w:val="single" w:sz="4" w:space="0" w:color="000000"/>
              <w:left w:val="single" w:sz="4" w:space="0" w:color="000000"/>
              <w:bottom w:val="single" w:sz="4" w:space="0" w:color="000000"/>
              <w:right w:val="single" w:sz="4" w:space="0" w:color="000000"/>
            </w:tcBorders>
            <w:shd w:val="clear" w:color="auto" w:fill="DADADA"/>
          </w:tcPr>
          <w:p w14:paraId="35C0FA81" w14:textId="77777777" w:rsidR="00A75091" w:rsidRPr="00CE778C" w:rsidRDefault="00A75091">
            <w:pPr>
              <w:pStyle w:val="TableParagraph"/>
              <w:ind w:left="57" w:right="57"/>
              <w:rPr>
                <w:rFonts w:ascii="Times New Roman" w:hAnsi="Times New Roman" w:cs="Times New Roman"/>
                <w:lang w:eastAsia="en-US"/>
              </w:rPr>
            </w:pPr>
          </w:p>
        </w:tc>
      </w:tr>
      <w:tr w:rsidR="00A75091" w:rsidRPr="00CE778C" w14:paraId="577B6E55" w14:textId="77777777" w:rsidTr="00CE778C">
        <w:trPr>
          <w:trHeight w:val="20"/>
        </w:trPr>
        <w:tc>
          <w:tcPr>
            <w:tcW w:w="1959" w:type="pct"/>
            <w:tcBorders>
              <w:top w:val="single" w:sz="4" w:space="0" w:color="000000"/>
              <w:left w:val="single" w:sz="4" w:space="0" w:color="000000"/>
              <w:bottom w:val="single" w:sz="4" w:space="0" w:color="000000"/>
              <w:right w:val="single" w:sz="4" w:space="0" w:color="000000"/>
            </w:tcBorders>
            <w:hideMark/>
          </w:tcPr>
          <w:p w14:paraId="6F2D51C9" w14:textId="77777777" w:rsidR="00A75091" w:rsidRPr="00CE778C" w:rsidRDefault="00A75091">
            <w:pPr>
              <w:pStyle w:val="TableParagraph"/>
              <w:ind w:left="57" w:right="57"/>
              <w:rPr>
                <w:rFonts w:ascii="Times New Roman" w:hAnsi="Times New Roman" w:cs="Times New Roman"/>
                <w:lang w:eastAsia="en-US"/>
              </w:rPr>
            </w:pPr>
            <w:r w:rsidRPr="00CE778C">
              <w:rPr>
                <w:rFonts w:ascii="Times New Roman" w:hAnsi="Times New Roman" w:cs="Times New Roman"/>
                <w:lang w:eastAsia="en-US"/>
              </w:rPr>
              <w:t>n</w:t>
            </w:r>
          </w:p>
        </w:tc>
        <w:tc>
          <w:tcPr>
            <w:tcW w:w="1549" w:type="pct"/>
            <w:tcBorders>
              <w:top w:val="single" w:sz="4" w:space="0" w:color="000000"/>
              <w:left w:val="single" w:sz="4" w:space="0" w:color="000000"/>
              <w:bottom w:val="single" w:sz="4" w:space="0" w:color="000000"/>
              <w:right w:val="single" w:sz="4" w:space="0" w:color="000000"/>
            </w:tcBorders>
            <w:hideMark/>
          </w:tcPr>
          <w:p w14:paraId="38A77BE3"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418</w:t>
            </w:r>
          </w:p>
        </w:tc>
        <w:tc>
          <w:tcPr>
            <w:tcW w:w="1492" w:type="pct"/>
            <w:tcBorders>
              <w:top w:val="single" w:sz="4" w:space="0" w:color="000000"/>
              <w:left w:val="single" w:sz="4" w:space="0" w:color="000000"/>
              <w:bottom w:val="single" w:sz="4" w:space="0" w:color="000000"/>
              <w:right w:val="single" w:sz="4" w:space="0" w:color="000000"/>
            </w:tcBorders>
            <w:hideMark/>
          </w:tcPr>
          <w:p w14:paraId="0C4894A6"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524</w:t>
            </w:r>
          </w:p>
        </w:tc>
      </w:tr>
      <w:tr w:rsidR="00A75091" w:rsidRPr="00CE778C" w14:paraId="1475AB0D" w14:textId="77777777" w:rsidTr="00CE778C">
        <w:trPr>
          <w:trHeight w:val="20"/>
        </w:trPr>
        <w:tc>
          <w:tcPr>
            <w:tcW w:w="1959" w:type="pct"/>
            <w:tcBorders>
              <w:top w:val="single" w:sz="4" w:space="0" w:color="000000"/>
              <w:left w:val="single" w:sz="4" w:space="0" w:color="000000"/>
              <w:bottom w:val="single" w:sz="4" w:space="0" w:color="000000"/>
              <w:right w:val="single" w:sz="4" w:space="0" w:color="000000"/>
            </w:tcBorders>
            <w:hideMark/>
          </w:tcPr>
          <w:p w14:paraId="35449E67" w14:textId="77777777" w:rsidR="00A75091" w:rsidRPr="00CE778C" w:rsidRDefault="00A75091">
            <w:pPr>
              <w:pStyle w:val="TableParagraph"/>
              <w:ind w:left="57" w:right="57"/>
              <w:rPr>
                <w:rFonts w:ascii="Times New Roman" w:hAnsi="Times New Roman" w:cs="Times New Roman"/>
                <w:lang w:eastAsia="en-US"/>
              </w:rPr>
            </w:pPr>
            <w:r w:rsidRPr="00CE778C">
              <w:rPr>
                <w:rFonts w:ascii="Times New Roman" w:hAnsi="Times New Roman" w:cs="Times New Roman"/>
                <w:lang w:eastAsia="en-US"/>
              </w:rPr>
              <w:t>Hændelsesrate (%/</w:t>
            </w:r>
            <w:proofErr w:type="gramStart"/>
            <w:r w:rsidRPr="00CE778C">
              <w:rPr>
                <w:rFonts w:ascii="Times New Roman" w:hAnsi="Times New Roman" w:cs="Times New Roman"/>
                <w:lang w:eastAsia="en-US"/>
              </w:rPr>
              <w:t>år)</w:t>
            </w:r>
            <w:r w:rsidRPr="00CE778C">
              <w:rPr>
                <w:rFonts w:ascii="Times New Roman" w:hAnsi="Times New Roman" w:cs="Times New Roman"/>
                <w:vertAlign w:val="superscript"/>
                <w:lang w:eastAsia="en-US"/>
              </w:rPr>
              <w:t>a</w:t>
            </w:r>
            <w:proofErr w:type="gramEnd"/>
          </w:p>
        </w:tc>
        <w:tc>
          <w:tcPr>
            <w:tcW w:w="1549" w:type="pct"/>
            <w:tcBorders>
              <w:top w:val="single" w:sz="4" w:space="0" w:color="000000"/>
              <w:left w:val="single" w:sz="4" w:space="0" w:color="000000"/>
              <w:bottom w:val="single" w:sz="4" w:space="0" w:color="000000"/>
              <w:right w:val="single" w:sz="4" w:space="0" w:color="000000"/>
            </w:tcBorders>
            <w:hideMark/>
          </w:tcPr>
          <w:p w14:paraId="247DA1FF"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2,75</w:t>
            </w:r>
          </w:p>
        </w:tc>
        <w:tc>
          <w:tcPr>
            <w:tcW w:w="1492" w:type="pct"/>
            <w:tcBorders>
              <w:top w:val="single" w:sz="4" w:space="0" w:color="000000"/>
              <w:left w:val="single" w:sz="4" w:space="0" w:color="000000"/>
              <w:bottom w:val="single" w:sz="4" w:space="0" w:color="000000"/>
              <w:right w:val="single" w:sz="4" w:space="0" w:color="000000"/>
            </w:tcBorders>
            <w:hideMark/>
          </w:tcPr>
          <w:p w14:paraId="02BC7F8B"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3,43</w:t>
            </w:r>
          </w:p>
        </w:tc>
      </w:tr>
      <w:tr w:rsidR="00A75091" w:rsidRPr="00CE778C" w14:paraId="24E0F24A" w14:textId="77777777" w:rsidTr="00CE778C">
        <w:trPr>
          <w:trHeight w:val="20"/>
        </w:trPr>
        <w:tc>
          <w:tcPr>
            <w:tcW w:w="1959" w:type="pct"/>
            <w:tcBorders>
              <w:top w:val="single" w:sz="4" w:space="0" w:color="000000"/>
              <w:left w:val="single" w:sz="4" w:space="0" w:color="000000"/>
              <w:bottom w:val="single" w:sz="4" w:space="0" w:color="000000"/>
              <w:right w:val="single" w:sz="4" w:space="0" w:color="000000"/>
            </w:tcBorders>
            <w:hideMark/>
          </w:tcPr>
          <w:p w14:paraId="012FC402" w14:textId="77777777" w:rsidR="00A75091" w:rsidRPr="00CE778C" w:rsidRDefault="00A75091">
            <w:pPr>
              <w:pStyle w:val="TableParagraph"/>
              <w:ind w:left="57" w:right="57"/>
              <w:rPr>
                <w:rFonts w:ascii="Times New Roman" w:hAnsi="Times New Roman" w:cs="Times New Roman"/>
                <w:lang w:eastAsia="en-US"/>
              </w:rPr>
            </w:pPr>
            <w:r w:rsidRPr="00CE778C">
              <w:rPr>
                <w:rFonts w:ascii="Times New Roman" w:hAnsi="Times New Roman" w:cs="Times New Roman"/>
                <w:lang w:eastAsia="en-US"/>
              </w:rPr>
              <w:t>HR (95% CI)</w:t>
            </w:r>
          </w:p>
        </w:tc>
        <w:tc>
          <w:tcPr>
            <w:tcW w:w="1549" w:type="pct"/>
            <w:tcBorders>
              <w:top w:val="single" w:sz="4" w:space="0" w:color="000000"/>
              <w:left w:val="single" w:sz="4" w:space="0" w:color="000000"/>
              <w:bottom w:val="single" w:sz="4" w:space="0" w:color="000000"/>
              <w:right w:val="single" w:sz="4" w:space="0" w:color="000000"/>
            </w:tcBorders>
            <w:hideMark/>
          </w:tcPr>
          <w:p w14:paraId="207F2046"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0,80 (0,71; 0,91)</w:t>
            </w:r>
          </w:p>
        </w:tc>
        <w:tc>
          <w:tcPr>
            <w:tcW w:w="1492" w:type="pct"/>
            <w:tcBorders>
              <w:top w:val="single" w:sz="4" w:space="0" w:color="000000"/>
              <w:left w:val="single" w:sz="4" w:space="0" w:color="000000"/>
              <w:bottom w:val="single" w:sz="4" w:space="0" w:color="000000"/>
              <w:right w:val="single" w:sz="4" w:space="0" w:color="000000"/>
            </w:tcBorders>
          </w:tcPr>
          <w:p w14:paraId="4805E2F7" w14:textId="77777777" w:rsidR="00A75091" w:rsidRPr="00CE778C" w:rsidRDefault="00A75091">
            <w:pPr>
              <w:pStyle w:val="TableParagraph"/>
              <w:ind w:left="57" w:right="57"/>
              <w:rPr>
                <w:rFonts w:ascii="Times New Roman" w:hAnsi="Times New Roman" w:cs="Times New Roman"/>
                <w:lang w:eastAsia="en-US"/>
              </w:rPr>
            </w:pPr>
          </w:p>
        </w:tc>
      </w:tr>
      <w:tr w:rsidR="00A75091" w:rsidRPr="00CE778C" w14:paraId="1935037C" w14:textId="77777777" w:rsidTr="00CE778C">
        <w:trPr>
          <w:trHeight w:val="20"/>
        </w:trPr>
        <w:tc>
          <w:tcPr>
            <w:tcW w:w="1959" w:type="pct"/>
            <w:tcBorders>
              <w:top w:val="single" w:sz="4" w:space="0" w:color="000000"/>
              <w:left w:val="single" w:sz="4" w:space="0" w:color="000000"/>
              <w:bottom w:val="single" w:sz="4" w:space="0" w:color="000000"/>
              <w:right w:val="single" w:sz="4" w:space="0" w:color="000000"/>
            </w:tcBorders>
            <w:hideMark/>
          </w:tcPr>
          <w:p w14:paraId="64BBC6DD" w14:textId="77777777" w:rsidR="00A75091" w:rsidRPr="00CE778C" w:rsidRDefault="00A75091">
            <w:pPr>
              <w:pStyle w:val="TableParagraph"/>
              <w:ind w:left="57" w:right="57"/>
              <w:rPr>
                <w:rFonts w:ascii="Times New Roman" w:hAnsi="Times New Roman" w:cs="Times New Roman"/>
                <w:lang w:eastAsia="en-US"/>
              </w:rPr>
            </w:pPr>
            <w:r w:rsidRPr="00CE778C">
              <w:rPr>
                <w:rFonts w:ascii="Times New Roman" w:hAnsi="Times New Roman" w:cs="Times New Roman"/>
                <w:lang w:eastAsia="en-US"/>
              </w:rPr>
              <w:t>p-værdi</w:t>
            </w:r>
          </w:p>
        </w:tc>
        <w:tc>
          <w:tcPr>
            <w:tcW w:w="1549" w:type="pct"/>
            <w:tcBorders>
              <w:top w:val="single" w:sz="4" w:space="0" w:color="000000"/>
              <w:left w:val="single" w:sz="4" w:space="0" w:color="000000"/>
              <w:bottom w:val="single" w:sz="4" w:space="0" w:color="000000"/>
              <w:right w:val="single" w:sz="4" w:space="0" w:color="000000"/>
            </w:tcBorders>
            <w:hideMark/>
          </w:tcPr>
          <w:p w14:paraId="12C8FF27"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0,0009</w:t>
            </w:r>
          </w:p>
        </w:tc>
        <w:tc>
          <w:tcPr>
            <w:tcW w:w="1492" w:type="pct"/>
            <w:tcBorders>
              <w:top w:val="single" w:sz="4" w:space="0" w:color="000000"/>
              <w:left w:val="single" w:sz="4" w:space="0" w:color="000000"/>
              <w:bottom w:val="single" w:sz="4" w:space="0" w:color="000000"/>
              <w:right w:val="single" w:sz="4" w:space="0" w:color="000000"/>
            </w:tcBorders>
          </w:tcPr>
          <w:p w14:paraId="43F1401A" w14:textId="77777777" w:rsidR="00A75091" w:rsidRPr="00CE778C" w:rsidRDefault="00A75091">
            <w:pPr>
              <w:pStyle w:val="TableParagraph"/>
              <w:ind w:left="57" w:right="57"/>
              <w:rPr>
                <w:rFonts w:ascii="Times New Roman" w:hAnsi="Times New Roman" w:cs="Times New Roman"/>
                <w:lang w:eastAsia="en-US"/>
              </w:rPr>
            </w:pPr>
          </w:p>
        </w:tc>
      </w:tr>
      <w:tr w:rsidR="00A75091" w:rsidRPr="00CE778C" w14:paraId="601E34F5" w14:textId="77777777" w:rsidTr="00CE778C">
        <w:trPr>
          <w:trHeight w:val="20"/>
        </w:trPr>
        <w:tc>
          <w:tcPr>
            <w:tcW w:w="1959" w:type="pct"/>
            <w:tcBorders>
              <w:top w:val="single" w:sz="4" w:space="0" w:color="000000"/>
              <w:left w:val="single" w:sz="4" w:space="0" w:color="000000"/>
              <w:bottom w:val="single" w:sz="4" w:space="0" w:color="000000"/>
              <w:right w:val="single" w:sz="4" w:space="0" w:color="000000"/>
            </w:tcBorders>
            <w:shd w:val="clear" w:color="auto" w:fill="DADADA"/>
            <w:hideMark/>
          </w:tcPr>
          <w:p w14:paraId="21D35DF4" w14:textId="77777777" w:rsidR="00A75091" w:rsidRPr="00CE778C" w:rsidRDefault="00A75091">
            <w:pPr>
              <w:pStyle w:val="TableParagraph"/>
              <w:ind w:left="567" w:right="57"/>
              <w:rPr>
                <w:rFonts w:ascii="Times New Roman" w:hAnsi="Times New Roman" w:cs="Times New Roman"/>
                <w:lang w:eastAsia="en-US"/>
              </w:rPr>
            </w:pPr>
            <w:r w:rsidRPr="00CE778C">
              <w:rPr>
                <w:rFonts w:ascii="Times New Roman" w:hAnsi="Times New Roman" w:cs="Times New Roman"/>
                <w:lang w:eastAsia="en-US"/>
              </w:rPr>
              <w:t>ICH</w:t>
            </w:r>
            <w:r w:rsidRPr="00CE778C">
              <w:rPr>
                <w:rFonts w:ascii="Times New Roman" w:hAnsi="Times New Roman" w:cs="Times New Roman"/>
                <w:position w:val="8"/>
                <w:lang w:eastAsia="en-US"/>
              </w:rPr>
              <w:t>b</w:t>
            </w:r>
          </w:p>
        </w:tc>
        <w:tc>
          <w:tcPr>
            <w:tcW w:w="1549" w:type="pct"/>
            <w:tcBorders>
              <w:top w:val="single" w:sz="4" w:space="0" w:color="000000"/>
              <w:left w:val="single" w:sz="4" w:space="0" w:color="000000"/>
              <w:bottom w:val="single" w:sz="4" w:space="0" w:color="000000"/>
              <w:right w:val="single" w:sz="4" w:space="0" w:color="000000"/>
            </w:tcBorders>
            <w:shd w:val="clear" w:color="auto" w:fill="DADADA"/>
          </w:tcPr>
          <w:p w14:paraId="44C80C11" w14:textId="77777777" w:rsidR="00A75091" w:rsidRPr="00CE778C" w:rsidRDefault="00A75091">
            <w:pPr>
              <w:pStyle w:val="TableParagraph"/>
              <w:ind w:left="57" w:right="57"/>
              <w:rPr>
                <w:rFonts w:ascii="Times New Roman" w:hAnsi="Times New Roman" w:cs="Times New Roman"/>
                <w:lang w:eastAsia="en-US"/>
              </w:rPr>
            </w:pPr>
          </w:p>
        </w:tc>
        <w:tc>
          <w:tcPr>
            <w:tcW w:w="1492" w:type="pct"/>
            <w:tcBorders>
              <w:top w:val="single" w:sz="4" w:space="0" w:color="000000"/>
              <w:left w:val="single" w:sz="4" w:space="0" w:color="000000"/>
              <w:bottom w:val="single" w:sz="4" w:space="0" w:color="000000"/>
              <w:right w:val="single" w:sz="4" w:space="0" w:color="000000"/>
            </w:tcBorders>
            <w:shd w:val="clear" w:color="auto" w:fill="DADADA"/>
          </w:tcPr>
          <w:p w14:paraId="4983CB61" w14:textId="77777777" w:rsidR="00A75091" w:rsidRPr="00CE778C" w:rsidRDefault="00A75091">
            <w:pPr>
              <w:pStyle w:val="TableParagraph"/>
              <w:ind w:left="57" w:right="57"/>
              <w:rPr>
                <w:rFonts w:ascii="Times New Roman" w:hAnsi="Times New Roman" w:cs="Times New Roman"/>
                <w:lang w:eastAsia="en-US"/>
              </w:rPr>
            </w:pPr>
          </w:p>
        </w:tc>
      </w:tr>
      <w:tr w:rsidR="00A75091" w:rsidRPr="00CE778C" w14:paraId="6B784517" w14:textId="77777777" w:rsidTr="00CE778C">
        <w:trPr>
          <w:trHeight w:val="20"/>
        </w:trPr>
        <w:tc>
          <w:tcPr>
            <w:tcW w:w="1959" w:type="pct"/>
            <w:tcBorders>
              <w:top w:val="single" w:sz="4" w:space="0" w:color="000000"/>
              <w:left w:val="single" w:sz="4" w:space="0" w:color="000000"/>
              <w:bottom w:val="single" w:sz="4" w:space="0" w:color="000000"/>
              <w:right w:val="single" w:sz="4" w:space="0" w:color="000000"/>
            </w:tcBorders>
            <w:hideMark/>
          </w:tcPr>
          <w:p w14:paraId="01E28A5A" w14:textId="77777777" w:rsidR="00A75091" w:rsidRPr="00CE778C" w:rsidRDefault="00A75091">
            <w:pPr>
              <w:pStyle w:val="TableParagraph"/>
              <w:ind w:left="567" w:right="57"/>
              <w:rPr>
                <w:rFonts w:ascii="Times New Roman" w:hAnsi="Times New Roman" w:cs="Times New Roman"/>
                <w:lang w:eastAsia="en-US"/>
              </w:rPr>
            </w:pPr>
            <w:r w:rsidRPr="00CE778C">
              <w:rPr>
                <w:rFonts w:ascii="Times New Roman" w:hAnsi="Times New Roman" w:cs="Times New Roman"/>
                <w:lang w:eastAsia="en-US"/>
              </w:rPr>
              <w:t>n</w:t>
            </w:r>
          </w:p>
        </w:tc>
        <w:tc>
          <w:tcPr>
            <w:tcW w:w="1549" w:type="pct"/>
            <w:tcBorders>
              <w:top w:val="single" w:sz="4" w:space="0" w:color="000000"/>
              <w:left w:val="single" w:sz="4" w:space="0" w:color="000000"/>
              <w:bottom w:val="single" w:sz="4" w:space="0" w:color="000000"/>
              <w:right w:val="single" w:sz="4" w:space="0" w:color="000000"/>
            </w:tcBorders>
            <w:hideMark/>
          </w:tcPr>
          <w:p w14:paraId="6AE24F06"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61</w:t>
            </w:r>
          </w:p>
        </w:tc>
        <w:tc>
          <w:tcPr>
            <w:tcW w:w="1492" w:type="pct"/>
            <w:tcBorders>
              <w:top w:val="single" w:sz="4" w:space="0" w:color="000000"/>
              <w:left w:val="single" w:sz="4" w:space="0" w:color="000000"/>
              <w:bottom w:val="single" w:sz="4" w:space="0" w:color="000000"/>
              <w:right w:val="single" w:sz="4" w:space="0" w:color="000000"/>
            </w:tcBorders>
            <w:hideMark/>
          </w:tcPr>
          <w:p w14:paraId="06FE7918"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132</w:t>
            </w:r>
          </w:p>
        </w:tc>
      </w:tr>
      <w:tr w:rsidR="00A75091" w:rsidRPr="00CE778C" w14:paraId="6438195B" w14:textId="77777777" w:rsidTr="00CE778C">
        <w:trPr>
          <w:trHeight w:val="20"/>
        </w:trPr>
        <w:tc>
          <w:tcPr>
            <w:tcW w:w="1959" w:type="pct"/>
            <w:tcBorders>
              <w:top w:val="single" w:sz="4" w:space="0" w:color="000000"/>
              <w:left w:val="single" w:sz="4" w:space="0" w:color="000000"/>
              <w:bottom w:val="single" w:sz="4" w:space="0" w:color="000000"/>
              <w:right w:val="single" w:sz="4" w:space="0" w:color="000000"/>
            </w:tcBorders>
            <w:hideMark/>
          </w:tcPr>
          <w:p w14:paraId="7FFF661B" w14:textId="77777777" w:rsidR="00A75091" w:rsidRPr="00CE778C" w:rsidRDefault="00A75091">
            <w:pPr>
              <w:pStyle w:val="TableParagraph"/>
              <w:ind w:left="567" w:right="57"/>
              <w:rPr>
                <w:rFonts w:ascii="Times New Roman" w:hAnsi="Times New Roman" w:cs="Times New Roman"/>
                <w:lang w:eastAsia="en-US"/>
              </w:rPr>
            </w:pPr>
            <w:r w:rsidRPr="00CE778C">
              <w:rPr>
                <w:rFonts w:ascii="Times New Roman" w:hAnsi="Times New Roman" w:cs="Times New Roman"/>
                <w:lang w:eastAsia="en-US"/>
              </w:rPr>
              <w:t>Hændelsesrate (%/</w:t>
            </w:r>
            <w:proofErr w:type="gramStart"/>
            <w:r w:rsidRPr="00CE778C">
              <w:rPr>
                <w:rFonts w:ascii="Times New Roman" w:hAnsi="Times New Roman" w:cs="Times New Roman"/>
                <w:lang w:eastAsia="en-US"/>
              </w:rPr>
              <w:t>år)</w:t>
            </w:r>
            <w:r w:rsidRPr="00CE778C">
              <w:rPr>
                <w:rFonts w:ascii="Times New Roman" w:hAnsi="Times New Roman" w:cs="Times New Roman"/>
                <w:vertAlign w:val="superscript"/>
                <w:lang w:eastAsia="en-US"/>
              </w:rPr>
              <w:t>a</w:t>
            </w:r>
            <w:proofErr w:type="gramEnd"/>
          </w:p>
        </w:tc>
        <w:tc>
          <w:tcPr>
            <w:tcW w:w="1549" w:type="pct"/>
            <w:tcBorders>
              <w:top w:val="single" w:sz="4" w:space="0" w:color="000000"/>
              <w:left w:val="single" w:sz="4" w:space="0" w:color="000000"/>
              <w:bottom w:val="single" w:sz="4" w:space="0" w:color="000000"/>
              <w:right w:val="single" w:sz="4" w:space="0" w:color="000000"/>
            </w:tcBorders>
            <w:hideMark/>
          </w:tcPr>
          <w:p w14:paraId="03FD299A"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0,39</w:t>
            </w:r>
          </w:p>
        </w:tc>
        <w:tc>
          <w:tcPr>
            <w:tcW w:w="1492" w:type="pct"/>
            <w:tcBorders>
              <w:top w:val="single" w:sz="4" w:space="0" w:color="000000"/>
              <w:left w:val="single" w:sz="4" w:space="0" w:color="000000"/>
              <w:bottom w:val="single" w:sz="4" w:space="0" w:color="000000"/>
              <w:right w:val="single" w:sz="4" w:space="0" w:color="000000"/>
            </w:tcBorders>
            <w:hideMark/>
          </w:tcPr>
          <w:p w14:paraId="22319BF0"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0,85</w:t>
            </w:r>
          </w:p>
        </w:tc>
      </w:tr>
      <w:tr w:rsidR="00A75091" w:rsidRPr="00CE778C" w14:paraId="657E6592" w14:textId="77777777" w:rsidTr="00CE778C">
        <w:trPr>
          <w:trHeight w:val="20"/>
        </w:trPr>
        <w:tc>
          <w:tcPr>
            <w:tcW w:w="1959" w:type="pct"/>
            <w:tcBorders>
              <w:top w:val="single" w:sz="4" w:space="0" w:color="000000"/>
              <w:left w:val="single" w:sz="4" w:space="0" w:color="000000"/>
              <w:bottom w:val="single" w:sz="4" w:space="0" w:color="000000"/>
              <w:right w:val="single" w:sz="4" w:space="0" w:color="000000"/>
            </w:tcBorders>
            <w:hideMark/>
          </w:tcPr>
          <w:p w14:paraId="5731A9B9" w14:textId="77777777" w:rsidR="00A75091" w:rsidRPr="00CE778C" w:rsidRDefault="00A75091">
            <w:pPr>
              <w:pStyle w:val="TableParagraph"/>
              <w:ind w:left="567" w:right="57"/>
              <w:rPr>
                <w:rFonts w:ascii="Times New Roman" w:hAnsi="Times New Roman" w:cs="Times New Roman"/>
                <w:lang w:eastAsia="en-US"/>
              </w:rPr>
            </w:pPr>
            <w:r w:rsidRPr="00CE778C">
              <w:rPr>
                <w:rFonts w:ascii="Times New Roman" w:hAnsi="Times New Roman" w:cs="Times New Roman"/>
                <w:lang w:eastAsia="en-US"/>
              </w:rPr>
              <w:t>HR (95% CI)</w:t>
            </w:r>
          </w:p>
        </w:tc>
        <w:tc>
          <w:tcPr>
            <w:tcW w:w="1549" w:type="pct"/>
            <w:tcBorders>
              <w:top w:val="single" w:sz="4" w:space="0" w:color="000000"/>
              <w:left w:val="single" w:sz="4" w:space="0" w:color="000000"/>
              <w:bottom w:val="single" w:sz="4" w:space="0" w:color="000000"/>
              <w:right w:val="single" w:sz="4" w:space="0" w:color="000000"/>
            </w:tcBorders>
            <w:hideMark/>
          </w:tcPr>
          <w:p w14:paraId="27490D1A"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0,47 (0,34; 0,63)</w:t>
            </w:r>
          </w:p>
        </w:tc>
        <w:tc>
          <w:tcPr>
            <w:tcW w:w="1492" w:type="pct"/>
            <w:tcBorders>
              <w:top w:val="single" w:sz="4" w:space="0" w:color="000000"/>
              <w:left w:val="single" w:sz="4" w:space="0" w:color="000000"/>
              <w:bottom w:val="single" w:sz="4" w:space="0" w:color="000000"/>
              <w:right w:val="single" w:sz="4" w:space="0" w:color="000000"/>
            </w:tcBorders>
          </w:tcPr>
          <w:p w14:paraId="388871B1" w14:textId="77777777" w:rsidR="00A75091" w:rsidRPr="00CE778C" w:rsidRDefault="00A75091">
            <w:pPr>
              <w:pStyle w:val="TableParagraph"/>
              <w:ind w:left="57" w:right="57"/>
              <w:rPr>
                <w:rFonts w:ascii="Times New Roman" w:hAnsi="Times New Roman" w:cs="Times New Roman"/>
                <w:lang w:eastAsia="en-US"/>
              </w:rPr>
            </w:pPr>
          </w:p>
        </w:tc>
      </w:tr>
      <w:tr w:rsidR="00A75091" w:rsidRPr="00CE778C" w14:paraId="537FECE5" w14:textId="77777777" w:rsidTr="00CE778C">
        <w:trPr>
          <w:trHeight w:val="20"/>
        </w:trPr>
        <w:tc>
          <w:tcPr>
            <w:tcW w:w="1959" w:type="pct"/>
            <w:tcBorders>
              <w:top w:val="single" w:sz="4" w:space="0" w:color="000000"/>
              <w:left w:val="single" w:sz="4" w:space="0" w:color="000000"/>
              <w:bottom w:val="single" w:sz="4" w:space="0" w:color="000000"/>
              <w:right w:val="single" w:sz="4" w:space="0" w:color="000000"/>
            </w:tcBorders>
            <w:shd w:val="clear" w:color="auto" w:fill="DADADA"/>
            <w:hideMark/>
          </w:tcPr>
          <w:p w14:paraId="3D0B7CD0" w14:textId="77777777" w:rsidR="00A75091" w:rsidRPr="00CE778C" w:rsidRDefault="00A75091">
            <w:pPr>
              <w:pStyle w:val="TableParagraph"/>
              <w:ind w:left="57" w:right="57"/>
              <w:rPr>
                <w:rFonts w:ascii="Times New Roman" w:hAnsi="Times New Roman" w:cs="Times New Roman"/>
                <w:b/>
                <w:lang w:eastAsia="en-US"/>
              </w:rPr>
            </w:pPr>
            <w:r w:rsidRPr="00CE778C">
              <w:rPr>
                <w:rFonts w:ascii="Times New Roman" w:hAnsi="Times New Roman" w:cs="Times New Roman"/>
                <w:b/>
                <w:lang w:eastAsia="en-US"/>
              </w:rPr>
              <w:t xml:space="preserve">Fatal </w:t>
            </w:r>
            <w:r w:rsidRPr="00CE778C">
              <w:rPr>
                <w:rFonts w:ascii="Times New Roman" w:hAnsi="Times New Roman" w:cs="Times New Roman"/>
                <w:b/>
                <w:bCs/>
                <w:lang w:eastAsia="en-US"/>
              </w:rPr>
              <w:t>blødning</w:t>
            </w:r>
          </w:p>
        </w:tc>
        <w:tc>
          <w:tcPr>
            <w:tcW w:w="1549" w:type="pct"/>
            <w:tcBorders>
              <w:top w:val="single" w:sz="4" w:space="0" w:color="000000"/>
              <w:left w:val="single" w:sz="4" w:space="0" w:color="000000"/>
              <w:bottom w:val="single" w:sz="4" w:space="0" w:color="000000"/>
              <w:right w:val="single" w:sz="4" w:space="0" w:color="000000"/>
            </w:tcBorders>
            <w:shd w:val="clear" w:color="auto" w:fill="DADADA"/>
          </w:tcPr>
          <w:p w14:paraId="7CC00B2E" w14:textId="77777777" w:rsidR="00A75091" w:rsidRPr="00CE778C" w:rsidRDefault="00A75091">
            <w:pPr>
              <w:pStyle w:val="TableParagraph"/>
              <w:ind w:left="57" w:right="57"/>
              <w:rPr>
                <w:rFonts w:ascii="Times New Roman" w:hAnsi="Times New Roman" w:cs="Times New Roman"/>
                <w:lang w:eastAsia="en-US"/>
              </w:rPr>
            </w:pPr>
          </w:p>
        </w:tc>
        <w:tc>
          <w:tcPr>
            <w:tcW w:w="1492" w:type="pct"/>
            <w:tcBorders>
              <w:top w:val="single" w:sz="4" w:space="0" w:color="000000"/>
              <w:left w:val="single" w:sz="4" w:space="0" w:color="000000"/>
              <w:bottom w:val="single" w:sz="4" w:space="0" w:color="000000"/>
              <w:right w:val="single" w:sz="4" w:space="0" w:color="000000"/>
            </w:tcBorders>
            <w:shd w:val="clear" w:color="auto" w:fill="DADADA"/>
          </w:tcPr>
          <w:p w14:paraId="6E79D8D2" w14:textId="77777777" w:rsidR="00A75091" w:rsidRPr="00CE778C" w:rsidRDefault="00A75091">
            <w:pPr>
              <w:pStyle w:val="TableParagraph"/>
              <w:ind w:left="57" w:right="57"/>
              <w:rPr>
                <w:rFonts w:ascii="Times New Roman" w:hAnsi="Times New Roman" w:cs="Times New Roman"/>
                <w:lang w:eastAsia="en-US"/>
              </w:rPr>
            </w:pPr>
          </w:p>
        </w:tc>
      </w:tr>
      <w:tr w:rsidR="00A75091" w:rsidRPr="00CE778C" w14:paraId="297405CD" w14:textId="77777777" w:rsidTr="00CE778C">
        <w:trPr>
          <w:trHeight w:val="20"/>
        </w:trPr>
        <w:tc>
          <w:tcPr>
            <w:tcW w:w="1959" w:type="pct"/>
            <w:tcBorders>
              <w:top w:val="single" w:sz="4" w:space="0" w:color="000000"/>
              <w:left w:val="single" w:sz="4" w:space="0" w:color="000000"/>
              <w:bottom w:val="single" w:sz="4" w:space="0" w:color="000000"/>
              <w:right w:val="single" w:sz="4" w:space="0" w:color="000000"/>
            </w:tcBorders>
            <w:hideMark/>
          </w:tcPr>
          <w:p w14:paraId="6DAFE9BA" w14:textId="77777777" w:rsidR="00A75091" w:rsidRPr="00CE778C" w:rsidRDefault="00A75091">
            <w:pPr>
              <w:pStyle w:val="TableParagraph"/>
              <w:ind w:left="57" w:right="57"/>
              <w:rPr>
                <w:rFonts w:ascii="Times New Roman" w:hAnsi="Times New Roman" w:cs="Times New Roman"/>
                <w:lang w:eastAsia="en-US"/>
              </w:rPr>
            </w:pPr>
            <w:r w:rsidRPr="00CE778C">
              <w:rPr>
                <w:rFonts w:ascii="Times New Roman" w:hAnsi="Times New Roman" w:cs="Times New Roman"/>
                <w:lang w:eastAsia="en-US"/>
              </w:rPr>
              <w:t>n</w:t>
            </w:r>
          </w:p>
        </w:tc>
        <w:tc>
          <w:tcPr>
            <w:tcW w:w="1549" w:type="pct"/>
            <w:tcBorders>
              <w:top w:val="single" w:sz="4" w:space="0" w:color="000000"/>
              <w:left w:val="single" w:sz="4" w:space="0" w:color="000000"/>
              <w:bottom w:val="single" w:sz="4" w:space="0" w:color="000000"/>
              <w:right w:val="single" w:sz="4" w:space="0" w:color="000000"/>
            </w:tcBorders>
            <w:hideMark/>
          </w:tcPr>
          <w:p w14:paraId="10A66AED"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32</w:t>
            </w:r>
          </w:p>
        </w:tc>
        <w:tc>
          <w:tcPr>
            <w:tcW w:w="1492" w:type="pct"/>
            <w:tcBorders>
              <w:top w:val="single" w:sz="4" w:space="0" w:color="000000"/>
              <w:left w:val="single" w:sz="4" w:space="0" w:color="000000"/>
              <w:bottom w:val="single" w:sz="4" w:space="0" w:color="000000"/>
              <w:right w:val="single" w:sz="4" w:space="0" w:color="000000"/>
            </w:tcBorders>
            <w:hideMark/>
          </w:tcPr>
          <w:p w14:paraId="5B60BE5E"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59</w:t>
            </w:r>
          </w:p>
        </w:tc>
      </w:tr>
      <w:tr w:rsidR="00A75091" w:rsidRPr="00CE778C" w14:paraId="0CAA701C" w14:textId="77777777" w:rsidTr="00CE778C">
        <w:trPr>
          <w:trHeight w:val="20"/>
        </w:trPr>
        <w:tc>
          <w:tcPr>
            <w:tcW w:w="1959" w:type="pct"/>
            <w:tcBorders>
              <w:top w:val="single" w:sz="4" w:space="0" w:color="000000"/>
              <w:left w:val="single" w:sz="4" w:space="0" w:color="000000"/>
              <w:bottom w:val="single" w:sz="4" w:space="0" w:color="000000"/>
              <w:right w:val="single" w:sz="4" w:space="0" w:color="000000"/>
            </w:tcBorders>
            <w:hideMark/>
          </w:tcPr>
          <w:p w14:paraId="630F414B" w14:textId="77777777" w:rsidR="00A75091" w:rsidRPr="00CE778C" w:rsidRDefault="00A75091">
            <w:pPr>
              <w:pStyle w:val="TableParagraph"/>
              <w:ind w:left="57" w:right="57"/>
              <w:rPr>
                <w:rFonts w:ascii="Times New Roman" w:hAnsi="Times New Roman" w:cs="Times New Roman"/>
                <w:lang w:eastAsia="en-US"/>
              </w:rPr>
            </w:pPr>
            <w:r w:rsidRPr="00CE778C">
              <w:rPr>
                <w:rFonts w:ascii="Times New Roman" w:hAnsi="Times New Roman" w:cs="Times New Roman"/>
                <w:lang w:eastAsia="en-US"/>
              </w:rPr>
              <w:t>Hændelsesrate (%/</w:t>
            </w:r>
            <w:proofErr w:type="gramStart"/>
            <w:r w:rsidRPr="00CE778C">
              <w:rPr>
                <w:rFonts w:ascii="Times New Roman" w:hAnsi="Times New Roman" w:cs="Times New Roman"/>
                <w:lang w:eastAsia="en-US"/>
              </w:rPr>
              <w:t>år)</w:t>
            </w:r>
            <w:r w:rsidRPr="00CE778C">
              <w:rPr>
                <w:rFonts w:ascii="Times New Roman" w:hAnsi="Times New Roman" w:cs="Times New Roman"/>
                <w:vertAlign w:val="superscript"/>
                <w:lang w:eastAsia="en-US"/>
              </w:rPr>
              <w:t>a</w:t>
            </w:r>
            <w:proofErr w:type="gramEnd"/>
          </w:p>
        </w:tc>
        <w:tc>
          <w:tcPr>
            <w:tcW w:w="1549" w:type="pct"/>
            <w:tcBorders>
              <w:top w:val="single" w:sz="4" w:space="0" w:color="000000"/>
              <w:left w:val="single" w:sz="4" w:space="0" w:color="000000"/>
              <w:bottom w:val="single" w:sz="4" w:space="0" w:color="000000"/>
              <w:right w:val="single" w:sz="4" w:space="0" w:color="000000"/>
            </w:tcBorders>
            <w:hideMark/>
          </w:tcPr>
          <w:p w14:paraId="5B48C072"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0,21</w:t>
            </w:r>
          </w:p>
        </w:tc>
        <w:tc>
          <w:tcPr>
            <w:tcW w:w="1492" w:type="pct"/>
            <w:tcBorders>
              <w:top w:val="single" w:sz="4" w:space="0" w:color="000000"/>
              <w:left w:val="single" w:sz="4" w:space="0" w:color="000000"/>
              <w:bottom w:val="single" w:sz="4" w:space="0" w:color="000000"/>
              <w:right w:val="single" w:sz="4" w:space="0" w:color="000000"/>
            </w:tcBorders>
            <w:hideMark/>
          </w:tcPr>
          <w:p w14:paraId="110BCC54"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0,38</w:t>
            </w:r>
          </w:p>
        </w:tc>
      </w:tr>
      <w:tr w:rsidR="00A75091" w:rsidRPr="00CE778C" w14:paraId="140C6359" w14:textId="77777777" w:rsidTr="00CE778C">
        <w:trPr>
          <w:trHeight w:val="20"/>
        </w:trPr>
        <w:tc>
          <w:tcPr>
            <w:tcW w:w="1959" w:type="pct"/>
            <w:tcBorders>
              <w:top w:val="single" w:sz="4" w:space="0" w:color="000000"/>
              <w:left w:val="single" w:sz="4" w:space="0" w:color="000000"/>
              <w:bottom w:val="single" w:sz="4" w:space="0" w:color="000000"/>
              <w:right w:val="single" w:sz="4" w:space="0" w:color="000000"/>
            </w:tcBorders>
            <w:hideMark/>
          </w:tcPr>
          <w:p w14:paraId="019BA17E" w14:textId="77777777" w:rsidR="00A75091" w:rsidRPr="00CE778C" w:rsidRDefault="00A75091">
            <w:pPr>
              <w:pStyle w:val="TableParagraph"/>
              <w:ind w:left="57" w:right="57"/>
              <w:rPr>
                <w:rFonts w:ascii="Times New Roman" w:hAnsi="Times New Roman" w:cs="Times New Roman"/>
                <w:lang w:eastAsia="en-US"/>
              </w:rPr>
            </w:pPr>
            <w:r w:rsidRPr="00CE778C">
              <w:rPr>
                <w:rFonts w:ascii="Times New Roman" w:hAnsi="Times New Roman" w:cs="Times New Roman"/>
                <w:lang w:eastAsia="en-US"/>
              </w:rPr>
              <w:t>HR (95% CI)</w:t>
            </w:r>
          </w:p>
        </w:tc>
        <w:tc>
          <w:tcPr>
            <w:tcW w:w="1549" w:type="pct"/>
            <w:tcBorders>
              <w:top w:val="single" w:sz="4" w:space="0" w:color="000000"/>
              <w:left w:val="single" w:sz="4" w:space="0" w:color="000000"/>
              <w:bottom w:val="single" w:sz="4" w:space="0" w:color="000000"/>
              <w:right w:val="single" w:sz="4" w:space="0" w:color="000000"/>
            </w:tcBorders>
            <w:hideMark/>
          </w:tcPr>
          <w:p w14:paraId="4A8EFE8B"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0,55 (0,36; 0,84)</w:t>
            </w:r>
          </w:p>
        </w:tc>
        <w:tc>
          <w:tcPr>
            <w:tcW w:w="1492" w:type="pct"/>
            <w:tcBorders>
              <w:top w:val="single" w:sz="4" w:space="0" w:color="000000"/>
              <w:left w:val="single" w:sz="4" w:space="0" w:color="000000"/>
              <w:bottom w:val="single" w:sz="4" w:space="0" w:color="000000"/>
              <w:right w:val="single" w:sz="4" w:space="0" w:color="000000"/>
            </w:tcBorders>
          </w:tcPr>
          <w:p w14:paraId="6AC7F4EF" w14:textId="77777777" w:rsidR="00A75091" w:rsidRPr="00CE778C" w:rsidRDefault="00A75091">
            <w:pPr>
              <w:pStyle w:val="TableParagraph"/>
              <w:ind w:left="57" w:right="57"/>
              <w:rPr>
                <w:rFonts w:ascii="Times New Roman" w:hAnsi="Times New Roman" w:cs="Times New Roman"/>
                <w:lang w:eastAsia="en-US"/>
              </w:rPr>
            </w:pPr>
          </w:p>
        </w:tc>
      </w:tr>
      <w:tr w:rsidR="00A75091" w:rsidRPr="00CE778C" w14:paraId="34FB6F89" w14:textId="77777777" w:rsidTr="00CE778C">
        <w:trPr>
          <w:trHeight w:val="20"/>
        </w:trPr>
        <w:tc>
          <w:tcPr>
            <w:tcW w:w="1959" w:type="pct"/>
            <w:tcBorders>
              <w:top w:val="single" w:sz="4" w:space="0" w:color="000000"/>
              <w:left w:val="single" w:sz="4" w:space="0" w:color="000000"/>
              <w:bottom w:val="single" w:sz="4" w:space="0" w:color="000000"/>
              <w:right w:val="single" w:sz="4" w:space="0" w:color="000000"/>
            </w:tcBorders>
            <w:shd w:val="clear" w:color="auto" w:fill="DADADA"/>
            <w:hideMark/>
          </w:tcPr>
          <w:p w14:paraId="3A4BFDD0" w14:textId="77777777" w:rsidR="00A75091" w:rsidRPr="00CE778C" w:rsidRDefault="00A75091">
            <w:pPr>
              <w:pStyle w:val="TableParagraph"/>
              <w:ind w:left="57" w:right="57"/>
              <w:rPr>
                <w:rFonts w:ascii="Times New Roman" w:hAnsi="Times New Roman" w:cs="Times New Roman"/>
                <w:b/>
                <w:lang w:eastAsia="en-US"/>
              </w:rPr>
            </w:pPr>
            <w:r w:rsidRPr="00CE778C">
              <w:rPr>
                <w:rFonts w:ascii="Times New Roman" w:hAnsi="Times New Roman" w:cs="Times New Roman"/>
                <w:b/>
                <w:lang w:eastAsia="en-US"/>
              </w:rPr>
              <w:t>CRNM-blødning</w:t>
            </w:r>
          </w:p>
        </w:tc>
        <w:tc>
          <w:tcPr>
            <w:tcW w:w="1549" w:type="pct"/>
            <w:tcBorders>
              <w:top w:val="single" w:sz="4" w:space="0" w:color="000000"/>
              <w:left w:val="single" w:sz="4" w:space="0" w:color="000000"/>
              <w:bottom w:val="single" w:sz="4" w:space="0" w:color="000000"/>
              <w:right w:val="single" w:sz="4" w:space="0" w:color="000000"/>
            </w:tcBorders>
            <w:shd w:val="clear" w:color="auto" w:fill="DADADA"/>
          </w:tcPr>
          <w:p w14:paraId="1054DC0C" w14:textId="77777777" w:rsidR="00A75091" w:rsidRPr="00CE778C" w:rsidRDefault="00A75091">
            <w:pPr>
              <w:pStyle w:val="TableParagraph"/>
              <w:ind w:left="57" w:right="57"/>
              <w:rPr>
                <w:rFonts w:ascii="Times New Roman" w:hAnsi="Times New Roman" w:cs="Times New Roman"/>
                <w:lang w:eastAsia="en-US"/>
              </w:rPr>
            </w:pPr>
          </w:p>
        </w:tc>
        <w:tc>
          <w:tcPr>
            <w:tcW w:w="1492" w:type="pct"/>
            <w:tcBorders>
              <w:top w:val="single" w:sz="4" w:space="0" w:color="000000"/>
              <w:left w:val="single" w:sz="4" w:space="0" w:color="000000"/>
              <w:bottom w:val="single" w:sz="4" w:space="0" w:color="000000"/>
              <w:right w:val="single" w:sz="4" w:space="0" w:color="000000"/>
            </w:tcBorders>
            <w:shd w:val="clear" w:color="auto" w:fill="DADADA"/>
          </w:tcPr>
          <w:p w14:paraId="228A76C7" w14:textId="77777777" w:rsidR="00A75091" w:rsidRPr="00CE778C" w:rsidRDefault="00A75091">
            <w:pPr>
              <w:pStyle w:val="TableParagraph"/>
              <w:ind w:left="57" w:right="57"/>
              <w:rPr>
                <w:rFonts w:ascii="Times New Roman" w:hAnsi="Times New Roman" w:cs="Times New Roman"/>
                <w:lang w:eastAsia="en-US"/>
              </w:rPr>
            </w:pPr>
          </w:p>
        </w:tc>
      </w:tr>
      <w:tr w:rsidR="00A75091" w:rsidRPr="00CE778C" w14:paraId="6A791A89" w14:textId="77777777" w:rsidTr="00CE778C">
        <w:trPr>
          <w:trHeight w:val="20"/>
        </w:trPr>
        <w:tc>
          <w:tcPr>
            <w:tcW w:w="1959" w:type="pct"/>
            <w:tcBorders>
              <w:top w:val="single" w:sz="4" w:space="0" w:color="000000"/>
              <w:left w:val="single" w:sz="4" w:space="0" w:color="000000"/>
              <w:bottom w:val="single" w:sz="4" w:space="0" w:color="000000"/>
              <w:right w:val="single" w:sz="4" w:space="0" w:color="000000"/>
            </w:tcBorders>
            <w:hideMark/>
          </w:tcPr>
          <w:p w14:paraId="2CF299F0" w14:textId="77777777" w:rsidR="00A75091" w:rsidRPr="00CE778C" w:rsidRDefault="00A75091">
            <w:pPr>
              <w:pStyle w:val="TableParagraph"/>
              <w:ind w:left="57" w:right="57"/>
              <w:rPr>
                <w:rFonts w:ascii="Times New Roman" w:hAnsi="Times New Roman" w:cs="Times New Roman"/>
                <w:lang w:eastAsia="en-US"/>
              </w:rPr>
            </w:pPr>
            <w:r w:rsidRPr="00CE778C">
              <w:rPr>
                <w:rFonts w:ascii="Times New Roman" w:hAnsi="Times New Roman" w:cs="Times New Roman"/>
                <w:lang w:eastAsia="en-US"/>
              </w:rPr>
              <w:t>n</w:t>
            </w:r>
          </w:p>
        </w:tc>
        <w:tc>
          <w:tcPr>
            <w:tcW w:w="1549" w:type="pct"/>
            <w:tcBorders>
              <w:top w:val="single" w:sz="4" w:space="0" w:color="000000"/>
              <w:left w:val="single" w:sz="4" w:space="0" w:color="000000"/>
              <w:bottom w:val="single" w:sz="4" w:space="0" w:color="000000"/>
              <w:right w:val="single" w:sz="4" w:space="0" w:color="000000"/>
            </w:tcBorders>
            <w:hideMark/>
          </w:tcPr>
          <w:p w14:paraId="72084462"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1214</w:t>
            </w:r>
          </w:p>
        </w:tc>
        <w:tc>
          <w:tcPr>
            <w:tcW w:w="1492" w:type="pct"/>
            <w:tcBorders>
              <w:top w:val="single" w:sz="4" w:space="0" w:color="000000"/>
              <w:left w:val="single" w:sz="4" w:space="0" w:color="000000"/>
              <w:bottom w:val="single" w:sz="4" w:space="0" w:color="000000"/>
              <w:right w:val="single" w:sz="4" w:space="0" w:color="000000"/>
            </w:tcBorders>
            <w:hideMark/>
          </w:tcPr>
          <w:p w14:paraId="42344648"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1396</w:t>
            </w:r>
          </w:p>
        </w:tc>
      </w:tr>
      <w:tr w:rsidR="00A75091" w:rsidRPr="00CE778C" w14:paraId="5E6980F2" w14:textId="77777777" w:rsidTr="00CE778C">
        <w:trPr>
          <w:trHeight w:val="20"/>
        </w:trPr>
        <w:tc>
          <w:tcPr>
            <w:tcW w:w="1959" w:type="pct"/>
            <w:tcBorders>
              <w:top w:val="single" w:sz="4" w:space="0" w:color="000000"/>
              <w:left w:val="single" w:sz="4" w:space="0" w:color="000000"/>
              <w:bottom w:val="single" w:sz="4" w:space="0" w:color="000000"/>
              <w:right w:val="single" w:sz="4" w:space="0" w:color="000000"/>
            </w:tcBorders>
            <w:hideMark/>
          </w:tcPr>
          <w:p w14:paraId="42FBE691" w14:textId="77777777" w:rsidR="00A75091" w:rsidRPr="00CE778C" w:rsidRDefault="00A75091">
            <w:pPr>
              <w:pStyle w:val="TableParagraph"/>
              <w:ind w:left="57" w:right="57"/>
              <w:rPr>
                <w:rFonts w:ascii="Times New Roman" w:hAnsi="Times New Roman" w:cs="Times New Roman"/>
                <w:lang w:eastAsia="en-US"/>
              </w:rPr>
            </w:pPr>
            <w:r w:rsidRPr="00CE778C">
              <w:rPr>
                <w:rFonts w:ascii="Times New Roman" w:hAnsi="Times New Roman" w:cs="Times New Roman"/>
                <w:lang w:eastAsia="en-US"/>
              </w:rPr>
              <w:t>Hændelsesrate (%/</w:t>
            </w:r>
            <w:proofErr w:type="gramStart"/>
            <w:r w:rsidRPr="00CE778C">
              <w:rPr>
                <w:rFonts w:ascii="Times New Roman" w:hAnsi="Times New Roman" w:cs="Times New Roman"/>
                <w:lang w:eastAsia="en-US"/>
              </w:rPr>
              <w:t>år)</w:t>
            </w:r>
            <w:r w:rsidRPr="00CE778C">
              <w:rPr>
                <w:rFonts w:ascii="Times New Roman" w:hAnsi="Times New Roman" w:cs="Times New Roman"/>
                <w:vertAlign w:val="superscript"/>
                <w:lang w:eastAsia="en-US"/>
              </w:rPr>
              <w:t>a</w:t>
            </w:r>
            <w:proofErr w:type="gramEnd"/>
          </w:p>
        </w:tc>
        <w:tc>
          <w:tcPr>
            <w:tcW w:w="1549" w:type="pct"/>
            <w:tcBorders>
              <w:top w:val="single" w:sz="4" w:space="0" w:color="000000"/>
              <w:left w:val="single" w:sz="4" w:space="0" w:color="000000"/>
              <w:bottom w:val="single" w:sz="4" w:space="0" w:color="000000"/>
              <w:right w:val="single" w:sz="4" w:space="0" w:color="000000"/>
            </w:tcBorders>
            <w:hideMark/>
          </w:tcPr>
          <w:p w14:paraId="54C918A0"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8,67</w:t>
            </w:r>
          </w:p>
        </w:tc>
        <w:tc>
          <w:tcPr>
            <w:tcW w:w="1492" w:type="pct"/>
            <w:tcBorders>
              <w:top w:val="single" w:sz="4" w:space="0" w:color="000000"/>
              <w:left w:val="single" w:sz="4" w:space="0" w:color="000000"/>
              <w:bottom w:val="single" w:sz="4" w:space="0" w:color="000000"/>
              <w:right w:val="single" w:sz="4" w:space="0" w:color="000000"/>
            </w:tcBorders>
            <w:hideMark/>
          </w:tcPr>
          <w:p w14:paraId="41C284B2"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10,15</w:t>
            </w:r>
          </w:p>
        </w:tc>
      </w:tr>
      <w:tr w:rsidR="00A75091" w:rsidRPr="00CE778C" w14:paraId="076392C0" w14:textId="77777777" w:rsidTr="00CE778C">
        <w:trPr>
          <w:trHeight w:val="20"/>
        </w:trPr>
        <w:tc>
          <w:tcPr>
            <w:tcW w:w="1959" w:type="pct"/>
            <w:tcBorders>
              <w:top w:val="single" w:sz="4" w:space="0" w:color="000000"/>
              <w:left w:val="single" w:sz="4" w:space="0" w:color="000000"/>
              <w:bottom w:val="single" w:sz="4" w:space="0" w:color="000000"/>
              <w:right w:val="single" w:sz="4" w:space="0" w:color="000000"/>
            </w:tcBorders>
            <w:hideMark/>
          </w:tcPr>
          <w:p w14:paraId="1084AD6B" w14:textId="77777777" w:rsidR="00A75091" w:rsidRPr="00CE778C" w:rsidRDefault="00A75091">
            <w:pPr>
              <w:pStyle w:val="TableParagraph"/>
              <w:ind w:left="57" w:right="57"/>
              <w:rPr>
                <w:rFonts w:ascii="Times New Roman" w:hAnsi="Times New Roman" w:cs="Times New Roman"/>
                <w:lang w:eastAsia="en-US"/>
              </w:rPr>
            </w:pPr>
            <w:r w:rsidRPr="00CE778C">
              <w:rPr>
                <w:rFonts w:ascii="Times New Roman" w:hAnsi="Times New Roman" w:cs="Times New Roman"/>
                <w:lang w:eastAsia="en-US"/>
              </w:rPr>
              <w:t>HR (95% CI)</w:t>
            </w:r>
          </w:p>
        </w:tc>
        <w:tc>
          <w:tcPr>
            <w:tcW w:w="1549" w:type="pct"/>
            <w:tcBorders>
              <w:top w:val="single" w:sz="4" w:space="0" w:color="000000"/>
              <w:left w:val="single" w:sz="4" w:space="0" w:color="000000"/>
              <w:bottom w:val="single" w:sz="4" w:space="0" w:color="000000"/>
              <w:right w:val="single" w:sz="4" w:space="0" w:color="000000"/>
            </w:tcBorders>
            <w:hideMark/>
          </w:tcPr>
          <w:p w14:paraId="4CFD8BC1"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0,86 (0,80; 0,93)</w:t>
            </w:r>
          </w:p>
        </w:tc>
        <w:tc>
          <w:tcPr>
            <w:tcW w:w="1492" w:type="pct"/>
            <w:tcBorders>
              <w:top w:val="single" w:sz="4" w:space="0" w:color="000000"/>
              <w:left w:val="single" w:sz="4" w:space="0" w:color="000000"/>
              <w:bottom w:val="single" w:sz="4" w:space="0" w:color="000000"/>
              <w:right w:val="single" w:sz="4" w:space="0" w:color="000000"/>
            </w:tcBorders>
          </w:tcPr>
          <w:p w14:paraId="35E7598F" w14:textId="77777777" w:rsidR="00A75091" w:rsidRPr="00CE778C" w:rsidRDefault="00A75091">
            <w:pPr>
              <w:pStyle w:val="TableParagraph"/>
              <w:ind w:left="57" w:right="57"/>
              <w:rPr>
                <w:rFonts w:ascii="Times New Roman" w:hAnsi="Times New Roman" w:cs="Times New Roman"/>
                <w:lang w:eastAsia="en-US"/>
              </w:rPr>
            </w:pPr>
          </w:p>
        </w:tc>
      </w:tr>
      <w:tr w:rsidR="00A75091" w:rsidRPr="00CE778C" w14:paraId="32CBDA2B" w14:textId="77777777" w:rsidTr="00CE778C">
        <w:trPr>
          <w:trHeight w:val="20"/>
        </w:trPr>
        <w:tc>
          <w:tcPr>
            <w:tcW w:w="1959" w:type="pct"/>
            <w:tcBorders>
              <w:top w:val="single" w:sz="4" w:space="0" w:color="000000"/>
              <w:left w:val="single" w:sz="4" w:space="0" w:color="000000"/>
              <w:bottom w:val="single" w:sz="4" w:space="0" w:color="000000"/>
              <w:right w:val="single" w:sz="4" w:space="0" w:color="000000"/>
            </w:tcBorders>
            <w:shd w:val="clear" w:color="auto" w:fill="DADADA"/>
            <w:hideMark/>
          </w:tcPr>
          <w:p w14:paraId="12019463" w14:textId="77777777" w:rsidR="00A75091" w:rsidRPr="00CE778C" w:rsidRDefault="00A75091">
            <w:pPr>
              <w:pStyle w:val="TableParagraph"/>
              <w:ind w:left="57" w:right="57"/>
              <w:rPr>
                <w:rFonts w:ascii="Times New Roman" w:hAnsi="Times New Roman" w:cs="Times New Roman"/>
                <w:b/>
                <w:lang w:eastAsia="en-US"/>
              </w:rPr>
            </w:pPr>
            <w:r w:rsidRPr="00CE778C">
              <w:rPr>
                <w:rFonts w:ascii="Times New Roman" w:hAnsi="Times New Roman" w:cs="Times New Roman"/>
                <w:b/>
                <w:bCs/>
                <w:lang w:eastAsia="en-US"/>
              </w:rPr>
              <w:t>Alle bekræftede blødninger</w:t>
            </w:r>
            <w:r w:rsidRPr="00CE778C">
              <w:rPr>
                <w:rFonts w:ascii="Times New Roman" w:hAnsi="Times New Roman" w:cs="Times New Roman"/>
                <w:b/>
                <w:position w:val="8"/>
                <w:lang w:eastAsia="en-US"/>
              </w:rPr>
              <w:t>c</w:t>
            </w:r>
          </w:p>
        </w:tc>
        <w:tc>
          <w:tcPr>
            <w:tcW w:w="1549" w:type="pct"/>
            <w:tcBorders>
              <w:top w:val="single" w:sz="4" w:space="0" w:color="000000"/>
              <w:left w:val="single" w:sz="4" w:space="0" w:color="000000"/>
              <w:bottom w:val="single" w:sz="4" w:space="0" w:color="000000"/>
              <w:right w:val="single" w:sz="4" w:space="0" w:color="000000"/>
            </w:tcBorders>
            <w:shd w:val="clear" w:color="auto" w:fill="DADADA"/>
          </w:tcPr>
          <w:p w14:paraId="61A65C20" w14:textId="77777777" w:rsidR="00A75091" w:rsidRPr="00CE778C" w:rsidRDefault="00A75091">
            <w:pPr>
              <w:pStyle w:val="TableParagraph"/>
              <w:ind w:left="57" w:right="57"/>
              <w:rPr>
                <w:rFonts w:ascii="Times New Roman" w:hAnsi="Times New Roman" w:cs="Times New Roman"/>
                <w:lang w:eastAsia="en-US"/>
              </w:rPr>
            </w:pPr>
          </w:p>
        </w:tc>
        <w:tc>
          <w:tcPr>
            <w:tcW w:w="1492" w:type="pct"/>
            <w:tcBorders>
              <w:top w:val="single" w:sz="4" w:space="0" w:color="000000"/>
              <w:left w:val="single" w:sz="4" w:space="0" w:color="000000"/>
              <w:bottom w:val="single" w:sz="4" w:space="0" w:color="000000"/>
              <w:right w:val="single" w:sz="4" w:space="0" w:color="000000"/>
            </w:tcBorders>
            <w:shd w:val="clear" w:color="auto" w:fill="DADADA"/>
          </w:tcPr>
          <w:p w14:paraId="46292060" w14:textId="77777777" w:rsidR="00A75091" w:rsidRPr="00CE778C" w:rsidRDefault="00A75091">
            <w:pPr>
              <w:pStyle w:val="TableParagraph"/>
              <w:ind w:left="57" w:right="57"/>
              <w:rPr>
                <w:rFonts w:ascii="Times New Roman" w:hAnsi="Times New Roman" w:cs="Times New Roman"/>
                <w:lang w:eastAsia="en-US"/>
              </w:rPr>
            </w:pPr>
          </w:p>
        </w:tc>
      </w:tr>
      <w:tr w:rsidR="00A75091" w:rsidRPr="00CE778C" w14:paraId="5794868E" w14:textId="77777777" w:rsidTr="00CE778C">
        <w:trPr>
          <w:trHeight w:val="20"/>
        </w:trPr>
        <w:tc>
          <w:tcPr>
            <w:tcW w:w="1959" w:type="pct"/>
            <w:tcBorders>
              <w:top w:val="single" w:sz="4" w:space="0" w:color="000000"/>
              <w:left w:val="single" w:sz="4" w:space="0" w:color="000000"/>
              <w:bottom w:val="single" w:sz="4" w:space="0" w:color="000000"/>
              <w:right w:val="single" w:sz="4" w:space="0" w:color="000000"/>
            </w:tcBorders>
            <w:hideMark/>
          </w:tcPr>
          <w:p w14:paraId="517D6E8C" w14:textId="77777777" w:rsidR="00A75091" w:rsidRPr="00CE778C" w:rsidRDefault="00A75091">
            <w:pPr>
              <w:pStyle w:val="TableParagraph"/>
              <w:ind w:left="57" w:right="57"/>
              <w:rPr>
                <w:rFonts w:ascii="Times New Roman" w:hAnsi="Times New Roman" w:cs="Times New Roman"/>
                <w:lang w:eastAsia="en-US"/>
              </w:rPr>
            </w:pPr>
            <w:r w:rsidRPr="00CE778C">
              <w:rPr>
                <w:rFonts w:ascii="Times New Roman" w:hAnsi="Times New Roman" w:cs="Times New Roman"/>
                <w:lang w:eastAsia="en-US"/>
              </w:rPr>
              <w:t>n</w:t>
            </w:r>
          </w:p>
        </w:tc>
        <w:tc>
          <w:tcPr>
            <w:tcW w:w="1549" w:type="pct"/>
            <w:tcBorders>
              <w:top w:val="single" w:sz="4" w:space="0" w:color="000000"/>
              <w:left w:val="single" w:sz="4" w:space="0" w:color="000000"/>
              <w:bottom w:val="single" w:sz="4" w:space="0" w:color="000000"/>
              <w:right w:val="single" w:sz="4" w:space="0" w:color="000000"/>
            </w:tcBorders>
            <w:hideMark/>
          </w:tcPr>
          <w:p w14:paraId="5406E346"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1865</w:t>
            </w:r>
          </w:p>
        </w:tc>
        <w:tc>
          <w:tcPr>
            <w:tcW w:w="1492" w:type="pct"/>
            <w:tcBorders>
              <w:top w:val="single" w:sz="4" w:space="0" w:color="000000"/>
              <w:left w:val="single" w:sz="4" w:space="0" w:color="000000"/>
              <w:bottom w:val="single" w:sz="4" w:space="0" w:color="000000"/>
              <w:right w:val="single" w:sz="4" w:space="0" w:color="000000"/>
            </w:tcBorders>
            <w:hideMark/>
          </w:tcPr>
          <w:p w14:paraId="2749DC48"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2114</w:t>
            </w:r>
          </w:p>
        </w:tc>
      </w:tr>
      <w:tr w:rsidR="00A75091" w:rsidRPr="00CE778C" w14:paraId="0AC65656" w14:textId="77777777" w:rsidTr="00CE778C">
        <w:trPr>
          <w:trHeight w:val="20"/>
        </w:trPr>
        <w:tc>
          <w:tcPr>
            <w:tcW w:w="1959" w:type="pct"/>
            <w:tcBorders>
              <w:top w:val="single" w:sz="4" w:space="0" w:color="000000"/>
              <w:left w:val="single" w:sz="4" w:space="0" w:color="000000"/>
              <w:bottom w:val="single" w:sz="4" w:space="0" w:color="000000"/>
              <w:right w:val="single" w:sz="4" w:space="0" w:color="000000"/>
            </w:tcBorders>
            <w:hideMark/>
          </w:tcPr>
          <w:p w14:paraId="77FACB9A" w14:textId="77777777" w:rsidR="00A75091" w:rsidRPr="00CE778C" w:rsidRDefault="00A75091">
            <w:pPr>
              <w:pStyle w:val="TableParagraph"/>
              <w:ind w:left="57" w:right="57"/>
              <w:rPr>
                <w:rFonts w:ascii="Times New Roman" w:hAnsi="Times New Roman" w:cs="Times New Roman"/>
                <w:lang w:eastAsia="en-US"/>
              </w:rPr>
            </w:pPr>
            <w:r w:rsidRPr="00CE778C">
              <w:rPr>
                <w:rFonts w:ascii="Times New Roman" w:hAnsi="Times New Roman" w:cs="Times New Roman"/>
                <w:lang w:eastAsia="en-US"/>
              </w:rPr>
              <w:t>Hændelsesrate (%/</w:t>
            </w:r>
            <w:proofErr w:type="gramStart"/>
            <w:r w:rsidRPr="00CE778C">
              <w:rPr>
                <w:rFonts w:ascii="Times New Roman" w:hAnsi="Times New Roman" w:cs="Times New Roman"/>
                <w:lang w:eastAsia="en-US"/>
              </w:rPr>
              <w:t>år)</w:t>
            </w:r>
            <w:r w:rsidRPr="00CE778C">
              <w:rPr>
                <w:rFonts w:ascii="Times New Roman" w:hAnsi="Times New Roman" w:cs="Times New Roman"/>
                <w:vertAlign w:val="superscript"/>
                <w:lang w:eastAsia="en-US"/>
              </w:rPr>
              <w:t>a</w:t>
            </w:r>
            <w:proofErr w:type="gramEnd"/>
          </w:p>
        </w:tc>
        <w:tc>
          <w:tcPr>
            <w:tcW w:w="1549" w:type="pct"/>
            <w:tcBorders>
              <w:top w:val="single" w:sz="4" w:space="0" w:color="000000"/>
              <w:left w:val="single" w:sz="4" w:space="0" w:color="000000"/>
              <w:bottom w:val="single" w:sz="4" w:space="0" w:color="000000"/>
              <w:right w:val="single" w:sz="4" w:space="0" w:color="000000"/>
            </w:tcBorders>
            <w:hideMark/>
          </w:tcPr>
          <w:p w14:paraId="6B61C0DD"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14,15</w:t>
            </w:r>
          </w:p>
        </w:tc>
        <w:tc>
          <w:tcPr>
            <w:tcW w:w="1492" w:type="pct"/>
            <w:tcBorders>
              <w:top w:val="single" w:sz="4" w:space="0" w:color="000000"/>
              <w:left w:val="single" w:sz="4" w:space="0" w:color="000000"/>
              <w:bottom w:val="single" w:sz="4" w:space="0" w:color="000000"/>
              <w:right w:val="single" w:sz="4" w:space="0" w:color="000000"/>
            </w:tcBorders>
            <w:hideMark/>
          </w:tcPr>
          <w:p w14:paraId="2030CA1C"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16,40</w:t>
            </w:r>
          </w:p>
        </w:tc>
      </w:tr>
      <w:tr w:rsidR="00A75091" w:rsidRPr="00CE778C" w14:paraId="1DF05B6B" w14:textId="77777777" w:rsidTr="00CE778C">
        <w:trPr>
          <w:trHeight w:val="227"/>
        </w:trPr>
        <w:tc>
          <w:tcPr>
            <w:tcW w:w="1959" w:type="pct"/>
            <w:tcBorders>
              <w:top w:val="single" w:sz="4" w:space="0" w:color="000000"/>
              <w:left w:val="single" w:sz="4" w:space="0" w:color="000000"/>
              <w:bottom w:val="single" w:sz="4" w:space="0" w:color="000000"/>
              <w:right w:val="single" w:sz="4" w:space="0" w:color="000000"/>
            </w:tcBorders>
            <w:hideMark/>
          </w:tcPr>
          <w:p w14:paraId="75EAE3A0" w14:textId="77777777" w:rsidR="00A75091" w:rsidRPr="00CE778C" w:rsidRDefault="00A75091">
            <w:pPr>
              <w:pStyle w:val="TableParagraph"/>
              <w:ind w:left="57" w:right="57"/>
              <w:rPr>
                <w:rFonts w:ascii="Times New Roman" w:hAnsi="Times New Roman" w:cs="Times New Roman"/>
                <w:lang w:eastAsia="en-US"/>
              </w:rPr>
            </w:pPr>
            <w:r w:rsidRPr="00CE778C">
              <w:rPr>
                <w:rFonts w:ascii="Times New Roman" w:hAnsi="Times New Roman" w:cs="Times New Roman"/>
                <w:lang w:eastAsia="en-US"/>
              </w:rPr>
              <w:t>HR (95% CI)</w:t>
            </w:r>
          </w:p>
        </w:tc>
        <w:tc>
          <w:tcPr>
            <w:tcW w:w="1549" w:type="pct"/>
            <w:tcBorders>
              <w:top w:val="single" w:sz="4" w:space="0" w:color="000000"/>
              <w:left w:val="single" w:sz="4" w:space="0" w:color="000000"/>
              <w:bottom w:val="single" w:sz="4" w:space="0" w:color="000000"/>
              <w:right w:val="single" w:sz="4" w:space="0" w:color="000000"/>
            </w:tcBorders>
            <w:hideMark/>
          </w:tcPr>
          <w:p w14:paraId="4F2B6EC7" w14:textId="77777777" w:rsidR="00A75091" w:rsidRPr="00CE778C" w:rsidRDefault="00A75091">
            <w:pPr>
              <w:pStyle w:val="TableParagraph"/>
              <w:ind w:left="57" w:right="57"/>
              <w:jc w:val="center"/>
              <w:rPr>
                <w:rFonts w:ascii="Times New Roman" w:hAnsi="Times New Roman" w:cs="Times New Roman"/>
                <w:lang w:eastAsia="en-US"/>
              </w:rPr>
            </w:pPr>
            <w:r w:rsidRPr="00CE778C">
              <w:rPr>
                <w:rFonts w:ascii="Times New Roman" w:hAnsi="Times New Roman" w:cs="Times New Roman"/>
                <w:lang w:eastAsia="en-US"/>
              </w:rPr>
              <w:t>0,87 (0,82; 0,92)</w:t>
            </w:r>
          </w:p>
        </w:tc>
        <w:tc>
          <w:tcPr>
            <w:tcW w:w="1492" w:type="pct"/>
            <w:tcBorders>
              <w:top w:val="single" w:sz="4" w:space="0" w:color="000000"/>
              <w:left w:val="single" w:sz="4" w:space="0" w:color="000000"/>
              <w:bottom w:val="single" w:sz="4" w:space="0" w:color="000000"/>
              <w:right w:val="single" w:sz="4" w:space="0" w:color="000000"/>
            </w:tcBorders>
          </w:tcPr>
          <w:p w14:paraId="5045B9A9" w14:textId="77777777" w:rsidR="00A75091" w:rsidRPr="00CE778C" w:rsidRDefault="00A75091">
            <w:pPr>
              <w:pStyle w:val="TableParagraph"/>
              <w:ind w:left="57" w:right="57"/>
              <w:rPr>
                <w:rFonts w:ascii="Times New Roman" w:hAnsi="Times New Roman" w:cs="Times New Roman"/>
                <w:lang w:eastAsia="en-US"/>
              </w:rPr>
            </w:pPr>
          </w:p>
        </w:tc>
      </w:tr>
    </w:tbl>
    <w:p w14:paraId="28EFD53D" w14:textId="77777777" w:rsidR="00A75091" w:rsidRPr="00CE778C" w:rsidRDefault="00A75091" w:rsidP="00A75091">
      <w:pPr>
        <w:pStyle w:val="Brdtekst"/>
        <w:suppressAutoHyphens/>
        <w:kinsoku w:val="0"/>
        <w:overflowPunct w:val="0"/>
        <w:ind w:left="0"/>
      </w:pPr>
      <w:r w:rsidRPr="00CE778C">
        <w:t>Forkortelser: ICH = intrakraniel blødning, HR = Hazard Ratio versus warfarin, CI = konfidensinterval,</w:t>
      </w:r>
    </w:p>
    <w:p w14:paraId="13D455F0" w14:textId="77777777" w:rsidR="00A75091" w:rsidRPr="00CE778C" w:rsidRDefault="00A75091" w:rsidP="00A75091">
      <w:pPr>
        <w:pStyle w:val="Brdtekst"/>
        <w:suppressAutoHyphens/>
        <w:kinsoku w:val="0"/>
        <w:overflowPunct w:val="0"/>
        <w:ind w:left="0"/>
      </w:pPr>
      <w:r w:rsidRPr="00CE778C">
        <w:t>CRNM = klinisk relevant ikke svær, n = antal personer med hændelser, N = antal personer i</w:t>
      </w:r>
    </w:p>
    <w:p w14:paraId="53F18452" w14:textId="77777777" w:rsidR="00A75091" w:rsidRPr="00CE778C" w:rsidRDefault="00A75091" w:rsidP="00A75091">
      <w:pPr>
        <w:pStyle w:val="Brdtekst"/>
        <w:suppressAutoHyphens/>
        <w:kinsoku w:val="0"/>
        <w:overflowPunct w:val="0"/>
        <w:ind w:left="0"/>
      </w:pPr>
      <w:r w:rsidRPr="00CE778C">
        <w:t>sikkerhedspopulationen.</w:t>
      </w:r>
    </w:p>
    <w:p w14:paraId="736E171A" w14:textId="441995DC" w:rsidR="00A75091" w:rsidRPr="00CE778C" w:rsidRDefault="00A75091" w:rsidP="004D17AE">
      <w:pPr>
        <w:pStyle w:val="Brdtekst"/>
        <w:suppressAutoHyphens/>
        <w:kinsoku w:val="0"/>
        <w:overflowPunct w:val="0"/>
        <w:ind w:left="284" w:hanging="284"/>
      </w:pPr>
      <w:r w:rsidRPr="00CE778C">
        <w:rPr>
          <w:vertAlign w:val="superscript"/>
        </w:rPr>
        <w:t>a</w:t>
      </w:r>
      <w:r w:rsidR="004D17AE">
        <w:rPr>
          <w:vertAlign w:val="superscript"/>
        </w:rPr>
        <w:tab/>
      </w:r>
      <w:r w:rsidRPr="00CE778C">
        <w:t>Hændelsesraten (%/år) er beregnet som antal hændelser/personårs-eksponering.</w:t>
      </w:r>
    </w:p>
    <w:p w14:paraId="4537E673" w14:textId="13C345AF" w:rsidR="00A75091" w:rsidRPr="00CE778C" w:rsidRDefault="00A75091" w:rsidP="004D17AE">
      <w:pPr>
        <w:pStyle w:val="Brdtekst"/>
        <w:suppressAutoHyphens/>
        <w:kinsoku w:val="0"/>
        <w:overflowPunct w:val="0"/>
        <w:ind w:left="284" w:hanging="284"/>
      </w:pPr>
      <w:r w:rsidRPr="00CE778C">
        <w:rPr>
          <w:vertAlign w:val="superscript"/>
          <w:lang w:val="nb-NO"/>
        </w:rPr>
        <w:t>b</w:t>
      </w:r>
      <w:r w:rsidR="004D17AE">
        <w:rPr>
          <w:vertAlign w:val="superscript"/>
          <w:lang w:val="nb-NO"/>
        </w:rPr>
        <w:tab/>
      </w:r>
      <w:r w:rsidRPr="00CE778C">
        <w:rPr>
          <w:lang w:val="nb-NO"/>
        </w:rPr>
        <w:t>ICH omfatter primær hjerneblødning, subaraknoid blødning, epi-/subdural blødning og iskæmisk</w:t>
      </w:r>
      <w:r w:rsidR="004D17AE">
        <w:rPr>
          <w:lang w:val="nb-NO"/>
        </w:rPr>
        <w:t xml:space="preserve"> </w:t>
      </w:r>
      <w:r w:rsidRPr="00CE778C">
        <w:rPr>
          <w:lang w:val="nb-NO"/>
        </w:rPr>
        <w:t>apopleksianfald med svær blødningskonversion. Alle ICH'er, der blev rapporteret på de elektroniske</w:t>
      </w:r>
      <w:r w:rsidR="004D17AE">
        <w:rPr>
          <w:lang w:val="nb-NO"/>
        </w:rPr>
        <w:t xml:space="preserve"> </w:t>
      </w:r>
      <w:r w:rsidRPr="00CE778C">
        <w:rPr>
          <w:lang w:val="nb-NO"/>
        </w:rPr>
        <w:t xml:space="preserve">case report-formularer (eCRF’er) </w:t>
      </w:r>
      <w:r w:rsidRPr="00CE778C">
        <w:rPr>
          <w:i/>
          <w:iCs/>
          <w:lang w:val="nb-NO"/>
        </w:rPr>
        <w:t xml:space="preserve">Adjudicated Cerebrovaskular and Non-Intracranial bleed </w:t>
      </w:r>
      <w:r w:rsidRPr="00CE778C">
        <w:rPr>
          <w:lang w:val="nb-NO"/>
        </w:rPr>
        <w:t>og</w:t>
      </w:r>
      <w:r w:rsidR="004D17AE">
        <w:rPr>
          <w:lang w:val="nb-NO"/>
        </w:rPr>
        <w:t xml:space="preserve"> </w:t>
      </w:r>
      <w:r w:rsidRPr="00CE778C">
        <w:t>bekræftet af bedømmerne, er inkluderet i ICH-antallet.</w:t>
      </w:r>
    </w:p>
    <w:p w14:paraId="0C90986B" w14:textId="5F22DA87" w:rsidR="00A75091" w:rsidRPr="00CE778C" w:rsidRDefault="00A75091" w:rsidP="004D17AE">
      <w:pPr>
        <w:pStyle w:val="Brdtekst"/>
        <w:suppressAutoHyphens/>
        <w:kinsoku w:val="0"/>
        <w:overflowPunct w:val="0"/>
        <w:ind w:left="284" w:hanging="284"/>
      </w:pPr>
      <w:r w:rsidRPr="00CE778C">
        <w:rPr>
          <w:vertAlign w:val="superscript"/>
        </w:rPr>
        <w:t>c</w:t>
      </w:r>
      <w:r w:rsidR="004D17AE">
        <w:rPr>
          <w:vertAlign w:val="superscript"/>
        </w:rPr>
        <w:tab/>
      </w:r>
      <w:r w:rsidRPr="00CE778C">
        <w:t>'Alle bekræftede blødninger' omfatter dem, som bedømmeren definerede som klinisk åbenlyse.</w:t>
      </w:r>
    </w:p>
    <w:p w14:paraId="2233F95F" w14:textId="77777777" w:rsidR="00A75091" w:rsidRPr="00CE778C" w:rsidRDefault="00A75091" w:rsidP="00CE778C">
      <w:pPr>
        <w:ind w:left="851"/>
        <w:rPr>
          <w:sz w:val="24"/>
          <w:szCs w:val="24"/>
        </w:rPr>
      </w:pPr>
    </w:p>
    <w:p w14:paraId="3EF26357" w14:textId="77777777" w:rsidR="00A75091" w:rsidRPr="00CE778C" w:rsidRDefault="00A75091" w:rsidP="00CE778C">
      <w:pPr>
        <w:ind w:left="851"/>
        <w:rPr>
          <w:sz w:val="24"/>
          <w:szCs w:val="24"/>
        </w:rPr>
      </w:pPr>
      <w:r w:rsidRPr="00CE778C">
        <w:rPr>
          <w:sz w:val="24"/>
          <w:szCs w:val="24"/>
        </w:rPr>
        <w:t>Bemærk: En person kan være inkluderet i flere underkategorier, hvis han/hun havde en hændelse i disse kategorier. Den første hændelse i hver kategori er inkluderet i analysen.</w:t>
      </w:r>
    </w:p>
    <w:p w14:paraId="73D9D26D" w14:textId="77777777" w:rsidR="00A75091" w:rsidRPr="00CE778C" w:rsidRDefault="00A75091" w:rsidP="00CE778C">
      <w:pPr>
        <w:ind w:left="851"/>
        <w:rPr>
          <w:sz w:val="24"/>
          <w:szCs w:val="24"/>
        </w:rPr>
      </w:pPr>
    </w:p>
    <w:p w14:paraId="3FC6F828" w14:textId="7365D32A" w:rsidR="00A75091" w:rsidRPr="00CE778C" w:rsidRDefault="00A75091" w:rsidP="00CE778C">
      <w:pPr>
        <w:ind w:left="851"/>
        <w:rPr>
          <w:sz w:val="24"/>
          <w:szCs w:val="24"/>
        </w:rPr>
      </w:pPr>
      <w:r w:rsidRPr="00CE778C">
        <w:rPr>
          <w:sz w:val="24"/>
          <w:szCs w:val="24"/>
        </w:rPr>
        <w:t>Tabel 7, 8 og 9 viser henholdsvis større, dødelige og intrakraniale blødninger pr. CrCl-kategori hos NVAF-patienter i ENGAGE AF-TIMI 48. Der er en faldende hændelsesrate ved stigende CrCl i begge</w:t>
      </w:r>
      <w:r w:rsidR="004D17AE">
        <w:rPr>
          <w:sz w:val="24"/>
          <w:szCs w:val="24"/>
        </w:rPr>
        <w:t xml:space="preserve"> </w:t>
      </w:r>
      <w:r w:rsidRPr="00CE778C">
        <w:rPr>
          <w:sz w:val="24"/>
          <w:szCs w:val="24"/>
        </w:rPr>
        <w:t>behandlingsgrupper.</w:t>
      </w:r>
    </w:p>
    <w:p w14:paraId="4F2AEA00" w14:textId="77777777" w:rsidR="00A75091" w:rsidRPr="00CE778C" w:rsidRDefault="00A75091" w:rsidP="00CE778C">
      <w:pPr>
        <w:ind w:left="851"/>
        <w:rPr>
          <w:sz w:val="24"/>
          <w:szCs w:val="24"/>
        </w:rPr>
      </w:pPr>
    </w:p>
    <w:p w14:paraId="3C5FE92D" w14:textId="77777777" w:rsidR="00A75091" w:rsidRPr="00CE778C" w:rsidRDefault="00A75091" w:rsidP="00A75091">
      <w:pPr>
        <w:pStyle w:val="Brdtekst"/>
        <w:suppressAutoHyphens/>
        <w:kinsoku w:val="0"/>
        <w:overflowPunct w:val="0"/>
        <w:ind w:left="0"/>
        <w:rPr>
          <w:b/>
          <w:bCs/>
        </w:rPr>
      </w:pPr>
      <w:r w:rsidRPr="00CE778C">
        <w:rPr>
          <w:b/>
          <w:bCs/>
        </w:rPr>
        <w:t>Tabel 7: Antal større blødningshændelser pr. CrCl-kategori i ENGAGE AF-TIMI 48,</w:t>
      </w:r>
    </w:p>
    <w:p w14:paraId="468141C2" w14:textId="77777777" w:rsidR="00A75091" w:rsidRPr="00CE778C" w:rsidRDefault="00A75091" w:rsidP="00A75091">
      <w:pPr>
        <w:pStyle w:val="Brdtekst"/>
        <w:widowControl/>
        <w:suppressAutoHyphens/>
        <w:kinsoku w:val="0"/>
        <w:overflowPunct w:val="0"/>
        <w:ind w:left="0"/>
        <w:rPr>
          <w:b/>
          <w:bCs/>
          <w:vertAlign w:val="superscript"/>
        </w:rPr>
      </w:pPr>
      <w:r w:rsidRPr="00CE778C">
        <w:rPr>
          <w:b/>
          <w:bCs/>
        </w:rPr>
        <w:t>sikkerhedsanalyse under behandling</w:t>
      </w:r>
      <w:r w:rsidRPr="00CE778C">
        <w:rPr>
          <w:b/>
          <w:bCs/>
          <w:vertAlign w:val="superscript"/>
        </w:rPr>
        <w:t>a</w:t>
      </w:r>
    </w:p>
    <w:p w14:paraId="67C48438" w14:textId="77777777" w:rsidR="00A75091" w:rsidRPr="00CE778C" w:rsidRDefault="00A75091" w:rsidP="00A75091">
      <w:pPr>
        <w:pStyle w:val="Brdtekst"/>
        <w:widowControl/>
        <w:suppressAutoHyphens/>
        <w:kinsoku w:val="0"/>
        <w:overflowPunct w:val="0"/>
        <w:ind w:left="0"/>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9"/>
        <w:gridCol w:w="793"/>
        <w:gridCol w:w="1203"/>
        <w:gridCol w:w="1200"/>
        <w:gridCol w:w="793"/>
        <w:gridCol w:w="1205"/>
        <w:gridCol w:w="1200"/>
        <w:gridCol w:w="1755"/>
      </w:tblGrid>
      <w:tr w:rsidR="00A75091" w:rsidRPr="004D17AE" w14:paraId="1ED4AD75" w14:textId="77777777" w:rsidTr="00CE778C">
        <w:trPr>
          <w:trHeight w:val="558"/>
        </w:trPr>
        <w:tc>
          <w:tcPr>
            <w:tcW w:w="785" w:type="pct"/>
            <w:vMerge w:val="restart"/>
            <w:tcBorders>
              <w:top w:val="single" w:sz="4" w:space="0" w:color="000000"/>
              <w:left w:val="single" w:sz="4" w:space="0" w:color="000000"/>
              <w:bottom w:val="single" w:sz="4" w:space="0" w:color="000000"/>
              <w:right w:val="single" w:sz="4" w:space="0" w:color="000000"/>
            </w:tcBorders>
            <w:shd w:val="clear" w:color="auto" w:fill="DADADA"/>
            <w:hideMark/>
          </w:tcPr>
          <w:p w14:paraId="791142E3"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CrCl-undergruppe</w:t>
            </w:r>
          </w:p>
          <w:p w14:paraId="264009E9"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(ml/min.)</w:t>
            </w:r>
          </w:p>
        </w:tc>
        <w:tc>
          <w:tcPr>
            <w:tcW w:w="1643" w:type="pct"/>
            <w:gridSpan w:val="3"/>
            <w:tcBorders>
              <w:top w:val="single" w:sz="4" w:space="0" w:color="000000"/>
              <w:left w:val="single" w:sz="4" w:space="0" w:color="000000"/>
              <w:bottom w:val="single" w:sz="4" w:space="0" w:color="000000"/>
              <w:right w:val="single" w:sz="4" w:space="0" w:color="000000"/>
            </w:tcBorders>
            <w:shd w:val="clear" w:color="auto" w:fill="DADADA"/>
            <w:hideMark/>
          </w:tcPr>
          <w:p w14:paraId="01C8E479"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Edoxaban 60 mg</w:t>
            </w:r>
          </w:p>
          <w:p w14:paraId="12F1AB9C"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(N = 7012)</w:t>
            </w:r>
          </w:p>
        </w:tc>
        <w:tc>
          <w:tcPr>
            <w:tcW w:w="1644" w:type="pct"/>
            <w:gridSpan w:val="3"/>
            <w:tcBorders>
              <w:top w:val="single" w:sz="4" w:space="0" w:color="000000"/>
              <w:left w:val="single" w:sz="4" w:space="0" w:color="000000"/>
              <w:bottom w:val="single" w:sz="4" w:space="0" w:color="000000"/>
              <w:right w:val="single" w:sz="4" w:space="0" w:color="000000"/>
            </w:tcBorders>
            <w:shd w:val="clear" w:color="auto" w:fill="DADADA"/>
            <w:hideMark/>
          </w:tcPr>
          <w:p w14:paraId="5C51353F"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Warfarin</w:t>
            </w:r>
          </w:p>
          <w:p w14:paraId="32749DDC"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(N = 7012)</w:t>
            </w:r>
          </w:p>
        </w:tc>
        <w:tc>
          <w:tcPr>
            <w:tcW w:w="928" w:type="pct"/>
            <w:tcBorders>
              <w:top w:val="single" w:sz="4" w:space="0" w:color="000000"/>
              <w:left w:val="single" w:sz="4" w:space="0" w:color="000000"/>
              <w:bottom w:val="single" w:sz="4" w:space="0" w:color="000000"/>
              <w:right w:val="single" w:sz="4" w:space="0" w:color="000000"/>
            </w:tcBorders>
            <w:shd w:val="clear" w:color="auto" w:fill="DADADA"/>
          </w:tcPr>
          <w:p w14:paraId="3ED8D0F2" w14:textId="77777777" w:rsidR="00A75091" w:rsidRPr="004D17AE" w:rsidRDefault="00A75091">
            <w:pPr>
              <w:pStyle w:val="TableParagraph"/>
              <w:keepNext/>
              <w:ind w:left="57" w:right="57"/>
              <w:jc w:val="center"/>
              <w:rPr>
                <w:rFonts w:ascii="Times New Roman" w:hAnsi="Times New Roman" w:cs="Times New Roman"/>
                <w:sz w:val="22"/>
                <w:szCs w:val="22"/>
                <w:lang w:eastAsia="en-US"/>
              </w:rPr>
            </w:pPr>
          </w:p>
        </w:tc>
      </w:tr>
      <w:tr w:rsidR="00A75091" w:rsidRPr="004D17AE" w14:paraId="32606AE6" w14:textId="77777777" w:rsidTr="00CE778C">
        <w:trPr>
          <w:trHeight w:val="567"/>
        </w:trPr>
        <w:tc>
          <w:tcPr>
            <w:tcW w:w="785" w:type="pct"/>
            <w:vMerge/>
            <w:tcBorders>
              <w:top w:val="single" w:sz="4" w:space="0" w:color="000000"/>
              <w:left w:val="single" w:sz="4" w:space="0" w:color="000000"/>
              <w:bottom w:val="single" w:sz="4" w:space="0" w:color="000000"/>
              <w:right w:val="single" w:sz="4" w:space="0" w:color="000000"/>
            </w:tcBorders>
            <w:vAlign w:val="center"/>
            <w:hideMark/>
          </w:tcPr>
          <w:p w14:paraId="600F174D" w14:textId="77777777" w:rsidR="00A75091" w:rsidRPr="004D17AE" w:rsidRDefault="00A75091">
            <w:pPr>
              <w:rPr>
                <w:rFonts w:ascii="Times New Roman" w:hAnsi="Times New Roman" w:cs="Times New Roman"/>
                <w:b/>
                <w:sz w:val="22"/>
              </w:rPr>
            </w:pPr>
          </w:p>
        </w:tc>
        <w:tc>
          <w:tcPr>
            <w:tcW w:w="429" w:type="pct"/>
            <w:tcBorders>
              <w:top w:val="single" w:sz="4" w:space="0" w:color="000000"/>
              <w:left w:val="single" w:sz="4" w:space="0" w:color="000000"/>
              <w:bottom w:val="single" w:sz="4" w:space="0" w:color="000000"/>
              <w:right w:val="single" w:sz="4" w:space="0" w:color="000000"/>
            </w:tcBorders>
            <w:shd w:val="clear" w:color="auto" w:fill="DADADA"/>
            <w:hideMark/>
          </w:tcPr>
          <w:p w14:paraId="3DFDCED9"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n</w:t>
            </w:r>
          </w:p>
        </w:tc>
        <w:tc>
          <w:tcPr>
            <w:tcW w:w="642" w:type="pct"/>
            <w:tcBorders>
              <w:top w:val="single" w:sz="4" w:space="0" w:color="000000"/>
              <w:left w:val="single" w:sz="4" w:space="0" w:color="000000"/>
              <w:bottom w:val="single" w:sz="4" w:space="0" w:color="000000"/>
              <w:right w:val="single" w:sz="4" w:space="0" w:color="000000"/>
            </w:tcBorders>
            <w:shd w:val="clear" w:color="auto" w:fill="DADADA"/>
            <w:hideMark/>
          </w:tcPr>
          <w:p w14:paraId="4CF5278F" w14:textId="77777777" w:rsidR="00A75091" w:rsidRPr="004D17AE" w:rsidRDefault="00A75091">
            <w:pPr>
              <w:pStyle w:val="TableParagraph"/>
              <w:keepNext/>
              <w:ind w:left="57" w:right="57"/>
              <w:jc w:val="center"/>
              <w:rPr>
                <w:rFonts w:ascii="Times New Roman" w:hAnsi="Times New Roman" w:cs="Times New Roman"/>
                <w:b/>
                <w:bCs/>
                <w:sz w:val="22"/>
                <w:szCs w:val="22"/>
                <w:lang w:eastAsia="en-US"/>
              </w:rPr>
            </w:pPr>
            <w:r w:rsidRPr="004D17AE">
              <w:rPr>
                <w:rFonts w:ascii="Times New Roman" w:hAnsi="Times New Roman" w:cs="Times New Roman"/>
                <w:b/>
                <w:bCs/>
                <w:sz w:val="22"/>
                <w:szCs w:val="22"/>
                <w:lang w:eastAsia="en-US"/>
              </w:rPr>
              <w:t>Antal</w:t>
            </w:r>
          </w:p>
          <w:p w14:paraId="73FB72C9"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bCs/>
                <w:sz w:val="22"/>
                <w:szCs w:val="22"/>
                <w:lang w:eastAsia="en-US"/>
              </w:rPr>
              <w:t>hændelser</w:t>
            </w:r>
          </w:p>
        </w:tc>
        <w:tc>
          <w:tcPr>
            <w:tcW w:w="572" w:type="pct"/>
            <w:tcBorders>
              <w:top w:val="single" w:sz="4" w:space="0" w:color="000000"/>
              <w:left w:val="single" w:sz="4" w:space="0" w:color="000000"/>
              <w:bottom w:val="single" w:sz="4" w:space="0" w:color="000000"/>
              <w:right w:val="single" w:sz="4" w:space="0" w:color="000000"/>
            </w:tcBorders>
            <w:shd w:val="clear" w:color="auto" w:fill="DADADA"/>
            <w:hideMark/>
          </w:tcPr>
          <w:p w14:paraId="106F810F" w14:textId="77777777" w:rsidR="00A75091" w:rsidRPr="004D17AE" w:rsidRDefault="00A75091">
            <w:pPr>
              <w:pStyle w:val="TableParagraph"/>
              <w:keepNext/>
              <w:ind w:left="57" w:right="57"/>
              <w:jc w:val="center"/>
              <w:rPr>
                <w:rFonts w:ascii="Times New Roman" w:hAnsi="Times New Roman" w:cs="Times New Roman"/>
                <w:b/>
                <w:bCs/>
                <w:sz w:val="22"/>
                <w:szCs w:val="22"/>
                <w:lang w:eastAsia="en-US"/>
              </w:rPr>
            </w:pPr>
            <w:r w:rsidRPr="004D17AE">
              <w:rPr>
                <w:rFonts w:ascii="Times New Roman" w:hAnsi="Times New Roman" w:cs="Times New Roman"/>
                <w:b/>
                <w:bCs/>
                <w:sz w:val="22"/>
                <w:szCs w:val="22"/>
                <w:lang w:eastAsia="en-US"/>
              </w:rPr>
              <w:t>Hændelses-rate</w:t>
            </w:r>
          </w:p>
          <w:p w14:paraId="20B6CFA1"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bCs/>
                <w:sz w:val="22"/>
                <w:szCs w:val="22"/>
                <w:lang w:eastAsia="en-US"/>
              </w:rPr>
              <w:t>(%/år)</w:t>
            </w:r>
          </w:p>
        </w:tc>
        <w:tc>
          <w:tcPr>
            <w:tcW w:w="429" w:type="pct"/>
            <w:tcBorders>
              <w:top w:val="single" w:sz="4" w:space="0" w:color="000000"/>
              <w:left w:val="single" w:sz="4" w:space="0" w:color="000000"/>
              <w:bottom w:val="single" w:sz="4" w:space="0" w:color="000000"/>
              <w:right w:val="single" w:sz="4" w:space="0" w:color="000000"/>
            </w:tcBorders>
            <w:shd w:val="clear" w:color="auto" w:fill="DADADA"/>
            <w:hideMark/>
          </w:tcPr>
          <w:p w14:paraId="2048094A"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n</w:t>
            </w:r>
          </w:p>
        </w:tc>
        <w:tc>
          <w:tcPr>
            <w:tcW w:w="643" w:type="pct"/>
            <w:tcBorders>
              <w:top w:val="single" w:sz="4" w:space="0" w:color="000000"/>
              <w:left w:val="single" w:sz="4" w:space="0" w:color="000000"/>
              <w:bottom w:val="single" w:sz="4" w:space="0" w:color="000000"/>
              <w:right w:val="single" w:sz="4" w:space="0" w:color="000000"/>
            </w:tcBorders>
            <w:shd w:val="clear" w:color="auto" w:fill="DADADA"/>
            <w:hideMark/>
          </w:tcPr>
          <w:p w14:paraId="06991F66" w14:textId="77777777" w:rsidR="00A75091" w:rsidRPr="004D17AE" w:rsidRDefault="00A75091">
            <w:pPr>
              <w:pStyle w:val="TableParagraph"/>
              <w:keepNext/>
              <w:ind w:left="57" w:right="57"/>
              <w:jc w:val="center"/>
              <w:rPr>
                <w:rFonts w:ascii="Times New Roman" w:hAnsi="Times New Roman" w:cs="Times New Roman"/>
                <w:b/>
                <w:bCs/>
                <w:sz w:val="22"/>
                <w:szCs w:val="22"/>
                <w:lang w:eastAsia="en-US"/>
              </w:rPr>
            </w:pPr>
            <w:r w:rsidRPr="004D17AE">
              <w:rPr>
                <w:rFonts w:ascii="Times New Roman" w:hAnsi="Times New Roman" w:cs="Times New Roman"/>
                <w:b/>
                <w:bCs/>
                <w:sz w:val="22"/>
                <w:szCs w:val="22"/>
                <w:lang w:eastAsia="en-US"/>
              </w:rPr>
              <w:t>Antal</w:t>
            </w:r>
          </w:p>
          <w:p w14:paraId="3B56326B"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bCs/>
                <w:sz w:val="22"/>
                <w:szCs w:val="22"/>
                <w:lang w:eastAsia="en-US"/>
              </w:rPr>
              <w:t>hændelser</w:t>
            </w:r>
          </w:p>
        </w:tc>
        <w:tc>
          <w:tcPr>
            <w:tcW w:w="572" w:type="pct"/>
            <w:tcBorders>
              <w:top w:val="single" w:sz="4" w:space="0" w:color="000000"/>
              <w:left w:val="single" w:sz="4" w:space="0" w:color="000000"/>
              <w:bottom w:val="single" w:sz="4" w:space="0" w:color="000000"/>
              <w:right w:val="single" w:sz="4" w:space="0" w:color="000000"/>
            </w:tcBorders>
            <w:shd w:val="clear" w:color="auto" w:fill="DADADA"/>
            <w:hideMark/>
          </w:tcPr>
          <w:p w14:paraId="74D90CB5" w14:textId="77777777" w:rsidR="00A75091" w:rsidRPr="004D17AE" w:rsidRDefault="00A75091">
            <w:pPr>
              <w:pStyle w:val="TableParagraph"/>
              <w:keepNext/>
              <w:ind w:left="57" w:right="57"/>
              <w:jc w:val="center"/>
              <w:rPr>
                <w:rFonts w:ascii="Times New Roman" w:hAnsi="Times New Roman" w:cs="Times New Roman"/>
                <w:b/>
                <w:bCs/>
                <w:sz w:val="22"/>
                <w:szCs w:val="22"/>
                <w:lang w:eastAsia="en-US"/>
              </w:rPr>
            </w:pPr>
            <w:r w:rsidRPr="004D17AE">
              <w:rPr>
                <w:rFonts w:ascii="Times New Roman" w:hAnsi="Times New Roman" w:cs="Times New Roman"/>
                <w:b/>
                <w:bCs/>
                <w:sz w:val="22"/>
                <w:szCs w:val="22"/>
                <w:lang w:eastAsia="en-US"/>
              </w:rPr>
              <w:t>Hændelses-rate</w:t>
            </w:r>
          </w:p>
          <w:p w14:paraId="45C973CA"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bCs/>
                <w:sz w:val="22"/>
                <w:szCs w:val="22"/>
                <w:lang w:eastAsia="en-US"/>
              </w:rPr>
              <w:t>(%/år)</w:t>
            </w:r>
          </w:p>
        </w:tc>
        <w:tc>
          <w:tcPr>
            <w:tcW w:w="928" w:type="pct"/>
            <w:tcBorders>
              <w:top w:val="single" w:sz="4" w:space="0" w:color="000000"/>
              <w:left w:val="single" w:sz="4" w:space="0" w:color="000000"/>
              <w:bottom w:val="single" w:sz="4" w:space="0" w:color="000000"/>
              <w:right w:val="single" w:sz="4" w:space="0" w:color="000000"/>
            </w:tcBorders>
            <w:shd w:val="clear" w:color="auto" w:fill="DADADA"/>
            <w:hideMark/>
          </w:tcPr>
          <w:p w14:paraId="5C6BE5EC"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HR (95% CI)</w:t>
            </w:r>
          </w:p>
        </w:tc>
      </w:tr>
      <w:tr w:rsidR="00A75091" w:rsidRPr="004D17AE" w14:paraId="760A2948" w14:textId="77777777" w:rsidTr="00CE778C">
        <w:trPr>
          <w:trHeight w:val="20"/>
        </w:trPr>
        <w:tc>
          <w:tcPr>
            <w:tcW w:w="785" w:type="pct"/>
            <w:tcBorders>
              <w:top w:val="single" w:sz="4" w:space="0" w:color="000000"/>
              <w:left w:val="single" w:sz="4" w:space="0" w:color="000000"/>
              <w:bottom w:val="single" w:sz="4" w:space="0" w:color="000000"/>
              <w:right w:val="single" w:sz="4" w:space="0" w:color="000000"/>
            </w:tcBorders>
            <w:vAlign w:val="center"/>
            <w:hideMark/>
          </w:tcPr>
          <w:p w14:paraId="37F1BD11" w14:textId="77777777" w:rsidR="00A75091" w:rsidRPr="004D17AE" w:rsidRDefault="00A75091">
            <w:pPr>
              <w:pStyle w:val="TableParagraph"/>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 30 til ≤ 50</w:t>
            </w:r>
          </w:p>
        </w:tc>
        <w:tc>
          <w:tcPr>
            <w:tcW w:w="429" w:type="pct"/>
            <w:tcBorders>
              <w:top w:val="single" w:sz="4" w:space="0" w:color="000000"/>
              <w:left w:val="single" w:sz="4" w:space="0" w:color="000000"/>
              <w:bottom w:val="single" w:sz="4" w:space="0" w:color="000000"/>
              <w:right w:val="single" w:sz="4" w:space="0" w:color="000000"/>
            </w:tcBorders>
            <w:hideMark/>
          </w:tcPr>
          <w:p w14:paraId="4FEF01E7"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1302</w:t>
            </w:r>
          </w:p>
        </w:tc>
        <w:tc>
          <w:tcPr>
            <w:tcW w:w="642" w:type="pct"/>
            <w:tcBorders>
              <w:top w:val="single" w:sz="4" w:space="0" w:color="000000"/>
              <w:left w:val="single" w:sz="4" w:space="0" w:color="000000"/>
              <w:bottom w:val="single" w:sz="4" w:space="0" w:color="000000"/>
              <w:right w:val="single" w:sz="4" w:space="0" w:color="000000"/>
            </w:tcBorders>
            <w:hideMark/>
          </w:tcPr>
          <w:p w14:paraId="1F28D4C2"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96</w:t>
            </w:r>
          </w:p>
        </w:tc>
        <w:tc>
          <w:tcPr>
            <w:tcW w:w="572" w:type="pct"/>
            <w:tcBorders>
              <w:top w:val="single" w:sz="4" w:space="0" w:color="000000"/>
              <w:left w:val="single" w:sz="4" w:space="0" w:color="000000"/>
              <w:bottom w:val="single" w:sz="4" w:space="0" w:color="000000"/>
              <w:right w:val="single" w:sz="4" w:space="0" w:color="000000"/>
            </w:tcBorders>
            <w:hideMark/>
          </w:tcPr>
          <w:p w14:paraId="7C76E825"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3,91</w:t>
            </w:r>
          </w:p>
        </w:tc>
        <w:tc>
          <w:tcPr>
            <w:tcW w:w="429" w:type="pct"/>
            <w:tcBorders>
              <w:top w:val="single" w:sz="4" w:space="0" w:color="000000"/>
              <w:left w:val="single" w:sz="4" w:space="0" w:color="000000"/>
              <w:bottom w:val="single" w:sz="4" w:space="0" w:color="000000"/>
              <w:right w:val="single" w:sz="4" w:space="0" w:color="000000"/>
            </w:tcBorders>
            <w:hideMark/>
          </w:tcPr>
          <w:p w14:paraId="78B4D331"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1305</w:t>
            </w:r>
          </w:p>
        </w:tc>
        <w:tc>
          <w:tcPr>
            <w:tcW w:w="643" w:type="pct"/>
            <w:tcBorders>
              <w:top w:val="single" w:sz="4" w:space="0" w:color="000000"/>
              <w:left w:val="single" w:sz="4" w:space="0" w:color="000000"/>
              <w:bottom w:val="single" w:sz="4" w:space="0" w:color="000000"/>
              <w:right w:val="single" w:sz="4" w:space="0" w:color="000000"/>
            </w:tcBorders>
            <w:hideMark/>
          </w:tcPr>
          <w:p w14:paraId="4C16F377"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128</w:t>
            </w:r>
          </w:p>
        </w:tc>
        <w:tc>
          <w:tcPr>
            <w:tcW w:w="572" w:type="pct"/>
            <w:tcBorders>
              <w:top w:val="single" w:sz="4" w:space="0" w:color="000000"/>
              <w:left w:val="single" w:sz="4" w:space="0" w:color="000000"/>
              <w:bottom w:val="single" w:sz="4" w:space="0" w:color="000000"/>
              <w:right w:val="single" w:sz="4" w:space="0" w:color="000000"/>
            </w:tcBorders>
            <w:hideMark/>
          </w:tcPr>
          <w:p w14:paraId="2786EF07"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5,23</w:t>
            </w:r>
          </w:p>
        </w:tc>
        <w:tc>
          <w:tcPr>
            <w:tcW w:w="928" w:type="pct"/>
            <w:tcBorders>
              <w:top w:val="single" w:sz="4" w:space="0" w:color="000000"/>
              <w:left w:val="single" w:sz="4" w:space="0" w:color="000000"/>
              <w:bottom w:val="single" w:sz="4" w:space="0" w:color="000000"/>
              <w:right w:val="single" w:sz="4" w:space="0" w:color="000000"/>
            </w:tcBorders>
            <w:hideMark/>
          </w:tcPr>
          <w:p w14:paraId="7E8CAE5D"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0,75 (0,58; 0,98)</w:t>
            </w:r>
          </w:p>
        </w:tc>
      </w:tr>
      <w:tr w:rsidR="00A75091" w:rsidRPr="004D17AE" w14:paraId="54889101" w14:textId="77777777" w:rsidTr="00CE778C">
        <w:trPr>
          <w:trHeight w:val="20"/>
        </w:trPr>
        <w:tc>
          <w:tcPr>
            <w:tcW w:w="785" w:type="pct"/>
            <w:tcBorders>
              <w:top w:val="single" w:sz="4" w:space="0" w:color="000000"/>
              <w:left w:val="single" w:sz="4" w:space="0" w:color="000000"/>
              <w:bottom w:val="single" w:sz="4" w:space="0" w:color="000000"/>
              <w:right w:val="single" w:sz="4" w:space="0" w:color="000000"/>
            </w:tcBorders>
            <w:vAlign w:val="center"/>
            <w:hideMark/>
          </w:tcPr>
          <w:p w14:paraId="7EDEA6F7" w14:textId="77777777" w:rsidR="00A75091" w:rsidRPr="004D17AE" w:rsidRDefault="00A75091">
            <w:pPr>
              <w:pStyle w:val="TableParagraph"/>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50 til ≤ 70</w:t>
            </w:r>
          </w:p>
        </w:tc>
        <w:tc>
          <w:tcPr>
            <w:tcW w:w="429" w:type="pct"/>
            <w:tcBorders>
              <w:top w:val="single" w:sz="4" w:space="0" w:color="000000"/>
              <w:left w:val="single" w:sz="4" w:space="0" w:color="000000"/>
              <w:bottom w:val="single" w:sz="4" w:space="0" w:color="000000"/>
              <w:right w:val="single" w:sz="4" w:space="0" w:color="000000"/>
            </w:tcBorders>
            <w:hideMark/>
          </w:tcPr>
          <w:p w14:paraId="3EB83CA7"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2093</w:t>
            </w:r>
          </w:p>
        </w:tc>
        <w:tc>
          <w:tcPr>
            <w:tcW w:w="642" w:type="pct"/>
            <w:tcBorders>
              <w:top w:val="single" w:sz="4" w:space="0" w:color="000000"/>
              <w:left w:val="single" w:sz="4" w:space="0" w:color="000000"/>
              <w:bottom w:val="single" w:sz="4" w:space="0" w:color="000000"/>
              <w:right w:val="single" w:sz="4" w:space="0" w:color="000000"/>
            </w:tcBorders>
            <w:hideMark/>
          </w:tcPr>
          <w:p w14:paraId="3CFBB44D"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148</w:t>
            </w:r>
          </w:p>
        </w:tc>
        <w:tc>
          <w:tcPr>
            <w:tcW w:w="572" w:type="pct"/>
            <w:tcBorders>
              <w:top w:val="single" w:sz="4" w:space="0" w:color="000000"/>
              <w:left w:val="single" w:sz="4" w:space="0" w:color="000000"/>
              <w:bottom w:val="single" w:sz="4" w:space="0" w:color="000000"/>
              <w:right w:val="single" w:sz="4" w:space="0" w:color="000000"/>
            </w:tcBorders>
            <w:hideMark/>
          </w:tcPr>
          <w:p w14:paraId="1F40BB73"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3,31</w:t>
            </w:r>
          </w:p>
        </w:tc>
        <w:tc>
          <w:tcPr>
            <w:tcW w:w="429" w:type="pct"/>
            <w:tcBorders>
              <w:top w:val="single" w:sz="4" w:space="0" w:color="000000"/>
              <w:left w:val="single" w:sz="4" w:space="0" w:color="000000"/>
              <w:bottom w:val="single" w:sz="4" w:space="0" w:color="000000"/>
              <w:right w:val="single" w:sz="4" w:space="0" w:color="000000"/>
            </w:tcBorders>
            <w:hideMark/>
          </w:tcPr>
          <w:p w14:paraId="1163FD94"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2106</w:t>
            </w:r>
          </w:p>
        </w:tc>
        <w:tc>
          <w:tcPr>
            <w:tcW w:w="643" w:type="pct"/>
            <w:tcBorders>
              <w:top w:val="single" w:sz="4" w:space="0" w:color="000000"/>
              <w:left w:val="single" w:sz="4" w:space="0" w:color="000000"/>
              <w:bottom w:val="single" w:sz="4" w:space="0" w:color="000000"/>
              <w:right w:val="single" w:sz="4" w:space="0" w:color="000000"/>
            </w:tcBorders>
            <w:hideMark/>
          </w:tcPr>
          <w:p w14:paraId="4403BF3A"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171</w:t>
            </w:r>
          </w:p>
        </w:tc>
        <w:tc>
          <w:tcPr>
            <w:tcW w:w="572" w:type="pct"/>
            <w:tcBorders>
              <w:top w:val="single" w:sz="4" w:space="0" w:color="000000"/>
              <w:left w:val="single" w:sz="4" w:space="0" w:color="000000"/>
              <w:bottom w:val="single" w:sz="4" w:space="0" w:color="000000"/>
              <w:right w:val="single" w:sz="4" w:space="0" w:color="000000"/>
            </w:tcBorders>
            <w:hideMark/>
          </w:tcPr>
          <w:p w14:paraId="5ECBF134"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3,77</w:t>
            </w:r>
          </w:p>
        </w:tc>
        <w:tc>
          <w:tcPr>
            <w:tcW w:w="928" w:type="pct"/>
            <w:tcBorders>
              <w:top w:val="single" w:sz="4" w:space="0" w:color="000000"/>
              <w:left w:val="single" w:sz="4" w:space="0" w:color="000000"/>
              <w:bottom w:val="single" w:sz="4" w:space="0" w:color="000000"/>
              <w:right w:val="single" w:sz="4" w:space="0" w:color="000000"/>
            </w:tcBorders>
            <w:hideMark/>
          </w:tcPr>
          <w:p w14:paraId="50F14FA0"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0,88 (0,71; 1,10)</w:t>
            </w:r>
          </w:p>
        </w:tc>
      </w:tr>
      <w:tr w:rsidR="00A75091" w:rsidRPr="004D17AE" w14:paraId="4ED4EAFC" w14:textId="77777777" w:rsidTr="00CE778C">
        <w:trPr>
          <w:trHeight w:val="20"/>
        </w:trPr>
        <w:tc>
          <w:tcPr>
            <w:tcW w:w="785" w:type="pct"/>
            <w:tcBorders>
              <w:top w:val="single" w:sz="4" w:space="0" w:color="000000"/>
              <w:left w:val="single" w:sz="4" w:space="0" w:color="000000"/>
              <w:bottom w:val="single" w:sz="4" w:space="0" w:color="000000"/>
              <w:right w:val="single" w:sz="4" w:space="0" w:color="000000"/>
            </w:tcBorders>
            <w:vAlign w:val="center"/>
            <w:hideMark/>
          </w:tcPr>
          <w:p w14:paraId="162FB213" w14:textId="77777777" w:rsidR="00A75091" w:rsidRPr="004D17AE" w:rsidRDefault="00A75091">
            <w:pPr>
              <w:pStyle w:val="TableParagraph"/>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70 til ≤ 90</w:t>
            </w:r>
          </w:p>
        </w:tc>
        <w:tc>
          <w:tcPr>
            <w:tcW w:w="429" w:type="pct"/>
            <w:tcBorders>
              <w:top w:val="single" w:sz="4" w:space="0" w:color="000000"/>
              <w:left w:val="single" w:sz="4" w:space="0" w:color="000000"/>
              <w:bottom w:val="single" w:sz="4" w:space="0" w:color="000000"/>
              <w:right w:val="single" w:sz="4" w:space="0" w:color="000000"/>
            </w:tcBorders>
            <w:hideMark/>
          </w:tcPr>
          <w:p w14:paraId="3ECF4D28"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1661</w:t>
            </w:r>
          </w:p>
        </w:tc>
        <w:tc>
          <w:tcPr>
            <w:tcW w:w="642" w:type="pct"/>
            <w:tcBorders>
              <w:top w:val="single" w:sz="4" w:space="0" w:color="000000"/>
              <w:left w:val="single" w:sz="4" w:space="0" w:color="000000"/>
              <w:bottom w:val="single" w:sz="4" w:space="0" w:color="000000"/>
              <w:right w:val="single" w:sz="4" w:space="0" w:color="000000"/>
            </w:tcBorders>
            <w:hideMark/>
          </w:tcPr>
          <w:p w14:paraId="31CFD199"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108</w:t>
            </w:r>
          </w:p>
        </w:tc>
        <w:tc>
          <w:tcPr>
            <w:tcW w:w="572" w:type="pct"/>
            <w:tcBorders>
              <w:top w:val="single" w:sz="4" w:space="0" w:color="000000"/>
              <w:left w:val="single" w:sz="4" w:space="0" w:color="000000"/>
              <w:bottom w:val="single" w:sz="4" w:space="0" w:color="000000"/>
              <w:right w:val="single" w:sz="4" w:space="0" w:color="000000"/>
            </w:tcBorders>
            <w:hideMark/>
          </w:tcPr>
          <w:p w14:paraId="0CA89ACD"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2,88</w:t>
            </w:r>
          </w:p>
        </w:tc>
        <w:tc>
          <w:tcPr>
            <w:tcW w:w="429" w:type="pct"/>
            <w:tcBorders>
              <w:top w:val="single" w:sz="4" w:space="0" w:color="000000"/>
              <w:left w:val="single" w:sz="4" w:space="0" w:color="000000"/>
              <w:bottom w:val="single" w:sz="4" w:space="0" w:color="000000"/>
              <w:right w:val="single" w:sz="4" w:space="0" w:color="000000"/>
            </w:tcBorders>
            <w:hideMark/>
          </w:tcPr>
          <w:p w14:paraId="3B475123"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1703</w:t>
            </w:r>
          </w:p>
        </w:tc>
        <w:tc>
          <w:tcPr>
            <w:tcW w:w="643" w:type="pct"/>
            <w:tcBorders>
              <w:top w:val="single" w:sz="4" w:space="0" w:color="000000"/>
              <w:left w:val="single" w:sz="4" w:space="0" w:color="000000"/>
              <w:bottom w:val="single" w:sz="4" w:space="0" w:color="000000"/>
              <w:right w:val="single" w:sz="4" w:space="0" w:color="000000"/>
            </w:tcBorders>
            <w:hideMark/>
          </w:tcPr>
          <w:p w14:paraId="3A007B11"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119</w:t>
            </w:r>
          </w:p>
        </w:tc>
        <w:tc>
          <w:tcPr>
            <w:tcW w:w="572" w:type="pct"/>
            <w:tcBorders>
              <w:top w:val="single" w:sz="4" w:space="0" w:color="000000"/>
              <w:left w:val="single" w:sz="4" w:space="0" w:color="000000"/>
              <w:bottom w:val="single" w:sz="4" w:space="0" w:color="000000"/>
              <w:right w:val="single" w:sz="4" w:space="0" w:color="000000"/>
            </w:tcBorders>
            <w:hideMark/>
          </w:tcPr>
          <w:p w14:paraId="3F7DFC5D"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3,08</w:t>
            </w:r>
          </w:p>
        </w:tc>
        <w:tc>
          <w:tcPr>
            <w:tcW w:w="928" w:type="pct"/>
            <w:tcBorders>
              <w:top w:val="single" w:sz="4" w:space="0" w:color="000000"/>
              <w:left w:val="single" w:sz="4" w:space="0" w:color="000000"/>
              <w:bottom w:val="single" w:sz="4" w:space="0" w:color="000000"/>
              <w:right w:val="single" w:sz="4" w:space="0" w:color="000000"/>
            </w:tcBorders>
            <w:hideMark/>
          </w:tcPr>
          <w:p w14:paraId="5F4756AC"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0,93 (0,72; 1,21)</w:t>
            </w:r>
          </w:p>
        </w:tc>
      </w:tr>
      <w:tr w:rsidR="00A75091" w:rsidRPr="004D17AE" w14:paraId="02FB278D" w14:textId="77777777" w:rsidTr="00CE778C">
        <w:trPr>
          <w:trHeight w:val="20"/>
        </w:trPr>
        <w:tc>
          <w:tcPr>
            <w:tcW w:w="785" w:type="pct"/>
            <w:tcBorders>
              <w:top w:val="single" w:sz="4" w:space="0" w:color="000000"/>
              <w:left w:val="single" w:sz="4" w:space="0" w:color="000000"/>
              <w:bottom w:val="single" w:sz="4" w:space="0" w:color="000000"/>
              <w:right w:val="single" w:sz="4" w:space="0" w:color="000000"/>
            </w:tcBorders>
            <w:vAlign w:val="center"/>
            <w:hideMark/>
          </w:tcPr>
          <w:p w14:paraId="5947B1F8" w14:textId="77777777" w:rsidR="00A75091" w:rsidRPr="004D17AE" w:rsidRDefault="00A75091">
            <w:pPr>
              <w:pStyle w:val="TableParagraph"/>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90 til ≤ 110</w:t>
            </w:r>
          </w:p>
        </w:tc>
        <w:tc>
          <w:tcPr>
            <w:tcW w:w="429" w:type="pct"/>
            <w:tcBorders>
              <w:top w:val="single" w:sz="4" w:space="0" w:color="000000"/>
              <w:left w:val="single" w:sz="4" w:space="0" w:color="000000"/>
              <w:bottom w:val="single" w:sz="4" w:space="0" w:color="000000"/>
              <w:right w:val="single" w:sz="4" w:space="0" w:color="000000"/>
            </w:tcBorders>
            <w:hideMark/>
          </w:tcPr>
          <w:p w14:paraId="2E834A91"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927</w:t>
            </w:r>
          </w:p>
        </w:tc>
        <w:tc>
          <w:tcPr>
            <w:tcW w:w="642" w:type="pct"/>
            <w:tcBorders>
              <w:top w:val="single" w:sz="4" w:space="0" w:color="000000"/>
              <w:left w:val="single" w:sz="4" w:space="0" w:color="000000"/>
              <w:bottom w:val="single" w:sz="4" w:space="0" w:color="000000"/>
              <w:right w:val="single" w:sz="4" w:space="0" w:color="000000"/>
            </w:tcBorders>
            <w:hideMark/>
          </w:tcPr>
          <w:p w14:paraId="7DD05D7C"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29</w:t>
            </w:r>
          </w:p>
        </w:tc>
        <w:tc>
          <w:tcPr>
            <w:tcW w:w="572" w:type="pct"/>
            <w:tcBorders>
              <w:top w:val="single" w:sz="4" w:space="0" w:color="000000"/>
              <w:left w:val="single" w:sz="4" w:space="0" w:color="000000"/>
              <w:bottom w:val="single" w:sz="4" w:space="0" w:color="000000"/>
              <w:right w:val="single" w:sz="4" w:space="0" w:color="000000"/>
            </w:tcBorders>
            <w:hideMark/>
          </w:tcPr>
          <w:p w14:paraId="3D9F62D2"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1,33</w:t>
            </w:r>
          </w:p>
        </w:tc>
        <w:tc>
          <w:tcPr>
            <w:tcW w:w="429" w:type="pct"/>
            <w:tcBorders>
              <w:top w:val="single" w:sz="4" w:space="0" w:color="000000"/>
              <w:left w:val="single" w:sz="4" w:space="0" w:color="000000"/>
              <w:bottom w:val="single" w:sz="4" w:space="0" w:color="000000"/>
              <w:right w:val="single" w:sz="4" w:space="0" w:color="000000"/>
            </w:tcBorders>
            <w:hideMark/>
          </w:tcPr>
          <w:p w14:paraId="269EE709"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960</w:t>
            </w:r>
          </w:p>
        </w:tc>
        <w:tc>
          <w:tcPr>
            <w:tcW w:w="643" w:type="pct"/>
            <w:tcBorders>
              <w:top w:val="single" w:sz="4" w:space="0" w:color="000000"/>
              <w:left w:val="single" w:sz="4" w:space="0" w:color="000000"/>
              <w:bottom w:val="single" w:sz="4" w:space="0" w:color="000000"/>
              <w:right w:val="single" w:sz="4" w:space="0" w:color="000000"/>
            </w:tcBorders>
            <w:hideMark/>
          </w:tcPr>
          <w:p w14:paraId="39120874"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56</w:t>
            </w:r>
          </w:p>
        </w:tc>
        <w:tc>
          <w:tcPr>
            <w:tcW w:w="572" w:type="pct"/>
            <w:tcBorders>
              <w:top w:val="single" w:sz="4" w:space="0" w:color="000000"/>
              <w:left w:val="single" w:sz="4" w:space="0" w:color="000000"/>
              <w:bottom w:val="single" w:sz="4" w:space="0" w:color="000000"/>
              <w:right w:val="single" w:sz="4" w:space="0" w:color="000000"/>
            </w:tcBorders>
            <w:hideMark/>
          </w:tcPr>
          <w:p w14:paraId="03DB2F39"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2,48</w:t>
            </w:r>
          </w:p>
        </w:tc>
        <w:tc>
          <w:tcPr>
            <w:tcW w:w="928" w:type="pct"/>
            <w:tcBorders>
              <w:top w:val="single" w:sz="4" w:space="0" w:color="000000"/>
              <w:left w:val="single" w:sz="4" w:space="0" w:color="000000"/>
              <w:bottom w:val="single" w:sz="4" w:space="0" w:color="000000"/>
              <w:right w:val="single" w:sz="4" w:space="0" w:color="000000"/>
            </w:tcBorders>
            <w:hideMark/>
          </w:tcPr>
          <w:p w14:paraId="0AAF5276"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0,54 (0,34; 0,84)</w:t>
            </w:r>
          </w:p>
        </w:tc>
      </w:tr>
      <w:tr w:rsidR="00A75091" w:rsidRPr="004D17AE" w14:paraId="3A5C8B94" w14:textId="77777777" w:rsidTr="00CE778C">
        <w:trPr>
          <w:trHeight w:val="20"/>
        </w:trPr>
        <w:tc>
          <w:tcPr>
            <w:tcW w:w="785" w:type="pct"/>
            <w:tcBorders>
              <w:top w:val="single" w:sz="4" w:space="0" w:color="000000"/>
              <w:left w:val="single" w:sz="4" w:space="0" w:color="000000"/>
              <w:bottom w:val="single" w:sz="4" w:space="0" w:color="000000"/>
              <w:right w:val="single" w:sz="4" w:space="0" w:color="000000"/>
            </w:tcBorders>
            <w:vAlign w:val="center"/>
            <w:hideMark/>
          </w:tcPr>
          <w:p w14:paraId="782905EA" w14:textId="77777777" w:rsidR="00A75091" w:rsidRPr="004D17AE" w:rsidRDefault="00A75091">
            <w:pPr>
              <w:pStyle w:val="TableParagraph"/>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110 til ≤ 130</w:t>
            </w:r>
          </w:p>
        </w:tc>
        <w:tc>
          <w:tcPr>
            <w:tcW w:w="429" w:type="pct"/>
            <w:tcBorders>
              <w:top w:val="single" w:sz="4" w:space="0" w:color="000000"/>
              <w:left w:val="single" w:sz="4" w:space="0" w:color="000000"/>
              <w:bottom w:val="single" w:sz="4" w:space="0" w:color="000000"/>
              <w:right w:val="single" w:sz="4" w:space="0" w:color="000000"/>
            </w:tcBorders>
            <w:hideMark/>
          </w:tcPr>
          <w:p w14:paraId="58D4DCF7"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497</w:t>
            </w:r>
          </w:p>
        </w:tc>
        <w:tc>
          <w:tcPr>
            <w:tcW w:w="642" w:type="pct"/>
            <w:tcBorders>
              <w:top w:val="single" w:sz="4" w:space="0" w:color="000000"/>
              <w:left w:val="single" w:sz="4" w:space="0" w:color="000000"/>
              <w:bottom w:val="single" w:sz="4" w:space="0" w:color="000000"/>
              <w:right w:val="single" w:sz="4" w:space="0" w:color="000000"/>
            </w:tcBorders>
            <w:hideMark/>
          </w:tcPr>
          <w:p w14:paraId="792DE357"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20</w:t>
            </w:r>
          </w:p>
        </w:tc>
        <w:tc>
          <w:tcPr>
            <w:tcW w:w="572" w:type="pct"/>
            <w:tcBorders>
              <w:top w:val="single" w:sz="4" w:space="0" w:color="000000"/>
              <w:left w:val="single" w:sz="4" w:space="0" w:color="000000"/>
              <w:bottom w:val="single" w:sz="4" w:space="0" w:color="000000"/>
              <w:right w:val="single" w:sz="4" w:space="0" w:color="000000"/>
            </w:tcBorders>
            <w:hideMark/>
          </w:tcPr>
          <w:p w14:paraId="70778B38"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1,70</w:t>
            </w:r>
          </w:p>
        </w:tc>
        <w:tc>
          <w:tcPr>
            <w:tcW w:w="429" w:type="pct"/>
            <w:tcBorders>
              <w:top w:val="single" w:sz="4" w:space="0" w:color="000000"/>
              <w:left w:val="single" w:sz="4" w:space="0" w:color="000000"/>
              <w:bottom w:val="single" w:sz="4" w:space="0" w:color="000000"/>
              <w:right w:val="single" w:sz="4" w:space="0" w:color="000000"/>
            </w:tcBorders>
            <w:hideMark/>
          </w:tcPr>
          <w:p w14:paraId="3524E50C"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469</w:t>
            </w:r>
          </w:p>
        </w:tc>
        <w:tc>
          <w:tcPr>
            <w:tcW w:w="643" w:type="pct"/>
            <w:tcBorders>
              <w:top w:val="single" w:sz="4" w:space="0" w:color="000000"/>
              <w:left w:val="single" w:sz="4" w:space="0" w:color="000000"/>
              <w:bottom w:val="single" w:sz="4" w:space="0" w:color="000000"/>
              <w:right w:val="single" w:sz="4" w:space="0" w:color="000000"/>
            </w:tcBorders>
            <w:hideMark/>
          </w:tcPr>
          <w:p w14:paraId="6373C105"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24</w:t>
            </w:r>
          </w:p>
        </w:tc>
        <w:tc>
          <w:tcPr>
            <w:tcW w:w="572" w:type="pct"/>
            <w:tcBorders>
              <w:top w:val="single" w:sz="4" w:space="0" w:color="000000"/>
              <w:left w:val="single" w:sz="4" w:space="0" w:color="000000"/>
              <w:bottom w:val="single" w:sz="4" w:space="0" w:color="000000"/>
              <w:right w:val="single" w:sz="4" w:space="0" w:color="000000"/>
            </w:tcBorders>
            <w:hideMark/>
          </w:tcPr>
          <w:p w14:paraId="6AC0B77A"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2,14</w:t>
            </w:r>
          </w:p>
        </w:tc>
        <w:tc>
          <w:tcPr>
            <w:tcW w:w="928" w:type="pct"/>
            <w:tcBorders>
              <w:top w:val="single" w:sz="4" w:space="0" w:color="000000"/>
              <w:left w:val="single" w:sz="4" w:space="0" w:color="000000"/>
              <w:bottom w:val="single" w:sz="4" w:space="0" w:color="000000"/>
              <w:right w:val="single" w:sz="4" w:space="0" w:color="000000"/>
            </w:tcBorders>
            <w:hideMark/>
          </w:tcPr>
          <w:p w14:paraId="7E4BBB47"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0,79 (0,44; 1,42)</w:t>
            </w:r>
          </w:p>
        </w:tc>
      </w:tr>
      <w:tr w:rsidR="00A75091" w:rsidRPr="004D17AE" w14:paraId="10B0B668" w14:textId="77777777" w:rsidTr="00CE778C">
        <w:trPr>
          <w:trHeight w:val="20"/>
        </w:trPr>
        <w:tc>
          <w:tcPr>
            <w:tcW w:w="785" w:type="pct"/>
            <w:tcBorders>
              <w:top w:val="single" w:sz="4" w:space="0" w:color="000000"/>
              <w:left w:val="single" w:sz="4" w:space="0" w:color="000000"/>
              <w:bottom w:val="single" w:sz="4" w:space="0" w:color="000000"/>
              <w:right w:val="single" w:sz="4" w:space="0" w:color="000000"/>
            </w:tcBorders>
            <w:vAlign w:val="center"/>
            <w:hideMark/>
          </w:tcPr>
          <w:p w14:paraId="0B637F1E" w14:textId="77777777" w:rsidR="00A75091" w:rsidRPr="004D17AE" w:rsidRDefault="00A75091">
            <w:pPr>
              <w:pStyle w:val="TableParagraph"/>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130</w:t>
            </w:r>
          </w:p>
        </w:tc>
        <w:tc>
          <w:tcPr>
            <w:tcW w:w="429" w:type="pct"/>
            <w:tcBorders>
              <w:top w:val="single" w:sz="4" w:space="0" w:color="000000"/>
              <w:left w:val="single" w:sz="4" w:space="0" w:color="000000"/>
              <w:bottom w:val="single" w:sz="4" w:space="0" w:color="000000"/>
              <w:right w:val="single" w:sz="4" w:space="0" w:color="000000"/>
            </w:tcBorders>
            <w:hideMark/>
          </w:tcPr>
          <w:p w14:paraId="031046EB"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462</w:t>
            </w:r>
          </w:p>
        </w:tc>
        <w:tc>
          <w:tcPr>
            <w:tcW w:w="642" w:type="pct"/>
            <w:tcBorders>
              <w:top w:val="single" w:sz="4" w:space="0" w:color="000000"/>
              <w:left w:val="single" w:sz="4" w:space="0" w:color="000000"/>
              <w:bottom w:val="single" w:sz="4" w:space="0" w:color="000000"/>
              <w:right w:val="single" w:sz="4" w:space="0" w:color="000000"/>
            </w:tcBorders>
            <w:hideMark/>
          </w:tcPr>
          <w:p w14:paraId="227D4E82"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13</w:t>
            </w:r>
          </w:p>
        </w:tc>
        <w:tc>
          <w:tcPr>
            <w:tcW w:w="572" w:type="pct"/>
            <w:tcBorders>
              <w:top w:val="single" w:sz="4" w:space="0" w:color="000000"/>
              <w:left w:val="single" w:sz="4" w:space="0" w:color="000000"/>
              <w:bottom w:val="single" w:sz="4" w:space="0" w:color="000000"/>
              <w:right w:val="single" w:sz="4" w:space="0" w:color="000000"/>
            </w:tcBorders>
            <w:hideMark/>
          </w:tcPr>
          <w:p w14:paraId="3C39A05B"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1,18</w:t>
            </w:r>
          </w:p>
        </w:tc>
        <w:tc>
          <w:tcPr>
            <w:tcW w:w="429" w:type="pct"/>
            <w:tcBorders>
              <w:top w:val="single" w:sz="4" w:space="0" w:color="000000"/>
              <w:left w:val="single" w:sz="4" w:space="0" w:color="000000"/>
              <w:bottom w:val="single" w:sz="4" w:space="0" w:color="000000"/>
              <w:right w:val="single" w:sz="4" w:space="0" w:color="000000"/>
            </w:tcBorders>
            <w:hideMark/>
          </w:tcPr>
          <w:p w14:paraId="09C98659"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418</w:t>
            </w:r>
          </w:p>
        </w:tc>
        <w:tc>
          <w:tcPr>
            <w:tcW w:w="643" w:type="pct"/>
            <w:tcBorders>
              <w:top w:val="single" w:sz="4" w:space="0" w:color="000000"/>
              <w:left w:val="single" w:sz="4" w:space="0" w:color="000000"/>
              <w:bottom w:val="single" w:sz="4" w:space="0" w:color="000000"/>
              <w:right w:val="single" w:sz="4" w:space="0" w:color="000000"/>
            </w:tcBorders>
            <w:hideMark/>
          </w:tcPr>
          <w:p w14:paraId="1333BC28"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21</w:t>
            </w:r>
          </w:p>
        </w:tc>
        <w:tc>
          <w:tcPr>
            <w:tcW w:w="572" w:type="pct"/>
            <w:tcBorders>
              <w:top w:val="single" w:sz="4" w:space="0" w:color="000000"/>
              <w:left w:val="single" w:sz="4" w:space="0" w:color="000000"/>
              <w:bottom w:val="single" w:sz="4" w:space="0" w:color="000000"/>
              <w:right w:val="single" w:sz="4" w:space="0" w:color="000000"/>
            </w:tcBorders>
            <w:hideMark/>
          </w:tcPr>
          <w:p w14:paraId="42C60A5F"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2,08</w:t>
            </w:r>
          </w:p>
        </w:tc>
        <w:tc>
          <w:tcPr>
            <w:tcW w:w="928" w:type="pct"/>
            <w:tcBorders>
              <w:top w:val="single" w:sz="4" w:space="0" w:color="000000"/>
              <w:left w:val="single" w:sz="4" w:space="0" w:color="000000"/>
              <w:bottom w:val="single" w:sz="4" w:space="0" w:color="000000"/>
              <w:right w:val="single" w:sz="4" w:space="0" w:color="000000"/>
            </w:tcBorders>
            <w:hideMark/>
          </w:tcPr>
          <w:p w14:paraId="4288AF0F"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0,58 (0,29; 1,15)</w:t>
            </w:r>
          </w:p>
        </w:tc>
      </w:tr>
    </w:tbl>
    <w:p w14:paraId="66527318" w14:textId="77777777" w:rsidR="00A75091" w:rsidRPr="00CE778C" w:rsidRDefault="00A75091" w:rsidP="00A75091">
      <w:pPr>
        <w:pStyle w:val="Brdtekst"/>
        <w:widowControl/>
        <w:suppressAutoHyphens/>
        <w:kinsoku w:val="0"/>
        <w:overflowPunct w:val="0"/>
        <w:ind w:left="0"/>
      </w:pPr>
    </w:p>
    <w:p w14:paraId="6676B46B" w14:textId="77777777" w:rsidR="00A75091" w:rsidRPr="00CE778C" w:rsidRDefault="00A75091" w:rsidP="00A75091">
      <w:pPr>
        <w:pStyle w:val="Brdtekst"/>
        <w:suppressAutoHyphens/>
        <w:kinsoku w:val="0"/>
        <w:overflowPunct w:val="0"/>
        <w:ind w:left="0"/>
        <w:rPr>
          <w:b/>
          <w:bCs/>
        </w:rPr>
      </w:pPr>
      <w:r w:rsidRPr="00CE778C">
        <w:rPr>
          <w:b/>
          <w:bCs/>
        </w:rPr>
        <w:t>Tabel 8: Antal dødelige blødningshændelser pr. CrCl-kategori i ENGAGE AF-TIMI 48,</w:t>
      </w:r>
    </w:p>
    <w:p w14:paraId="72F44FEC" w14:textId="77777777" w:rsidR="00A75091" w:rsidRPr="00CE778C" w:rsidRDefault="00A75091" w:rsidP="00A75091">
      <w:pPr>
        <w:pStyle w:val="Brdtekst"/>
        <w:widowControl/>
        <w:suppressAutoHyphens/>
        <w:kinsoku w:val="0"/>
        <w:overflowPunct w:val="0"/>
        <w:ind w:left="0"/>
        <w:rPr>
          <w:b/>
          <w:bCs/>
          <w:vertAlign w:val="superscript"/>
        </w:rPr>
      </w:pPr>
      <w:r w:rsidRPr="00CE778C">
        <w:rPr>
          <w:b/>
          <w:bCs/>
        </w:rPr>
        <w:t>sikkerhedsanalyse under behandling</w:t>
      </w:r>
      <w:r w:rsidRPr="00CE778C">
        <w:rPr>
          <w:b/>
          <w:bCs/>
          <w:vertAlign w:val="superscript"/>
        </w:rPr>
        <w:t>a</w:t>
      </w:r>
    </w:p>
    <w:p w14:paraId="21AB15E2" w14:textId="77777777" w:rsidR="00A75091" w:rsidRPr="00CE778C" w:rsidRDefault="00A75091" w:rsidP="00A75091">
      <w:pPr>
        <w:pStyle w:val="Brdtekst"/>
        <w:widowControl/>
        <w:suppressAutoHyphens/>
        <w:kinsoku w:val="0"/>
        <w:overflowPunct w:val="0"/>
        <w:ind w:left="0"/>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91"/>
        <w:gridCol w:w="678"/>
        <w:gridCol w:w="1221"/>
        <w:gridCol w:w="1356"/>
        <w:gridCol w:w="678"/>
        <w:gridCol w:w="1221"/>
        <w:gridCol w:w="1221"/>
        <w:gridCol w:w="1762"/>
      </w:tblGrid>
      <w:tr w:rsidR="00A75091" w:rsidRPr="004D17AE" w14:paraId="775DD6F0" w14:textId="77777777" w:rsidTr="00CE778C">
        <w:trPr>
          <w:trHeight w:val="558"/>
        </w:trPr>
        <w:tc>
          <w:tcPr>
            <w:tcW w:w="775" w:type="pct"/>
            <w:vMerge w:val="restart"/>
            <w:tcBorders>
              <w:top w:val="single" w:sz="4" w:space="0" w:color="000000"/>
              <w:left w:val="single" w:sz="4" w:space="0" w:color="000000"/>
              <w:bottom w:val="single" w:sz="4" w:space="0" w:color="000000"/>
              <w:right w:val="single" w:sz="4" w:space="0" w:color="000000"/>
            </w:tcBorders>
            <w:shd w:val="clear" w:color="auto" w:fill="DADADA"/>
            <w:hideMark/>
          </w:tcPr>
          <w:p w14:paraId="3B735066"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CrCl-undergruppe</w:t>
            </w:r>
          </w:p>
          <w:p w14:paraId="51E035F7"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(ml/min.)</w:t>
            </w:r>
          </w:p>
        </w:tc>
        <w:tc>
          <w:tcPr>
            <w:tcW w:w="1690" w:type="pct"/>
            <w:gridSpan w:val="3"/>
            <w:tcBorders>
              <w:top w:val="single" w:sz="4" w:space="0" w:color="000000"/>
              <w:left w:val="single" w:sz="4" w:space="0" w:color="000000"/>
              <w:bottom w:val="single" w:sz="4" w:space="0" w:color="000000"/>
              <w:right w:val="single" w:sz="4" w:space="0" w:color="000000"/>
            </w:tcBorders>
            <w:shd w:val="clear" w:color="auto" w:fill="DADADA"/>
            <w:hideMark/>
          </w:tcPr>
          <w:p w14:paraId="21832790"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Edoxaban 60 mg</w:t>
            </w:r>
          </w:p>
          <w:p w14:paraId="3F918931"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(N = 7012)</w:t>
            </w:r>
          </w:p>
        </w:tc>
        <w:tc>
          <w:tcPr>
            <w:tcW w:w="1620" w:type="pct"/>
            <w:gridSpan w:val="3"/>
            <w:tcBorders>
              <w:top w:val="single" w:sz="4" w:space="0" w:color="000000"/>
              <w:left w:val="single" w:sz="4" w:space="0" w:color="000000"/>
              <w:bottom w:val="single" w:sz="4" w:space="0" w:color="000000"/>
              <w:right w:val="single" w:sz="4" w:space="0" w:color="000000"/>
            </w:tcBorders>
            <w:shd w:val="clear" w:color="auto" w:fill="DADADA"/>
            <w:hideMark/>
          </w:tcPr>
          <w:p w14:paraId="4D48FA63"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Warfarin</w:t>
            </w:r>
          </w:p>
          <w:p w14:paraId="03BA7CCA"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(N = 7012)</w:t>
            </w:r>
          </w:p>
        </w:tc>
        <w:tc>
          <w:tcPr>
            <w:tcW w:w="915" w:type="pct"/>
            <w:tcBorders>
              <w:top w:val="single" w:sz="4" w:space="0" w:color="000000"/>
              <w:left w:val="single" w:sz="4" w:space="0" w:color="000000"/>
              <w:bottom w:val="single" w:sz="4" w:space="0" w:color="000000"/>
              <w:right w:val="single" w:sz="4" w:space="0" w:color="000000"/>
            </w:tcBorders>
            <w:shd w:val="clear" w:color="auto" w:fill="DADADA"/>
          </w:tcPr>
          <w:p w14:paraId="2451F62D" w14:textId="77777777" w:rsidR="00A75091" w:rsidRPr="004D17AE" w:rsidRDefault="00A75091">
            <w:pPr>
              <w:pStyle w:val="TableParagraph"/>
              <w:keepNext/>
              <w:ind w:left="57" w:right="57"/>
              <w:jc w:val="center"/>
              <w:rPr>
                <w:rFonts w:ascii="Times New Roman" w:hAnsi="Times New Roman" w:cs="Times New Roman"/>
                <w:sz w:val="22"/>
                <w:szCs w:val="22"/>
                <w:lang w:eastAsia="en-US"/>
              </w:rPr>
            </w:pPr>
          </w:p>
        </w:tc>
      </w:tr>
      <w:tr w:rsidR="00A75091" w:rsidRPr="004D17AE" w14:paraId="4828FD30" w14:textId="77777777" w:rsidTr="00CE778C">
        <w:trPr>
          <w:trHeight w:val="680"/>
        </w:trPr>
        <w:tc>
          <w:tcPr>
            <w:tcW w:w="775" w:type="pct"/>
            <w:vMerge/>
            <w:tcBorders>
              <w:top w:val="single" w:sz="4" w:space="0" w:color="000000"/>
              <w:left w:val="single" w:sz="4" w:space="0" w:color="000000"/>
              <w:bottom w:val="single" w:sz="4" w:space="0" w:color="000000"/>
              <w:right w:val="single" w:sz="4" w:space="0" w:color="000000"/>
            </w:tcBorders>
            <w:vAlign w:val="center"/>
            <w:hideMark/>
          </w:tcPr>
          <w:p w14:paraId="660BB709" w14:textId="77777777" w:rsidR="00A75091" w:rsidRPr="004D17AE" w:rsidRDefault="00A75091">
            <w:pPr>
              <w:rPr>
                <w:rFonts w:ascii="Times New Roman" w:hAnsi="Times New Roman" w:cs="Times New Roman"/>
                <w:b/>
                <w:sz w:val="22"/>
              </w:rPr>
            </w:pPr>
          </w:p>
        </w:tc>
        <w:tc>
          <w:tcPr>
            <w:tcW w:w="352" w:type="pct"/>
            <w:tcBorders>
              <w:top w:val="single" w:sz="4" w:space="0" w:color="000000"/>
              <w:left w:val="single" w:sz="4" w:space="0" w:color="000000"/>
              <w:bottom w:val="single" w:sz="4" w:space="0" w:color="000000"/>
              <w:right w:val="single" w:sz="4" w:space="0" w:color="000000"/>
            </w:tcBorders>
            <w:shd w:val="clear" w:color="auto" w:fill="DADADA"/>
            <w:hideMark/>
          </w:tcPr>
          <w:p w14:paraId="6A79CC3A"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n</w:t>
            </w:r>
          </w:p>
        </w:tc>
        <w:tc>
          <w:tcPr>
            <w:tcW w:w="634" w:type="pct"/>
            <w:tcBorders>
              <w:top w:val="single" w:sz="4" w:space="0" w:color="000000"/>
              <w:left w:val="single" w:sz="4" w:space="0" w:color="000000"/>
              <w:bottom w:val="single" w:sz="4" w:space="0" w:color="000000"/>
              <w:right w:val="single" w:sz="4" w:space="0" w:color="000000"/>
            </w:tcBorders>
            <w:shd w:val="clear" w:color="auto" w:fill="DADADA"/>
            <w:hideMark/>
          </w:tcPr>
          <w:p w14:paraId="5D9CC5DA" w14:textId="77777777" w:rsidR="00A75091" w:rsidRPr="004D17AE" w:rsidRDefault="00A75091">
            <w:pPr>
              <w:pStyle w:val="TableParagraph"/>
              <w:keepNext/>
              <w:ind w:left="57" w:right="57"/>
              <w:jc w:val="center"/>
              <w:rPr>
                <w:rFonts w:ascii="Times New Roman" w:hAnsi="Times New Roman" w:cs="Times New Roman"/>
                <w:b/>
                <w:bCs/>
                <w:sz w:val="22"/>
                <w:szCs w:val="22"/>
                <w:lang w:eastAsia="en-US"/>
              </w:rPr>
            </w:pPr>
            <w:r w:rsidRPr="004D17AE">
              <w:rPr>
                <w:rFonts w:ascii="Times New Roman" w:hAnsi="Times New Roman" w:cs="Times New Roman"/>
                <w:b/>
                <w:bCs/>
                <w:sz w:val="22"/>
                <w:szCs w:val="22"/>
                <w:lang w:eastAsia="en-US"/>
              </w:rPr>
              <w:t>Antal</w:t>
            </w:r>
          </w:p>
          <w:p w14:paraId="625F34E7"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bCs/>
                <w:sz w:val="22"/>
                <w:szCs w:val="22"/>
                <w:lang w:eastAsia="en-US"/>
              </w:rPr>
              <w:t>hændelser</w:t>
            </w:r>
          </w:p>
        </w:tc>
        <w:tc>
          <w:tcPr>
            <w:tcW w:w="704" w:type="pct"/>
            <w:tcBorders>
              <w:top w:val="single" w:sz="4" w:space="0" w:color="000000"/>
              <w:left w:val="single" w:sz="4" w:space="0" w:color="000000"/>
              <w:bottom w:val="single" w:sz="4" w:space="0" w:color="000000"/>
              <w:right w:val="single" w:sz="4" w:space="0" w:color="000000"/>
            </w:tcBorders>
            <w:shd w:val="clear" w:color="auto" w:fill="DADADA"/>
            <w:hideMark/>
          </w:tcPr>
          <w:p w14:paraId="797D73A8" w14:textId="77777777" w:rsidR="00A75091" w:rsidRPr="004D17AE" w:rsidRDefault="00A75091">
            <w:pPr>
              <w:pStyle w:val="TableParagraph"/>
              <w:keepNext/>
              <w:ind w:left="57" w:right="57"/>
              <w:jc w:val="center"/>
              <w:rPr>
                <w:rFonts w:ascii="Times New Roman" w:hAnsi="Times New Roman" w:cs="Times New Roman"/>
                <w:b/>
                <w:bCs/>
                <w:sz w:val="22"/>
                <w:szCs w:val="22"/>
                <w:lang w:eastAsia="en-US"/>
              </w:rPr>
            </w:pPr>
            <w:r w:rsidRPr="004D17AE">
              <w:rPr>
                <w:rFonts w:ascii="Times New Roman" w:hAnsi="Times New Roman" w:cs="Times New Roman"/>
                <w:b/>
                <w:bCs/>
                <w:sz w:val="22"/>
                <w:szCs w:val="22"/>
                <w:lang w:eastAsia="en-US"/>
              </w:rPr>
              <w:t>Hændelses-rate</w:t>
            </w:r>
          </w:p>
          <w:p w14:paraId="5CCAE9E4"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bCs/>
                <w:sz w:val="22"/>
                <w:szCs w:val="22"/>
                <w:lang w:eastAsia="en-US"/>
              </w:rPr>
              <w:t>(%/år)</w:t>
            </w:r>
          </w:p>
        </w:tc>
        <w:tc>
          <w:tcPr>
            <w:tcW w:w="352" w:type="pct"/>
            <w:tcBorders>
              <w:top w:val="single" w:sz="4" w:space="0" w:color="000000"/>
              <w:left w:val="single" w:sz="4" w:space="0" w:color="000000"/>
              <w:bottom w:val="single" w:sz="4" w:space="0" w:color="000000"/>
              <w:right w:val="single" w:sz="4" w:space="0" w:color="000000"/>
            </w:tcBorders>
            <w:shd w:val="clear" w:color="auto" w:fill="DADADA"/>
            <w:hideMark/>
          </w:tcPr>
          <w:p w14:paraId="6F7BC563"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n</w:t>
            </w:r>
          </w:p>
        </w:tc>
        <w:tc>
          <w:tcPr>
            <w:tcW w:w="634" w:type="pct"/>
            <w:tcBorders>
              <w:top w:val="single" w:sz="4" w:space="0" w:color="000000"/>
              <w:left w:val="single" w:sz="4" w:space="0" w:color="000000"/>
              <w:bottom w:val="single" w:sz="4" w:space="0" w:color="000000"/>
              <w:right w:val="single" w:sz="4" w:space="0" w:color="000000"/>
            </w:tcBorders>
            <w:shd w:val="clear" w:color="auto" w:fill="DADADA"/>
            <w:hideMark/>
          </w:tcPr>
          <w:p w14:paraId="7A5066F0" w14:textId="77777777" w:rsidR="00A75091" w:rsidRPr="004D17AE" w:rsidRDefault="00A75091">
            <w:pPr>
              <w:pStyle w:val="TableParagraph"/>
              <w:keepNext/>
              <w:ind w:left="57" w:right="57"/>
              <w:jc w:val="center"/>
              <w:rPr>
                <w:rFonts w:ascii="Times New Roman" w:hAnsi="Times New Roman" w:cs="Times New Roman"/>
                <w:b/>
                <w:bCs/>
                <w:sz w:val="22"/>
                <w:szCs w:val="22"/>
                <w:lang w:eastAsia="en-US"/>
              </w:rPr>
            </w:pPr>
            <w:r w:rsidRPr="004D17AE">
              <w:rPr>
                <w:rFonts w:ascii="Times New Roman" w:hAnsi="Times New Roman" w:cs="Times New Roman"/>
                <w:b/>
                <w:bCs/>
                <w:sz w:val="22"/>
                <w:szCs w:val="22"/>
                <w:lang w:eastAsia="en-US"/>
              </w:rPr>
              <w:t>Antal</w:t>
            </w:r>
          </w:p>
          <w:p w14:paraId="798A0EAD"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bCs/>
                <w:sz w:val="22"/>
                <w:szCs w:val="22"/>
                <w:lang w:eastAsia="en-US"/>
              </w:rPr>
              <w:t>hændelser</w:t>
            </w:r>
          </w:p>
        </w:tc>
        <w:tc>
          <w:tcPr>
            <w:tcW w:w="634" w:type="pct"/>
            <w:tcBorders>
              <w:top w:val="single" w:sz="4" w:space="0" w:color="000000"/>
              <w:left w:val="single" w:sz="4" w:space="0" w:color="000000"/>
              <w:bottom w:val="single" w:sz="4" w:space="0" w:color="000000"/>
              <w:right w:val="single" w:sz="4" w:space="0" w:color="000000"/>
            </w:tcBorders>
            <w:shd w:val="clear" w:color="auto" w:fill="DADADA"/>
            <w:hideMark/>
          </w:tcPr>
          <w:p w14:paraId="40620F0A" w14:textId="77777777" w:rsidR="00A75091" w:rsidRPr="004D17AE" w:rsidRDefault="00A75091">
            <w:pPr>
              <w:pStyle w:val="TableParagraph"/>
              <w:keepNext/>
              <w:ind w:left="57" w:right="57"/>
              <w:jc w:val="center"/>
              <w:rPr>
                <w:rFonts w:ascii="Times New Roman" w:hAnsi="Times New Roman" w:cs="Times New Roman"/>
                <w:b/>
                <w:bCs/>
                <w:sz w:val="22"/>
                <w:szCs w:val="22"/>
                <w:lang w:eastAsia="en-US"/>
              </w:rPr>
            </w:pPr>
            <w:r w:rsidRPr="004D17AE">
              <w:rPr>
                <w:rFonts w:ascii="Times New Roman" w:hAnsi="Times New Roman" w:cs="Times New Roman"/>
                <w:b/>
                <w:bCs/>
                <w:sz w:val="22"/>
                <w:szCs w:val="22"/>
                <w:lang w:eastAsia="en-US"/>
              </w:rPr>
              <w:t>Hændelses-rate</w:t>
            </w:r>
          </w:p>
          <w:p w14:paraId="0CE7C6C8"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bCs/>
                <w:sz w:val="22"/>
                <w:szCs w:val="22"/>
                <w:lang w:eastAsia="en-US"/>
              </w:rPr>
              <w:t>(%/år)</w:t>
            </w:r>
          </w:p>
        </w:tc>
        <w:tc>
          <w:tcPr>
            <w:tcW w:w="915" w:type="pct"/>
            <w:tcBorders>
              <w:top w:val="single" w:sz="4" w:space="0" w:color="000000"/>
              <w:left w:val="single" w:sz="4" w:space="0" w:color="000000"/>
              <w:bottom w:val="single" w:sz="4" w:space="0" w:color="000000"/>
              <w:right w:val="single" w:sz="4" w:space="0" w:color="000000"/>
            </w:tcBorders>
            <w:shd w:val="clear" w:color="auto" w:fill="DADADA"/>
            <w:hideMark/>
          </w:tcPr>
          <w:p w14:paraId="32C19975"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HR (95% CI)</w:t>
            </w:r>
          </w:p>
        </w:tc>
      </w:tr>
      <w:tr w:rsidR="00A75091" w:rsidRPr="004D17AE" w14:paraId="64BBA7BA" w14:textId="77777777" w:rsidTr="00CE778C">
        <w:trPr>
          <w:trHeight w:val="20"/>
        </w:trPr>
        <w:tc>
          <w:tcPr>
            <w:tcW w:w="775" w:type="pct"/>
            <w:tcBorders>
              <w:top w:val="single" w:sz="4" w:space="0" w:color="000000"/>
              <w:left w:val="single" w:sz="4" w:space="0" w:color="000000"/>
              <w:bottom w:val="single" w:sz="4" w:space="0" w:color="000000"/>
              <w:right w:val="single" w:sz="4" w:space="0" w:color="000000"/>
            </w:tcBorders>
            <w:vAlign w:val="center"/>
            <w:hideMark/>
          </w:tcPr>
          <w:p w14:paraId="6785F28D" w14:textId="77777777" w:rsidR="00A75091" w:rsidRPr="004D17AE" w:rsidRDefault="00A75091">
            <w:pPr>
              <w:pStyle w:val="TableParagraph"/>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 30 til ≤ 50</w:t>
            </w:r>
          </w:p>
        </w:tc>
        <w:tc>
          <w:tcPr>
            <w:tcW w:w="352" w:type="pct"/>
            <w:tcBorders>
              <w:top w:val="single" w:sz="4" w:space="0" w:color="000000"/>
              <w:left w:val="single" w:sz="4" w:space="0" w:color="000000"/>
              <w:bottom w:val="single" w:sz="4" w:space="0" w:color="000000"/>
              <w:right w:val="single" w:sz="4" w:space="0" w:color="000000"/>
            </w:tcBorders>
            <w:hideMark/>
          </w:tcPr>
          <w:p w14:paraId="18B6FC71"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1302</w:t>
            </w:r>
          </w:p>
        </w:tc>
        <w:tc>
          <w:tcPr>
            <w:tcW w:w="634" w:type="pct"/>
            <w:tcBorders>
              <w:top w:val="single" w:sz="4" w:space="0" w:color="000000"/>
              <w:left w:val="single" w:sz="4" w:space="0" w:color="000000"/>
              <w:bottom w:val="single" w:sz="4" w:space="0" w:color="000000"/>
              <w:right w:val="single" w:sz="4" w:space="0" w:color="000000"/>
            </w:tcBorders>
            <w:hideMark/>
          </w:tcPr>
          <w:p w14:paraId="3EFF4023"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9</w:t>
            </w:r>
          </w:p>
        </w:tc>
        <w:tc>
          <w:tcPr>
            <w:tcW w:w="704" w:type="pct"/>
            <w:tcBorders>
              <w:top w:val="single" w:sz="4" w:space="0" w:color="000000"/>
              <w:left w:val="single" w:sz="4" w:space="0" w:color="000000"/>
              <w:bottom w:val="single" w:sz="4" w:space="0" w:color="000000"/>
              <w:right w:val="single" w:sz="4" w:space="0" w:color="000000"/>
            </w:tcBorders>
            <w:hideMark/>
          </w:tcPr>
          <w:p w14:paraId="614C4452"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0,36</w:t>
            </w:r>
          </w:p>
        </w:tc>
        <w:tc>
          <w:tcPr>
            <w:tcW w:w="352" w:type="pct"/>
            <w:tcBorders>
              <w:top w:val="single" w:sz="4" w:space="0" w:color="000000"/>
              <w:left w:val="single" w:sz="4" w:space="0" w:color="000000"/>
              <w:bottom w:val="single" w:sz="4" w:space="0" w:color="000000"/>
              <w:right w:val="single" w:sz="4" w:space="0" w:color="000000"/>
            </w:tcBorders>
            <w:hideMark/>
          </w:tcPr>
          <w:p w14:paraId="45E5F42D"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1305</w:t>
            </w:r>
          </w:p>
        </w:tc>
        <w:tc>
          <w:tcPr>
            <w:tcW w:w="634" w:type="pct"/>
            <w:tcBorders>
              <w:top w:val="single" w:sz="4" w:space="0" w:color="000000"/>
              <w:left w:val="single" w:sz="4" w:space="0" w:color="000000"/>
              <w:bottom w:val="single" w:sz="4" w:space="0" w:color="000000"/>
              <w:right w:val="single" w:sz="4" w:space="0" w:color="000000"/>
            </w:tcBorders>
            <w:hideMark/>
          </w:tcPr>
          <w:p w14:paraId="21D53BE4"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18</w:t>
            </w:r>
          </w:p>
        </w:tc>
        <w:tc>
          <w:tcPr>
            <w:tcW w:w="634" w:type="pct"/>
            <w:tcBorders>
              <w:top w:val="single" w:sz="4" w:space="0" w:color="000000"/>
              <w:left w:val="single" w:sz="4" w:space="0" w:color="000000"/>
              <w:bottom w:val="single" w:sz="4" w:space="0" w:color="000000"/>
              <w:right w:val="single" w:sz="4" w:space="0" w:color="000000"/>
            </w:tcBorders>
            <w:hideMark/>
          </w:tcPr>
          <w:p w14:paraId="0C674FA1"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0,72</w:t>
            </w:r>
          </w:p>
        </w:tc>
        <w:tc>
          <w:tcPr>
            <w:tcW w:w="915" w:type="pct"/>
            <w:tcBorders>
              <w:top w:val="single" w:sz="4" w:space="0" w:color="000000"/>
              <w:left w:val="single" w:sz="4" w:space="0" w:color="000000"/>
              <w:bottom w:val="single" w:sz="4" w:space="0" w:color="000000"/>
              <w:right w:val="single" w:sz="4" w:space="0" w:color="000000"/>
            </w:tcBorders>
            <w:hideMark/>
          </w:tcPr>
          <w:p w14:paraId="726696FF"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0,51 (0,23; 1,14)</w:t>
            </w:r>
          </w:p>
        </w:tc>
      </w:tr>
      <w:tr w:rsidR="00A75091" w:rsidRPr="004D17AE" w14:paraId="6FEE563D" w14:textId="77777777" w:rsidTr="00CE778C">
        <w:trPr>
          <w:trHeight w:val="20"/>
        </w:trPr>
        <w:tc>
          <w:tcPr>
            <w:tcW w:w="775" w:type="pct"/>
            <w:tcBorders>
              <w:top w:val="single" w:sz="4" w:space="0" w:color="000000"/>
              <w:left w:val="single" w:sz="4" w:space="0" w:color="000000"/>
              <w:bottom w:val="single" w:sz="4" w:space="0" w:color="000000"/>
              <w:right w:val="single" w:sz="4" w:space="0" w:color="000000"/>
            </w:tcBorders>
            <w:vAlign w:val="center"/>
            <w:hideMark/>
          </w:tcPr>
          <w:p w14:paraId="0E1E646A" w14:textId="77777777" w:rsidR="00A75091" w:rsidRPr="004D17AE" w:rsidRDefault="00A75091">
            <w:pPr>
              <w:pStyle w:val="TableParagraph"/>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50 til ≤ 70</w:t>
            </w:r>
          </w:p>
        </w:tc>
        <w:tc>
          <w:tcPr>
            <w:tcW w:w="352" w:type="pct"/>
            <w:tcBorders>
              <w:top w:val="single" w:sz="4" w:space="0" w:color="000000"/>
              <w:left w:val="single" w:sz="4" w:space="0" w:color="000000"/>
              <w:bottom w:val="single" w:sz="4" w:space="0" w:color="000000"/>
              <w:right w:val="single" w:sz="4" w:space="0" w:color="000000"/>
            </w:tcBorders>
            <w:hideMark/>
          </w:tcPr>
          <w:p w14:paraId="3EFEE1D1"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2093</w:t>
            </w:r>
          </w:p>
        </w:tc>
        <w:tc>
          <w:tcPr>
            <w:tcW w:w="634" w:type="pct"/>
            <w:tcBorders>
              <w:top w:val="single" w:sz="4" w:space="0" w:color="000000"/>
              <w:left w:val="single" w:sz="4" w:space="0" w:color="000000"/>
              <w:bottom w:val="single" w:sz="4" w:space="0" w:color="000000"/>
              <w:right w:val="single" w:sz="4" w:space="0" w:color="000000"/>
            </w:tcBorders>
            <w:hideMark/>
          </w:tcPr>
          <w:p w14:paraId="5329E850"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8</w:t>
            </w:r>
          </w:p>
        </w:tc>
        <w:tc>
          <w:tcPr>
            <w:tcW w:w="704" w:type="pct"/>
            <w:tcBorders>
              <w:top w:val="single" w:sz="4" w:space="0" w:color="000000"/>
              <w:left w:val="single" w:sz="4" w:space="0" w:color="000000"/>
              <w:bottom w:val="single" w:sz="4" w:space="0" w:color="000000"/>
              <w:right w:val="single" w:sz="4" w:space="0" w:color="000000"/>
            </w:tcBorders>
            <w:hideMark/>
          </w:tcPr>
          <w:p w14:paraId="09C239A8"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0,18</w:t>
            </w:r>
          </w:p>
        </w:tc>
        <w:tc>
          <w:tcPr>
            <w:tcW w:w="352" w:type="pct"/>
            <w:tcBorders>
              <w:top w:val="single" w:sz="4" w:space="0" w:color="000000"/>
              <w:left w:val="single" w:sz="4" w:space="0" w:color="000000"/>
              <w:bottom w:val="single" w:sz="4" w:space="0" w:color="000000"/>
              <w:right w:val="single" w:sz="4" w:space="0" w:color="000000"/>
            </w:tcBorders>
            <w:hideMark/>
          </w:tcPr>
          <w:p w14:paraId="7B2A876B"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2106</w:t>
            </w:r>
          </w:p>
        </w:tc>
        <w:tc>
          <w:tcPr>
            <w:tcW w:w="634" w:type="pct"/>
            <w:tcBorders>
              <w:top w:val="single" w:sz="4" w:space="0" w:color="000000"/>
              <w:left w:val="single" w:sz="4" w:space="0" w:color="000000"/>
              <w:bottom w:val="single" w:sz="4" w:space="0" w:color="000000"/>
              <w:right w:val="single" w:sz="4" w:space="0" w:color="000000"/>
            </w:tcBorders>
            <w:hideMark/>
          </w:tcPr>
          <w:p w14:paraId="299A0637"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23</w:t>
            </w:r>
          </w:p>
        </w:tc>
        <w:tc>
          <w:tcPr>
            <w:tcW w:w="634" w:type="pct"/>
            <w:tcBorders>
              <w:top w:val="single" w:sz="4" w:space="0" w:color="000000"/>
              <w:left w:val="single" w:sz="4" w:space="0" w:color="000000"/>
              <w:bottom w:val="single" w:sz="4" w:space="0" w:color="000000"/>
              <w:right w:val="single" w:sz="4" w:space="0" w:color="000000"/>
            </w:tcBorders>
            <w:hideMark/>
          </w:tcPr>
          <w:p w14:paraId="14ED26A7"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0,50</w:t>
            </w:r>
          </w:p>
        </w:tc>
        <w:tc>
          <w:tcPr>
            <w:tcW w:w="915" w:type="pct"/>
            <w:tcBorders>
              <w:top w:val="single" w:sz="4" w:space="0" w:color="000000"/>
              <w:left w:val="single" w:sz="4" w:space="0" w:color="000000"/>
              <w:bottom w:val="single" w:sz="4" w:space="0" w:color="000000"/>
              <w:right w:val="single" w:sz="4" w:space="0" w:color="000000"/>
            </w:tcBorders>
            <w:hideMark/>
          </w:tcPr>
          <w:p w14:paraId="68F090C2"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0,35 (0,16; 0,79)</w:t>
            </w:r>
          </w:p>
        </w:tc>
      </w:tr>
      <w:tr w:rsidR="00A75091" w:rsidRPr="004D17AE" w14:paraId="1D8F3CB9" w14:textId="77777777" w:rsidTr="00CE778C">
        <w:trPr>
          <w:trHeight w:val="20"/>
        </w:trPr>
        <w:tc>
          <w:tcPr>
            <w:tcW w:w="775" w:type="pct"/>
            <w:tcBorders>
              <w:top w:val="single" w:sz="4" w:space="0" w:color="000000"/>
              <w:left w:val="single" w:sz="4" w:space="0" w:color="000000"/>
              <w:bottom w:val="single" w:sz="4" w:space="0" w:color="000000"/>
              <w:right w:val="single" w:sz="4" w:space="0" w:color="000000"/>
            </w:tcBorders>
            <w:vAlign w:val="center"/>
            <w:hideMark/>
          </w:tcPr>
          <w:p w14:paraId="256F545A" w14:textId="77777777" w:rsidR="00A75091" w:rsidRPr="004D17AE" w:rsidRDefault="00A75091">
            <w:pPr>
              <w:pStyle w:val="TableParagraph"/>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70 til ≤ 90</w:t>
            </w:r>
          </w:p>
        </w:tc>
        <w:tc>
          <w:tcPr>
            <w:tcW w:w="352" w:type="pct"/>
            <w:tcBorders>
              <w:top w:val="single" w:sz="4" w:space="0" w:color="000000"/>
              <w:left w:val="single" w:sz="4" w:space="0" w:color="000000"/>
              <w:bottom w:val="single" w:sz="4" w:space="0" w:color="000000"/>
              <w:right w:val="single" w:sz="4" w:space="0" w:color="000000"/>
            </w:tcBorders>
            <w:hideMark/>
          </w:tcPr>
          <w:p w14:paraId="3B03D3A4"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1661</w:t>
            </w:r>
          </w:p>
        </w:tc>
        <w:tc>
          <w:tcPr>
            <w:tcW w:w="634" w:type="pct"/>
            <w:tcBorders>
              <w:top w:val="single" w:sz="4" w:space="0" w:color="000000"/>
              <w:left w:val="single" w:sz="4" w:space="0" w:color="000000"/>
              <w:bottom w:val="single" w:sz="4" w:space="0" w:color="000000"/>
              <w:right w:val="single" w:sz="4" w:space="0" w:color="000000"/>
            </w:tcBorders>
            <w:hideMark/>
          </w:tcPr>
          <w:p w14:paraId="1CDB1758"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10</w:t>
            </w:r>
          </w:p>
        </w:tc>
        <w:tc>
          <w:tcPr>
            <w:tcW w:w="704" w:type="pct"/>
            <w:tcBorders>
              <w:top w:val="single" w:sz="4" w:space="0" w:color="000000"/>
              <w:left w:val="single" w:sz="4" w:space="0" w:color="000000"/>
              <w:bottom w:val="single" w:sz="4" w:space="0" w:color="000000"/>
              <w:right w:val="single" w:sz="4" w:space="0" w:color="000000"/>
            </w:tcBorders>
            <w:hideMark/>
          </w:tcPr>
          <w:p w14:paraId="1C1B3980"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0,26</w:t>
            </w:r>
          </w:p>
        </w:tc>
        <w:tc>
          <w:tcPr>
            <w:tcW w:w="352" w:type="pct"/>
            <w:tcBorders>
              <w:top w:val="single" w:sz="4" w:space="0" w:color="000000"/>
              <w:left w:val="single" w:sz="4" w:space="0" w:color="000000"/>
              <w:bottom w:val="single" w:sz="4" w:space="0" w:color="000000"/>
              <w:right w:val="single" w:sz="4" w:space="0" w:color="000000"/>
            </w:tcBorders>
            <w:hideMark/>
          </w:tcPr>
          <w:p w14:paraId="5B79B59F"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1703</w:t>
            </w:r>
          </w:p>
        </w:tc>
        <w:tc>
          <w:tcPr>
            <w:tcW w:w="634" w:type="pct"/>
            <w:tcBorders>
              <w:top w:val="single" w:sz="4" w:space="0" w:color="000000"/>
              <w:left w:val="single" w:sz="4" w:space="0" w:color="000000"/>
              <w:bottom w:val="single" w:sz="4" w:space="0" w:color="000000"/>
              <w:right w:val="single" w:sz="4" w:space="0" w:color="000000"/>
            </w:tcBorders>
            <w:hideMark/>
          </w:tcPr>
          <w:p w14:paraId="67397199"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9</w:t>
            </w:r>
          </w:p>
        </w:tc>
        <w:tc>
          <w:tcPr>
            <w:tcW w:w="634" w:type="pct"/>
            <w:tcBorders>
              <w:top w:val="single" w:sz="4" w:space="0" w:color="000000"/>
              <w:left w:val="single" w:sz="4" w:space="0" w:color="000000"/>
              <w:bottom w:val="single" w:sz="4" w:space="0" w:color="000000"/>
              <w:right w:val="single" w:sz="4" w:space="0" w:color="000000"/>
            </w:tcBorders>
            <w:hideMark/>
          </w:tcPr>
          <w:p w14:paraId="21C7D672"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0,23</w:t>
            </w:r>
          </w:p>
        </w:tc>
        <w:tc>
          <w:tcPr>
            <w:tcW w:w="915" w:type="pct"/>
            <w:tcBorders>
              <w:top w:val="single" w:sz="4" w:space="0" w:color="000000"/>
              <w:left w:val="single" w:sz="4" w:space="0" w:color="000000"/>
              <w:bottom w:val="single" w:sz="4" w:space="0" w:color="000000"/>
              <w:right w:val="single" w:sz="4" w:space="0" w:color="000000"/>
            </w:tcBorders>
            <w:hideMark/>
          </w:tcPr>
          <w:p w14:paraId="0A7AA16B"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1,14 (0,46; 2,82)</w:t>
            </w:r>
          </w:p>
        </w:tc>
      </w:tr>
      <w:tr w:rsidR="00A75091" w:rsidRPr="004D17AE" w14:paraId="3F501E87" w14:textId="77777777" w:rsidTr="00CE778C">
        <w:trPr>
          <w:trHeight w:val="20"/>
        </w:trPr>
        <w:tc>
          <w:tcPr>
            <w:tcW w:w="775" w:type="pct"/>
            <w:tcBorders>
              <w:top w:val="single" w:sz="4" w:space="0" w:color="000000"/>
              <w:left w:val="single" w:sz="4" w:space="0" w:color="000000"/>
              <w:bottom w:val="single" w:sz="4" w:space="0" w:color="000000"/>
              <w:right w:val="single" w:sz="4" w:space="0" w:color="000000"/>
            </w:tcBorders>
            <w:vAlign w:val="center"/>
            <w:hideMark/>
          </w:tcPr>
          <w:p w14:paraId="1B193730" w14:textId="77777777" w:rsidR="00A75091" w:rsidRPr="004D17AE" w:rsidRDefault="00A75091">
            <w:pPr>
              <w:pStyle w:val="TableParagraph"/>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90 til ≤ 110</w:t>
            </w:r>
          </w:p>
        </w:tc>
        <w:tc>
          <w:tcPr>
            <w:tcW w:w="352" w:type="pct"/>
            <w:tcBorders>
              <w:top w:val="single" w:sz="4" w:space="0" w:color="000000"/>
              <w:left w:val="single" w:sz="4" w:space="0" w:color="000000"/>
              <w:bottom w:val="single" w:sz="4" w:space="0" w:color="000000"/>
              <w:right w:val="single" w:sz="4" w:space="0" w:color="000000"/>
            </w:tcBorders>
            <w:hideMark/>
          </w:tcPr>
          <w:p w14:paraId="3166E5D5"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927</w:t>
            </w:r>
          </w:p>
        </w:tc>
        <w:tc>
          <w:tcPr>
            <w:tcW w:w="634" w:type="pct"/>
            <w:tcBorders>
              <w:top w:val="single" w:sz="4" w:space="0" w:color="000000"/>
              <w:left w:val="single" w:sz="4" w:space="0" w:color="000000"/>
              <w:bottom w:val="single" w:sz="4" w:space="0" w:color="000000"/>
              <w:right w:val="single" w:sz="4" w:space="0" w:color="000000"/>
            </w:tcBorders>
            <w:hideMark/>
          </w:tcPr>
          <w:p w14:paraId="538BFB76"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w:t>
            </w:r>
          </w:p>
        </w:tc>
        <w:tc>
          <w:tcPr>
            <w:tcW w:w="704" w:type="pct"/>
            <w:tcBorders>
              <w:top w:val="single" w:sz="4" w:space="0" w:color="000000"/>
              <w:left w:val="single" w:sz="4" w:space="0" w:color="000000"/>
              <w:bottom w:val="single" w:sz="4" w:space="0" w:color="000000"/>
              <w:right w:val="single" w:sz="4" w:space="0" w:color="000000"/>
            </w:tcBorders>
            <w:hideMark/>
          </w:tcPr>
          <w:p w14:paraId="3C3ACAF7"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0,09</w:t>
            </w:r>
          </w:p>
        </w:tc>
        <w:tc>
          <w:tcPr>
            <w:tcW w:w="352" w:type="pct"/>
            <w:tcBorders>
              <w:top w:val="single" w:sz="4" w:space="0" w:color="000000"/>
              <w:left w:val="single" w:sz="4" w:space="0" w:color="000000"/>
              <w:bottom w:val="single" w:sz="4" w:space="0" w:color="000000"/>
              <w:right w:val="single" w:sz="4" w:space="0" w:color="000000"/>
            </w:tcBorders>
            <w:hideMark/>
          </w:tcPr>
          <w:p w14:paraId="36892B31"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960</w:t>
            </w:r>
          </w:p>
        </w:tc>
        <w:tc>
          <w:tcPr>
            <w:tcW w:w="634" w:type="pct"/>
            <w:tcBorders>
              <w:top w:val="single" w:sz="4" w:space="0" w:color="000000"/>
              <w:left w:val="single" w:sz="4" w:space="0" w:color="000000"/>
              <w:bottom w:val="single" w:sz="4" w:space="0" w:color="000000"/>
              <w:right w:val="single" w:sz="4" w:space="0" w:color="000000"/>
            </w:tcBorders>
            <w:hideMark/>
          </w:tcPr>
          <w:p w14:paraId="474AB8E3"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3</w:t>
            </w:r>
          </w:p>
        </w:tc>
        <w:tc>
          <w:tcPr>
            <w:tcW w:w="634" w:type="pct"/>
            <w:tcBorders>
              <w:top w:val="single" w:sz="4" w:space="0" w:color="000000"/>
              <w:left w:val="single" w:sz="4" w:space="0" w:color="000000"/>
              <w:bottom w:val="single" w:sz="4" w:space="0" w:color="000000"/>
              <w:right w:val="single" w:sz="4" w:space="0" w:color="000000"/>
            </w:tcBorders>
            <w:hideMark/>
          </w:tcPr>
          <w:p w14:paraId="18A3BE40"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0,13</w:t>
            </w:r>
          </w:p>
        </w:tc>
        <w:tc>
          <w:tcPr>
            <w:tcW w:w="915" w:type="pct"/>
            <w:tcBorders>
              <w:top w:val="single" w:sz="4" w:space="0" w:color="000000"/>
              <w:left w:val="single" w:sz="4" w:space="0" w:color="000000"/>
              <w:bottom w:val="single" w:sz="4" w:space="0" w:color="000000"/>
              <w:right w:val="single" w:sz="4" w:space="0" w:color="000000"/>
            </w:tcBorders>
            <w:hideMark/>
          </w:tcPr>
          <w:p w14:paraId="5CC6524C"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w:t>
            </w:r>
            <w:r w:rsidRPr="004D17AE">
              <w:rPr>
                <w:rFonts w:ascii="Times New Roman" w:hAnsi="Times New Roman" w:cs="Times New Roman"/>
                <w:sz w:val="22"/>
                <w:szCs w:val="22"/>
                <w:vertAlign w:val="superscript"/>
                <w:lang w:eastAsia="en-US"/>
              </w:rPr>
              <w:t>*</w:t>
            </w:r>
          </w:p>
        </w:tc>
      </w:tr>
      <w:tr w:rsidR="00A75091" w:rsidRPr="004D17AE" w14:paraId="42A8125A" w14:textId="77777777" w:rsidTr="00CE778C">
        <w:trPr>
          <w:trHeight w:val="20"/>
        </w:trPr>
        <w:tc>
          <w:tcPr>
            <w:tcW w:w="775" w:type="pct"/>
            <w:tcBorders>
              <w:top w:val="single" w:sz="4" w:space="0" w:color="000000"/>
              <w:left w:val="single" w:sz="4" w:space="0" w:color="000000"/>
              <w:bottom w:val="single" w:sz="4" w:space="0" w:color="000000"/>
              <w:right w:val="single" w:sz="4" w:space="0" w:color="000000"/>
            </w:tcBorders>
            <w:vAlign w:val="center"/>
            <w:hideMark/>
          </w:tcPr>
          <w:p w14:paraId="7FAFF09D" w14:textId="77777777" w:rsidR="00A75091" w:rsidRPr="004D17AE" w:rsidRDefault="00A75091">
            <w:pPr>
              <w:pStyle w:val="TableParagraph"/>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110 til ≤ 130</w:t>
            </w:r>
          </w:p>
        </w:tc>
        <w:tc>
          <w:tcPr>
            <w:tcW w:w="352" w:type="pct"/>
            <w:tcBorders>
              <w:top w:val="single" w:sz="4" w:space="0" w:color="000000"/>
              <w:left w:val="single" w:sz="4" w:space="0" w:color="000000"/>
              <w:bottom w:val="single" w:sz="4" w:space="0" w:color="000000"/>
              <w:right w:val="single" w:sz="4" w:space="0" w:color="000000"/>
            </w:tcBorders>
            <w:hideMark/>
          </w:tcPr>
          <w:p w14:paraId="1BAEB37E"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497</w:t>
            </w:r>
          </w:p>
        </w:tc>
        <w:tc>
          <w:tcPr>
            <w:tcW w:w="634" w:type="pct"/>
            <w:tcBorders>
              <w:top w:val="single" w:sz="4" w:space="0" w:color="000000"/>
              <w:left w:val="single" w:sz="4" w:space="0" w:color="000000"/>
              <w:bottom w:val="single" w:sz="4" w:space="0" w:color="000000"/>
              <w:right w:val="single" w:sz="4" w:space="0" w:color="000000"/>
            </w:tcBorders>
            <w:hideMark/>
          </w:tcPr>
          <w:p w14:paraId="1828B760"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w:t>
            </w:r>
          </w:p>
        </w:tc>
        <w:tc>
          <w:tcPr>
            <w:tcW w:w="704" w:type="pct"/>
            <w:tcBorders>
              <w:top w:val="single" w:sz="4" w:space="0" w:color="000000"/>
              <w:left w:val="single" w:sz="4" w:space="0" w:color="000000"/>
              <w:bottom w:val="single" w:sz="4" w:space="0" w:color="000000"/>
              <w:right w:val="single" w:sz="4" w:space="0" w:color="000000"/>
            </w:tcBorders>
            <w:hideMark/>
          </w:tcPr>
          <w:p w14:paraId="6D0FA61A"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0,08</w:t>
            </w:r>
          </w:p>
        </w:tc>
        <w:tc>
          <w:tcPr>
            <w:tcW w:w="352" w:type="pct"/>
            <w:tcBorders>
              <w:top w:val="single" w:sz="4" w:space="0" w:color="000000"/>
              <w:left w:val="single" w:sz="4" w:space="0" w:color="000000"/>
              <w:bottom w:val="single" w:sz="4" w:space="0" w:color="000000"/>
              <w:right w:val="single" w:sz="4" w:space="0" w:color="000000"/>
            </w:tcBorders>
            <w:hideMark/>
          </w:tcPr>
          <w:p w14:paraId="0C64378C"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469</w:t>
            </w:r>
          </w:p>
        </w:tc>
        <w:tc>
          <w:tcPr>
            <w:tcW w:w="634" w:type="pct"/>
            <w:tcBorders>
              <w:top w:val="single" w:sz="4" w:space="0" w:color="000000"/>
              <w:left w:val="single" w:sz="4" w:space="0" w:color="000000"/>
              <w:bottom w:val="single" w:sz="4" w:space="0" w:color="000000"/>
              <w:right w:val="single" w:sz="4" w:space="0" w:color="000000"/>
            </w:tcBorders>
            <w:hideMark/>
          </w:tcPr>
          <w:p w14:paraId="7BB3B253"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5</w:t>
            </w:r>
          </w:p>
        </w:tc>
        <w:tc>
          <w:tcPr>
            <w:tcW w:w="634" w:type="pct"/>
            <w:tcBorders>
              <w:top w:val="single" w:sz="4" w:space="0" w:color="000000"/>
              <w:left w:val="single" w:sz="4" w:space="0" w:color="000000"/>
              <w:bottom w:val="single" w:sz="4" w:space="0" w:color="000000"/>
              <w:right w:val="single" w:sz="4" w:space="0" w:color="000000"/>
            </w:tcBorders>
            <w:hideMark/>
          </w:tcPr>
          <w:p w14:paraId="37CD0A65"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0,44</w:t>
            </w:r>
          </w:p>
        </w:tc>
        <w:tc>
          <w:tcPr>
            <w:tcW w:w="915" w:type="pct"/>
            <w:tcBorders>
              <w:top w:val="single" w:sz="4" w:space="0" w:color="000000"/>
              <w:left w:val="single" w:sz="4" w:space="0" w:color="000000"/>
              <w:bottom w:val="single" w:sz="4" w:space="0" w:color="000000"/>
              <w:right w:val="single" w:sz="4" w:space="0" w:color="000000"/>
            </w:tcBorders>
            <w:hideMark/>
          </w:tcPr>
          <w:p w14:paraId="5014A26D"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w:t>
            </w:r>
            <w:r w:rsidRPr="004D17AE">
              <w:rPr>
                <w:rFonts w:ascii="Times New Roman" w:hAnsi="Times New Roman" w:cs="Times New Roman"/>
                <w:sz w:val="22"/>
                <w:szCs w:val="22"/>
                <w:vertAlign w:val="superscript"/>
                <w:lang w:eastAsia="en-US"/>
              </w:rPr>
              <w:t>*</w:t>
            </w:r>
          </w:p>
        </w:tc>
      </w:tr>
      <w:tr w:rsidR="00A75091" w:rsidRPr="004D17AE" w14:paraId="008FFF76" w14:textId="77777777" w:rsidTr="00CE778C">
        <w:trPr>
          <w:trHeight w:val="20"/>
        </w:trPr>
        <w:tc>
          <w:tcPr>
            <w:tcW w:w="775" w:type="pct"/>
            <w:tcBorders>
              <w:top w:val="single" w:sz="4" w:space="0" w:color="000000"/>
              <w:left w:val="single" w:sz="4" w:space="0" w:color="000000"/>
              <w:bottom w:val="single" w:sz="4" w:space="0" w:color="000000"/>
              <w:right w:val="single" w:sz="4" w:space="0" w:color="000000"/>
            </w:tcBorders>
            <w:vAlign w:val="center"/>
            <w:hideMark/>
          </w:tcPr>
          <w:p w14:paraId="44D4EFF8" w14:textId="77777777" w:rsidR="00A75091" w:rsidRPr="004D17AE" w:rsidRDefault="00A75091">
            <w:pPr>
              <w:pStyle w:val="TableParagraph"/>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130</w:t>
            </w:r>
          </w:p>
        </w:tc>
        <w:tc>
          <w:tcPr>
            <w:tcW w:w="352" w:type="pct"/>
            <w:tcBorders>
              <w:top w:val="single" w:sz="4" w:space="0" w:color="000000"/>
              <w:left w:val="single" w:sz="4" w:space="0" w:color="000000"/>
              <w:bottom w:val="single" w:sz="4" w:space="0" w:color="000000"/>
              <w:right w:val="single" w:sz="4" w:space="0" w:color="000000"/>
            </w:tcBorders>
            <w:hideMark/>
          </w:tcPr>
          <w:p w14:paraId="3806DECD"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462</w:t>
            </w:r>
          </w:p>
        </w:tc>
        <w:tc>
          <w:tcPr>
            <w:tcW w:w="634" w:type="pct"/>
            <w:tcBorders>
              <w:top w:val="single" w:sz="4" w:space="0" w:color="000000"/>
              <w:left w:val="single" w:sz="4" w:space="0" w:color="000000"/>
              <w:bottom w:val="single" w:sz="4" w:space="0" w:color="000000"/>
              <w:right w:val="single" w:sz="4" w:space="0" w:color="000000"/>
            </w:tcBorders>
            <w:hideMark/>
          </w:tcPr>
          <w:p w14:paraId="7A9E32EA"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w:t>
            </w:r>
          </w:p>
        </w:tc>
        <w:tc>
          <w:tcPr>
            <w:tcW w:w="704" w:type="pct"/>
            <w:tcBorders>
              <w:top w:val="single" w:sz="4" w:space="0" w:color="000000"/>
              <w:left w:val="single" w:sz="4" w:space="0" w:color="000000"/>
              <w:bottom w:val="single" w:sz="4" w:space="0" w:color="000000"/>
              <w:right w:val="single" w:sz="4" w:space="0" w:color="000000"/>
            </w:tcBorders>
            <w:hideMark/>
          </w:tcPr>
          <w:p w14:paraId="2214300C"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0,18</w:t>
            </w:r>
          </w:p>
        </w:tc>
        <w:tc>
          <w:tcPr>
            <w:tcW w:w="352" w:type="pct"/>
            <w:tcBorders>
              <w:top w:val="single" w:sz="4" w:space="0" w:color="000000"/>
              <w:left w:val="single" w:sz="4" w:space="0" w:color="000000"/>
              <w:bottom w:val="single" w:sz="4" w:space="0" w:color="000000"/>
              <w:right w:val="single" w:sz="4" w:space="0" w:color="000000"/>
            </w:tcBorders>
            <w:hideMark/>
          </w:tcPr>
          <w:p w14:paraId="7B840BB5"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418</w:t>
            </w:r>
          </w:p>
        </w:tc>
        <w:tc>
          <w:tcPr>
            <w:tcW w:w="634" w:type="pct"/>
            <w:tcBorders>
              <w:top w:val="single" w:sz="4" w:space="0" w:color="000000"/>
              <w:left w:val="single" w:sz="4" w:space="0" w:color="000000"/>
              <w:bottom w:val="single" w:sz="4" w:space="0" w:color="000000"/>
              <w:right w:val="single" w:sz="4" w:space="0" w:color="000000"/>
            </w:tcBorders>
            <w:hideMark/>
          </w:tcPr>
          <w:p w14:paraId="13C2064F"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w:t>
            </w:r>
          </w:p>
        </w:tc>
        <w:tc>
          <w:tcPr>
            <w:tcW w:w="634" w:type="pct"/>
            <w:tcBorders>
              <w:top w:val="single" w:sz="4" w:space="0" w:color="000000"/>
              <w:left w:val="single" w:sz="4" w:space="0" w:color="000000"/>
              <w:bottom w:val="single" w:sz="4" w:space="0" w:color="000000"/>
              <w:right w:val="single" w:sz="4" w:space="0" w:color="000000"/>
            </w:tcBorders>
            <w:hideMark/>
          </w:tcPr>
          <w:p w14:paraId="1578B960"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0,00</w:t>
            </w:r>
          </w:p>
        </w:tc>
        <w:tc>
          <w:tcPr>
            <w:tcW w:w="915" w:type="pct"/>
            <w:tcBorders>
              <w:top w:val="single" w:sz="4" w:space="0" w:color="000000"/>
              <w:left w:val="single" w:sz="4" w:space="0" w:color="000000"/>
              <w:bottom w:val="single" w:sz="4" w:space="0" w:color="000000"/>
              <w:right w:val="single" w:sz="4" w:space="0" w:color="000000"/>
            </w:tcBorders>
            <w:hideMark/>
          </w:tcPr>
          <w:p w14:paraId="536C65F3"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w:t>
            </w:r>
            <w:r w:rsidRPr="004D17AE">
              <w:rPr>
                <w:rFonts w:ascii="Times New Roman" w:hAnsi="Times New Roman" w:cs="Times New Roman"/>
                <w:sz w:val="22"/>
                <w:szCs w:val="22"/>
                <w:vertAlign w:val="superscript"/>
                <w:lang w:eastAsia="en-US"/>
              </w:rPr>
              <w:t>*</w:t>
            </w:r>
          </w:p>
        </w:tc>
      </w:tr>
    </w:tbl>
    <w:p w14:paraId="2F47FFBA" w14:textId="77777777" w:rsidR="00A75091" w:rsidRPr="00CE778C" w:rsidRDefault="00A75091" w:rsidP="00A75091">
      <w:pPr>
        <w:pStyle w:val="Brdtekst"/>
        <w:widowControl/>
        <w:suppressAutoHyphens/>
        <w:kinsoku w:val="0"/>
        <w:overflowPunct w:val="0"/>
        <w:ind w:left="0"/>
      </w:pPr>
    </w:p>
    <w:p w14:paraId="0759BCAC" w14:textId="77777777" w:rsidR="00A75091" w:rsidRPr="00CE778C" w:rsidRDefault="00A75091" w:rsidP="00A75091">
      <w:pPr>
        <w:rPr>
          <w:b/>
          <w:bCs/>
          <w:sz w:val="24"/>
          <w:szCs w:val="24"/>
        </w:rPr>
      </w:pPr>
      <w:r w:rsidRPr="00CE778C">
        <w:rPr>
          <w:b/>
          <w:bCs/>
          <w:sz w:val="24"/>
          <w:szCs w:val="24"/>
        </w:rPr>
        <w:t>Tabel 9: Antal intrakraniale blødningshændelser pr. CrCl-kategori i ENGAGE AF-TIMI 48,</w:t>
      </w:r>
    </w:p>
    <w:p w14:paraId="18A7D34D" w14:textId="77777777" w:rsidR="00A75091" w:rsidRPr="00CE778C" w:rsidRDefault="00A75091" w:rsidP="00A75091">
      <w:pPr>
        <w:pStyle w:val="Brdtekst"/>
        <w:widowControl/>
        <w:suppressAutoHyphens/>
        <w:kinsoku w:val="0"/>
        <w:overflowPunct w:val="0"/>
        <w:ind w:left="0"/>
        <w:rPr>
          <w:b/>
          <w:bCs/>
          <w:vertAlign w:val="superscript"/>
        </w:rPr>
      </w:pPr>
      <w:r w:rsidRPr="00CE778C">
        <w:rPr>
          <w:b/>
          <w:bCs/>
        </w:rPr>
        <w:t>sikkerhedsanalyse under behandling</w:t>
      </w:r>
      <w:r w:rsidRPr="00CE778C">
        <w:rPr>
          <w:b/>
          <w:bCs/>
          <w:vertAlign w:val="superscript"/>
        </w:rPr>
        <w:t>a</w:t>
      </w:r>
    </w:p>
    <w:p w14:paraId="7961E904" w14:textId="77777777" w:rsidR="00A75091" w:rsidRPr="00CE778C" w:rsidRDefault="00A75091" w:rsidP="00A75091">
      <w:pPr>
        <w:pStyle w:val="Brdtekst"/>
        <w:widowControl/>
        <w:suppressAutoHyphens/>
        <w:kinsoku w:val="0"/>
        <w:overflowPunct w:val="0"/>
        <w:ind w:left="0"/>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9"/>
        <w:gridCol w:w="793"/>
        <w:gridCol w:w="1203"/>
        <w:gridCol w:w="1200"/>
        <w:gridCol w:w="793"/>
        <w:gridCol w:w="1205"/>
        <w:gridCol w:w="1200"/>
        <w:gridCol w:w="1755"/>
      </w:tblGrid>
      <w:tr w:rsidR="00A75091" w:rsidRPr="004D17AE" w14:paraId="5419DF0E" w14:textId="77777777" w:rsidTr="00CE778C">
        <w:trPr>
          <w:trHeight w:val="558"/>
        </w:trPr>
        <w:tc>
          <w:tcPr>
            <w:tcW w:w="785" w:type="pct"/>
            <w:vMerge w:val="restart"/>
            <w:tcBorders>
              <w:top w:val="single" w:sz="4" w:space="0" w:color="000000"/>
              <w:left w:val="single" w:sz="4" w:space="0" w:color="000000"/>
              <w:bottom w:val="single" w:sz="4" w:space="0" w:color="000000"/>
              <w:right w:val="single" w:sz="4" w:space="0" w:color="000000"/>
            </w:tcBorders>
            <w:shd w:val="clear" w:color="auto" w:fill="DADADA"/>
            <w:hideMark/>
          </w:tcPr>
          <w:p w14:paraId="3C353990"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CrCl-undergruppe</w:t>
            </w:r>
          </w:p>
          <w:p w14:paraId="60EE0D92"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(ml/min.)</w:t>
            </w:r>
          </w:p>
        </w:tc>
        <w:tc>
          <w:tcPr>
            <w:tcW w:w="1643" w:type="pct"/>
            <w:gridSpan w:val="3"/>
            <w:tcBorders>
              <w:top w:val="single" w:sz="4" w:space="0" w:color="000000"/>
              <w:left w:val="single" w:sz="4" w:space="0" w:color="000000"/>
              <w:bottom w:val="single" w:sz="4" w:space="0" w:color="000000"/>
              <w:right w:val="single" w:sz="4" w:space="0" w:color="000000"/>
            </w:tcBorders>
            <w:shd w:val="clear" w:color="auto" w:fill="DADADA"/>
            <w:hideMark/>
          </w:tcPr>
          <w:p w14:paraId="278B8616"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Edoxaban 60 mg</w:t>
            </w:r>
          </w:p>
          <w:p w14:paraId="2EA3D0FC"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(N = 7012)</w:t>
            </w:r>
          </w:p>
        </w:tc>
        <w:tc>
          <w:tcPr>
            <w:tcW w:w="1644" w:type="pct"/>
            <w:gridSpan w:val="3"/>
            <w:tcBorders>
              <w:top w:val="single" w:sz="4" w:space="0" w:color="000000"/>
              <w:left w:val="single" w:sz="4" w:space="0" w:color="000000"/>
              <w:bottom w:val="single" w:sz="4" w:space="0" w:color="000000"/>
              <w:right w:val="single" w:sz="4" w:space="0" w:color="000000"/>
            </w:tcBorders>
            <w:shd w:val="clear" w:color="auto" w:fill="DADADA"/>
            <w:hideMark/>
          </w:tcPr>
          <w:p w14:paraId="5D9528F7"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Warfarin (N = 7012)</w:t>
            </w:r>
          </w:p>
        </w:tc>
        <w:tc>
          <w:tcPr>
            <w:tcW w:w="928" w:type="pct"/>
            <w:tcBorders>
              <w:top w:val="single" w:sz="4" w:space="0" w:color="000000"/>
              <w:left w:val="single" w:sz="4" w:space="0" w:color="000000"/>
              <w:bottom w:val="single" w:sz="4" w:space="0" w:color="000000"/>
              <w:right w:val="single" w:sz="4" w:space="0" w:color="000000"/>
            </w:tcBorders>
            <w:shd w:val="clear" w:color="auto" w:fill="DADADA"/>
          </w:tcPr>
          <w:p w14:paraId="3E516844" w14:textId="77777777" w:rsidR="00A75091" w:rsidRPr="004D17AE" w:rsidRDefault="00A75091">
            <w:pPr>
              <w:pStyle w:val="TableParagraph"/>
              <w:keepNext/>
              <w:ind w:left="57" w:right="57"/>
              <w:jc w:val="center"/>
              <w:rPr>
                <w:rFonts w:ascii="Times New Roman" w:hAnsi="Times New Roman" w:cs="Times New Roman"/>
                <w:sz w:val="22"/>
                <w:szCs w:val="22"/>
                <w:lang w:eastAsia="en-US"/>
              </w:rPr>
            </w:pPr>
          </w:p>
        </w:tc>
      </w:tr>
      <w:tr w:rsidR="00A75091" w:rsidRPr="004D17AE" w14:paraId="781603CD" w14:textId="77777777" w:rsidTr="00CE778C">
        <w:trPr>
          <w:trHeight w:val="880"/>
        </w:trPr>
        <w:tc>
          <w:tcPr>
            <w:tcW w:w="785" w:type="pct"/>
            <w:vMerge/>
            <w:tcBorders>
              <w:top w:val="single" w:sz="4" w:space="0" w:color="000000"/>
              <w:left w:val="single" w:sz="4" w:space="0" w:color="000000"/>
              <w:bottom w:val="single" w:sz="4" w:space="0" w:color="000000"/>
              <w:right w:val="single" w:sz="4" w:space="0" w:color="000000"/>
            </w:tcBorders>
            <w:vAlign w:val="center"/>
            <w:hideMark/>
          </w:tcPr>
          <w:p w14:paraId="7F8EFA91" w14:textId="77777777" w:rsidR="00A75091" w:rsidRPr="004D17AE" w:rsidRDefault="00A75091">
            <w:pPr>
              <w:rPr>
                <w:rFonts w:ascii="Times New Roman" w:hAnsi="Times New Roman" w:cs="Times New Roman"/>
                <w:b/>
                <w:sz w:val="22"/>
              </w:rPr>
            </w:pPr>
          </w:p>
        </w:tc>
        <w:tc>
          <w:tcPr>
            <w:tcW w:w="429" w:type="pct"/>
            <w:tcBorders>
              <w:top w:val="single" w:sz="4" w:space="0" w:color="000000"/>
              <w:left w:val="single" w:sz="4" w:space="0" w:color="000000"/>
              <w:bottom w:val="single" w:sz="4" w:space="0" w:color="000000"/>
              <w:right w:val="single" w:sz="4" w:space="0" w:color="000000"/>
            </w:tcBorders>
            <w:shd w:val="clear" w:color="auto" w:fill="DADADA"/>
            <w:hideMark/>
          </w:tcPr>
          <w:p w14:paraId="2B2F8EC1"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n</w:t>
            </w:r>
          </w:p>
        </w:tc>
        <w:tc>
          <w:tcPr>
            <w:tcW w:w="642" w:type="pct"/>
            <w:tcBorders>
              <w:top w:val="single" w:sz="4" w:space="0" w:color="000000"/>
              <w:left w:val="single" w:sz="4" w:space="0" w:color="000000"/>
              <w:bottom w:val="single" w:sz="4" w:space="0" w:color="000000"/>
              <w:right w:val="single" w:sz="4" w:space="0" w:color="000000"/>
            </w:tcBorders>
            <w:shd w:val="clear" w:color="auto" w:fill="DADADA"/>
            <w:hideMark/>
          </w:tcPr>
          <w:p w14:paraId="5A84422D" w14:textId="77777777" w:rsidR="00A75091" w:rsidRPr="004D17AE" w:rsidRDefault="00A75091">
            <w:pPr>
              <w:pStyle w:val="TableParagraph"/>
              <w:keepNext/>
              <w:ind w:left="57" w:right="57"/>
              <w:jc w:val="center"/>
              <w:rPr>
                <w:rFonts w:ascii="Times New Roman" w:hAnsi="Times New Roman" w:cs="Times New Roman"/>
                <w:b/>
                <w:bCs/>
                <w:sz w:val="22"/>
                <w:szCs w:val="22"/>
                <w:lang w:eastAsia="en-US"/>
              </w:rPr>
            </w:pPr>
            <w:r w:rsidRPr="004D17AE">
              <w:rPr>
                <w:rFonts w:ascii="Times New Roman" w:hAnsi="Times New Roman" w:cs="Times New Roman"/>
                <w:b/>
                <w:bCs/>
                <w:sz w:val="22"/>
                <w:szCs w:val="22"/>
                <w:lang w:eastAsia="en-US"/>
              </w:rPr>
              <w:t>Antal</w:t>
            </w:r>
          </w:p>
          <w:p w14:paraId="1EEB9DCE"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bCs/>
                <w:sz w:val="22"/>
                <w:szCs w:val="22"/>
                <w:lang w:eastAsia="en-US"/>
              </w:rPr>
              <w:t>hændelser</w:t>
            </w:r>
          </w:p>
        </w:tc>
        <w:tc>
          <w:tcPr>
            <w:tcW w:w="572" w:type="pct"/>
            <w:tcBorders>
              <w:top w:val="single" w:sz="4" w:space="0" w:color="000000"/>
              <w:left w:val="single" w:sz="4" w:space="0" w:color="000000"/>
              <w:bottom w:val="single" w:sz="4" w:space="0" w:color="000000"/>
              <w:right w:val="single" w:sz="4" w:space="0" w:color="000000"/>
            </w:tcBorders>
            <w:shd w:val="clear" w:color="auto" w:fill="DADADA"/>
            <w:hideMark/>
          </w:tcPr>
          <w:p w14:paraId="50119910" w14:textId="77777777" w:rsidR="00A75091" w:rsidRPr="004D17AE" w:rsidRDefault="00A75091">
            <w:pPr>
              <w:pStyle w:val="TableParagraph"/>
              <w:keepNext/>
              <w:ind w:left="57" w:right="57"/>
              <w:jc w:val="center"/>
              <w:rPr>
                <w:rFonts w:ascii="Times New Roman" w:hAnsi="Times New Roman" w:cs="Times New Roman"/>
                <w:b/>
                <w:bCs/>
                <w:sz w:val="22"/>
                <w:szCs w:val="22"/>
                <w:lang w:eastAsia="en-US"/>
              </w:rPr>
            </w:pPr>
            <w:r w:rsidRPr="004D17AE">
              <w:rPr>
                <w:rFonts w:ascii="Times New Roman" w:hAnsi="Times New Roman" w:cs="Times New Roman"/>
                <w:b/>
                <w:bCs/>
                <w:sz w:val="22"/>
                <w:szCs w:val="22"/>
                <w:lang w:eastAsia="en-US"/>
              </w:rPr>
              <w:t>Hændelses-rate</w:t>
            </w:r>
          </w:p>
          <w:p w14:paraId="4E29E19D"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bCs/>
                <w:sz w:val="22"/>
                <w:szCs w:val="22"/>
                <w:lang w:eastAsia="en-US"/>
              </w:rPr>
              <w:t>(%/år)</w:t>
            </w:r>
          </w:p>
        </w:tc>
        <w:tc>
          <w:tcPr>
            <w:tcW w:w="429" w:type="pct"/>
            <w:tcBorders>
              <w:top w:val="single" w:sz="4" w:space="0" w:color="000000"/>
              <w:left w:val="single" w:sz="4" w:space="0" w:color="000000"/>
              <w:bottom w:val="single" w:sz="4" w:space="0" w:color="000000"/>
              <w:right w:val="single" w:sz="4" w:space="0" w:color="000000"/>
            </w:tcBorders>
            <w:shd w:val="clear" w:color="auto" w:fill="DADADA"/>
            <w:hideMark/>
          </w:tcPr>
          <w:p w14:paraId="37C125F8"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n</w:t>
            </w:r>
          </w:p>
        </w:tc>
        <w:tc>
          <w:tcPr>
            <w:tcW w:w="643" w:type="pct"/>
            <w:tcBorders>
              <w:top w:val="single" w:sz="4" w:space="0" w:color="000000"/>
              <w:left w:val="single" w:sz="4" w:space="0" w:color="000000"/>
              <w:bottom w:val="single" w:sz="4" w:space="0" w:color="000000"/>
              <w:right w:val="single" w:sz="4" w:space="0" w:color="000000"/>
            </w:tcBorders>
            <w:shd w:val="clear" w:color="auto" w:fill="DADADA"/>
            <w:hideMark/>
          </w:tcPr>
          <w:p w14:paraId="07DA5E15" w14:textId="77777777" w:rsidR="00A75091" w:rsidRPr="004D17AE" w:rsidRDefault="00A75091">
            <w:pPr>
              <w:pStyle w:val="TableParagraph"/>
              <w:keepNext/>
              <w:ind w:left="57" w:right="57"/>
              <w:jc w:val="center"/>
              <w:rPr>
                <w:rFonts w:ascii="Times New Roman" w:hAnsi="Times New Roman" w:cs="Times New Roman"/>
                <w:b/>
                <w:bCs/>
                <w:sz w:val="22"/>
                <w:szCs w:val="22"/>
                <w:lang w:eastAsia="en-US"/>
              </w:rPr>
            </w:pPr>
            <w:r w:rsidRPr="004D17AE">
              <w:rPr>
                <w:rFonts w:ascii="Times New Roman" w:hAnsi="Times New Roman" w:cs="Times New Roman"/>
                <w:b/>
                <w:bCs/>
                <w:sz w:val="22"/>
                <w:szCs w:val="22"/>
                <w:lang w:eastAsia="en-US"/>
              </w:rPr>
              <w:t>Antal</w:t>
            </w:r>
          </w:p>
          <w:p w14:paraId="5F580DF0"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bCs/>
                <w:sz w:val="22"/>
                <w:szCs w:val="22"/>
                <w:lang w:eastAsia="en-US"/>
              </w:rPr>
              <w:t>hændelser</w:t>
            </w:r>
          </w:p>
        </w:tc>
        <w:tc>
          <w:tcPr>
            <w:tcW w:w="572" w:type="pct"/>
            <w:tcBorders>
              <w:top w:val="single" w:sz="4" w:space="0" w:color="000000"/>
              <w:left w:val="single" w:sz="4" w:space="0" w:color="000000"/>
              <w:bottom w:val="single" w:sz="4" w:space="0" w:color="000000"/>
              <w:right w:val="single" w:sz="4" w:space="0" w:color="000000"/>
            </w:tcBorders>
            <w:shd w:val="clear" w:color="auto" w:fill="DADADA"/>
            <w:hideMark/>
          </w:tcPr>
          <w:p w14:paraId="501BA6E0" w14:textId="77777777" w:rsidR="00A75091" w:rsidRPr="004D17AE" w:rsidRDefault="00A75091">
            <w:pPr>
              <w:pStyle w:val="TableParagraph"/>
              <w:keepNext/>
              <w:ind w:left="57" w:right="57"/>
              <w:jc w:val="center"/>
              <w:rPr>
                <w:rFonts w:ascii="Times New Roman" w:hAnsi="Times New Roman" w:cs="Times New Roman"/>
                <w:b/>
                <w:bCs/>
                <w:sz w:val="22"/>
                <w:szCs w:val="22"/>
                <w:lang w:eastAsia="en-US"/>
              </w:rPr>
            </w:pPr>
            <w:r w:rsidRPr="004D17AE">
              <w:rPr>
                <w:rFonts w:ascii="Times New Roman" w:hAnsi="Times New Roman" w:cs="Times New Roman"/>
                <w:b/>
                <w:bCs/>
                <w:sz w:val="22"/>
                <w:szCs w:val="22"/>
                <w:lang w:eastAsia="en-US"/>
              </w:rPr>
              <w:t>Hændelses-rate</w:t>
            </w:r>
          </w:p>
          <w:p w14:paraId="4FDDAE6C"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bCs/>
                <w:sz w:val="22"/>
                <w:szCs w:val="22"/>
                <w:lang w:eastAsia="en-US"/>
              </w:rPr>
              <w:t>(%/år)</w:t>
            </w:r>
          </w:p>
        </w:tc>
        <w:tc>
          <w:tcPr>
            <w:tcW w:w="928" w:type="pct"/>
            <w:tcBorders>
              <w:top w:val="single" w:sz="4" w:space="0" w:color="000000"/>
              <w:left w:val="single" w:sz="4" w:space="0" w:color="000000"/>
              <w:bottom w:val="single" w:sz="4" w:space="0" w:color="000000"/>
              <w:right w:val="single" w:sz="4" w:space="0" w:color="000000"/>
            </w:tcBorders>
            <w:shd w:val="clear" w:color="auto" w:fill="DADADA"/>
            <w:hideMark/>
          </w:tcPr>
          <w:p w14:paraId="06795747" w14:textId="77777777" w:rsidR="00A75091" w:rsidRPr="004D17AE" w:rsidRDefault="00A75091">
            <w:pPr>
              <w:pStyle w:val="TableParagraph"/>
              <w:keepNext/>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HR (95% CI)</w:t>
            </w:r>
          </w:p>
        </w:tc>
      </w:tr>
      <w:tr w:rsidR="00A75091" w:rsidRPr="004D17AE" w14:paraId="05F5F9DD" w14:textId="77777777" w:rsidTr="00CE778C">
        <w:trPr>
          <w:trHeight w:val="292"/>
        </w:trPr>
        <w:tc>
          <w:tcPr>
            <w:tcW w:w="785" w:type="pct"/>
            <w:tcBorders>
              <w:top w:val="single" w:sz="4" w:space="0" w:color="000000"/>
              <w:left w:val="single" w:sz="4" w:space="0" w:color="000000"/>
              <w:bottom w:val="single" w:sz="4" w:space="0" w:color="000000"/>
              <w:right w:val="single" w:sz="4" w:space="0" w:color="000000"/>
            </w:tcBorders>
            <w:hideMark/>
          </w:tcPr>
          <w:p w14:paraId="7F9CB479" w14:textId="77777777" w:rsidR="00A75091" w:rsidRPr="004D17AE" w:rsidRDefault="00A75091">
            <w:pPr>
              <w:pStyle w:val="TableParagraph"/>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 30 til ≤ 50</w:t>
            </w:r>
          </w:p>
        </w:tc>
        <w:tc>
          <w:tcPr>
            <w:tcW w:w="429" w:type="pct"/>
            <w:tcBorders>
              <w:top w:val="single" w:sz="4" w:space="0" w:color="000000"/>
              <w:left w:val="single" w:sz="4" w:space="0" w:color="000000"/>
              <w:bottom w:val="single" w:sz="4" w:space="0" w:color="000000"/>
              <w:right w:val="single" w:sz="4" w:space="0" w:color="000000"/>
            </w:tcBorders>
            <w:hideMark/>
          </w:tcPr>
          <w:p w14:paraId="39C48077"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1302</w:t>
            </w:r>
          </w:p>
        </w:tc>
        <w:tc>
          <w:tcPr>
            <w:tcW w:w="642" w:type="pct"/>
            <w:tcBorders>
              <w:top w:val="single" w:sz="4" w:space="0" w:color="000000"/>
              <w:left w:val="single" w:sz="4" w:space="0" w:color="000000"/>
              <w:bottom w:val="single" w:sz="4" w:space="0" w:color="000000"/>
              <w:right w:val="single" w:sz="4" w:space="0" w:color="000000"/>
            </w:tcBorders>
            <w:hideMark/>
          </w:tcPr>
          <w:p w14:paraId="42812E78"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16</w:t>
            </w:r>
          </w:p>
        </w:tc>
        <w:tc>
          <w:tcPr>
            <w:tcW w:w="572" w:type="pct"/>
            <w:tcBorders>
              <w:top w:val="single" w:sz="4" w:space="0" w:color="000000"/>
              <w:left w:val="single" w:sz="4" w:space="0" w:color="000000"/>
              <w:bottom w:val="single" w:sz="4" w:space="0" w:color="000000"/>
              <w:right w:val="single" w:sz="4" w:space="0" w:color="000000"/>
            </w:tcBorders>
            <w:hideMark/>
          </w:tcPr>
          <w:p w14:paraId="70E0983E"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0,64</w:t>
            </w:r>
          </w:p>
        </w:tc>
        <w:tc>
          <w:tcPr>
            <w:tcW w:w="429" w:type="pct"/>
            <w:tcBorders>
              <w:top w:val="single" w:sz="4" w:space="0" w:color="000000"/>
              <w:left w:val="single" w:sz="4" w:space="0" w:color="000000"/>
              <w:bottom w:val="single" w:sz="4" w:space="0" w:color="000000"/>
              <w:right w:val="single" w:sz="4" w:space="0" w:color="000000"/>
            </w:tcBorders>
            <w:hideMark/>
          </w:tcPr>
          <w:p w14:paraId="733D7CE1"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1305</w:t>
            </w:r>
          </w:p>
        </w:tc>
        <w:tc>
          <w:tcPr>
            <w:tcW w:w="643" w:type="pct"/>
            <w:tcBorders>
              <w:top w:val="single" w:sz="4" w:space="0" w:color="000000"/>
              <w:left w:val="single" w:sz="4" w:space="0" w:color="000000"/>
              <w:bottom w:val="single" w:sz="4" w:space="0" w:color="000000"/>
              <w:right w:val="single" w:sz="4" w:space="0" w:color="000000"/>
            </w:tcBorders>
            <w:hideMark/>
          </w:tcPr>
          <w:p w14:paraId="18ECB568"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35</w:t>
            </w:r>
          </w:p>
        </w:tc>
        <w:tc>
          <w:tcPr>
            <w:tcW w:w="572" w:type="pct"/>
            <w:tcBorders>
              <w:top w:val="single" w:sz="4" w:space="0" w:color="000000"/>
              <w:left w:val="single" w:sz="4" w:space="0" w:color="000000"/>
              <w:bottom w:val="single" w:sz="4" w:space="0" w:color="000000"/>
              <w:right w:val="single" w:sz="4" w:space="0" w:color="000000"/>
            </w:tcBorders>
            <w:hideMark/>
          </w:tcPr>
          <w:p w14:paraId="4BF81F63"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1,40</w:t>
            </w:r>
          </w:p>
        </w:tc>
        <w:tc>
          <w:tcPr>
            <w:tcW w:w="928" w:type="pct"/>
            <w:tcBorders>
              <w:top w:val="single" w:sz="4" w:space="0" w:color="000000"/>
              <w:left w:val="single" w:sz="4" w:space="0" w:color="000000"/>
              <w:bottom w:val="single" w:sz="4" w:space="0" w:color="000000"/>
              <w:right w:val="single" w:sz="4" w:space="0" w:color="000000"/>
            </w:tcBorders>
            <w:hideMark/>
          </w:tcPr>
          <w:p w14:paraId="08D8F32F"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0,45 (0,25; 0,81)</w:t>
            </w:r>
          </w:p>
        </w:tc>
      </w:tr>
      <w:tr w:rsidR="00A75091" w:rsidRPr="004D17AE" w14:paraId="1FDBA0A9" w14:textId="77777777" w:rsidTr="00CE778C">
        <w:trPr>
          <w:trHeight w:val="292"/>
        </w:trPr>
        <w:tc>
          <w:tcPr>
            <w:tcW w:w="785" w:type="pct"/>
            <w:tcBorders>
              <w:top w:val="single" w:sz="4" w:space="0" w:color="000000"/>
              <w:left w:val="single" w:sz="4" w:space="0" w:color="000000"/>
              <w:bottom w:val="single" w:sz="4" w:space="0" w:color="000000"/>
              <w:right w:val="single" w:sz="4" w:space="0" w:color="000000"/>
            </w:tcBorders>
            <w:hideMark/>
          </w:tcPr>
          <w:p w14:paraId="487F5812" w14:textId="77777777" w:rsidR="00A75091" w:rsidRPr="004D17AE" w:rsidRDefault="00A75091">
            <w:pPr>
              <w:pStyle w:val="TableParagraph"/>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50 til ≤ 70</w:t>
            </w:r>
          </w:p>
        </w:tc>
        <w:tc>
          <w:tcPr>
            <w:tcW w:w="429" w:type="pct"/>
            <w:tcBorders>
              <w:top w:val="single" w:sz="4" w:space="0" w:color="000000"/>
              <w:left w:val="single" w:sz="4" w:space="0" w:color="000000"/>
              <w:bottom w:val="single" w:sz="4" w:space="0" w:color="000000"/>
              <w:right w:val="single" w:sz="4" w:space="0" w:color="000000"/>
            </w:tcBorders>
            <w:hideMark/>
          </w:tcPr>
          <w:p w14:paraId="58627AA3"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2093</w:t>
            </w:r>
          </w:p>
        </w:tc>
        <w:tc>
          <w:tcPr>
            <w:tcW w:w="642" w:type="pct"/>
            <w:tcBorders>
              <w:top w:val="single" w:sz="4" w:space="0" w:color="000000"/>
              <w:left w:val="single" w:sz="4" w:space="0" w:color="000000"/>
              <w:bottom w:val="single" w:sz="4" w:space="0" w:color="000000"/>
              <w:right w:val="single" w:sz="4" w:space="0" w:color="000000"/>
            </w:tcBorders>
            <w:hideMark/>
          </w:tcPr>
          <w:p w14:paraId="55079FB9"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19</w:t>
            </w:r>
          </w:p>
        </w:tc>
        <w:tc>
          <w:tcPr>
            <w:tcW w:w="572" w:type="pct"/>
            <w:tcBorders>
              <w:top w:val="single" w:sz="4" w:space="0" w:color="000000"/>
              <w:left w:val="single" w:sz="4" w:space="0" w:color="000000"/>
              <w:bottom w:val="single" w:sz="4" w:space="0" w:color="000000"/>
              <w:right w:val="single" w:sz="4" w:space="0" w:color="000000"/>
            </w:tcBorders>
            <w:hideMark/>
          </w:tcPr>
          <w:p w14:paraId="20875440"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0,42</w:t>
            </w:r>
          </w:p>
        </w:tc>
        <w:tc>
          <w:tcPr>
            <w:tcW w:w="429" w:type="pct"/>
            <w:tcBorders>
              <w:top w:val="single" w:sz="4" w:space="0" w:color="000000"/>
              <w:left w:val="single" w:sz="4" w:space="0" w:color="000000"/>
              <w:bottom w:val="single" w:sz="4" w:space="0" w:color="000000"/>
              <w:right w:val="single" w:sz="4" w:space="0" w:color="000000"/>
            </w:tcBorders>
            <w:hideMark/>
          </w:tcPr>
          <w:p w14:paraId="02B7DF24"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2106</w:t>
            </w:r>
          </w:p>
        </w:tc>
        <w:tc>
          <w:tcPr>
            <w:tcW w:w="643" w:type="pct"/>
            <w:tcBorders>
              <w:top w:val="single" w:sz="4" w:space="0" w:color="000000"/>
              <w:left w:val="single" w:sz="4" w:space="0" w:color="000000"/>
              <w:bottom w:val="single" w:sz="4" w:space="0" w:color="000000"/>
              <w:right w:val="single" w:sz="4" w:space="0" w:color="000000"/>
            </w:tcBorders>
            <w:hideMark/>
          </w:tcPr>
          <w:p w14:paraId="62F80AEB"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51</w:t>
            </w:r>
          </w:p>
        </w:tc>
        <w:tc>
          <w:tcPr>
            <w:tcW w:w="572" w:type="pct"/>
            <w:tcBorders>
              <w:top w:val="single" w:sz="4" w:space="0" w:color="000000"/>
              <w:left w:val="single" w:sz="4" w:space="0" w:color="000000"/>
              <w:bottom w:val="single" w:sz="4" w:space="0" w:color="000000"/>
              <w:right w:val="single" w:sz="4" w:space="0" w:color="000000"/>
            </w:tcBorders>
            <w:hideMark/>
          </w:tcPr>
          <w:p w14:paraId="60C7C4F8"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1,10</w:t>
            </w:r>
          </w:p>
        </w:tc>
        <w:tc>
          <w:tcPr>
            <w:tcW w:w="928" w:type="pct"/>
            <w:tcBorders>
              <w:top w:val="single" w:sz="4" w:space="0" w:color="000000"/>
              <w:left w:val="single" w:sz="4" w:space="0" w:color="000000"/>
              <w:bottom w:val="single" w:sz="4" w:space="0" w:color="000000"/>
              <w:right w:val="single" w:sz="4" w:space="0" w:color="000000"/>
            </w:tcBorders>
            <w:hideMark/>
          </w:tcPr>
          <w:p w14:paraId="6ADC48A4"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0,38 (0,22; 0,64)</w:t>
            </w:r>
          </w:p>
        </w:tc>
      </w:tr>
      <w:tr w:rsidR="00A75091" w:rsidRPr="004D17AE" w14:paraId="071066E8" w14:textId="77777777" w:rsidTr="00CE778C">
        <w:trPr>
          <w:trHeight w:val="292"/>
        </w:trPr>
        <w:tc>
          <w:tcPr>
            <w:tcW w:w="785" w:type="pct"/>
            <w:tcBorders>
              <w:top w:val="single" w:sz="4" w:space="0" w:color="000000"/>
              <w:left w:val="single" w:sz="4" w:space="0" w:color="000000"/>
              <w:bottom w:val="single" w:sz="4" w:space="0" w:color="000000"/>
              <w:right w:val="single" w:sz="4" w:space="0" w:color="000000"/>
            </w:tcBorders>
            <w:hideMark/>
          </w:tcPr>
          <w:p w14:paraId="47AF2838" w14:textId="77777777" w:rsidR="00A75091" w:rsidRPr="004D17AE" w:rsidRDefault="00A75091">
            <w:pPr>
              <w:pStyle w:val="TableParagraph"/>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70 til ≤ 90</w:t>
            </w:r>
          </w:p>
        </w:tc>
        <w:tc>
          <w:tcPr>
            <w:tcW w:w="429" w:type="pct"/>
            <w:tcBorders>
              <w:top w:val="single" w:sz="4" w:space="0" w:color="000000"/>
              <w:left w:val="single" w:sz="4" w:space="0" w:color="000000"/>
              <w:bottom w:val="single" w:sz="4" w:space="0" w:color="000000"/>
              <w:right w:val="single" w:sz="4" w:space="0" w:color="000000"/>
            </w:tcBorders>
            <w:hideMark/>
          </w:tcPr>
          <w:p w14:paraId="25A6C85C"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1661</w:t>
            </w:r>
          </w:p>
        </w:tc>
        <w:tc>
          <w:tcPr>
            <w:tcW w:w="642" w:type="pct"/>
            <w:tcBorders>
              <w:top w:val="single" w:sz="4" w:space="0" w:color="000000"/>
              <w:left w:val="single" w:sz="4" w:space="0" w:color="000000"/>
              <w:bottom w:val="single" w:sz="4" w:space="0" w:color="000000"/>
              <w:right w:val="single" w:sz="4" w:space="0" w:color="000000"/>
            </w:tcBorders>
            <w:hideMark/>
          </w:tcPr>
          <w:p w14:paraId="0A612700"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17</w:t>
            </w:r>
          </w:p>
        </w:tc>
        <w:tc>
          <w:tcPr>
            <w:tcW w:w="572" w:type="pct"/>
            <w:tcBorders>
              <w:top w:val="single" w:sz="4" w:space="0" w:color="000000"/>
              <w:left w:val="single" w:sz="4" w:space="0" w:color="000000"/>
              <w:bottom w:val="single" w:sz="4" w:space="0" w:color="000000"/>
              <w:right w:val="single" w:sz="4" w:space="0" w:color="000000"/>
            </w:tcBorders>
            <w:hideMark/>
          </w:tcPr>
          <w:p w14:paraId="4C21D99B"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0,44</w:t>
            </w:r>
          </w:p>
        </w:tc>
        <w:tc>
          <w:tcPr>
            <w:tcW w:w="429" w:type="pct"/>
            <w:tcBorders>
              <w:top w:val="single" w:sz="4" w:space="0" w:color="000000"/>
              <w:left w:val="single" w:sz="4" w:space="0" w:color="000000"/>
              <w:bottom w:val="single" w:sz="4" w:space="0" w:color="000000"/>
              <w:right w:val="single" w:sz="4" w:space="0" w:color="000000"/>
            </w:tcBorders>
            <w:hideMark/>
          </w:tcPr>
          <w:p w14:paraId="49A5E866"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1703</w:t>
            </w:r>
          </w:p>
        </w:tc>
        <w:tc>
          <w:tcPr>
            <w:tcW w:w="643" w:type="pct"/>
            <w:tcBorders>
              <w:top w:val="single" w:sz="4" w:space="0" w:color="000000"/>
              <w:left w:val="single" w:sz="4" w:space="0" w:color="000000"/>
              <w:bottom w:val="single" w:sz="4" w:space="0" w:color="000000"/>
              <w:right w:val="single" w:sz="4" w:space="0" w:color="000000"/>
            </w:tcBorders>
            <w:hideMark/>
          </w:tcPr>
          <w:p w14:paraId="7CD169C4"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35</w:t>
            </w:r>
          </w:p>
        </w:tc>
        <w:tc>
          <w:tcPr>
            <w:tcW w:w="572" w:type="pct"/>
            <w:tcBorders>
              <w:top w:val="single" w:sz="4" w:space="0" w:color="000000"/>
              <w:left w:val="single" w:sz="4" w:space="0" w:color="000000"/>
              <w:bottom w:val="single" w:sz="4" w:space="0" w:color="000000"/>
              <w:right w:val="single" w:sz="4" w:space="0" w:color="000000"/>
            </w:tcBorders>
            <w:hideMark/>
          </w:tcPr>
          <w:p w14:paraId="08D386CF"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0,89</w:t>
            </w:r>
          </w:p>
        </w:tc>
        <w:tc>
          <w:tcPr>
            <w:tcW w:w="928" w:type="pct"/>
            <w:tcBorders>
              <w:top w:val="single" w:sz="4" w:space="0" w:color="000000"/>
              <w:left w:val="single" w:sz="4" w:space="0" w:color="000000"/>
              <w:bottom w:val="single" w:sz="4" w:space="0" w:color="000000"/>
              <w:right w:val="single" w:sz="4" w:space="0" w:color="000000"/>
            </w:tcBorders>
            <w:hideMark/>
          </w:tcPr>
          <w:p w14:paraId="35E75764"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0,50 (0,28; 0,89)</w:t>
            </w:r>
          </w:p>
        </w:tc>
      </w:tr>
      <w:tr w:rsidR="00A75091" w:rsidRPr="004D17AE" w14:paraId="03CFB18B" w14:textId="77777777" w:rsidTr="00CE778C">
        <w:trPr>
          <w:trHeight w:val="294"/>
        </w:trPr>
        <w:tc>
          <w:tcPr>
            <w:tcW w:w="785" w:type="pct"/>
            <w:tcBorders>
              <w:top w:val="single" w:sz="4" w:space="0" w:color="000000"/>
              <w:left w:val="single" w:sz="4" w:space="0" w:color="000000"/>
              <w:bottom w:val="single" w:sz="4" w:space="0" w:color="000000"/>
              <w:right w:val="single" w:sz="4" w:space="0" w:color="000000"/>
            </w:tcBorders>
            <w:hideMark/>
          </w:tcPr>
          <w:p w14:paraId="1B488203" w14:textId="77777777" w:rsidR="00A75091" w:rsidRPr="004D17AE" w:rsidRDefault="00A75091">
            <w:pPr>
              <w:pStyle w:val="TableParagraph"/>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90 til ≤ 110</w:t>
            </w:r>
          </w:p>
        </w:tc>
        <w:tc>
          <w:tcPr>
            <w:tcW w:w="429" w:type="pct"/>
            <w:tcBorders>
              <w:top w:val="single" w:sz="4" w:space="0" w:color="000000"/>
              <w:left w:val="single" w:sz="4" w:space="0" w:color="000000"/>
              <w:bottom w:val="single" w:sz="4" w:space="0" w:color="000000"/>
              <w:right w:val="single" w:sz="4" w:space="0" w:color="000000"/>
            </w:tcBorders>
            <w:hideMark/>
          </w:tcPr>
          <w:p w14:paraId="47B07B9D"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927</w:t>
            </w:r>
          </w:p>
        </w:tc>
        <w:tc>
          <w:tcPr>
            <w:tcW w:w="642" w:type="pct"/>
            <w:tcBorders>
              <w:top w:val="single" w:sz="4" w:space="0" w:color="000000"/>
              <w:left w:val="single" w:sz="4" w:space="0" w:color="000000"/>
              <w:bottom w:val="single" w:sz="4" w:space="0" w:color="000000"/>
              <w:right w:val="single" w:sz="4" w:space="0" w:color="000000"/>
            </w:tcBorders>
            <w:hideMark/>
          </w:tcPr>
          <w:p w14:paraId="58831DA9"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5</w:t>
            </w:r>
          </w:p>
        </w:tc>
        <w:tc>
          <w:tcPr>
            <w:tcW w:w="572" w:type="pct"/>
            <w:tcBorders>
              <w:top w:val="single" w:sz="4" w:space="0" w:color="000000"/>
              <w:left w:val="single" w:sz="4" w:space="0" w:color="000000"/>
              <w:bottom w:val="single" w:sz="4" w:space="0" w:color="000000"/>
              <w:right w:val="single" w:sz="4" w:space="0" w:color="000000"/>
            </w:tcBorders>
            <w:hideMark/>
          </w:tcPr>
          <w:p w14:paraId="3915BE40"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0,23</w:t>
            </w:r>
          </w:p>
        </w:tc>
        <w:tc>
          <w:tcPr>
            <w:tcW w:w="429" w:type="pct"/>
            <w:tcBorders>
              <w:top w:val="single" w:sz="4" w:space="0" w:color="000000"/>
              <w:left w:val="single" w:sz="4" w:space="0" w:color="000000"/>
              <w:bottom w:val="single" w:sz="4" w:space="0" w:color="000000"/>
              <w:right w:val="single" w:sz="4" w:space="0" w:color="000000"/>
            </w:tcBorders>
            <w:hideMark/>
          </w:tcPr>
          <w:p w14:paraId="12307FA2"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960</w:t>
            </w:r>
          </w:p>
        </w:tc>
        <w:tc>
          <w:tcPr>
            <w:tcW w:w="643" w:type="pct"/>
            <w:tcBorders>
              <w:top w:val="single" w:sz="4" w:space="0" w:color="000000"/>
              <w:left w:val="single" w:sz="4" w:space="0" w:color="000000"/>
              <w:bottom w:val="single" w:sz="4" w:space="0" w:color="000000"/>
              <w:right w:val="single" w:sz="4" w:space="0" w:color="000000"/>
            </w:tcBorders>
            <w:hideMark/>
          </w:tcPr>
          <w:p w14:paraId="699D3048"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6</w:t>
            </w:r>
          </w:p>
        </w:tc>
        <w:tc>
          <w:tcPr>
            <w:tcW w:w="572" w:type="pct"/>
            <w:tcBorders>
              <w:top w:val="single" w:sz="4" w:space="0" w:color="000000"/>
              <w:left w:val="single" w:sz="4" w:space="0" w:color="000000"/>
              <w:bottom w:val="single" w:sz="4" w:space="0" w:color="000000"/>
              <w:right w:val="single" w:sz="4" w:space="0" w:color="000000"/>
            </w:tcBorders>
            <w:hideMark/>
          </w:tcPr>
          <w:p w14:paraId="4E523078"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0,26</w:t>
            </w:r>
          </w:p>
        </w:tc>
        <w:tc>
          <w:tcPr>
            <w:tcW w:w="928" w:type="pct"/>
            <w:tcBorders>
              <w:top w:val="single" w:sz="4" w:space="0" w:color="000000"/>
              <w:left w:val="single" w:sz="4" w:space="0" w:color="000000"/>
              <w:bottom w:val="single" w:sz="4" w:space="0" w:color="000000"/>
              <w:right w:val="single" w:sz="4" w:space="0" w:color="000000"/>
            </w:tcBorders>
            <w:hideMark/>
          </w:tcPr>
          <w:p w14:paraId="421A3E2A"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0,87 (0,27; 2,86)</w:t>
            </w:r>
          </w:p>
        </w:tc>
      </w:tr>
      <w:tr w:rsidR="00A75091" w:rsidRPr="004D17AE" w14:paraId="28692016" w14:textId="77777777" w:rsidTr="00CE778C">
        <w:trPr>
          <w:trHeight w:val="292"/>
        </w:trPr>
        <w:tc>
          <w:tcPr>
            <w:tcW w:w="785" w:type="pct"/>
            <w:tcBorders>
              <w:top w:val="single" w:sz="4" w:space="0" w:color="000000"/>
              <w:left w:val="single" w:sz="4" w:space="0" w:color="000000"/>
              <w:bottom w:val="single" w:sz="4" w:space="0" w:color="000000"/>
              <w:right w:val="single" w:sz="4" w:space="0" w:color="000000"/>
            </w:tcBorders>
            <w:hideMark/>
          </w:tcPr>
          <w:p w14:paraId="51DAE4A2" w14:textId="77777777" w:rsidR="00A75091" w:rsidRPr="004D17AE" w:rsidRDefault="00A75091">
            <w:pPr>
              <w:pStyle w:val="TableParagraph"/>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110 til ≤ 130</w:t>
            </w:r>
          </w:p>
        </w:tc>
        <w:tc>
          <w:tcPr>
            <w:tcW w:w="429" w:type="pct"/>
            <w:tcBorders>
              <w:top w:val="single" w:sz="4" w:space="0" w:color="000000"/>
              <w:left w:val="single" w:sz="4" w:space="0" w:color="000000"/>
              <w:bottom w:val="single" w:sz="4" w:space="0" w:color="000000"/>
              <w:right w:val="single" w:sz="4" w:space="0" w:color="000000"/>
            </w:tcBorders>
            <w:hideMark/>
          </w:tcPr>
          <w:p w14:paraId="5581EB19"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497</w:t>
            </w:r>
          </w:p>
        </w:tc>
        <w:tc>
          <w:tcPr>
            <w:tcW w:w="642" w:type="pct"/>
            <w:tcBorders>
              <w:top w:val="single" w:sz="4" w:space="0" w:color="000000"/>
              <w:left w:val="single" w:sz="4" w:space="0" w:color="000000"/>
              <w:bottom w:val="single" w:sz="4" w:space="0" w:color="000000"/>
              <w:right w:val="single" w:sz="4" w:space="0" w:color="000000"/>
            </w:tcBorders>
            <w:hideMark/>
          </w:tcPr>
          <w:p w14:paraId="74250C86"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w:t>
            </w:r>
          </w:p>
        </w:tc>
        <w:tc>
          <w:tcPr>
            <w:tcW w:w="572" w:type="pct"/>
            <w:tcBorders>
              <w:top w:val="single" w:sz="4" w:space="0" w:color="000000"/>
              <w:left w:val="single" w:sz="4" w:space="0" w:color="000000"/>
              <w:bottom w:val="single" w:sz="4" w:space="0" w:color="000000"/>
              <w:right w:val="single" w:sz="4" w:space="0" w:color="000000"/>
            </w:tcBorders>
            <w:hideMark/>
          </w:tcPr>
          <w:p w14:paraId="4C5E66D7"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0,17</w:t>
            </w:r>
          </w:p>
        </w:tc>
        <w:tc>
          <w:tcPr>
            <w:tcW w:w="429" w:type="pct"/>
            <w:tcBorders>
              <w:top w:val="single" w:sz="4" w:space="0" w:color="000000"/>
              <w:left w:val="single" w:sz="4" w:space="0" w:color="000000"/>
              <w:bottom w:val="single" w:sz="4" w:space="0" w:color="000000"/>
              <w:right w:val="single" w:sz="4" w:space="0" w:color="000000"/>
            </w:tcBorders>
            <w:hideMark/>
          </w:tcPr>
          <w:p w14:paraId="5C9C312D"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469</w:t>
            </w:r>
          </w:p>
        </w:tc>
        <w:tc>
          <w:tcPr>
            <w:tcW w:w="643" w:type="pct"/>
            <w:tcBorders>
              <w:top w:val="single" w:sz="4" w:space="0" w:color="000000"/>
              <w:left w:val="single" w:sz="4" w:space="0" w:color="000000"/>
              <w:bottom w:val="single" w:sz="4" w:space="0" w:color="000000"/>
              <w:right w:val="single" w:sz="4" w:space="0" w:color="000000"/>
            </w:tcBorders>
            <w:hideMark/>
          </w:tcPr>
          <w:p w14:paraId="6F177AD7"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3</w:t>
            </w:r>
          </w:p>
        </w:tc>
        <w:tc>
          <w:tcPr>
            <w:tcW w:w="572" w:type="pct"/>
            <w:tcBorders>
              <w:top w:val="single" w:sz="4" w:space="0" w:color="000000"/>
              <w:left w:val="single" w:sz="4" w:space="0" w:color="000000"/>
              <w:bottom w:val="single" w:sz="4" w:space="0" w:color="000000"/>
              <w:right w:val="single" w:sz="4" w:space="0" w:color="000000"/>
            </w:tcBorders>
            <w:hideMark/>
          </w:tcPr>
          <w:p w14:paraId="72D06EBB"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0,26</w:t>
            </w:r>
          </w:p>
        </w:tc>
        <w:tc>
          <w:tcPr>
            <w:tcW w:w="928" w:type="pct"/>
            <w:tcBorders>
              <w:top w:val="single" w:sz="4" w:space="0" w:color="000000"/>
              <w:left w:val="single" w:sz="4" w:space="0" w:color="000000"/>
              <w:bottom w:val="single" w:sz="4" w:space="0" w:color="000000"/>
              <w:right w:val="single" w:sz="4" w:space="0" w:color="000000"/>
            </w:tcBorders>
            <w:hideMark/>
          </w:tcPr>
          <w:p w14:paraId="4134FA0A"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w:t>
            </w:r>
            <w:r w:rsidRPr="004D17AE">
              <w:rPr>
                <w:rFonts w:ascii="Times New Roman" w:hAnsi="Times New Roman" w:cs="Times New Roman"/>
                <w:sz w:val="22"/>
                <w:szCs w:val="22"/>
                <w:vertAlign w:val="superscript"/>
                <w:lang w:eastAsia="en-US"/>
              </w:rPr>
              <w:t>*</w:t>
            </w:r>
          </w:p>
        </w:tc>
      </w:tr>
      <w:tr w:rsidR="00A75091" w:rsidRPr="004D17AE" w14:paraId="392DDACD" w14:textId="77777777" w:rsidTr="00CE778C">
        <w:trPr>
          <w:trHeight w:val="292"/>
        </w:trPr>
        <w:tc>
          <w:tcPr>
            <w:tcW w:w="785" w:type="pct"/>
            <w:tcBorders>
              <w:top w:val="single" w:sz="4" w:space="0" w:color="000000"/>
              <w:left w:val="single" w:sz="4" w:space="0" w:color="000000"/>
              <w:bottom w:val="single" w:sz="4" w:space="0" w:color="000000"/>
              <w:right w:val="single" w:sz="4" w:space="0" w:color="000000"/>
            </w:tcBorders>
            <w:hideMark/>
          </w:tcPr>
          <w:p w14:paraId="6400A649" w14:textId="77777777" w:rsidR="00A75091" w:rsidRPr="004D17AE" w:rsidRDefault="00A75091">
            <w:pPr>
              <w:pStyle w:val="TableParagraph"/>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130</w:t>
            </w:r>
          </w:p>
        </w:tc>
        <w:tc>
          <w:tcPr>
            <w:tcW w:w="429" w:type="pct"/>
            <w:tcBorders>
              <w:top w:val="single" w:sz="4" w:space="0" w:color="000000"/>
              <w:left w:val="single" w:sz="4" w:space="0" w:color="000000"/>
              <w:bottom w:val="single" w:sz="4" w:space="0" w:color="000000"/>
              <w:right w:val="single" w:sz="4" w:space="0" w:color="000000"/>
            </w:tcBorders>
            <w:hideMark/>
          </w:tcPr>
          <w:p w14:paraId="07F82480"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462</w:t>
            </w:r>
          </w:p>
        </w:tc>
        <w:tc>
          <w:tcPr>
            <w:tcW w:w="642" w:type="pct"/>
            <w:tcBorders>
              <w:top w:val="single" w:sz="4" w:space="0" w:color="000000"/>
              <w:left w:val="single" w:sz="4" w:space="0" w:color="000000"/>
              <w:bottom w:val="single" w:sz="4" w:space="0" w:color="000000"/>
              <w:right w:val="single" w:sz="4" w:space="0" w:color="000000"/>
            </w:tcBorders>
            <w:hideMark/>
          </w:tcPr>
          <w:p w14:paraId="559CFE24"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w:t>
            </w:r>
          </w:p>
        </w:tc>
        <w:tc>
          <w:tcPr>
            <w:tcW w:w="572" w:type="pct"/>
            <w:tcBorders>
              <w:top w:val="single" w:sz="4" w:space="0" w:color="000000"/>
              <w:left w:val="single" w:sz="4" w:space="0" w:color="000000"/>
              <w:bottom w:val="single" w:sz="4" w:space="0" w:color="000000"/>
              <w:right w:val="single" w:sz="4" w:space="0" w:color="000000"/>
            </w:tcBorders>
            <w:hideMark/>
          </w:tcPr>
          <w:p w14:paraId="02CE9B66"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0,09</w:t>
            </w:r>
          </w:p>
        </w:tc>
        <w:tc>
          <w:tcPr>
            <w:tcW w:w="429" w:type="pct"/>
            <w:tcBorders>
              <w:top w:val="single" w:sz="4" w:space="0" w:color="000000"/>
              <w:left w:val="single" w:sz="4" w:space="0" w:color="000000"/>
              <w:bottom w:val="single" w:sz="4" w:space="0" w:color="000000"/>
              <w:right w:val="single" w:sz="4" w:space="0" w:color="000000"/>
            </w:tcBorders>
            <w:hideMark/>
          </w:tcPr>
          <w:p w14:paraId="4B2C563F"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418</w:t>
            </w:r>
          </w:p>
        </w:tc>
        <w:tc>
          <w:tcPr>
            <w:tcW w:w="643" w:type="pct"/>
            <w:tcBorders>
              <w:top w:val="single" w:sz="4" w:space="0" w:color="000000"/>
              <w:left w:val="single" w:sz="4" w:space="0" w:color="000000"/>
              <w:bottom w:val="single" w:sz="4" w:space="0" w:color="000000"/>
              <w:right w:val="single" w:sz="4" w:space="0" w:color="000000"/>
            </w:tcBorders>
            <w:hideMark/>
          </w:tcPr>
          <w:p w14:paraId="7EF57F95"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1</w:t>
            </w:r>
          </w:p>
        </w:tc>
        <w:tc>
          <w:tcPr>
            <w:tcW w:w="572" w:type="pct"/>
            <w:tcBorders>
              <w:top w:val="single" w:sz="4" w:space="0" w:color="000000"/>
              <w:left w:val="single" w:sz="4" w:space="0" w:color="000000"/>
              <w:bottom w:val="single" w:sz="4" w:space="0" w:color="000000"/>
              <w:right w:val="single" w:sz="4" w:space="0" w:color="000000"/>
            </w:tcBorders>
            <w:hideMark/>
          </w:tcPr>
          <w:p w14:paraId="2B2C8006"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0,10</w:t>
            </w:r>
          </w:p>
        </w:tc>
        <w:tc>
          <w:tcPr>
            <w:tcW w:w="928" w:type="pct"/>
            <w:tcBorders>
              <w:top w:val="single" w:sz="4" w:space="0" w:color="000000"/>
              <w:left w:val="single" w:sz="4" w:space="0" w:color="000000"/>
              <w:bottom w:val="single" w:sz="4" w:space="0" w:color="000000"/>
              <w:right w:val="single" w:sz="4" w:space="0" w:color="000000"/>
            </w:tcBorders>
            <w:hideMark/>
          </w:tcPr>
          <w:p w14:paraId="65383A9F" w14:textId="77777777" w:rsidR="00A75091" w:rsidRPr="004D17AE" w:rsidRDefault="00A75091">
            <w:pPr>
              <w:pStyle w:val="TableParagraph"/>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w:t>
            </w:r>
            <w:r w:rsidRPr="004D17AE">
              <w:rPr>
                <w:rFonts w:ascii="Times New Roman" w:hAnsi="Times New Roman" w:cs="Times New Roman"/>
                <w:sz w:val="22"/>
                <w:szCs w:val="22"/>
                <w:vertAlign w:val="superscript"/>
                <w:lang w:eastAsia="en-US"/>
              </w:rPr>
              <w:t>*</w:t>
            </w:r>
          </w:p>
        </w:tc>
      </w:tr>
    </w:tbl>
    <w:p w14:paraId="54F2D519" w14:textId="234CB30C" w:rsidR="00A75091" w:rsidRPr="00CE778C" w:rsidRDefault="00A75091" w:rsidP="00A75091">
      <w:pPr>
        <w:pStyle w:val="Brdtekst"/>
        <w:suppressAutoHyphens/>
        <w:kinsoku w:val="0"/>
        <w:overflowPunct w:val="0"/>
        <w:ind w:left="0"/>
      </w:pPr>
      <w:r w:rsidRPr="00CE778C">
        <w:t>Forkortelser: N = antal personer i mITT-population samlet studieperiode, mITT = modificeret</w:t>
      </w:r>
      <w:r w:rsidR="004D17AE">
        <w:t xml:space="preserve"> </w:t>
      </w:r>
      <w:r w:rsidRPr="00CE778C">
        <w:t>intention-to-treat, n = antal patienter i undergruppen, HR = hazard ratio versus warfarin,</w:t>
      </w:r>
    </w:p>
    <w:p w14:paraId="02E60337" w14:textId="77777777" w:rsidR="00A75091" w:rsidRPr="00CE778C" w:rsidRDefault="00A75091" w:rsidP="00A75091">
      <w:pPr>
        <w:pStyle w:val="Brdtekst"/>
        <w:suppressAutoHyphens/>
        <w:kinsoku w:val="0"/>
        <w:overflowPunct w:val="0"/>
        <w:ind w:left="0"/>
      </w:pPr>
      <w:r w:rsidRPr="00CE778C">
        <w:lastRenderedPageBreak/>
        <w:t>CI = konfidensinterval.</w:t>
      </w:r>
    </w:p>
    <w:p w14:paraId="4D16145F" w14:textId="634D6D3B" w:rsidR="00A75091" w:rsidRPr="00CE778C" w:rsidRDefault="00A75091" w:rsidP="004D17AE">
      <w:pPr>
        <w:pStyle w:val="Brdtekst"/>
        <w:suppressAutoHyphens/>
        <w:kinsoku w:val="0"/>
        <w:overflowPunct w:val="0"/>
        <w:ind w:left="284" w:hanging="284"/>
      </w:pPr>
      <w:r w:rsidRPr="00CE778C">
        <w:rPr>
          <w:vertAlign w:val="superscript"/>
        </w:rPr>
        <w:t>*</w:t>
      </w:r>
      <w:r w:rsidRPr="00CE778C">
        <w:t xml:space="preserve"> </w:t>
      </w:r>
      <w:r w:rsidR="004D17AE">
        <w:tab/>
      </w:r>
      <w:r w:rsidRPr="00CE778C">
        <w:t>HR blev ikke beregnet, hvis antallet af hændelser &lt; 5 i en behandlingsgruppe.</w:t>
      </w:r>
    </w:p>
    <w:p w14:paraId="63184D9D" w14:textId="2C645969" w:rsidR="00A75091" w:rsidRPr="00CE778C" w:rsidRDefault="00A75091" w:rsidP="004D17AE">
      <w:pPr>
        <w:pStyle w:val="Brdtekst"/>
        <w:widowControl/>
        <w:suppressAutoHyphens/>
        <w:kinsoku w:val="0"/>
        <w:overflowPunct w:val="0"/>
        <w:ind w:left="284" w:hanging="284"/>
      </w:pPr>
      <w:r w:rsidRPr="00CE778C">
        <w:rPr>
          <w:vertAlign w:val="superscript"/>
        </w:rPr>
        <w:t>a</w:t>
      </w:r>
      <w:r w:rsidRPr="00CE778C">
        <w:t xml:space="preserve"> </w:t>
      </w:r>
      <w:r w:rsidR="004D17AE">
        <w:tab/>
      </w:r>
      <w:r w:rsidRPr="00CE778C">
        <w:t>Under behandling: Tid fra første dosis af studielægemiddel til den sidste dosis plus 3 dage.</w:t>
      </w:r>
    </w:p>
    <w:p w14:paraId="36666D5B" w14:textId="77777777" w:rsidR="00A75091" w:rsidRPr="00CE778C" w:rsidRDefault="00A75091" w:rsidP="00A75091">
      <w:pPr>
        <w:pStyle w:val="Brdtekst"/>
        <w:widowControl/>
        <w:suppressAutoHyphens/>
        <w:kinsoku w:val="0"/>
        <w:overflowPunct w:val="0"/>
        <w:ind w:left="0"/>
      </w:pPr>
    </w:p>
    <w:p w14:paraId="127E166D" w14:textId="20C6D6FB" w:rsidR="00A75091" w:rsidRPr="00CE778C" w:rsidRDefault="00A75091" w:rsidP="00CE778C">
      <w:pPr>
        <w:ind w:left="851"/>
        <w:rPr>
          <w:sz w:val="24"/>
          <w:szCs w:val="24"/>
        </w:rPr>
      </w:pPr>
      <w:r w:rsidRPr="00CE778C">
        <w:rPr>
          <w:sz w:val="24"/>
          <w:szCs w:val="24"/>
        </w:rPr>
        <w:t>I undergruppeanalyser for personer i behandlingsgruppen med 60 mg, hvor dosis blev reduceret til 30 mg i ENGAGE-AF-TIMI 48 for legemsvægt ≤ 60 kg, moderat nedsat nyrefunktion eller samtidig anvendelse af P-gp-hæmmere, havde 104 (3,05 % pr. år) af de personer, der fik dosisreduceret edoxaban 30 mg, og 166 (4,85 % pr. år) af de personer, der fik dosisreduceret warfarin, en svær blødningshændelse [HR (95 %): 0,63 (0,50; 0,81)].</w:t>
      </w:r>
    </w:p>
    <w:p w14:paraId="0A2F0953" w14:textId="77777777" w:rsidR="00A75091" w:rsidRPr="00CE778C" w:rsidRDefault="00A75091" w:rsidP="00CE778C">
      <w:pPr>
        <w:ind w:left="851"/>
        <w:rPr>
          <w:sz w:val="24"/>
          <w:szCs w:val="24"/>
        </w:rPr>
      </w:pPr>
    </w:p>
    <w:p w14:paraId="498571B2" w14:textId="77777777" w:rsidR="00A75091" w:rsidRPr="00CE778C" w:rsidRDefault="00A75091" w:rsidP="00CE778C">
      <w:pPr>
        <w:ind w:left="851"/>
        <w:rPr>
          <w:sz w:val="24"/>
          <w:szCs w:val="24"/>
        </w:rPr>
      </w:pPr>
      <w:r w:rsidRPr="00CE778C">
        <w:rPr>
          <w:sz w:val="24"/>
          <w:szCs w:val="24"/>
        </w:rPr>
        <w:t>I ENGAGE AF-TIMI 48-studier var der en signifikant forbedring i nettoresultatet for kliniske hændelser (første apopleksianfald, SEE, svær blødning eller mortalitet af alle årsager, mITTpopulation, samlet studieperiode), der favoriserede edoxaban, HR (95 % CI): 0,89 (0,83; 0,96), p = 0,0024, når behandlingsgruppen, der fik edoxaban 60 mg, blev sammenlignet med warfarin.</w:t>
      </w:r>
    </w:p>
    <w:p w14:paraId="1F678A84" w14:textId="77777777" w:rsidR="00A75091" w:rsidRPr="00CE778C" w:rsidRDefault="00A75091" w:rsidP="00CE778C">
      <w:pPr>
        <w:ind w:left="851"/>
        <w:rPr>
          <w:sz w:val="24"/>
          <w:szCs w:val="24"/>
        </w:rPr>
      </w:pPr>
    </w:p>
    <w:p w14:paraId="62399D0D" w14:textId="77777777" w:rsidR="00A75091" w:rsidRPr="00CE778C" w:rsidRDefault="00A75091" w:rsidP="00CE778C">
      <w:pPr>
        <w:ind w:left="851"/>
        <w:rPr>
          <w:i/>
          <w:iCs/>
          <w:sz w:val="24"/>
          <w:szCs w:val="24"/>
        </w:rPr>
      </w:pPr>
      <w:r w:rsidRPr="00CE778C">
        <w:rPr>
          <w:i/>
          <w:iCs/>
          <w:sz w:val="24"/>
          <w:szCs w:val="24"/>
        </w:rPr>
        <w:t>Behandling af DVT, behandling af LE og forebyggelsen af recidiverende DVT og LE (VTE)</w:t>
      </w:r>
    </w:p>
    <w:p w14:paraId="574AF747" w14:textId="77777777" w:rsidR="00A75091" w:rsidRPr="00CE778C" w:rsidRDefault="00A75091" w:rsidP="00CE778C">
      <w:pPr>
        <w:ind w:left="851"/>
        <w:rPr>
          <w:sz w:val="24"/>
          <w:szCs w:val="24"/>
        </w:rPr>
      </w:pPr>
      <w:r w:rsidRPr="00CE778C">
        <w:rPr>
          <w:sz w:val="24"/>
          <w:szCs w:val="24"/>
        </w:rPr>
        <w:t>Det kliniske edoxabanprogram ved venøs tromboemboli (VTE) var designet til at påvise virkning og sikkerhed for edoxaban ved behandling af DVT og LE og til at forebygge recidiverende DVT og LE.</w:t>
      </w:r>
    </w:p>
    <w:p w14:paraId="71FD4CC9" w14:textId="77777777" w:rsidR="00A75091" w:rsidRPr="00CE778C" w:rsidRDefault="00A75091" w:rsidP="00CE778C">
      <w:pPr>
        <w:ind w:left="851"/>
        <w:rPr>
          <w:sz w:val="24"/>
          <w:szCs w:val="24"/>
        </w:rPr>
      </w:pPr>
    </w:p>
    <w:p w14:paraId="1D77ADBD" w14:textId="77777777" w:rsidR="00A75091" w:rsidRPr="00CE778C" w:rsidRDefault="00A75091" w:rsidP="00CE778C">
      <w:pPr>
        <w:ind w:left="851"/>
        <w:rPr>
          <w:sz w:val="24"/>
          <w:szCs w:val="24"/>
        </w:rPr>
      </w:pPr>
      <w:r w:rsidRPr="00CE778C">
        <w:rPr>
          <w:sz w:val="24"/>
          <w:szCs w:val="24"/>
        </w:rPr>
        <w:t>I det pivotale Hokusai-VTE-studie blev 8.292 personer randomiseret til at få en indledende heparinbehandling (enoxaparin eller ufraktioneret heparin) efterfulgt af edoxaban 60 mg en gang dagligt eller det middel, der sammenlignes med. I den sammenlignende arm blev personer, der fik indledende heparinbehandling samtidigt med warfarin, titreret til et mål for INR på 2,0 til 3,0 efterfulgt af warfarin alene. Behandlingsvarigheden var fra 3 måneder op til 12 måneder, hvilket var bestemt af investigatoren baseret på patientens kliniske udtryk.</w:t>
      </w:r>
    </w:p>
    <w:p w14:paraId="1350E2BC" w14:textId="77777777" w:rsidR="00A75091" w:rsidRPr="00CE778C" w:rsidRDefault="00A75091" w:rsidP="00CE778C">
      <w:pPr>
        <w:ind w:left="851"/>
        <w:rPr>
          <w:sz w:val="24"/>
          <w:szCs w:val="24"/>
        </w:rPr>
      </w:pPr>
    </w:p>
    <w:p w14:paraId="0C61711C" w14:textId="2812A7EE" w:rsidR="00A75091" w:rsidRPr="00CE778C" w:rsidRDefault="00A75091" w:rsidP="00CE778C">
      <w:pPr>
        <w:ind w:left="851"/>
        <w:rPr>
          <w:sz w:val="24"/>
          <w:szCs w:val="24"/>
        </w:rPr>
      </w:pPr>
      <w:r w:rsidRPr="00CE778C">
        <w:rPr>
          <w:sz w:val="24"/>
          <w:szCs w:val="24"/>
        </w:rPr>
        <w:t>Hovedparten af patienter behandlet med edoxaban var af kaukasisk herkomst (69,6 %) og af asiatisk</w:t>
      </w:r>
      <w:r w:rsidR="004D17AE">
        <w:rPr>
          <w:sz w:val="24"/>
          <w:szCs w:val="24"/>
        </w:rPr>
        <w:t xml:space="preserve"> </w:t>
      </w:r>
      <w:r w:rsidRPr="00CE778C">
        <w:rPr>
          <w:sz w:val="24"/>
          <w:szCs w:val="24"/>
        </w:rPr>
        <w:t>herkomst (21,0 %), 3,8 % var sorte, og 5,3 % blev kategoriseret som anden race.</w:t>
      </w:r>
    </w:p>
    <w:p w14:paraId="113CF905" w14:textId="77777777" w:rsidR="00A75091" w:rsidRPr="00CE778C" w:rsidRDefault="00A75091" w:rsidP="00CE778C">
      <w:pPr>
        <w:ind w:left="851"/>
        <w:rPr>
          <w:sz w:val="24"/>
          <w:szCs w:val="24"/>
        </w:rPr>
      </w:pPr>
    </w:p>
    <w:p w14:paraId="430EC7EB" w14:textId="7F04EAE8" w:rsidR="00A75091" w:rsidRPr="00CE778C" w:rsidRDefault="00A75091" w:rsidP="00CE778C">
      <w:pPr>
        <w:ind w:left="851"/>
        <w:rPr>
          <w:sz w:val="24"/>
          <w:szCs w:val="24"/>
        </w:rPr>
      </w:pPr>
      <w:r w:rsidRPr="00CE778C">
        <w:rPr>
          <w:sz w:val="24"/>
          <w:szCs w:val="24"/>
        </w:rPr>
        <w:t>Behandlingsvarigheden var mindst 3 måneder for 3.718 (91,6 %) personer, der fik edoxaban, versus</w:t>
      </w:r>
      <w:r w:rsidR="004D17AE">
        <w:rPr>
          <w:sz w:val="24"/>
          <w:szCs w:val="24"/>
        </w:rPr>
        <w:t xml:space="preserve"> </w:t>
      </w:r>
      <w:r w:rsidRPr="00CE778C">
        <w:rPr>
          <w:sz w:val="24"/>
          <w:szCs w:val="24"/>
        </w:rPr>
        <w:t>3.727 (91,4 %) personer, der fik warfarin; mindst 6 måneder for 3.495 (86,1 %) personer, der fik edoxaban, versus 3.491 (85,6 %) personer, der fik warfarin; og 12 måneder for 1.643 (40,5 %) personer, der fik edoxaban, versus 1.659 (40,4 %) personer, der fik warfarin.</w:t>
      </w:r>
    </w:p>
    <w:p w14:paraId="29184A3B" w14:textId="77777777" w:rsidR="00A75091" w:rsidRPr="00CE778C" w:rsidRDefault="00A75091" w:rsidP="00CE778C">
      <w:pPr>
        <w:ind w:left="851"/>
        <w:rPr>
          <w:sz w:val="24"/>
          <w:szCs w:val="24"/>
        </w:rPr>
      </w:pPr>
    </w:p>
    <w:p w14:paraId="23E47454" w14:textId="77777777" w:rsidR="00A75091" w:rsidRPr="00CE778C" w:rsidRDefault="00A75091" w:rsidP="00CE778C">
      <w:pPr>
        <w:ind w:left="851"/>
        <w:rPr>
          <w:sz w:val="24"/>
          <w:szCs w:val="24"/>
        </w:rPr>
      </w:pPr>
      <w:r w:rsidRPr="00CE778C">
        <w:rPr>
          <w:sz w:val="24"/>
          <w:szCs w:val="24"/>
        </w:rPr>
        <w:t>Det primære endepunkt for virkning var tilbagevending af symptomatisk VTE defineret som sammensætningen af recidiverende, symptomatisk DVT, ikke-dødelig, symptomatisk LE og dødelig LE hos personerne i løbet af den 12-måneders studieperiode. De sekundære resultater for virkning omfattede det sammensatte kliniske resultat af recidiverende VTE og mortalitet af alle årsager.</w:t>
      </w:r>
    </w:p>
    <w:p w14:paraId="0E4F8B84" w14:textId="77777777" w:rsidR="00A75091" w:rsidRPr="00CE778C" w:rsidRDefault="00A75091" w:rsidP="00CE778C">
      <w:pPr>
        <w:ind w:left="851"/>
        <w:rPr>
          <w:sz w:val="24"/>
          <w:szCs w:val="24"/>
        </w:rPr>
      </w:pPr>
    </w:p>
    <w:p w14:paraId="1CA807FE" w14:textId="77777777" w:rsidR="00A75091" w:rsidRPr="00CE778C" w:rsidRDefault="00A75091" w:rsidP="00CE778C">
      <w:pPr>
        <w:ind w:left="851"/>
        <w:rPr>
          <w:sz w:val="24"/>
          <w:szCs w:val="24"/>
        </w:rPr>
      </w:pPr>
      <w:r w:rsidRPr="00CE778C">
        <w:rPr>
          <w:sz w:val="24"/>
          <w:szCs w:val="24"/>
        </w:rPr>
        <w:t>Edoxaban 30 mg én gang dagligt blev anvendt til personer med en eller flere af de følgende kliniske faktorer: moderat nedsat nyrefunktion (CrCl 30 – 50 ml/min.), legemsvægt ≤ 60 kg og samtidig anvendelse af specifikke P-gp-hæmmere.</w:t>
      </w:r>
    </w:p>
    <w:p w14:paraId="75476839" w14:textId="77777777" w:rsidR="00A75091" w:rsidRPr="00CE778C" w:rsidRDefault="00A75091" w:rsidP="00CE778C">
      <w:pPr>
        <w:ind w:left="851"/>
        <w:rPr>
          <w:sz w:val="24"/>
          <w:szCs w:val="24"/>
        </w:rPr>
      </w:pPr>
    </w:p>
    <w:p w14:paraId="7265B6AF" w14:textId="75F2DDFD" w:rsidR="00A75091" w:rsidRPr="00CE778C" w:rsidRDefault="00A75091" w:rsidP="00CE778C">
      <w:pPr>
        <w:ind w:left="851"/>
        <w:rPr>
          <w:sz w:val="24"/>
          <w:szCs w:val="24"/>
        </w:rPr>
      </w:pPr>
      <w:r w:rsidRPr="00CE778C">
        <w:rPr>
          <w:sz w:val="24"/>
          <w:szCs w:val="24"/>
        </w:rPr>
        <w:t>I Hokusai-VTE-studiet (tabel 10) blev det vist, at edoxaban var non-inferior i forhold til warfarin for</w:t>
      </w:r>
      <w:r w:rsidR="004D17AE">
        <w:rPr>
          <w:sz w:val="24"/>
          <w:szCs w:val="24"/>
        </w:rPr>
        <w:t xml:space="preserve"> </w:t>
      </w:r>
      <w:r w:rsidRPr="00CE778C">
        <w:rPr>
          <w:sz w:val="24"/>
          <w:szCs w:val="24"/>
        </w:rPr>
        <w:t>det primære virkningsresultat, recidiverende VTE, som forekom hos 130 ud af 4.118 personer (3,2 %)</w:t>
      </w:r>
      <w:r w:rsidR="004D17AE">
        <w:rPr>
          <w:sz w:val="24"/>
          <w:szCs w:val="24"/>
        </w:rPr>
        <w:t xml:space="preserve"> </w:t>
      </w:r>
      <w:r w:rsidRPr="00CE778C">
        <w:rPr>
          <w:sz w:val="24"/>
          <w:szCs w:val="24"/>
        </w:rPr>
        <w:t xml:space="preserve">i edoxabangruppen versus 146 af 4.122 personer (3,5 %) i </w:t>
      </w:r>
      <w:r w:rsidRPr="00CE778C">
        <w:rPr>
          <w:sz w:val="24"/>
          <w:szCs w:val="24"/>
        </w:rPr>
        <w:lastRenderedPageBreak/>
        <w:t>warfaringruppen [HR (95 % CI): 0,89 (0,70;</w:t>
      </w:r>
      <w:r w:rsidR="004D17AE">
        <w:rPr>
          <w:sz w:val="24"/>
          <w:szCs w:val="24"/>
        </w:rPr>
        <w:t xml:space="preserve"> </w:t>
      </w:r>
      <w:r w:rsidRPr="00CE778C">
        <w:rPr>
          <w:sz w:val="24"/>
          <w:szCs w:val="24"/>
        </w:rPr>
        <w:t>1,13), p &lt; 0,0001 for non-inferioritet]. I warfaringruppen var medianen for TTR, INR 2,0 til 3,0) 65,6 %. For personer, der mødte op med LE (med eller uden DVT), havde 47 (2,8 %) personer, der fik edoxaban, og 65 (3,9</w:t>
      </w:r>
      <w:r w:rsidR="00BC493D">
        <w:rPr>
          <w:sz w:val="24"/>
          <w:szCs w:val="24"/>
        </w:rPr>
        <w:t> </w:t>
      </w:r>
      <w:r w:rsidRPr="00CE778C">
        <w:rPr>
          <w:sz w:val="24"/>
          <w:szCs w:val="24"/>
        </w:rPr>
        <w:t>%) personer, der fik warfarin, en recidiverende VTE [HR (95 % CI): 0,73 (0,50;1,06)].</w:t>
      </w:r>
    </w:p>
    <w:p w14:paraId="431E595A" w14:textId="77777777" w:rsidR="00A75091" w:rsidRPr="00CE778C" w:rsidRDefault="00A75091" w:rsidP="00CE778C">
      <w:pPr>
        <w:ind w:left="851"/>
        <w:rPr>
          <w:sz w:val="24"/>
          <w:szCs w:val="24"/>
        </w:rPr>
      </w:pPr>
    </w:p>
    <w:p w14:paraId="7E569C3F" w14:textId="77777777" w:rsidR="00A75091" w:rsidRPr="00CE778C" w:rsidRDefault="00A75091" w:rsidP="00A75091">
      <w:pPr>
        <w:pStyle w:val="Brdtekst"/>
        <w:keepNext/>
        <w:widowControl/>
        <w:suppressAutoHyphens/>
        <w:kinsoku w:val="0"/>
        <w:overflowPunct w:val="0"/>
        <w:ind w:left="0"/>
        <w:rPr>
          <w:b/>
          <w:bCs/>
        </w:rPr>
      </w:pPr>
      <w:r w:rsidRPr="00CE778C">
        <w:rPr>
          <w:b/>
          <w:bCs/>
        </w:rPr>
        <w:t>Tabel 10: Virkningsresultater fra Hokusai-VTE-studiet – mITT-population, samlet studieperiode</w:t>
      </w:r>
    </w:p>
    <w:p w14:paraId="5BB512D3" w14:textId="77777777" w:rsidR="00A75091" w:rsidRPr="00CE778C" w:rsidRDefault="00A75091" w:rsidP="00A75091">
      <w:pPr>
        <w:pStyle w:val="Brdtekst"/>
        <w:keepNext/>
        <w:widowControl/>
        <w:suppressAutoHyphens/>
        <w:kinsoku w:val="0"/>
        <w:overflowPunct w:val="0"/>
        <w:ind w:left="0"/>
      </w:pPr>
    </w:p>
    <w:tbl>
      <w:tblPr>
        <w:tblStyle w:val="TableNormal1"/>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907"/>
        <w:gridCol w:w="2348"/>
        <w:gridCol w:w="2202"/>
        <w:gridCol w:w="2165"/>
      </w:tblGrid>
      <w:tr w:rsidR="00A75091" w:rsidRPr="001D7285" w14:paraId="631D8A6C" w14:textId="77777777" w:rsidTr="00CE778C">
        <w:trPr>
          <w:trHeight w:val="20"/>
        </w:trPr>
        <w:tc>
          <w:tcPr>
            <w:tcW w:w="1511" w:type="pct"/>
            <w:tcBorders>
              <w:top w:val="single" w:sz="6" w:space="0" w:color="000000"/>
              <w:left w:val="single" w:sz="6" w:space="0" w:color="000000"/>
              <w:bottom w:val="single" w:sz="6" w:space="0" w:color="000000"/>
              <w:right w:val="single" w:sz="6" w:space="0" w:color="000000"/>
            </w:tcBorders>
            <w:shd w:val="clear" w:color="auto" w:fill="DADADA"/>
            <w:hideMark/>
          </w:tcPr>
          <w:p w14:paraId="4C9FFEE5" w14:textId="77777777" w:rsidR="00A75091" w:rsidRPr="00CE778C" w:rsidRDefault="00A75091">
            <w:pPr>
              <w:pStyle w:val="TableParagraph"/>
              <w:keepNext/>
              <w:widowControl/>
              <w:ind w:left="57" w:right="57"/>
              <w:rPr>
                <w:rFonts w:ascii="Times New Roman" w:hAnsi="Times New Roman" w:cs="Times New Roman"/>
                <w:b/>
                <w:lang w:eastAsia="en-US"/>
              </w:rPr>
            </w:pPr>
            <w:r w:rsidRPr="00CE778C">
              <w:rPr>
                <w:rFonts w:ascii="Times New Roman" w:hAnsi="Times New Roman" w:cs="Times New Roman"/>
                <w:b/>
                <w:bCs/>
                <w:lang w:eastAsia="en-US"/>
              </w:rPr>
              <w:t>Primære endepunkt</w:t>
            </w:r>
            <w:r w:rsidRPr="00CE778C">
              <w:rPr>
                <w:rFonts w:ascii="Times New Roman" w:hAnsi="Times New Roman" w:cs="Times New Roman"/>
                <w:b/>
                <w:bCs/>
                <w:vertAlign w:val="superscript"/>
                <w:lang w:eastAsia="en-US"/>
              </w:rPr>
              <w:t>a</w:t>
            </w:r>
          </w:p>
        </w:tc>
        <w:tc>
          <w:tcPr>
            <w:tcW w:w="1220" w:type="pct"/>
            <w:tcBorders>
              <w:top w:val="single" w:sz="6" w:space="0" w:color="000000"/>
              <w:left w:val="single" w:sz="6" w:space="0" w:color="000000"/>
              <w:bottom w:val="single" w:sz="6" w:space="0" w:color="000000"/>
              <w:right w:val="single" w:sz="6" w:space="0" w:color="000000"/>
            </w:tcBorders>
            <w:shd w:val="clear" w:color="auto" w:fill="DADADA"/>
            <w:hideMark/>
          </w:tcPr>
          <w:p w14:paraId="310273A7" w14:textId="77777777" w:rsidR="00A75091" w:rsidRPr="00CE778C" w:rsidRDefault="00A75091">
            <w:pPr>
              <w:pStyle w:val="TableParagraph"/>
              <w:keepNext/>
              <w:widowControl/>
              <w:ind w:left="57" w:right="57"/>
              <w:jc w:val="center"/>
              <w:rPr>
                <w:rFonts w:ascii="Times New Roman" w:hAnsi="Times New Roman" w:cs="Times New Roman"/>
                <w:b/>
                <w:bCs/>
                <w:lang w:eastAsia="en-US"/>
              </w:rPr>
            </w:pPr>
            <w:r w:rsidRPr="00CE778C">
              <w:rPr>
                <w:rFonts w:ascii="Times New Roman" w:hAnsi="Times New Roman" w:cs="Times New Roman"/>
                <w:b/>
                <w:bCs/>
                <w:lang w:eastAsia="en-US"/>
              </w:rPr>
              <w:t>Edoxaban 60 mg</w:t>
            </w:r>
          </w:p>
          <w:p w14:paraId="461BAD0D" w14:textId="77777777" w:rsidR="00A75091" w:rsidRPr="00CE778C" w:rsidRDefault="00A75091">
            <w:pPr>
              <w:pStyle w:val="TableParagraph"/>
              <w:keepNext/>
              <w:widowControl/>
              <w:ind w:left="57" w:right="57"/>
              <w:jc w:val="center"/>
              <w:rPr>
                <w:rFonts w:ascii="Times New Roman" w:hAnsi="Times New Roman" w:cs="Times New Roman"/>
                <w:b/>
                <w:bCs/>
                <w:lang w:eastAsia="en-US"/>
              </w:rPr>
            </w:pPr>
            <w:r w:rsidRPr="00CE778C">
              <w:rPr>
                <w:rFonts w:ascii="Times New Roman" w:hAnsi="Times New Roman" w:cs="Times New Roman"/>
                <w:b/>
                <w:bCs/>
                <w:lang w:eastAsia="en-US"/>
              </w:rPr>
              <w:t>(30 mg dosisreduceret)</w:t>
            </w:r>
          </w:p>
          <w:p w14:paraId="2ECAAE54" w14:textId="77777777" w:rsidR="00A75091" w:rsidRPr="00CE778C" w:rsidRDefault="00A75091">
            <w:pPr>
              <w:pStyle w:val="TableParagraph"/>
              <w:keepNext/>
              <w:widowControl/>
              <w:ind w:left="57" w:right="57"/>
              <w:jc w:val="center"/>
              <w:rPr>
                <w:rFonts w:ascii="Times New Roman" w:hAnsi="Times New Roman" w:cs="Times New Roman"/>
                <w:b/>
                <w:lang w:eastAsia="en-US"/>
              </w:rPr>
            </w:pPr>
            <w:r w:rsidRPr="00CE778C">
              <w:rPr>
                <w:rFonts w:ascii="Times New Roman" w:hAnsi="Times New Roman" w:cs="Times New Roman"/>
                <w:b/>
                <w:bCs/>
                <w:lang w:eastAsia="en-US"/>
              </w:rPr>
              <w:t>(N = 4118)</w:t>
            </w:r>
          </w:p>
        </w:tc>
        <w:tc>
          <w:tcPr>
            <w:tcW w:w="1144" w:type="pct"/>
            <w:tcBorders>
              <w:top w:val="single" w:sz="6" w:space="0" w:color="000000"/>
              <w:left w:val="single" w:sz="6" w:space="0" w:color="000000"/>
              <w:bottom w:val="single" w:sz="6" w:space="0" w:color="000000"/>
              <w:right w:val="single" w:sz="6" w:space="0" w:color="000000"/>
            </w:tcBorders>
            <w:shd w:val="clear" w:color="auto" w:fill="DADADA"/>
            <w:hideMark/>
          </w:tcPr>
          <w:p w14:paraId="308EA7DB" w14:textId="77777777" w:rsidR="00A75091" w:rsidRPr="00CE778C" w:rsidRDefault="00A75091">
            <w:pPr>
              <w:pStyle w:val="TableParagraph"/>
              <w:keepNext/>
              <w:widowControl/>
              <w:ind w:right="57"/>
              <w:jc w:val="center"/>
              <w:rPr>
                <w:rFonts w:ascii="Times New Roman" w:hAnsi="Times New Roman" w:cs="Times New Roman"/>
                <w:b/>
                <w:lang w:eastAsia="en-US"/>
              </w:rPr>
            </w:pPr>
            <w:r w:rsidRPr="00CE778C">
              <w:rPr>
                <w:rFonts w:ascii="Times New Roman" w:hAnsi="Times New Roman" w:cs="Times New Roman"/>
                <w:b/>
                <w:lang w:eastAsia="en-US"/>
              </w:rPr>
              <w:t>Warfarin</w:t>
            </w:r>
          </w:p>
          <w:p w14:paraId="6BCA4024" w14:textId="77777777" w:rsidR="00A75091" w:rsidRPr="00CE778C" w:rsidRDefault="00A75091">
            <w:pPr>
              <w:pStyle w:val="TableParagraph"/>
              <w:keepNext/>
              <w:widowControl/>
              <w:ind w:left="57" w:right="57"/>
              <w:jc w:val="center"/>
              <w:rPr>
                <w:rFonts w:ascii="Times New Roman" w:hAnsi="Times New Roman" w:cs="Times New Roman"/>
                <w:b/>
                <w:lang w:eastAsia="en-US"/>
              </w:rPr>
            </w:pPr>
            <w:r w:rsidRPr="00CE778C">
              <w:rPr>
                <w:rFonts w:ascii="Times New Roman" w:hAnsi="Times New Roman" w:cs="Times New Roman"/>
                <w:b/>
                <w:lang w:eastAsia="en-US"/>
              </w:rPr>
              <w:t>(N = 4122)</w:t>
            </w:r>
          </w:p>
        </w:tc>
        <w:tc>
          <w:tcPr>
            <w:tcW w:w="1125" w:type="pct"/>
            <w:tcBorders>
              <w:top w:val="single" w:sz="6" w:space="0" w:color="000000"/>
              <w:left w:val="single" w:sz="6" w:space="0" w:color="000000"/>
              <w:bottom w:val="single" w:sz="6" w:space="0" w:color="000000"/>
              <w:right w:val="single" w:sz="6" w:space="0" w:color="000000"/>
            </w:tcBorders>
            <w:shd w:val="clear" w:color="auto" w:fill="DADADA"/>
            <w:hideMark/>
          </w:tcPr>
          <w:p w14:paraId="490B9F23" w14:textId="77777777" w:rsidR="00A75091" w:rsidRPr="00CE778C" w:rsidRDefault="00A75091">
            <w:pPr>
              <w:pStyle w:val="TableParagraph"/>
              <w:keepNext/>
              <w:widowControl/>
              <w:ind w:left="57" w:right="57"/>
              <w:jc w:val="center"/>
              <w:rPr>
                <w:rFonts w:ascii="Times New Roman" w:hAnsi="Times New Roman" w:cs="Times New Roman"/>
                <w:b/>
                <w:bCs/>
                <w:lang w:eastAsia="en-US"/>
              </w:rPr>
            </w:pPr>
            <w:r w:rsidRPr="00CE778C">
              <w:rPr>
                <w:rFonts w:ascii="Times New Roman" w:hAnsi="Times New Roman" w:cs="Times New Roman"/>
                <w:b/>
                <w:bCs/>
                <w:lang w:eastAsia="en-US"/>
              </w:rPr>
              <w:t>Edoxaban vs.</w:t>
            </w:r>
          </w:p>
          <w:p w14:paraId="5DE4D782" w14:textId="77777777" w:rsidR="00A75091" w:rsidRPr="00CE778C" w:rsidRDefault="00A75091">
            <w:pPr>
              <w:pStyle w:val="TableParagraph"/>
              <w:keepNext/>
              <w:widowControl/>
              <w:ind w:left="57" w:right="57"/>
              <w:jc w:val="center"/>
              <w:rPr>
                <w:rFonts w:ascii="Times New Roman" w:hAnsi="Times New Roman" w:cs="Times New Roman"/>
                <w:b/>
                <w:bCs/>
                <w:lang w:eastAsia="en-US"/>
              </w:rPr>
            </w:pPr>
            <w:r w:rsidRPr="00CE778C">
              <w:rPr>
                <w:rFonts w:ascii="Times New Roman" w:hAnsi="Times New Roman" w:cs="Times New Roman"/>
                <w:b/>
                <w:bCs/>
                <w:lang w:eastAsia="en-US"/>
              </w:rPr>
              <w:t>warfarin</w:t>
            </w:r>
          </w:p>
          <w:p w14:paraId="2F2C6F3E" w14:textId="77777777" w:rsidR="00A75091" w:rsidRPr="00CE778C" w:rsidRDefault="00A75091">
            <w:pPr>
              <w:pStyle w:val="TableParagraph"/>
              <w:keepNext/>
              <w:widowControl/>
              <w:ind w:left="57" w:right="57"/>
              <w:jc w:val="center"/>
              <w:rPr>
                <w:rFonts w:ascii="Times New Roman" w:hAnsi="Times New Roman" w:cs="Times New Roman"/>
                <w:b/>
                <w:bCs/>
                <w:lang w:eastAsia="en-US"/>
              </w:rPr>
            </w:pPr>
            <w:r w:rsidRPr="00CE778C">
              <w:rPr>
                <w:rFonts w:ascii="Times New Roman" w:hAnsi="Times New Roman" w:cs="Times New Roman"/>
                <w:b/>
                <w:bCs/>
                <w:lang w:eastAsia="en-US"/>
              </w:rPr>
              <w:t xml:space="preserve">HR (95% </w:t>
            </w:r>
            <w:proofErr w:type="gramStart"/>
            <w:r w:rsidRPr="00CE778C">
              <w:rPr>
                <w:rFonts w:ascii="Times New Roman" w:hAnsi="Times New Roman" w:cs="Times New Roman"/>
                <w:b/>
                <w:bCs/>
                <w:lang w:eastAsia="en-US"/>
              </w:rPr>
              <w:t>CI)</w:t>
            </w:r>
            <w:r w:rsidRPr="00CE778C">
              <w:rPr>
                <w:rFonts w:ascii="Times New Roman" w:hAnsi="Times New Roman" w:cs="Times New Roman"/>
                <w:b/>
                <w:bCs/>
                <w:vertAlign w:val="superscript"/>
                <w:lang w:eastAsia="en-US"/>
              </w:rPr>
              <w:t>b</w:t>
            </w:r>
            <w:proofErr w:type="gramEnd"/>
          </w:p>
          <w:p w14:paraId="56B46F45" w14:textId="77777777" w:rsidR="00A75091" w:rsidRPr="00CE778C" w:rsidRDefault="00A75091">
            <w:pPr>
              <w:pStyle w:val="TableParagraph"/>
              <w:keepNext/>
              <w:widowControl/>
              <w:ind w:left="57" w:right="57"/>
              <w:jc w:val="center"/>
              <w:rPr>
                <w:rFonts w:ascii="Times New Roman" w:hAnsi="Times New Roman" w:cs="Times New Roman"/>
                <w:b/>
                <w:lang w:eastAsia="en-US"/>
              </w:rPr>
            </w:pPr>
            <w:r w:rsidRPr="00CE778C">
              <w:rPr>
                <w:rFonts w:ascii="Times New Roman" w:hAnsi="Times New Roman" w:cs="Times New Roman"/>
                <w:b/>
                <w:bCs/>
                <w:lang w:eastAsia="en-US"/>
              </w:rPr>
              <w:t>p-værdi</w:t>
            </w:r>
            <w:r w:rsidRPr="00CE778C">
              <w:rPr>
                <w:rFonts w:ascii="Times New Roman" w:hAnsi="Times New Roman" w:cs="Times New Roman"/>
                <w:b/>
                <w:bCs/>
                <w:vertAlign w:val="superscript"/>
                <w:lang w:eastAsia="en-US"/>
              </w:rPr>
              <w:t>c</w:t>
            </w:r>
          </w:p>
        </w:tc>
      </w:tr>
      <w:tr w:rsidR="00A75091" w:rsidRPr="00CE778C" w14:paraId="0A83FA52" w14:textId="77777777" w:rsidTr="00CE778C">
        <w:trPr>
          <w:trHeight w:val="20"/>
        </w:trPr>
        <w:tc>
          <w:tcPr>
            <w:tcW w:w="1511" w:type="pct"/>
            <w:tcBorders>
              <w:top w:val="single" w:sz="6" w:space="0" w:color="000000"/>
              <w:left w:val="single" w:sz="6" w:space="0" w:color="000000"/>
              <w:bottom w:val="single" w:sz="6" w:space="0" w:color="000000"/>
              <w:right w:val="single" w:sz="6" w:space="0" w:color="000000"/>
            </w:tcBorders>
            <w:hideMark/>
          </w:tcPr>
          <w:p w14:paraId="7F5441B3" w14:textId="77777777" w:rsidR="00A75091" w:rsidRPr="00CE778C" w:rsidRDefault="00A75091">
            <w:pPr>
              <w:pStyle w:val="TableParagraph"/>
              <w:keepNext/>
              <w:widowControl/>
              <w:ind w:left="57" w:right="57"/>
              <w:rPr>
                <w:rFonts w:ascii="Times New Roman" w:hAnsi="Times New Roman" w:cs="Times New Roman"/>
                <w:lang w:val="da-DK" w:eastAsia="en-US"/>
              </w:rPr>
            </w:pPr>
            <w:r w:rsidRPr="00CE778C">
              <w:rPr>
                <w:rFonts w:ascii="Times New Roman" w:hAnsi="Times New Roman" w:cs="Times New Roman"/>
                <w:lang w:val="da-DK" w:eastAsia="en-US"/>
              </w:rPr>
              <w:t>Alle personer med</w:t>
            </w:r>
          </w:p>
          <w:p w14:paraId="5E696284" w14:textId="77777777" w:rsidR="00A75091" w:rsidRPr="00CE778C" w:rsidRDefault="00A75091">
            <w:pPr>
              <w:pStyle w:val="TableParagraph"/>
              <w:keepNext/>
              <w:widowControl/>
              <w:ind w:left="57" w:right="57"/>
              <w:rPr>
                <w:rFonts w:ascii="Times New Roman" w:hAnsi="Times New Roman" w:cs="Times New Roman"/>
                <w:lang w:val="da-DK" w:eastAsia="en-US"/>
              </w:rPr>
            </w:pPr>
            <w:r w:rsidRPr="00CE778C">
              <w:rPr>
                <w:rFonts w:ascii="Times New Roman" w:hAnsi="Times New Roman" w:cs="Times New Roman"/>
                <w:lang w:val="da-DK" w:eastAsia="en-US"/>
              </w:rPr>
              <w:t>symptomatisk</w:t>
            </w:r>
          </w:p>
          <w:p w14:paraId="0BF550C7" w14:textId="77777777" w:rsidR="00A75091" w:rsidRPr="00CE778C" w:rsidRDefault="00A75091">
            <w:pPr>
              <w:pStyle w:val="TableParagraph"/>
              <w:keepNext/>
              <w:widowControl/>
              <w:ind w:left="57" w:right="57"/>
              <w:rPr>
                <w:rFonts w:ascii="Times New Roman" w:hAnsi="Times New Roman" w:cs="Times New Roman"/>
                <w:lang w:val="da-DK" w:eastAsia="en-US"/>
              </w:rPr>
            </w:pPr>
            <w:r w:rsidRPr="00CE778C">
              <w:rPr>
                <w:rFonts w:ascii="Times New Roman" w:hAnsi="Times New Roman" w:cs="Times New Roman"/>
                <w:lang w:val="da-DK" w:eastAsia="en-US"/>
              </w:rPr>
              <w:t>recidiverende VTE</w:t>
            </w:r>
            <w:r w:rsidRPr="00CE778C">
              <w:rPr>
                <w:rFonts w:ascii="Times New Roman" w:hAnsi="Times New Roman" w:cs="Times New Roman"/>
                <w:vertAlign w:val="superscript"/>
                <w:lang w:val="da-DK" w:eastAsia="en-US"/>
              </w:rPr>
              <w:t>c</w:t>
            </w:r>
            <w:r w:rsidRPr="00CE778C">
              <w:rPr>
                <w:rFonts w:ascii="Times New Roman" w:hAnsi="Times New Roman" w:cs="Times New Roman"/>
                <w:lang w:val="da-DK" w:eastAsia="en-US"/>
              </w:rPr>
              <w:t>, n (%)</w:t>
            </w:r>
          </w:p>
        </w:tc>
        <w:tc>
          <w:tcPr>
            <w:tcW w:w="1220" w:type="pct"/>
            <w:tcBorders>
              <w:top w:val="single" w:sz="6" w:space="0" w:color="000000"/>
              <w:left w:val="single" w:sz="6" w:space="0" w:color="000000"/>
              <w:bottom w:val="single" w:sz="6" w:space="0" w:color="000000"/>
              <w:right w:val="single" w:sz="6" w:space="0" w:color="000000"/>
            </w:tcBorders>
            <w:hideMark/>
          </w:tcPr>
          <w:p w14:paraId="5D288835"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130 (3,2)</w:t>
            </w:r>
          </w:p>
        </w:tc>
        <w:tc>
          <w:tcPr>
            <w:tcW w:w="1144" w:type="pct"/>
            <w:tcBorders>
              <w:top w:val="single" w:sz="6" w:space="0" w:color="000000"/>
              <w:left w:val="single" w:sz="6" w:space="0" w:color="000000"/>
              <w:bottom w:val="single" w:sz="6" w:space="0" w:color="000000"/>
              <w:right w:val="single" w:sz="6" w:space="0" w:color="000000"/>
            </w:tcBorders>
            <w:hideMark/>
          </w:tcPr>
          <w:p w14:paraId="76FE2FA5"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146 (3,5)</w:t>
            </w:r>
          </w:p>
        </w:tc>
        <w:tc>
          <w:tcPr>
            <w:tcW w:w="1125" w:type="pct"/>
            <w:tcBorders>
              <w:top w:val="single" w:sz="6" w:space="0" w:color="000000"/>
              <w:left w:val="single" w:sz="6" w:space="0" w:color="000000"/>
              <w:bottom w:val="single" w:sz="6" w:space="0" w:color="000000"/>
              <w:right w:val="single" w:sz="6" w:space="0" w:color="000000"/>
            </w:tcBorders>
            <w:hideMark/>
          </w:tcPr>
          <w:p w14:paraId="1076B758"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0,89 (0,70; 1,13)</w:t>
            </w:r>
          </w:p>
          <w:p w14:paraId="35645BBF"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p-værdi &lt; 0,0001</w:t>
            </w:r>
          </w:p>
          <w:p w14:paraId="662091BD"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(non-inferioritet)</w:t>
            </w:r>
          </w:p>
        </w:tc>
      </w:tr>
      <w:tr w:rsidR="00A75091" w:rsidRPr="00CE778C" w14:paraId="211CC99A" w14:textId="77777777" w:rsidTr="00CE778C">
        <w:trPr>
          <w:trHeight w:val="20"/>
        </w:trPr>
        <w:tc>
          <w:tcPr>
            <w:tcW w:w="1511" w:type="pct"/>
            <w:tcBorders>
              <w:top w:val="single" w:sz="6" w:space="0" w:color="000000"/>
              <w:left w:val="single" w:sz="6" w:space="0" w:color="000000"/>
              <w:bottom w:val="single" w:sz="6" w:space="0" w:color="000000"/>
              <w:right w:val="single" w:sz="6" w:space="0" w:color="000000"/>
            </w:tcBorders>
            <w:hideMark/>
          </w:tcPr>
          <w:p w14:paraId="0426DC88" w14:textId="77777777" w:rsidR="00A75091" w:rsidRPr="00CE778C" w:rsidRDefault="00A75091">
            <w:pPr>
              <w:pStyle w:val="TableParagraph"/>
              <w:keepNext/>
              <w:widowControl/>
              <w:ind w:left="284" w:right="57"/>
              <w:rPr>
                <w:rFonts w:ascii="Times New Roman" w:hAnsi="Times New Roman" w:cs="Times New Roman"/>
                <w:lang w:val="da-DK" w:eastAsia="en-US"/>
              </w:rPr>
            </w:pPr>
            <w:r w:rsidRPr="00CE778C">
              <w:rPr>
                <w:rFonts w:ascii="Times New Roman" w:hAnsi="Times New Roman" w:cs="Times New Roman"/>
                <w:lang w:val="da-DK" w:eastAsia="en-US"/>
              </w:rPr>
              <w:t>LE med eller uden DVT</w:t>
            </w:r>
          </w:p>
        </w:tc>
        <w:tc>
          <w:tcPr>
            <w:tcW w:w="1220" w:type="pct"/>
            <w:tcBorders>
              <w:top w:val="single" w:sz="6" w:space="0" w:color="000000"/>
              <w:left w:val="single" w:sz="6" w:space="0" w:color="000000"/>
              <w:bottom w:val="single" w:sz="6" w:space="0" w:color="000000"/>
              <w:right w:val="single" w:sz="6" w:space="0" w:color="000000"/>
            </w:tcBorders>
            <w:hideMark/>
          </w:tcPr>
          <w:p w14:paraId="61E6FE7C"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73 (1,8)</w:t>
            </w:r>
          </w:p>
        </w:tc>
        <w:tc>
          <w:tcPr>
            <w:tcW w:w="1144" w:type="pct"/>
            <w:tcBorders>
              <w:top w:val="single" w:sz="6" w:space="0" w:color="000000"/>
              <w:left w:val="single" w:sz="6" w:space="0" w:color="000000"/>
              <w:bottom w:val="single" w:sz="6" w:space="0" w:color="000000"/>
              <w:right w:val="single" w:sz="6" w:space="0" w:color="000000"/>
            </w:tcBorders>
            <w:hideMark/>
          </w:tcPr>
          <w:p w14:paraId="75BDB3E9"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83 (2,0)</w:t>
            </w:r>
          </w:p>
        </w:tc>
        <w:tc>
          <w:tcPr>
            <w:tcW w:w="1125" w:type="pct"/>
            <w:tcBorders>
              <w:top w:val="single" w:sz="6" w:space="0" w:color="000000"/>
              <w:left w:val="single" w:sz="6" w:space="0" w:color="000000"/>
              <w:bottom w:val="single" w:sz="6" w:space="0" w:color="000000"/>
              <w:right w:val="single" w:sz="6" w:space="0" w:color="000000"/>
            </w:tcBorders>
          </w:tcPr>
          <w:p w14:paraId="09ABDBD2" w14:textId="77777777" w:rsidR="00A75091" w:rsidRPr="00CE778C" w:rsidRDefault="00A75091">
            <w:pPr>
              <w:pStyle w:val="TableParagraph"/>
              <w:keepNext/>
              <w:widowControl/>
              <w:ind w:left="57" w:right="57"/>
              <w:jc w:val="center"/>
              <w:rPr>
                <w:rFonts w:ascii="Times New Roman" w:hAnsi="Times New Roman" w:cs="Times New Roman"/>
                <w:lang w:eastAsia="en-US"/>
              </w:rPr>
            </w:pPr>
          </w:p>
        </w:tc>
      </w:tr>
      <w:tr w:rsidR="00A75091" w:rsidRPr="00CE778C" w14:paraId="01819691" w14:textId="77777777" w:rsidTr="00CE778C">
        <w:trPr>
          <w:trHeight w:val="20"/>
        </w:trPr>
        <w:tc>
          <w:tcPr>
            <w:tcW w:w="1511" w:type="pct"/>
            <w:tcBorders>
              <w:top w:val="single" w:sz="6" w:space="0" w:color="000000"/>
              <w:left w:val="single" w:sz="6" w:space="0" w:color="000000"/>
              <w:bottom w:val="single" w:sz="6" w:space="0" w:color="000000"/>
              <w:right w:val="single" w:sz="6" w:space="0" w:color="000000"/>
            </w:tcBorders>
            <w:hideMark/>
          </w:tcPr>
          <w:p w14:paraId="686EE944" w14:textId="77777777" w:rsidR="00A75091" w:rsidRPr="00CE778C" w:rsidRDefault="00A75091">
            <w:pPr>
              <w:pStyle w:val="TableParagraph"/>
              <w:keepNext/>
              <w:widowControl/>
              <w:ind w:left="454" w:right="57"/>
              <w:rPr>
                <w:rFonts w:ascii="Times New Roman" w:hAnsi="Times New Roman" w:cs="Times New Roman"/>
                <w:lang w:val="da-DK" w:eastAsia="en-US"/>
              </w:rPr>
            </w:pPr>
            <w:r w:rsidRPr="00CE778C">
              <w:rPr>
                <w:rFonts w:ascii="Times New Roman" w:hAnsi="Times New Roman" w:cs="Times New Roman"/>
                <w:lang w:val="da-DK" w:eastAsia="en-US"/>
              </w:rPr>
              <w:t>Dødelig LE eller</w:t>
            </w:r>
          </w:p>
          <w:p w14:paraId="01F7CB1F" w14:textId="77777777" w:rsidR="00A75091" w:rsidRPr="00CE778C" w:rsidRDefault="00A75091">
            <w:pPr>
              <w:pStyle w:val="TableParagraph"/>
              <w:keepNext/>
              <w:widowControl/>
              <w:ind w:left="454" w:right="57"/>
              <w:rPr>
                <w:rFonts w:ascii="Times New Roman" w:hAnsi="Times New Roman" w:cs="Times New Roman"/>
                <w:lang w:val="da-DK" w:eastAsia="en-US"/>
              </w:rPr>
            </w:pPr>
            <w:r w:rsidRPr="00CE778C">
              <w:rPr>
                <w:rFonts w:ascii="Times New Roman" w:hAnsi="Times New Roman" w:cs="Times New Roman"/>
                <w:lang w:val="da-DK" w:eastAsia="en-US"/>
              </w:rPr>
              <w:t>dødsfald, hvor LE ikke</w:t>
            </w:r>
          </w:p>
          <w:p w14:paraId="1A380994" w14:textId="77777777" w:rsidR="00A75091" w:rsidRPr="00CE778C" w:rsidRDefault="00A75091">
            <w:pPr>
              <w:pStyle w:val="TableParagraph"/>
              <w:keepNext/>
              <w:widowControl/>
              <w:ind w:left="454" w:right="57"/>
              <w:rPr>
                <w:rFonts w:ascii="Times New Roman" w:hAnsi="Times New Roman" w:cs="Times New Roman"/>
                <w:lang w:eastAsia="en-US"/>
              </w:rPr>
            </w:pPr>
            <w:r w:rsidRPr="00CE778C">
              <w:rPr>
                <w:rFonts w:ascii="Times New Roman" w:hAnsi="Times New Roman" w:cs="Times New Roman"/>
                <w:lang w:eastAsia="en-US"/>
              </w:rPr>
              <w:t>kan udelukkes</w:t>
            </w:r>
          </w:p>
        </w:tc>
        <w:tc>
          <w:tcPr>
            <w:tcW w:w="1220" w:type="pct"/>
            <w:tcBorders>
              <w:top w:val="single" w:sz="6" w:space="0" w:color="000000"/>
              <w:left w:val="single" w:sz="6" w:space="0" w:color="000000"/>
              <w:bottom w:val="single" w:sz="6" w:space="0" w:color="000000"/>
              <w:right w:val="single" w:sz="6" w:space="0" w:color="000000"/>
            </w:tcBorders>
            <w:hideMark/>
          </w:tcPr>
          <w:p w14:paraId="72D437C6"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24 (0,6)</w:t>
            </w:r>
          </w:p>
        </w:tc>
        <w:tc>
          <w:tcPr>
            <w:tcW w:w="1144" w:type="pct"/>
            <w:tcBorders>
              <w:top w:val="single" w:sz="6" w:space="0" w:color="000000"/>
              <w:left w:val="single" w:sz="6" w:space="0" w:color="000000"/>
              <w:bottom w:val="single" w:sz="6" w:space="0" w:color="000000"/>
              <w:right w:val="single" w:sz="6" w:space="0" w:color="000000"/>
            </w:tcBorders>
            <w:hideMark/>
          </w:tcPr>
          <w:p w14:paraId="526CA2EF"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24 (0,6)</w:t>
            </w:r>
          </w:p>
        </w:tc>
        <w:tc>
          <w:tcPr>
            <w:tcW w:w="1125" w:type="pct"/>
            <w:tcBorders>
              <w:top w:val="single" w:sz="6" w:space="0" w:color="000000"/>
              <w:left w:val="single" w:sz="6" w:space="0" w:color="000000"/>
              <w:bottom w:val="single" w:sz="6" w:space="0" w:color="000000"/>
              <w:right w:val="single" w:sz="6" w:space="0" w:color="000000"/>
            </w:tcBorders>
          </w:tcPr>
          <w:p w14:paraId="2CB39C58" w14:textId="77777777" w:rsidR="00A75091" w:rsidRPr="00CE778C" w:rsidRDefault="00A75091">
            <w:pPr>
              <w:pStyle w:val="TableParagraph"/>
              <w:keepNext/>
              <w:widowControl/>
              <w:ind w:left="57" w:right="57"/>
              <w:jc w:val="center"/>
              <w:rPr>
                <w:rFonts w:ascii="Times New Roman" w:hAnsi="Times New Roman" w:cs="Times New Roman"/>
                <w:lang w:eastAsia="en-US"/>
              </w:rPr>
            </w:pPr>
          </w:p>
        </w:tc>
      </w:tr>
      <w:tr w:rsidR="00A75091" w:rsidRPr="00CE778C" w14:paraId="1F2996EE" w14:textId="77777777" w:rsidTr="00CE778C">
        <w:trPr>
          <w:trHeight w:val="20"/>
        </w:trPr>
        <w:tc>
          <w:tcPr>
            <w:tcW w:w="1511" w:type="pct"/>
            <w:tcBorders>
              <w:top w:val="single" w:sz="6" w:space="0" w:color="000000"/>
              <w:left w:val="single" w:sz="6" w:space="0" w:color="000000"/>
              <w:bottom w:val="single" w:sz="6" w:space="0" w:color="000000"/>
              <w:right w:val="single" w:sz="6" w:space="0" w:color="000000"/>
            </w:tcBorders>
            <w:hideMark/>
          </w:tcPr>
          <w:p w14:paraId="6379EDCC" w14:textId="77777777" w:rsidR="00A75091" w:rsidRPr="00CE778C" w:rsidRDefault="00A75091">
            <w:pPr>
              <w:pStyle w:val="TableParagraph"/>
              <w:keepNext/>
              <w:widowControl/>
              <w:ind w:left="454" w:right="57"/>
              <w:rPr>
                <w:rFonts w:ascii="Times New Roman" w:hAnsi="Times New Roman" w:cs="Times New Roman"/>
                <w:lang w:eastAsia="en-US"/>
              </w:rPr>
            </w:pPr>
            <w:r w:rsidRPr="00CE778C">
              <w:rPr>
                <w:rFonts w:ascii="Times New Roman" w:hAnsi="Times New Roman" w:cs="Times New Roman"/>
                <w:lang w:eastAsia="en-US"/>
              </w:rPr>
              <w:t>Ikke-dødelig LE</w:t>
            </w:r>
          </w:p>
        </w:tc>
        <w:tc>
          <w:tcPr>
            <w:tcW w:w="1220" w:type="pct"/>
            <w:tcBorders>
              <w:top w:val="single" w:sz="6" w:space="0" w:color="000000"/>
              <w:left w:val="single" w:sz="6" w:space="0" w:color="000000"/>
              <w:bottom w:val="single" w:sz="6" w:space="0" w:color="000000"/>
              <w:right w:val="single" w:sz="6" w:space="0" w:color="000000"/>
            </w:tcBorders>
            <w:hideMark/>
          </w:tcPr>
          <w:p w14:paraId="57A4A2FF"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49 (1,2)</w:t>
            </w:r>
          </w:p>
        </w:tc>
        <w:tc>
          <w:tcPr>
            <w:tcW w:w="1144" w:type="pct"/>
            <w:tcBorders>
              <w:top w:val="single" w:sz="6" w:space="0" w:color="000000"/>
              <w:left w:val="single" w:sz="6" w:space="0" w:color="000000"/>
              <w:bottom w:val="single" w:sz="6" w:space="0" w:color="000000"/>
              <w:right w:val="single" w:sz="6" w:space="0" w:color="000000"/>
            </w:tcBorders>
            <w:hideMark/>
          </w:tcPr>
          <w:p w14:paraId="620DE78D"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59 (1,4)</w:t>
            </w:r>
          </w:p>
        </w:tc>
        <w:tc>
          <w:tcPr>
            <w:tcW w:w="1125" w:type="pct"/>
            <w:tcBorders>
              <w:top w:val="single" w:sz="6" w:space="0" w:color="000000"/>
              <w:left w:val="single" w:sz="6" w:space="0" w:color="000000"/>
              <w:bottom w:val="single" w:sz="6" w:space="0" w:color="000000"/>
              <w:right w:val="single" w:sz="6" w:space="0" w:color="000000"/>
            </w:tcBorders>
          </w:tcPr>
          <w:p w14:paraId="4A790109" w14:textId="77777777" w:rsidR="00A75091" w:rsidRPr="00CE778C" w:rsidRDefault="00A75091">
            <w:pPr>
              <w:pStyle w:val="TableParagraph"/>
              <w:keepNext/>
              <w:widowControl/>
              <w:ind w:left="57" w:right="57"/>
              <w:jc w:val="center"/>
              <w:rPr>
                <w:rFonts w:ascii="Times New Roman" w:hAnsi="Times New Roman" w:cs="Times New Roman"/>
                <w:lang w:eastAsia="en-US"/>
              </w:rPr>
            </w:pPr>
          </w:p>
        </w:tc>
      </w:tr>
      <w:tr w:rsidR="00A75091" w:rsidRPr="00CE778C" w14:paraId="080CB76B" w14:textId="77777777" w:rsidTr="00CE778C">
        <w:trPr>
          <w:trHeight w:val="20"/>
        </w:trPr>
        <w:tc>
          <w:tcPr>
            <w:tcW w:w="1511" w:type="pct"/>
            <w:tcBorders>
              <w:top w:val="single" w:sz="6" w:space="0" w:color="000000"/>
              <w:left w:val="single" w:sz="6" w:space="0" w:color="000000"/>
              <w:bottom w:val="single" w:sz="6" w:space="0" w:color="000000"/>
              <w:right w:val="single" w:sz="6" w:space="0" w:color="000000"/>
            </w:tcBorders>
            <w:hideMark/>
          </w:tcPr>
          <w:p w14:paraId="198FE814" w14:textId="77777777" w:rsidR="00A75091" w:rsidRPr="00CE778C" w:rsidRDefault="00A75091">
            <w:pPr>
              <w:pStyle w:val="TableParagraph"/>
              <w:keepNext/>
              <w:widowControl/>
              <w:ind w:left="284" w:right="57"/>
              <w:rPr>
                <w:rFonts w:ascii="Times New Roman" w:hAnsi="Times New Roman" w:cs="Times New Roman"/>
                <w:lang w:eastAsia="en-US"/>
              </w:rPr>
            </w:pPr>
            <w:r w:rsidRPr="00CE778C">
              <w:rPr>
                <w:rFonts w:ascii="Times New Roman" w:hAnsi="Times New Roman" w:cs="Times New Roman"/>
                <w:lang w:eastAsia="en-US"/>
              </w:rPr>
              <w:t>Kun DVT</w:t>
            </w:r>
          </w:p>
        </w:tc>
        <w:tc>
          <w:tcPr>
            <w:tcW w:w="1220" w:type="pct"/>
            <w:tcBorders>
              <w:top w:val="single" w:sz="6" w:space="0" w:color="000000"/>
              <w:left w:val="single" w:sz="6" w:space="0" w:color="000000"/>
              <w:bottom w:val="single" w:sz="6" w:space="0" w:color="000000"/>
              <w:right w:val="single" w:sz="6" w:space="0" w:color="000000"/>
            </w:tcBorders>
            <w:hideMark/>
          </w:tcPr>
          <w:p w14:paraId="40C702E9"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57 (1,4)</w:t>
            </w:r>
          </w:p>
        </w:tc>
        <w:tc>
          <w:tcPr>
            <w:tcW w:w="1144" w:type="pct"/>
            <w:tcBorders>
              <w:top w:val="single" w:sz="6" w:space="0" w:color="000000"/>
              <w:left w:val="single" w:sz="6" w:space="0" w:color="000000"/>
              <w:bottom w:val="single" w:sz="6" w:space="0" w:color="000000"/>
              <w:right w:val="single" w:sz="6" w:space="0" w:color="000000"/>
            </w:tcBorders>
            <w:hideMark/>
          </w:tcPr>
          <w:p w14:paraId="2DC76E9A"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63 (1,5)</w:t>
            </w:r>
          </w:p>
        </w:tc>
        <w:tc>
          <w:tcPr>
            <w:tcW w:w="1125" w:type="pct"/>
            <w:tcBorders>
              <w:top w:val="single" w:sz="6" w:space="0" w:color="000000"/>
              <w:left w:val="single" w:sz="6" w:space="0" w:color="000000"/>
              <w:bottom w:val="single" w:sz="6" w:space="0" w:color="000000"/>
              <w:right w:val="single" w:sz="6" w:space="0" w:color="000000"/>
            </w:tcBorders>
          </w:tcPr>
          <w:p w14:paraId="56EAC822" w14:textId="77777777" w:rsidR="00A75091" w:rsidRPr="00CE778C" w:rsidRDefault="00A75091">
            <w:pPr>
              <w:pStyle w:val="TableParagraph"/>
              <w:keepNext/>
              <w:widowControl/>
              <w:ind w:left="57" w:right="57"/>
              <w:jc w:val="center"/>
              <w:rPr>
                <w:rFonts w:ascii="Times New Roman" w:hAnsi="Times New Roman" w:cs="Times New Roman"/>
                <w:lang w:eastAsia="en-US"/>
              </w:rPr>
            </w:pPr>
          </w:p>
        </w:tc>
      </w:tr>
    </w:tbl>
    <w:p w14:paraId="6AE52909" w14:textId="77777777" w:rsidR="00A75091" w:rsidRPr="00CE778C" w:rsidRDefault="00A75091" w:rsidP="00A75091">
      <w:pPr>
        <w:pStyle w:val="Brdtekst"/>
        <w:suppressAutoHyphens/>
        <w:kinsoku w:val="0"/>
        <w:overflowPunct w:val="0"/>
        <w:ind w:left="0"/>
      </w:pPr>
      <w:r w:rsidRPr="00CE778C">
        <w:t>Forkortelser: CI = konfidensinterval, DVT = dyb venetrombose, mITT = modificeret intention-to-treat,</w:t>
      </w:r>
    </w:p>
    <w:p w14:paraId="74641BB4" w14:textId="77777777" w:rsidR="00A75091" w:rsidRPr="00CE778C" w:rsidRDefault="00A75091" w:rsidP="00A75091">
      <w:pPr>
        <w:pStyle w:val="Brdtekst"/>
        <w:suppressAutoHyphens/>
        <w:kinsoku w:val="0"/>
        <w:overflowPunct w:val="0"/>
        <w:ind w:left="0"/>
      </w:pPr>
      <w:r w:rsidRPr="00CE778C">
        <w:t>HR = Hazard Ratio vs. warfarin, n = antal personer med hændelser, N = antal personer i mITTpopulation, LE = lungeemboli, VTE = venøse tromboemboliske hændelser.</w:t>
      </w:r>
    </w:p>
    <w:p w14:paraId="5452E18E" w14:textId="39226EFE" w:rsidR="00A75091" w:rsidRPr="00CE778C" w:rsidRDefault="00A75091" w:rsidP="001D7285">
      <w:pPr>
        <w:pStyle w:val="Brdtekst"/>
        <w:suppressAutoHyphens/>
        <w:kinsoku w:val="0"/>
        <w:overflowPunct w:val="0"/>
        <w:ind w:left="284" w:hanging="284"/>
      </w:pPr>
      <w:r w:rsidRPr="00CE778C">
        <w:rPr>
          <w:vertAlign w:val="superscript"/>
        </w:rPr>
        <w:t xml:space="preserve">a </w:t>
      </w:r>
      <w:r w:rsidR="004D17AE">
        <w:rPr>
          <w:vertAlign w:val="superscript"/>
        </w:rPr>
        <w:tab/>
      </w:r>
      <w:r w:rsidRPr="00CE778C">
        <w:t>Det primære endepunkt for virkning er adjudikeret symptomatisk, recidiverende VTE (det vil sige</w:t>
      </w:r>
      <w:r w:rsidR="004D17AE">
        <w:t xml:space="preserve"> </w:t>
      </w:r>
      <w:r w:rsidRPr="00CE778C">
        <w:t>det sammensatte endepunkt med DVT, ikke-dødelig LE og dødelig LE).</w:t>
      </w:r>
    </w:p>
    <w:p w14:paraId="16A744AC" w14:textId="2505C685" w:rsidR="00A75091" w:rsidRPr="00CE778C" w:rsidRDefault="00A75091" w:rsidP="001D7285">
      <w:pPr>
        <w:pStyle w:val="Brdtekst"/>
        <w:suppressAutoHyphens/>
        <w:kinsoku w:val="0"/>
        <w:overflowPunct w:val="0"/>
        <w:ind w:left="284" w:hanging="284"/>
      </w:pPr>
      <w:r w:rsidRPr="00CE778C">
        <w:rPr>
          <w:vertAlign w:val="superscript"/>
        </w:rPr>
        <w:t>b</w:t>
      </w:r>
      <w:r w:rsidRPr="00CE778C">
        <w:t xml:space="preserve"> </w:t>
      </w:r>
      <w:r w:rsidR="004D17AE">
        <w:tab/>
      </w:r>
      <w:r w:rsidRPr="00CE778C">
        <w:t>Det tosidede CI for HR er baseret på Cox proportional hazards-regressionsmodellen, der inkluderer</w:t>
      </w:r>
      <w:r w:rsidR="004D17AE">
        <w:t xml:space="preserve"> </w:t>
      </w:r>
      <w:r w:rsidRPr="00CE778C">
        <w:t>behandling og følgende stratificeringsfaktorer for randomisering som kovarianser: foreliggende</w:t>
      </w:r>
      <w:r w:rsidR="004D17AE">
        <w:t xml:space="preserve"> </w:t>
      </w:r>
      <w:r w:rsidRPr="00CE778C">
        <w:t>diagnose (LE med eller uden DVT, kun DVT), risikofaktorer ved baseline (midlertidige faktorer, alle</w:t>
      </w:r>
      <w:r w:rsidR="004D17AE">
        <w:t xml:space="preserve"> </w:t>
      </w:r>
      <w:r w:rsidRPr="00CE778C">
        <w:t>andre) og behovet for 30 mg edoxaban/edoxaban placebo-dosis ved randomisering (ja/nej).</w:t>
      </w:r>
    </w:p>
    <w:p w14:paraId="2A023B13" w14:textId="699DA957" w:rsidR="00A75091" w:rsidRPr="00CE778C" w:rsidRDefault="00A75091" w:rsidP="001D7285">
      <w:pPr>
        <w:pStyle w:val="Brdtekst"/>
        <w:widowControl/>
        <w:suppressAutoHyphens/>
        <w:kinsoku w:val="0"/>
        <w:overflowPunct w:val="0"/>
        <w:ind w:left="284" w:hanging="284"/>
      </w:pPr>
      <w:r w:rsidRPr="00CE778C">
        <w:rPr>
          <w:vertAlign w:val="superscript"/>
        </w:rPr>
        <w:t>c</w:t>
      </w:r>
      <w:r w:rsidRPr="00CE778C">
        <w:t xml:space="preserve"> </w:t>
      </w:r>
      <w:r w:rsidR="004D17AE">
        <w:tab/>
      </w:r>
      <w:r w:rsidRPr="00CE778C">
        <w:t>p-værdien er for den prædefinerede non-inferioritetsmargin på 1,5.</w:t>
      </w:r>
    </w:p>
    <w:p w14:paraId="32A11168" w14:textId="77777777" w:rsidR="00A75091" w:rsidRPr="00CE778C" w:rsidRDefault="00A75091" w:rsidP="00A75091">
      <w:pPr>
        <w:pStyle w:val="Brdtekst"/>
        <w:widowControl/>
        <w:suppressAutoHyphens/>
        <w:kinsoku w:val="0"/>
        <w:overflowPunct w:val="0"/>
        <w:ind w:left="0"/>
      </w:pPr>
    </w:p>
    <w:p w14:paraId="070D24E5" w14:textId="38F35EFA" w:rsidR="00A75091" w:rsidRPr="00CE778C" w:rsidRDefault="00A75091" w:rsidP="00CE778C">
      <w:pPr>
        <w:ind w:left="851"/>
        <w:rPr>
          <w:sz w:val="24"/>
          <w:szCs w:val="24"/>
        </w:rPr>
      </w:pPr>
      <w:r w:rsidRPr="00CE778C">
        <w:rPr>
          <w:sz w:val="24"/>
          <w:szCs w:val="24"/>
        </w:rPr>
        <w:t>For de personer, hvor dosis blev reduceret til 30 mg (hovedsageligt lav legemsvægt eller nyrefunktion)</w:t>
      </w:r>
      <w:r w:rsidR="004D17AE">
        <w:rPr>
          <w:sz w:val="24"/>
          <w:szCs w:val="24"/>
        </w:rPr>
        <w:t xml:space="preserve"> </w:t>
      </w:r>
      <w:r w:rsidRPr="00CE778C">
        <w:rPr>
          <w:sz w:val="24"/>
          <w:szCs w:val="24"/>
        </w:rPr>
        <w:t>havde 15 (2,1 %) personer, der fik edoxaban og 22 (3,1 %) af de personer, der fik warfarin, recidiverende VTE [HR (95 % CI): 0,69 (0,36; 1,34)].</w:t>
      </w:r>
    </w:p>
    <w:p w14:paraId="1E4D081C" w14:textId="77777777" w:rsidR="00A75091" w:rsidRPr="00CE778C" w:rsidRDefault="00A75091" w:rsidP="00CE778C">
      <w:pPr>
        <w:ind w:left="851"/>
        <w:rPr>
          <w:sz w:val="24"/>
          <w:szCs w:val="24"/>
        </w:rPr>
      </w:pPr>
    </w:p>
    <w:p w14:paraId="29041221" w14:textId="6C25F7D0" w:rsidR="00A75091" w:rsidRPr="00CE778C" w:rsidRDefault="00A75091" w:rsidP="00CE778C">
      <w:pPr>
        <w:ind w:left="851"/>
        <w:rPr>
          <w:sz w:val="24"/>
          <w:szCs w:val="24"/>
        </w:rPr>
      </w:pPr>
      <w:r w:rsidRPr="00CE778C">
        <w:rPr>
          <w:sz w:val="24"/>
          <w:szCs w:val="24"/>
        </w:rPr>
        <w:t>Det andet sammensatte endepunkt med recidiverende VTE og mortalitet af alle årsager opstod hos</w:t>
      </w:r>
      <w:r w:rsidR="004D17AE">
        <w:rPr>
          <w:sz w:val="24"/>
          <w:szCs w:val="24"/>
        </w:rPr>
        <w:t xml:space="preserve"> </w:t>
      </w:r>
      <w:r w:rsidRPr="00CE778C">
        <w:rPr>
          <w:sz w:val="24"/>
          <w:szCs w:val="24"/>
        </w:rPr>
        <w:t>138 personer (3,4 %) i edoxaban-gruppen og hos 158 personer (3,9 %) i warfarin-gruppen [HR (95 %</w:t>
      </w:r>
      <w:r w:rsidR="004D17AE">
        <w:rPr>
          <w:sz w:val="24"/>
          <w:szCs w:val="24"/>
        </w:rPr>
        <w:t xml:space="preserve"> </w:t>
      </w:r>
      <w:r w:rsidRPr="00CE778C">
        <w:rPr>
          <w:sz w:val="24"/>
          <w:szCs w:val="24"/>
        </w:rPr>
        <w:t>CI): 0,87 (0,70; 1,10)].</w:t>
      </w:r>
    </w:p>
    <w:p w14:paraId="1C3852C2" w14:textId="77777777" w:rsidR="00A75091" w:rsidRPr="00CE778C" w:rsidRDefault="00A75091" w:rsidP="00CE778C">
      <w:pPr>
        <w:ind w:left="851"/>
        <w:rPr>
          <w:sz w:val="24"/>
          <w:szCs w:val="24"/>
        </w:rPr>
      </w:pPr>
    </w:p>
    <w:p w14:paraId="37CB9CFE" w14:textId="343212E2" w:rsidR="00A75091" w:rsidRPr="00CE778C" w:rsidRDefault="00A75091" w:rsidP="00CE778C">
      <w:pPr>
        <w:ind w:left="851"/>
        <w:rPr>
          <w:sz w:val="24"/>
          <w:szCs w:val="24"/>
        </w:rPr>
      </w:pPr>
      <w:r w:rsidRPr="00CE778C">
        <w:rPr>
          <w:sz w:val="24"/>
          <w:szCs w:val="24"/>
        </w:rPr>
        <w:t>Resultaterne for mortalitet af alle årsager (bedømte dødsfald) i Hokusai-VTE var 136 (3,3</w:t>
      </w:r>
      <w:r w:rsidR="00BC493D">
        <w:rPr>
          <w:sz w:val="24"/>
          <w:szCs w:val="24"/>
        </w:rPr>
        <w:t> </w:t>
      </w:r>
      <w:r w:rsidRPr="00CE778C">
        <w:rPr>
          <w:sz w:val="24"/>
          <w:szCs w:val="24"/>
        </w:rPr>
        <w:t>%) for personer, der tog edoxaban 60 mg (30 mg dosisreduceret), i modsætning til 130 (3,2</w:t>
      </w:r>
      <w:r w:rsidR="00BC493D">
        <w:rPr>
          <w:sz w:val="24"/>
          <w:szCs w:val="24"/>
        </w:rPr>
        <w:t> </w:t>
      </w:r>
      <w:r w:rsidRPr="00CE778C">
        <w:rPr>
          <w:sz w:val="24"/>
          <w:szCs w:val="24"/>
        </w:rPr>
        <w:t>%) for warfarin.</w:t>
      </w:r>
    </w:p>
    <w:p w14:paraId="19527ED0" w14:textId="77777777" w:rsidR="00A75091" w:rsidRPr="00CE778C" w:rsidRDefault="00A75091" w:rsidP="00CE778C">
      <w:pPr>
        <w:ind w:left="851"/>
        <w:rPr>
          <w:sz w:val="24"/>
          <w:szCs w:val="24"/>
        </w:rPr>
      </w:pPr>
    </w:p>
    <w:p w14:paraId="6588F1F2" w14:textId="33C42D32" w:rsidR="00A75091" w:rsidRPr="00CE778C" w:rsidRDefault="00A75091" w:rsidP="00CE778C">
      <w:pPr>
        <w:ind w:left="851"/>
        <w:rPr>
          <w:sz w:val="24"/>
          <w:szCs w:val="24"/>
        </w:rPr>
      </w:pPr>
      <w:r w:rsidRPr="00CE778C">
        <w:rPr>
          <w:sz w:val="24"/>
          <w:szCs w:val="24"/>
        </w:rPr>
        <w:t>I en præspecificeret undergruppeanalyse af personer med LE blev 447 (30,6 %) og 483 (32,2 %) af</w:t>
      </w:r>
      <w:r w:rsidR="004D17AE">
        <w:rPr>
          <w:sz w:val="24"/>
          <w:szCs w:val="24"/>
        </w:rPr>
        <w:t xml:space="preserve"> </w:t>
      </w:r>
      <w:r w:rsidRPr="00CE778C">
        <w:rPr>
          <w:sz w:val="24"/>
          <w:szCs w:val="24"/>
        </w:rPr>
        <w:t>personerne i behandling med hhv. edoxaban og warfarin identificeret som havende LE og N-terminal</w:t>
      </w:r>
      <w:r w:rsidR="004D17AE">
        <w:rPr>
          <w:sz w:val="24"/>
          <w:szCs w:val="24"/>
        </w:rPr>
        <w:t xml:space="preserve"> </w:t>
      </w:r>
      <w:r w:rsidRPr="00CE778C">
        <w:rPr>
          <w:sz w:val="24"/>
          <w:szCs w:val="24"/>
        </w:rPr>
        <w:t>pro-B-type natriuretisk peptid (NT-proBNP) ≥ 500 pg/ml. Det primære virkningsresultat opstod hos</w:t>
      </w:r>
      <w:r w:rsidR="004D17AE">
        <w:rPr>
          <w:sz w:val="24"/>
          <w:szCs w:val="24"/>
        </w:rPr>
        <w:t xml:space="preserve"> </w:t>
      </w:r>
      <w:r w:rsidRPr="00CE778C">
        <w:rPr>
          <w:sz w:val="24"/>
          <w:szCs w:val="24"/>
        </w:rPr>
        <w:t>14 (3,1 %) og 30 (6,2 %) af personer i behandling med hhv. edoxaban og warfarin [HR (95 % CI):</w:t>
      </w:r>
      <w:r w:rsidR="004D17AE">
        <w:rPr>
          <w:sz w:val="24"/>
          <w:szCs w:val="24"/>
        </w:rPr>
        <w:t xml:space="preserve"> </w:t>
      </w:r>
      <w:r w:rsidRPr="00CE778C">
        <w:rPr>
          <w:sz w:val="24"/>
          <w:szCs w:val="24"/>
        </w:rPr>
        <w:t>0,50 (0,26; 0,94)].</w:t>
      </w:r>
    </w:p>
    <w:p w14:paraId="51B6D10A" w14:textId="77777777" w:rsidR="00A75091" w:rsidRPr="00CE778C" w:rsidRDefault="00A75091" w:rsidP="00CE778C">
      <w:pPr>
        <w:ind w:left="851"/>
        <w:rPr>
          <w:sz w:val="24"/>
          <w:szCs w:val="24"/>
        </w:rPr>
      </w:pPr>
    </w:p>
    <w:p w14:paraId="6D7E5DB2" w14:textId="77777777" w:rsidR="00A75091" w:rsidRPr="00CE778C" w:rsidRDefault="00A75091" w:rsidP="00CE778C">
      <w:pPr>
        <w:ind w:left="851"/>
        <w:rPr>
          <w:sz w:val="24"/>
          <w:szCs w:val="24"/>
        </w:rPr>
      </w:pPr>
      <w:r w:rsidRPr="00CE778C">
        <w:rPr>
          <w:sz w:val="24"/>
          <w:szCs w:val="24"/>
        </w:rPr>
        <w:t>Resultaterne for virkning for præspecificerede større undergrupper (med dosisreduktion som påkrævet), herunder alder, legemsvægt, køn og nyrefunktionsstatus var i overensstemmelse med de primære virkningsresultater for den samlede population, der blev undersøgt i studiet.</w:t>
      </w:r>
    </w:p>
    <w:p w14:paraId="23DD798A" w14:textId="77777777" w:rsidR="00A75091" w:rsidRPr="00CE778C" w:rsidRDefault="00A75091" w:rsidP="00CE778C">
      <w:pPr>
        <w:ind w:left="851"/>
        <w:rPr>
          <w:sz w:val="24"/>
          <w:szCs w:val="24"/>
        </w:rPr>
      </w:pPr>
    </w:p>
    <w:p w14:paraId="60D742D2" w14:textId="043FBF59" w:rsidR="00A75091" w:rsidRPr="00CE778C" w:rsidRDefault="00A75091" w:rsidP="00CE778C">
      <w:pPr>
        <w:ind w:left="851"/>
        <w:rPr>
          <w:sz w:val="24"/>
          <w:szCs w:val="24"/>
        </w:rPr>
      </w:pPr>
      <w:r w:rsidRPr="00CE778C">
        <w:rPr>
          <w:sz w:val="24"/>
          <w:szCs w:val="24"/>
          <w:lang w:val="nb-NO"/>
        </w:rPr>
        <w:t xml:space="preserve">Det </w:t>
      </w:r>
      <w:r w:rsidRPr="00CE778C">
        <w:rPr>
          <w:sz w:val="24"/>
          <w:szCs w:val="24"/>
        </w:rPr>
        <w:t>primære endepunkt for sikkerhed var klinisk relevant blødning (svær eller klinisk relevant ikke</w:t>
      </w:r>
      <w:r w:rsidR="004D17AE">
        <w:rPr>
          <w:sz w:val="24"/>
          <w:szCs w:val="24"/>
        </w:rPr>
        <w:t xml:space="preserve"> </w:t>
      </w:r>
      <w:r w:rsidRPr="00CE778C">
        <w:rPr>
          <w:sz w:val="24"/>
          <w:szCs w:val="24"/>
        </w:rPr>
        <w:t>svær).</w:t>
      </w:r>
    </w:p>
    <w:p w14:paraId="3D2B52E0" w14:textId="77777777" w:rsidR="00A75091" w:rsidRPr="00CE778C" w:rsidRDefault="00A75091" w:rsidP="00CE778C">
      <w:pPr>
        <w:ind w:left="851"/>
        <w:rPr>
          <w:sz w:val="24"/>
          <w:szCs w:val="24"/>
        </w:rPr>
      </w:pPr>
    </w:p>
    <w:p w14:paraId="42172B06" w14:textId="77777777" w:rsidR="00A75091" w:rsidRPr="00CE778C" w:rsidRDefault="00A75091" w:rsidP="00CE778C">
      <w:pPr>
        <w:ind w:left="851"/>
        <w:rPr>
          <w:sz w:val="24"/>
          <w:szCs w:val="24"/>
        </w:rPr>
      </w:pPr>
      <w:r w:rsidRPr="00CE778C">
        <w:rPr>
          <w:sz w:val="24"/>
          <w:szCs w:val="24"/>
        </w:rPr>
        <w:t>Tabel 11 opsummerer bedømte blødningshændelser for analysesættet for sikkerhed i behandlingsperioden. Der var en signifikant risikoreduktion i edoxabangruppen sammenlignet med warfarin for det primære sikkerhedsendepunkt med klinisk relevant blødning, en sammensætning af svær blødning eller klinisk relevant ikke svær (CRNM)-blødning, som opstod hos 349 ud af 4.118 personer (8,5 %) i edoxaban-gruppen og hos 423 af 4.122 personer (10,3 %) i warfaringruppen [HR (95 % CI): 0,81 (0,71; 0,94), p = 0,004 for superioritet].</w:t>
      </w:r>
    </w:p>
    <w:p w14:paraId="0DDA623E" w14:textId="77777777" w:rsidR="00A75091" w:rsidRPr="00CE778C" w:rsidRDefault="00A75091" w:rsidP="00A75091">
      <w:pPr>
        <w:pStyle w:val="Brdtekst"/>
        <w:widowControl/>
        <w:suppressAutoHyphens/>
        <w:kinsoku w:val="0"/>
        <w:overflowPunct w:val="0"/>
        <w:ind w:left="0"/>
      </w:pPr>
    </w:p>
    <w:p w14:paraId="0DF7AEEE" w14:textId="77777777" w:rsidR="00A75091" w:rsidRPr="00CE778C" w:rsidRDefault="00A75091" w:rsidP="00A75091">
      <w:pPr>
        <w:pStyle w:val="Brdtekst"/>
        <w:keepNext/>
        <w:widowControl/>
        <w:suppressAutoHyphens/>
        <w:kinsoku w:val="0"/>
        <w:overflowPunct w:val="0"/>
        <w:ind w:left="0"/>
        <w:rPr>
          <w:b/>
          <w:bCs/>
          <w:vertAlign w:val="superscript"/>
        </w:rPr>
      </w:pPr>
      <w:r w:rsidRPr="00CE778C">
        <w:rPr>
          <w:b/>
          <w:bCs/>
        </w:rPr>
        <w:t>Tabel 11: Blødningshændelser i Hokusai-VTE-studiet – analyse af sikkerhed i behandlingsperioden</w:t>
      </w:r>
      <w:r w:rsidRPr="00CE778C">
        <w:rPr>
          <w:b/>
          <w:bCs/>
          <w:vertAlign w:val="superscript"/>
        </w:rPr>
        <w:t>a</w:t>
      </w:r>
    </w:p>
    <w:p w14:paraId="71FEA218" w14:textId="77777777" w:rsidR="00A75091" w:rsidRPr="00CE778C" w:rsidRDefault="00A75091" w:rsidP="00A75091">
      <w:pPr>
        <w:pStyle w:val="Brdtekst"/>
        <w:keepNext/>
        <w:widowControl/>
        <w:suppressAutoHyphens/>
        <w:kinsoku w:val="0"/>
        <w:overflowPunct w:val="0"/>
        <w:ind w:left="0"/>
        <w:rPr>
          <w:b/>
          <w:bCs/>
        </w:rPr>
      </w:pPr>
    </w:p>
    <w:tbl>
      <w:tblPr>
        <w:tblStyle w:val="TableNormal1"/>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454"/>
        <w:gridCol w:w="3208"/>
        <w:gridCol w:w="2960"/>
      </w:tblGrid>
      <w:tr w:rsidR="00A75091" w:rsidRPr="00CE778C" w14:paraId="5E724D77" w14:textId="77777777" w:rsidTr="00CE778C">
        <w:trPr>
          <w:trHeight w:val="20"/>
        </w:trPr>
        <w:tc>
          <w:tcPr>
            <w:tcW w:w="1795" w:type="pct"/>
            <w:tcBorders>
              <w:top w:val="single" w:sz="6" w:space="0" w:color="000000"/>
              <w:left w:val="single" w:sz="6" w:space="0" w:color="000000"/>
              <w:bottom w:val="single" w:sz="6" w:space="0" w:color="000000"/>
              <w:right w:val="single" w:sz="6" w:space="0" w:color="000000"/>
            </w:tcBorders>
            <w:shd w:val="clear" w:color="auto" w:fill="DADADA"/>
          </w:tcPr>
          <w:p w14:paraId="509D776B" w14:textId="77777777" w:rsidR="00A75091" w:rsidRPr="00CE778C" w:rsidRDefault="00A75091">
            <w:pPr>
              <w:pStyle w:val="TableParagraph"/>
              <w:keepNext/>
              <w:widowControl/>
              <w:ind w:left="57" w:right="57"/>
              <w:rPr>
                <w:rFonts w:ascii="Times New Roman" w:hAnsi="Times New Roman" w:cs="Times New Roman"/>
                <w:lang w:val="da-DK" w:eastAsia="en-US"/>
              </w:rPr>
            </w:pPr>
          </w:p>
        </w:tc>
        <w:tc>
          <w:tcPr>
            <w:tcW w:w="1667" w:type="pct"/>
            <w:tcBorders>
              <w:top w:val="single" w:sz="6" w:space="0" w:color="000000"/>
              <w:left w:val="single" w:sz="6" w:space="0" w:color="000000"/>
              <w:bottom w:val="single" w:sz="6" w:space="0" w:color="000000"/>
              <w:right w:val="single" w:sz="6" w:space="0" w:color="000000"/>
            </w:tcBorders>
            <w:shd w:val="clear" w:color="auto" w:fill="DADADA"/>
            <w:vAlign w:val="center"/>
            <w:hideMark/>
          </w:tcPr>
          <w:p w14:paraId="43FB11B9" w14:textId="77777777" w:rsidR="00A75091" w:rsidRPr="00CE778C" w:rsidRDefault="00A75091">
            <w:pPr>
              <w:pStyle w:val="TableParagraph"/>
              <w:keepNext/>
              <w:widowControl/>
              <w:ind w:left="57" w:right="57"/>
              <w:jc w:val="center"/>
              <w:rPr>
                <w:rFonts w:ascii="Times New Roman" w:hAnsi="Times New Roman" w:cs="Times New Roman"/>
                <w:b/>
                <w:bCs/>
                <w:lang w:eastAsia="en-US"/>
              </w:rPr>
            </w:pPr>
            <w:r w:rsidRPr="00CE778C">
              <w:rPr>
                <w:rFonts w:ascii="Times New Roman" w:hAnsi="Times New Roman" w:cs="Times New Roman"/>
                <w:b/>
                <w:bCs/>
                <w:lang w:eastAsia="en-US"/>
              </w:rPr>
              <w:t>Edoxaban 60 mg</w:t>
            </w:r>
          </w:p>
          <w:p w14:paraId="11E3B57C" w14:textId="77777777" w:rsidR="00A75091" w:rsidRPr="00CE778C" w:rsidRDefault="00A75091">
            <w:pPr>
              <w:pStyle w:val="TableParagraph"/>
              <w:keepNext/>
              <w:widowControl/>
              <w:ind w:left="57" w:right="57"/>
              <w:jc w:val="center"/>
              <w:rPr>
                <w:rFonts w:ascii="Times New Roman" w:hAnsi="Times New Roman" w:cs="Times New Roman"/>
                <w:b/>
                <w:bCs/>
                <w:lang w:eastAsia="en-US"/>
              </w:rPr>
            </w:pPr>
            <w:r w:rsidRPr="00CE778C">
              <w:rPr>
                <w:rFonts w:ascii="Times New Roman" w:hAnsi="Times New Roman" w:cs="Times New Roman"/>
                <w:b/>
                <w:bCs/>
                <w:lang w:eastAsia="en-US"/>
              </w:rPr>
              <w:t>(30 mg dosisreduceret)</w:t>
            </w:r>
          </w:p>
          <w:p w14:paraId="67B61044" w14:textId="77777777" w:rsidR="00A75091" w:rsidRPr="00CE778C" w:rsidRDefault="00A75091">
            <w:pPr>
              <w:pStyle w:val="TableParagraph"/>
              <w:keepNext/>
              <w:widowControl/>
              <w:ind w:left="57" w:right="57"/>
              <w:jc w:val="center"/>
              <w:rPr>
                <w:rFonts w:ascii="Times New Roman" w:hAnsi="Times New Roman" w:cs="Times New Roman"/>
                <w:b/>
                <w:lang w:eastAsia="en-US"/>
              </w:rPr>
            </w:pPr>
            <w:r w:rsidRPr="00CE778C">
              <w:rPr>
                <w:rFonts w:ascii="Times New Roman" w:hAnsi="Times New Roman" w:cs="Times New Roman"/>
                <w:b/>
                <w:bCs/>
                <w:lang w:eastAsia="en-US"/>
              </w:rPr>
              <w:t>(N = 4118)</w:t>
            </w:r>
          </w:p>
        </w:tc>
        <w:tc>
          <w:tcPr>
            <w:tcW w:w="1539" w:type="pct"/>
            <w:tcBorders>
              <w:top w:val="single" w:sz="6" w:space="0" w:color="000000"/>
              <w:left w:val="single" w:sz="6" w:space="0" w:color="000000"/>
              <w:bottom w:val="single" w:sz="6" w:space="0" w:color="000000"/>
              <w:right w:val="single" w:sz="6" w:space="0" w:color="000000"/>
            </w:tcBorders>
            <w:shd w:val="clear" w:color="auto" w:fill="DADADA"/>
            <w:vAlign w:val="center"/>
            <w:hideMark/>
          </w:tcPr>
          <w:p w14:paraId="4E9ADFB6" w14:textId="77777777" w:rsidR="00A75091" w:rsidRPr="00CE778C" w:rsidRDefault="00A75091">
            <w:pPr>
              <w:pStyle w:val="TableParagraph"/>
              <w:keepNext/>
              <w:widowControl/>
              <w:ind w:left="57" w:right="57"/>
              <w:jc w:val="center"/>
              <w:rPr>
                <w:rFonts w:ascii="Times New Roman" w:hAnsi="Times New Roman" w:cs="Times New Roman"/>
                <w:b/>
                <w:lang w:eastAsia="en-US"/>
              </w:rPr>
            </w:pPr>
            <w:r w:rsidRPr="00CE778C">
              <w:rPr>
                <w:rFonts w:ascii="Times New Roman" w:hAnsi="Times New Roman" w:cs="Times New Roman"/>
                <w:b/>
                <w:lang w:eastAsia="en-US"/>
              </w:rPr>
              <w:t>Warfarin</w:t>
            </w:r>
          </w:p>
          <w:p w14:paraId="26852F3F" w14:textId="77777777" w:rsidR="00A75091" w:rsidRPr="00CE778C" w:rsidRDefault="00A75091">
            <w:pPr>
              <w:pStyle w:val="TableParagraph"/>
              <w:keepNext/>
              <w:widowControl/>
              <w:ind w:left="57" w:right="57"/>
              <w:jc w:val="center"/>
              <w:rPr>
                <w:rFonts w:ascii="Times New Roman" w:hAnsi="Times New Roman" w:cs="Times New Roman"/>
                <w:b/>
                <w:lang w:eastAsia="en-US"/>
              </w:rPr>
            </w:pPr>
            <w:r w:rsidRPr="00CE778C">
              <w:rPr>
                <w:rFonts w:ascii="Times New Roman" w:hAnsi="Times New Roman" w:cs="Times New Roman"/>
                <w:b/>
                <w:lang w:eastAsia="en-US"/>
              </w:rPr>
              <w:t>(N = 4122)</w:t>
            </w:r>
          </w:p>
        </w:tc>
      </w:tr>
      <w:tr w:rsidR="00A75091" w:rsidRPr="00CE778C" w14:paraId="59CEB281" w14:textId="77777777" w:rsidTr="00CE778C">
        <w:trPr>
          <w:trHeight w:val="20"/>
        </w:trPr>
        <w:tc>
          <w:tcPr>
            <w:tcW w:w="1795" w:type="pct"/>
            <w:tcBorders>
              <w:top w:val="single" w:sz="6" w:space="0" w:color="000000"/>
              <w:left w:val="single" w:sz="6" w:space="0" w:color="000000"/>
              <w:bottom w:val="single" w:sz="6" w:space="0" w:color="000000"/>
              <w:right w:val="single" w:sz="6" w:space="0" w:color="000000"/>
            </w:tcBorders>
            <w:shd w:val="clear" w:color="auto" w:fill="DADADA"/>
            <w:hideMark/>
          </w:tcPr>
          <w:p w14:paraId="6212B64E" w14:textId="77777777" w:rsidR="00A75091" w:rsidRPr="00CE778C" w:rsidRDefault="00A75091">
            <w:pPr>
              <w:pStyle w:val="TableParagraph"/>
              <w:keepNext/>
              <w:widowControl/>
              <w:ind w:left="57" w:right="57"/>
              <w:rPr>
                <w:rFonts w:ascii="Times New Roman" w:hAnsi="Times New Roman" w:cs="Times New Roman"/>
                <w:b/>
                <w:bCs/>
                <w:lang w:val="nb-NO" w:eastAsia="en-US"/>
              </w:rPr>
            </w:pPr>
            <w:r w:rsidRPr="00CE778C">
              <w:rPr>
                <w:rFonts w:ascii="Times New Roman" w:hAnsi="Times New Roman" w:cs="Times New Roman"/>
                <w:b/>
                <w:bCs/>
                <w:lang w:val="nb-NO" w:eastAsia="en-US"/>
              </w:rPr>
              <w:t xml:space="preserve">Klinisk relevant blødning </w:t>
            </w:r>
          </w:p>
          <w:p w14:paraId="02E8B3A5" w14:textId="77777777" w:rsidR="00A75091" w:rsidRPr="00CE778C" w:rsidRDefault="00A75091">
            <w:pPr>
              <w:pStyle w:val="TableParagraph"/>
              <w:keepNext/>
              <w:widowControl/>
              <w:ind w:left="57" w:right="57"/>
              <w:rPr>
                <w:rFonts w:ascii="Times New Roman" w:hAnsi="Times New Roman" w:cs="Times New Roman"/>
                <w:bCs/>
                <w:lang w:val="nb-NO" w:eastAsia="en-US"/>
              </w:rPr>
            </w:pPr>
            <w:r w:rsidRPr="00CE778C">
              <w:rPr>
                <w:rFonts w:ascii="Times New Roman" w:hAnsi="Times New Roman" w:cs="Times New Roman"/>
                <w:bCs/>
                <w:lang w:val="nb-NO" w:eastAsia="en-US"/>
              </w:rPr>
              <w:t>(Svær og CRNM),</w:t>
            </w:r>
            <w:r w:rsidRPr="00CE778C">
              <w:rPr>
                <w:rFonts w:ascii="Times New Roman" w:hAnsi="Times New Roman" w:cs="Times New Roman"/>
                <w:bCs/>
                <w:vertAlign w:val="superscript"/>
                <w:lang w:val="nb-NO" w:eastAsia="en-US"/>
              </w:rPr>
              <w:t>b</w:t>
            </w:r>
            <w:r w:rsidRPr="00CE778C">
              <w:rPr>
                <w:rFonts w:ascii="Times New Roman" w:hAnsi="Times New Roman" w:cs="Times New Roman"/>
                <w:bCs/>
                <w:lang w:val="nb-NO" w:eastAsia="en-US"/>
              </w:rPr>
              <w:t xml:space="preserve"> n (%)</w:t>
            </w:r>
          </w:p>
        </w:tc>
        <w:tc>
          <w:tcPr>
            <w:tcW w:w="1667" w:type="pct"/>
            <w:tcBorders>
              <w:top w:val="single" w:sz="6" w:space="0" w:color="000000"/>
              <w:left w:val="single" w:sz="6" w:space="0" w:color="000000"/>
              <w:bottom w:val="single" w:sz="6" w:space="0" w:color="000000"/>
              <w:right w:val="single" w:sz="6" w:space="0" w:color="000000"/>
            </w:tcBorders>
            <w:shd w:val="clear" w:color="auto" w:fill="DADADA"/>
          </w:tcPr>
          <w:p w14:paraId="3440643C" w14:textId="77777777" w:rsidR="00A75091" w:rsidRPr="00CE778C" w:rsidRDefault="00A75091">
            <w:pPr>
              <w:pStyle w:val="TableParagraph"/>
              <w:keepNext/>
              <w:widowControl/>
              <w:ind w:left="57" w:right="57"/>
              <w:rPr>
                <w:rFonts w:ascii="Times New Roman" w:hAnsi="Times New Roman" w:cs="Times New Roman"/>
                <w:lang w:val="nb-NO" w:eastAsia="en-US"/>
              </w:rPr>
            </w:pPr>
          </w:p>
        </w:tc>
        <w:tc>
          <w:tcPr>
            <w:tcW w:w="1539" w:type="pct"/>
            <w:tcBorders>
              <w:top w:val="single" w:sz="6" w:space="0" w:color="000000"/>
              <w:left w:val="single" w:sz="6" w:space="0" w:color="000000"/>
              <w:bottom w:val="single" w:sz="6" w:space="0" w:color="000000"/>
              <w:right w:val="single" w:sz="6" w:space="0" w:color="000000"/>
            </w:tcBorders>
            <w:shd w:val="clear" w:color="auto" w:fill="DADADA"/>
          </w:tcPr>
          <w:p w14:paraId="25521A7B" w14:textId="77777777" w:rsidR="00A75091" w:rsidRPr="00CE778C" w:rsidRDefault="00A75091">
            <w:pPr>
              <w:pStyle w:val="TableParagraph"/>
              <w:keepNext/>
              <w:widowControl/>
              <w:ind w:left="57" w:right="57"/>
              <w:rPr>
                <w:rFonts w:ascii="Times New Roman" w:hAnsi="Times New Roman" w:cs="Times New Roman"/>
                <w:lang w:val="nb-NO" w:eastAsia="en-US"/>
              </w:rPr>
            </w:pPr>
          </w:p>
        </w:tc>
      </w:tr>
      <w:tr w:rsidR="00A75091" w:rsidRPr="00CE778C" w14:paraId="7DAC7B9C" w14:textId="77777777" w:rsidTr="00CE778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9A2E630" w14:textId="77777777" w:rsidR="00A75091" w:rsidRPr="00CE778C" w:rsidRDefault="00A75091">
            <w:pPr>
              <w:pStyle w:val="TableParagraph"/>
              <w:keepNext/>
              <w:widowControl/>
              <w:ind w:left="57" w:right="57"/>
              <w:rPr>
                <w:rFonts w:ascii="Times New Roman" w:hAnsi="Times New Roman" w:cs="Times New Roman"/>
                <w:lang w:eastAsia="en-US"/>
              </w:rPr>
            </w:pPr>
            <w:r w:rsidRPr="00CE778C">
              <w:rPr>
                <w:rFonts w:ascii="Times New Roman" w:hAnsi="Times New Roman" w:cs="Times New Roman"/>
                <w:lang w:eastAsia="en-US"/>
              </w:rPr>
              <w:t>n</w:t>
            </w:r>
          </w:p>
        </w:tc>
        <w:tc>
          <w:tcPr>
            <w:tcW w:w="1667" w:type="pct"/>
            <w:tcBorders>
              <w:top w:val="single" w:sz="6" w:space="0" w:color="000000"/>
              <w:left w:val="single" w:sz="6" w:space="0" w:color="000000"/>
              <w:bottom w:val="single" w:sz="6" w:space="0" w:color="000000"/>
              <w:right w:val="single" w:sz="6" w:space="0" w:color="000000"/>
            </w:tcBorders>
            <w:hideMark/>
          </w:tcPr>
          <w:p w14:paraId="2965ABC9"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349 (8,5)</w:t>
            </w:r>
          </w:p>
        </w:tc>
        <w:tc>
          <w:tcPr>
            <w:tcW w:w="1539" w:type="pct"/>
            <w:tcBorders>
              <w:top w:val="single" w:sz="6" w:space="0" w:color="000000"/>
              <w:left w:val="single" w:sz="6" w:space="0" w:color="000000"/>
              <w:bottom w:val="single" w:sz="6" w:space="0" w:color="000000"/>
              <w:right w:val="single" w:sz="6" w:space="0" w:color="000000"/>
            </w:tcBorders>
            <w:hideMark/>
          </w:tcPr>
          <w:p w14:paraId="3C7C0A86"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423 (10,3)</w:t>
            </w:r>
          </w:p>
        </w:tc>
      </w:tr>
      <w:tr w:rsidR="00A75091" w:rsidRPr="00CE778C" w14:paraId="28778039" w14:textId="77777777" w:rsidTr="00CE778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D0F1412" w14:textId="77777777" w:rsidR="00A75091" w:rsidRPr="00CE778C" w:rsidRDefault="00A75091">
            <w:pPr>
              <w:pStyle w:val="TableParagraph"/>
              <w:keepNext/>
              <w:widowControl/>
              <w:ind w:left="57" w:right="57"/>
              <w:rPr>
                <w:rFonts w:ascii="Times New Roman" w:hAnsi="Times New Roman" w:cs="Times New Roman"/>
                <w:lang w:eastAsia="en-US"/>
              </w:rPr>
            </w:pPr>
            <w:r w:rsidRPr="00CE778C">
              <w:rPr>
                <w:rFonts w:ascii="Times New Roman" w:hAnsi="Times New Roman" w:cs="Times New Roman"/>
                <w:lang w:eastAsia="en-US"/>
              </w:rPr>
              <w:t>Median (95 % CI)</w:t>
            </w:r>
          </w:p>
        </w:tc>
        <w:tc>
          <w:tcPr>
            <w:tcW w:w="1667" w:type="pct"/>
            <w:tcBorders>
              <w:top w:val="single" w:sz="6" w:space="0" w:color="000000"/>
              <w:left w:val="single" w:sz="6" w:space="0" w:color="000000"/>
              <w:bottom w:val="single" w:sz="6" w:space="0" w:color="000000"/>
              <w:right w:val="single" w:sz="6" w:space="0" w:color="000000"/>
            </w:tcBorders>
            <w:hideMark/>
          </w:tcPr>
          <w:p w14:paraId="2681CEE2"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0,81 (0,71; 0,94)</w:t>
            </w:r>
          </w:p>
        </w:tc>
        <w:tc>
          <w:tcPr>
            <w:tcW w:w="1539" w:type="pct"/>
            <w:tcBorders>
              <w:top w:val="single" w:sz="6" w:space="0" w:color="000000"/>
              <w:left w:val="single" w:sz="6" w:space="0" w:color="000000"/>
              <w:bottom w:val="single" w:sz="6" w:space="0" w:color="000000"/>
              <w:right w:val="single" w:sz="6" w:space="0" w:color="000000"/>
            </w:tcBorders>
          </w:tcPr>
          <w:p w14:paraId="5CEA6D7F" w14:textId="77777777" w:rsidR="00A75091" w:rsidRPr="00CE778C" w:rsidRDefault="00A75091">
            <w:pPr>
              <w:pStyle w:val="TableParagraph"/>
              <w:keepNext/>
              <w:widowControl/>
              <w:ind w:left="57" w:right="57"/>
              <w:jc w:val="center"/>
              <w:rPr>
                <w:rFonts w:ascii="Times New Roman" w:hAnsi="Times New Roman" w:cs="Times New Roman"/>
                <w:lang w:eastAsia="en-US"/>
              </w:rPr>
            </w:pPr>
          </w:p>
        </w:tc>
      </w:tr>
      <w:tr w:rsidR="00A75091" w:rsidRPr="00CE778C" w14:paraId="58952EA1" w14:textId="77777777" w:rsidTr="00CE778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B7ED171" w14:textId="77777777" w:rsidR="00A75091" w:rsidRPr="00CE778C" w:rsidRDefault="00A75091">
            <w:pPr>
              <w:pStyle w:val="TableParagraph"/>
              <w:keepNext/>
              <w:widowControl/>
              <w:ind w:left="57" w:right="57"/>
              <w:rPr>
                <w:rFonts w:ascii="Times New Roman" w:hAnsi="Times New Roman" w:cs="Times New Roman"/>
                <w:lang w:eastAsia="en-US"/>
              </w:rPr>
            </w:pPr>
            <w:r w:rsidRPr="00CE778C">
              <w:rPr>
                <w:rFonts w:ascii="Times New Roman" w:hAnsi="Times New Roman" w:cs="Times New Roman"/>
                <w:lang w:eastAsia="en-US"/>
              </w:rPr>
              <w:t>p-værdi</w:t>
            </w:r>
          </w:p>
        </w:tc>
        <w:tc>
          <w:tcPr>
            <w:tcW w:w="1667" w:type="pct"/>
            <w:tcBorders>
              <w:top w:val="single" w:sz="6" w:space="0" w:color="000000"/>
              <w:left w:val="single" w:sz="6" w:space="0" w:color="000000"/>
              <w:bottom w:val="single" w:sz="6" w:space="0" w:color="000000"/>
              <w:right w:val="single" w:sz="6" w:space="0" w:color="000000"/>
            </w:tcBorders>
            <w:hideMark/>
          </w:tcPr>
          <w:p w14:paraId="1B35A183"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0,004 (for superioritet)</w:t>
            </w:r>
          </w:p>
        </w:tc>
        <w:tc>
          <w:tcPr>
            <w:tcW w:w="1539" w:type="pct"/>
            <w:tcBorders>
              <w:top w:val="single" w:sz="6" w:space="0" w:color="000000"/>
              <w:left w:val="single" w:sz="6" w:space="0" w:color="000000"/>
              <w:bottom w:val="single" w:sz="6" w:space="0" w:color="000000"/>
              <w:right w:val="single" w:sz="6" w:space="0" w:color="000000"/>
            </w:tcBorders>
          </w:tcPr>
          <w:p w14:paraId="7381E0AC" w14:textId="77777777" w:rsidR="00A75091" w:rsidRPr="00CE778C" w:rsidRDefault="00A75091">
            <w:pPr>
              <w:pStyle w:val="TableParagraph"/>
              <w:keepNext/>
              <w:widowControl/>
              <w:ind w:left="57" w:right="57"/>
              <w:jc w:val="center"/>
              <w:rPr>
                <w:rFonts w:ascii="Times New Roman" w:hAnsi="Times New Roman" w:cs="Times New Roman"/>
                <w:lang w:eastAsia="en-US"/>
              </w:rPr>
            </w:pPr>
          </w:p>
        </w:tc>
      </w:tr>
      <w:tr w:rsidR="00A75091" w:rsidRPr="00CE778C" w14:paraId="648F31C6" w14:textId="77777777" w:rsidTr="00CE778C">
        <w:trPr>
          <w:trHeight w:val="20"/>
        </w:trPr>
        <w:tc>
          <w:tcPr>
            <w:tcW w:w="1795" w:type="pct"/>
            <w:tcBorders>
              <w:top w:val="single" w:sz="6" w:space="0" w:color="000000"/>
              <w:left w:val="single" w:sz="6" w:space="0" w:color="000000"/>
              <w:bottom w:val="single" w:sz="6" w:space="0" w:color="000000"/>
              <w:right w:val="single" w:sz="6" w:space="0" w:color="000000"/>
            </w:tcBorders>
            <w:shd w:val="clear" w:color="auto" w:fill="DADADA"/>
            <w:hideMark/>
          </w:tcPr>
          <w:p w14:paraId="6E2AB1F9" w14:textId="77777777" w:rsidR="00A75091" w:rsidRPr="00CE778C" w:rsidRDefault="00A75091">
            <w:pPr>
              <w:pStyle w:val="TableParagraph"/>
              <w:keepNext/>
              <w:widowControl/>
              <w:ind w:left="57" w:right="57"/>
              <w:rPr>
                <w:rFonts w:ascii="Times New Roman" w:hAnsi="Times New Roman" w:cs="Times New Roman"/>
                <w:lang w:eastAsia="en-US"/>
              </w:rPr>
            </w:pPr>
            <w:r w:rsidRPr="00CE778C">
              <w:rPr>
                <w:rFonts w:ascii="Times New Roman" w:hAnsi="Times New Roman" w:cs="Times New Roman"/>
                <w:b/>
                <w:bCs/>
                <w:lang w:eastAsia="en-US"/>
              </w:rPr>
              <w:t xml:space="preserve">Svær blødning </w:t>
            </w:r>
            <w:r w:rsidRPr="00CE778C">
              <w:rPr>
                <w:rFonts w:ascii="Times New Roman" w:hAnsi="Times New Roman" w:cs="Times New Roman"/>
                <w:b/>
                <w:lang w:eastAsia="en-US"/>
              </w:rPr>
              <w:t>n (%)</w:t>
            </w:r>
          </w:p>
        </w:tc>
        <w:tc>
          <w:tcPr>
            <w:tcW w:w="1667" w:type="pct"/>
            <w:tcBorders>
              <w:top w:val="single" w:sz="6" w:space="0" w:color="000000"/>
              <w:left w:val="single" w:sz="6" w:space="0" w:color="000000"/>
              <w:bottom w:val="single" w:sz="6" w:space="0" w:color="000000"/>
              <w:right w:val="single" w:sz="6" w:space="0" w:color="000000"/>
            </w:tcBorders>
            <w:shd w:val="clear" w:color="auto" w:fill="DADADA"/>
          </w:tcPr>
          <w:p w14:paraId="76FA9557" w14:textId="77777777" w:rsidR="00A75091" w:rsidRPr="00CE778C" w:rsidRDefault="00A75091">
            <w:pPr>
              <w:pStyle w:val="TableParagraph"/>
              <w:keepNext/>
              <w:widowControl/>
              <w:ind w:left="57" w:right="57"/>
              <w:jc w:val="center"/>
              <w:rPr>
                <w:rFonts w:ascii="Times New Roman" w:hAnsi="Times New Roman" w:cs="Times New Roman"/>
                <w:lang w:eastAsia="en-US"/>
              </w:rPr>
            </w:pPr>
          </w:p>
        </w:tc>
        <w:tc>
          <w:tcPr>
            <w:tcW w:w="1539" w:type="pct"/>
            <w:tcBorders>
              <w:top w:val="single" w:sz="6" w:space="0" w:color="000000"/>
              <w:left w:val="single" w:sz="6" w:space="0" w:color="000000"/>
              <w:bottom w:val="single" w:sz="6" w:space="0" w:color="000000"/>
              <w:right w:val="single" w:sz="6" w:space="0" w:color="000000"/>
            </w:tcBorders>
            <w:shd w:val="clear" w:color="auto" w:fill="DADADA"/>
          </w:tcPr>
          <w:p w14:paraId="06401C6D" w14:textId="77777777" w:rsidR="00A75091" w:rsidRPr="00CE778C" w:rsidRDefault="00A75091">
            <w:pPr>
              <w:pStyle w:val="TableParagraph"/>
              <w:keepNext/>
              <w:widowControl/>
              <w:ind w:left="57" w:right="57"/>
              <w:jc w:val="center"/>
              <w:rPr>
                <w:rFonts w:ascii="Times New Roman" w:hAnsi="Times New Roman" w:cs="Times New Roman"/>
                <w:lang w:eastAsia="en-US"/>
              </w:rPr>
            </w:pPr>
          </w:p>
        </w:tc>
      </w:tr>
      <w:tr w:rsidR="00A75091" w:rsidRPr="00CE778C" w14:paraId="27D443FA" w14:textId="77777777" w:rsidTr="00CE778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4757143" w14:textId="77777777" w:rsidR="00A75091" w:rsidRPr="00CE778C" w:rsidRDefault="00A75091">
            <w:pPr>
              <w:pStyle w:val="TableParagraph"/>
              <w:keepNext/>
              <w:widowControl/>
              <w:ind w:left="57" w:right="57"/>
              <w:rPr>
                <w:rFonts w:ascii="Times New Roman" w:hAnsi="Times New Roman" w:cs="Times New Roman"/>
                <w:lang w:eastAsia="en-US"/>
              </w:rPr>
            </w:pPr>
            <w:r w:rsidRPr="00CE778C">
              <w:rPr>
                <w:rFonts w:ascii="Times New Roman" w:hAnsi="Times New Roman" w:cs="Times New Roman"/>
                <w:lang w:eastAsia="en-US"/>
              </w:rPr>
              <w:t>n</w:t>
            </w:r>
          </w:p>
        </w:tc>
        <w:tc>
          <w:tcPr>
            <w:tcW w:w="1667" w:type="pct"/>
            <w:tcBorders>
              <w:top w:val="single" w:sz="6" w:space="0" w:color="000000"/>
              <w:left w:val="single" w:sz="6" w:space="0" w:color="000000"/>
              <w:bottom w:val="single" w:sz="6" w:space="0" w:color="000000"/>
              <w:right w:val="single" w:sz="6" w:space="0" w:color="000000"/>
            </w:tcBorders>
            <w:hideMark/>
          </w:tcPr>
          <w:p w14:paraId="08870C9B"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56 (1,4)</w:t>
            </w:r>
          </w:p>
        </w:tc>
        <w:tc>
          <w:tcPr>
            <w:tcW w:w="1539" w:type="pct"/>
            <w:tcBorders>
              <w:top w:val="single" w:sz="6" w:space="0" w:color="000000"/>
              <w:left w:val="single" w:sz="6" w:space="0" w:color="000000"/>
              <w:bottom w:val="single" w:sz="6" w:space="0" w:color="000000"/>
              <w:right w:val="single" w:sz="6" w:space="0" w:color="000000"/>
            </w:tcBorders>
            <w:hideMark/>
          </w:tcPr>
          <w:p w14:paraId="3FFB540D"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66 (1,6)</w:t>
            </w:r>
          </w:p>
        </w:tc>
      </w:tr>
      <w:tr w:rsidR="00A75091" w:rsidRPr="00CE778C" w14:paraId="1186AE46" w14:textId="77777777" w:rsidTr="00CE778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15408BB7" w14:textId="77777777" w:rsidR="00A75091" w:rsidRPr="00CE778C" w:rsidRDefault="00A75091">
            <w:pPr>
              <w:pStyle w:val="TableParagraph"/>
              <w:keepNext/>
              <w:widowControl/>
              <w:ind w:left="57" w:right="57"/>
              <w:rPr>
                <w:rFonts w:ascii="Times New Roman" w:hAnsi="Times New Roman" w:cs="Times New Roman"/>
                <w:lang w:eastAsia="en-US"/>
              </w:rPr>
            </w:pPr>
            <w:r w:rsidRPr="00CE778C">
              <w:rPr>
                <w:rFonts w:ascii="Times New Roman" w:hAnsi="Times New Roman" w:cs="Times New Roman"/>
                <w:lang w:eastAsia="en-US"/>
              </w:rPr>
              <w:t>Median (95 % CI)</w:t>
            </w:r>
          </w:p>
        </w:tc>
        <w:tc>
          <w:tcPr>
            <w:tcW w:w="1667" w:type="pct"/>
            <w:tcBorders>
              <w:top w:val="single" w:sz="6" w:space="0" w:color="000000"/>
              <w:left w:val="single" w:sz="6" w:space="0" w:color="000000"/>
              <w:bottom w:val="single" w:sz="6" w:space="0" w:color="000000"/>
              <w:right w:val="single" w:sz="6" w:space="0" w:color="000000"/>
            </w:tcBorders>
            <w:hideMark/>
          </w:tcPr>
          <w:p w14:paraId="683CA04E"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0,84 (0,59; 1,21)</w:t>
            </w:r>
          </w:p>
        </w:tc>
        <w:tc>
          <w:tcPr>
            <w:tcW w:w="1539" w:type="pct"/>
            <w:tcBorders>
              <w:top w:val="single" w:sz="6" w:space="0" w:color="000000"/>
              <w:left w:val="single" w:sz="6" w:space="0" w:color="000000"/>
              <w:bottom w:val="single" w:sz="6" w:space="0" w:color="000000"/>
              <w:right w:val="single" w:sz="6" w:space="0" w:color="000000"/>
            </w:tcBorders>
          </w:tcPr>
          <w:p w14:paraId="78DEAC58" w14:textId="77777777" w:rsidR="00A75091" w:rsidRPr="00CE778C" w:rsidRDefault="00A75091">
            <w:pPr>
              <w:pStyle w:val="TableParagraph"/>
              <w:keepNext/>
              <w:widowControl/>
              <w:ind w:left="57" w:right="57"/>
              <w:jc w:val="center"/>
              <w:rPr>
                <w:rFonts w:ascii="Times New Roman" w:hAnsi="Times New Roman" w:cs="Times New Roman"/>
                <w:lang w:eastAsia="en-US"/>
              </w:rPr>
            </w:pPr>
          </w:p>
        </w:tc>
      </w:tr>
      <w:tr w:rsidR="00A75091" w:rsidRPr="00CE778C" w14:paraId="16F630E6" w14:textId="77777777" w:rsidTr="00CE778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6D8621B" w14:textId="77777777" w:rsidR="00A75091" w:rsidRPr="00CE778C" w:rsidRDefault="00A75091">
            <w:pPr>
              <w:pStyle w:val="TableParagraph"/>
              <w:keepNext/>
              <w:widowControl/>
              <w:ind w:left="284" w:right="57"/>
              <w:rPr>
                <w:rFonts w:ascii="Times New Roman" w:hAnsi="Times New Roman" w:cs="Times New Roman"/>
                <w:lang w:eastAsia="en-US"/>
              </w:rPr>
            </w:pPr>
            <w:r w:rsidRPr="00CE778C">
              <w:rPr>
                <w:rFonts w:ascii="Times New Roman" w:hAnsi="Times New Roman" w:cs="Times New Roman"/>
                <w:lang w:eastAsia="en-US"/>
              </w:rPr>
              <w:t>ICH dødelig</w:t>
            </w:r>
          </w:p>
        </w:tc>
        <w:tc>
          <w:tcPr>
            <w:tcW w:w="1667" w:type="pct"/>
            <w:tcBorders>
              <w:top w:val="single" w:sz="6" w:space="0" w:color="000000"/>
              <w:left w:val="single" w:sz="6" w:space="0" w:color="000000"/>
              <w:bottom w:val="single" w:sz="6" w:space="0" w:color="000000"/>
              <w:right w:val="single" w:sz="6" w:space="0" w:color="000000"/>
            </w:tcBorders>
            <w:hideMark/>
          </w:tcPr>
          <w:p w14:paraId="6638AC3A"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0</w:t>
            </w:r>
          </w:p>
        </w:tc>
        <w:tc>
          <w:tcPr>
            <w:tcW w:w="1539" w:type="pct"/>
            <w:tcBorders>
              <w:top w:val="single" w:sz="6" w:space="0" w:color="000000"/>
              <w:left w:val="single" w:sz="6" w:space="0" w:color="000000"/>
              <w:bottom w:val="single" w:sz="6" w:space="0" w:color="000000"/>
              <w:right w:val="single" w:sz="6" w:space="0" w:color="000000"/>
            </w:tcBorders>
            <w:hideMark/>
          </w:tcPr>
          <w:p w14:paraId="2734282E"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6 (0,1)</w:t>
            </w:r>
          </w:p>
        </w:tc>
      </w:tr>
      <w:tr w:rsidR="00A75091" w:rsidRPr="00CE778C" w14:paraId="4A53812C" w14:textId="77777777" w:rsidTr="00CE778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DBEA644" w14:textId="77777777" w:rsidR="00A75091" w:rsidRPr="00CE778C" w:rsidRDefault="00A75091">
            <w:pPr>
              <w:pStyle w:val="TableParagraph"/>
              <w:keepNext/>
              <w:widowControl/>
              <w:ind w:left="284" w:right="57"/>
              <w:rPr>
                <w:rFonts w:ascii="Times New Roman" w:hAnsi="Times New Roman" w:cs="Times New Roman"/>
                <w:lang w:eastAsia="en-US"/>
              </w:rPr>
            </w:pPr>
            <w:r w:rsidRPr="00CE778C">
              <w:rPr>
                <w:rFonts w:ascii="Times New Roman" w:hAnsi="Times New Roman" w:cs="Times New Roman"/>
                <w:lang w:eastAsia="en-US"/>
              </w:rPr>
              <w:t>ICH ikke-dødelig</w:t>
            </w:r>
          </w:p>
        </w:tc>
        <w:tc>
          <w:tcPr>
            <w:tcW w:w="1667" w:type="pct"/>
            <w:tcBorders>
              <w:top w:val="single" w:sz="6" w:space="0" w:color="000000"/>
              <w:left w:val="single" w:sz="6" w:space="0" w:color="000000"/>
              <w:bottom w:val="single" w:sz="6" w:space="0" w:color="000000"/>
              <w:right w:val="single" w:sz="6" w:space="0" w:color="000000"/>
            </w:tcBorders>
            <w:hideMark/>
          </w:tcPr>
          <w:p w14:paraId="15FD802F"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5 (0,1)</w:t>
            </w:r>
          </w:p>
        </w:tc>
        <w:tc>
          <w:tcPr>
            <w:tcW w:w="1539" w:type="pct"/>
            <w:tcBorders>
              <w:top w:val="single" w:sz="6" w:space="0" w:color="000000"/>
              <w:left w:val="single" w:sz="6" w:space="0" w:color="000000"/>
              <w:bottom w:val="single" w:sz="6" w:space="0" w:color="000000"/>
              <w:right w:val="single" w:sz="6" w:space="0" w:color="000000"/>
            </w:tcBorders>
            <w:hideMark/>
          </w:tcPr>
          <w:p w14:paraId="392B39C1"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12 (0,3)</w:t>
            </w:r>
          </w:p>
        </w:tc>
      </w:tr>
      <w:tr w:rsidR="00A75091" w:rsidRPr="00CE778C" w14:paraId="4399BB07" w14:textId="77777777" w:rsidTr="00CE778C">
        <w:trPr>
          <w:trHeight w:val="20"/>
        </w:trPr>
        <w:tc>
          <w:tcPr>
            <w:tcW w:w="1795" w:type="pct"/>
            <w:tcBorders>
              <w:top w:val="single" w:sz="6" w:space="0" w:color="000000"/>
              <w:left w:val="single" w:sz="6" w:space="0" w:color="000000"/>
              <w:bottom w:val="single" w:sz="6" w:space="0" w:color="000000"/>
              <w:right w:val="single" w:sz="6" w:space="0" w:color="000000"/>
            </w:tcBorders>
            <w:shd w:val="clear" w:color="auto" w:fill="DADADA"/>
            <w:hideMark/>
          </w:tcPr>
          <w:p w14:paraId="008F4995" w14:textId="77777777" w:rsidR="00A75091" w:rsidRPr="00CE778C" w:rsidRDefault="00A75091">
            <w:pPr>
              <w:pStyle w:val="TableParagraph"/>
              <w:keepNext/>
              <w:widowControl/>
              <w:ind w:left="57" w:right="57"/>
              <w:rPr>
                <w:rFonts w:ascii="Times New Roman" w:hAnsi="Times New Roman" w:cs="Times New Roman"/>
                <w:b/>
                <w:lang w:eastAsia="en-US"/>
              </w:rPr>
            </w:pPr>
            <w:r w:rsidRPr="00CE778C">
              <w:rPr>
                <w:rFonts w:ascii="Times New Roman" w:hAnsi="Times New Roman" w:cs="Times New Roman"/>
                <w:b/>
                <w:bCs/>
                <w:lang w:eastAsia="en-US"/>
              </w:rPr>
              <w:t>CRNM-blødning</w:t>
            </w:r>
          </w:p>
        </w:tc>
        <w:tc>
          <w:tcPr>
            <w:tcW w:w="1667" w:type="pct"/>
            <w:tcBorders>
              <w:top w:val="single" w:sz="6" w:space="0" w:color="000000"/>
              <w:left w:val="single" w:sz="6" w:space="0" w:color="000000"/>
              <w:bottom w:val="single" w:sz="6" w:space="0" w:color="000000"/>
              <w:right w:val="single" w:sz="6" w:space="0" w:color="000000"/>
            </w:tcBorders>
            <w:shd w:val="clear" w:color="auto" w:fill="DADADA"/>
          </w:tcPr>
          <w:p w14:paraId="14068F61" w14:textId="77777777" w:rsidR="00A75091" w:rsidRPr="00CE778C" w:rsidRDefault="00A75091">
            <w:pPr>
              <w:pStyle w:val="TableParagraph"/>
              <w:keepNext/>
              <w:widowControl/>
              <w:ind w:left="57" w:right="57"/>
              <w:jc w:val="center"/>
              <w:rPr>
                <w:rFonts w:ascii="Times New Roman" w:hAnsi="Times New Roman" w:cs="Times New Roman"/>
                <w:lang w:eastAsia="en-US"/>
              </w:rPr>
            </w:pPr>
          </w:p>
        </w:tc>
        <w:tc>
          <w:tcPr>
            <w:tcW w:w="1539" w:type="pct"/>
            <w:tcBorders>
              <w:top w:val="single" w:sz="6" w:space="0" w:color="000000"/>
              <w:left w:val="single" w:sz="6" w:space="0" w:color="000000"/>
              <w:bottom w:val="single" w:sz="6" w:space="0" w:color="000000"/>
              <w:right w:val="single" w:sz="6" w:space="0" w:color="000000"/>
            </w:tcBorders>
            <w:shd w:val="clear" w:color="auto" w:fill="DADADA"/>
          </w:tcPr>
          <w:p w14:paraId="5AB74332" w14:textId="77777777" w:rsidR="00A75091" w:rsidRPr="00CE778C" w:rsidRDefault="00A75091">
            <w:pPr>
              <w:pStyle w:val="TableParagraph"/>
              <w:keepNext/>
              <w:widowControl/>
              <w:ind w:left="57" w:right="57"/>
              <w:jc w:val="center"/>
              <w:rPr>
                <w:rFonts w:ascii="Times New Roman" w:hAnsi="Times New Roman" w:cs="Times New Roman"/>
                <w:lang w:eastAsia="en-US"/>
              </w:rPr>
            </w:pPr>
          </w:p>
        </w:tc>
      </w:tr>
      <w:tr w:rsidR="00A75091" w:rsidRPr="00CE778C" w14:paraId="05095403" w14:textId="77777777" w:rsidTr="00CE778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BA8E63D" w14:textId="77777777" w:rsidR="00A75091" w:rsidRPr="00CE778C" w:rsidRDefault="00A75091">
            <w:pPr>
              <w:pStyle w:val="TableParagraph"/>
              <w:keepNext/>
              <w:widowControl/>
              <w:ind w:left="57" w:right="57"/>
              <w:rPr>
                <w:rFonts w:ascii="Times New Roman" w:hAnsi="Times New Roman" w:cs="Times New Roman"/>
                <w:lang w:eastAsia="en-US"/>
              </w:rPr>
            </w:pPr>
            <w:r w:rsidRPr="00CE778C">
              <w:rPr>
                <w:rFonts w:ascii="Times New Roman" w:hAnsi="Times New Roman" w:cs="Times New Roman"/>
                <w:lang w:eastAsia="en-US"/>
              </w:rPr>
              <w:t>n</w:t>
            </w:r>
          </w:p>
        </w:tc>
        <w:tc>
          <w:tcPr>
            <w:tcW w:w="1667" w:type="pct"/>
            <w:tcBorders>
              <w:top w:val="single" w:sz="6" w:space="0" w:color="000000"/>
              <w:left w:val="single" w:sz="6" w:space="0" w:color="000000"/>
              <w:bottom w:val="single" w:sz="6" w:space="0" w:color="000000"/>
              <w:right w:val="single" w:sz="6" w:space="0" w:color="000000"/>
            </w:tcBorders>
            <w:hideMark/>
          </w:tcPr>
          <w:p w14:paraId="1995A52E"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298 (7,2)</w:t>
            </w:r>
          </w:p>
        </w:tc>
        <w:tc>
          <w:tcPr>
            <w:tcW w:w="1539" w:type="pct"/>
            <w:tcBorders>
              <w:top w:val="single" w:sz="6" w:space="0" w:color="000000"/>
              <w:left w:val="single" w:sz="6" w:space="0" w:color="000000"/>
              <w:bottom w:val="single" w:sz="6" w:space="0" w:color="000000"/>
              <w:right w:val="single" w:sz="6" w:space="0" w:color="000000"/>
            </w:tcBorders>
            <w:hideMark/>
          </w:tcPr>
          <w:p w14:paraId="1CEE824C"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368 (8,9)</w:t>
            </w:r>
          </w:p>
        </w:tc>
      </w:tr>
      <w:tr w:rsidR="00A75091" w:rsidRPr="00CE778C" w14:paraId="3CD02B0D" w14:textId="77777777" w:rsidTr="00CE778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1E8A59F" w14:textId="77777777" w:rsidR="00A75091" w:rsidRPr="00CE778C" w:rsidRDefault="00A75091">
            <w:pPr>
              <w:pStyle w:val="TableParagraph"/>
              <w:keepNext/>
              <w:widowControl/>
              <w:ind w:left="57" w:right="57"/>
              <w:rPr>
                <w:rFonts w:ascii="Times New Roman" w:hAnsi="Times New Roman" w:cs="Times New Roman"/>
                <w:lang w:eastAsia="en-US"/>
              </w:rPr>
            </w:pPr>
            <w:r w:rsidRPr="00CE778C">
              <w:rPr>
                <w:rFonts w:ascii="Times New Roman" w:hAnsi="Times New Roman" w:cs="Times New Roman"/>
                <w:lang w:eastAsia="en-US"/>
              </w:rPr>
              <w:t>Median (95 % CI)</w:t>
            </w:r>
          </w:p>
        </w:tc>
        <w:tc>
          <w:tcPr>
            <w:tcW w:w="1667" w:type="pct"/>
            <w:tcBorders>
              <w:top w:val="single" w:sz="6" w:space="0" w:color="000000"/>
              <w:left w:val="single" w:sz="6" w:space="0" w:color="000000"/>
              <w:bottom w:val="single" w:sz="6" w:space="0" w:color="000000"/>
              <w:right w:val="single" w:sz="6" w:space="0" w:color="000000"/>
            </w:tcBorders>
            <w:hideMark/>
          </w:tcPr>
          <w:p w14:paraId="652696E2"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0,80 (0,68; 0,93)</w:t>
            </w:r>
          </w:p>
        </w:tc>
        <w:tc>
          <w:tcPr>
            <w:tcW w:w="1539" w:type="pct"/>
            <w:tcBorders>
              <w:top w:val="single" w:sz="6" w:space="0" w:color="000000"/>
              <w:left w:val="single" w:sz="6" w:space="0" w:color="000000"/>
              <w:bottom w:val="single" w:sz="6" w:space="0" w:color="000000"/>
              <w:right w:val="single" w:sz="6" w:space="0" w:color="000000"/>
            </w:tcBorders>
          </w:tcPr>
          <w:p w14:paraId="147738F1" w14:textId="77777777" w:rsidR="00A75091" w:rsidRPr="00CE778C" w:rsidRDefault="00A75091">
            <w:pPr>
              <w:pStyle w:val="TableParagraph"/>
              <w:keepNext/>
              <w:widowControl/>
              <w:ind w:left="57" w:right="57"/>
              <w:jc w:val="center"/>
              <w:rPr>
                <w:rFonts w:ascii="Times New Roman" w:hAnsi="Times New Roman" w:cs="Times New Roman"/>
                <w:lang w:eastAsia="en-US"/>
              </w:rPr>
            </w:pPr>
          </w:p>
        </w:tc>
      </w:tr>
      <w:tr w:rsidR="00A75091" w:rsidRPr="00CE778C" w14:paraId="061E5561" w14:textId="77777777" w:rsidTr="00CE778C">
        <w:trPr>
          <w:trHeight w:val="20"/>
        </w:trPr>
        <w:tc>
          <w:tcPr>
            <w:tcW w:w="1795" w:type="pct"/>
            <w:tcBorders>
              <w:top w:val="single" w:sz="6" w:space="0" w:color="000000"/>
              <w:left w:val="single" w:sz="6" w:space="0" w:color="000000"/>
              <w:bottom w:val="single" w:sz="6" w:space="0" w:color="000000"/>
              <w:right w:val="single" w:sz="6" w:space="0" w:color="000000"/>
            </w:tcBorders>
            <w:shd w:val="clear" w:color="auto" w:fill="DADADA"/>
            <w:hideMark/>
          </w:tcPr>
          <w:p w14:paraId="19105FBA" w14:textId="77777777" w:rsidR="00A75091" w:rsidRPr="00CE778C" w:rsidRDefault="00A75091">
            <w:pPr>
              <w:pStyle w:val="TableParagraph"/>
              <w:keepNext/>
              <w:widowControl/>
              <w:ind w:left="57" w:right="57"/>
              <w:rPr>
                <w:rFonts w:ascii="Times New Roman" w:hAnsi="Times New Roman" w:cs="Times New Roman"/>
                <w:b/>
                <w:lang w:eastAsia="en-US"/>
              </w:rPr>
            </w:pPr>
            <w:r w:rsidRPr="00CE778C">
              <w:rPr>
                <w:rFonts w:ascii="Times New Roman" w:hAnsi="Times New Roman" w:cs="Times New Roman"/>
                <w:b/>
                <w:bCs/>
                <w:lang w:eastAsia="en-US"/>
              </w:rPr>
              <w:t>Alle blødninger</w:t>
            </w:r>
          </w:p>
        </w:tc>
        <w:tc>
          <w:tcPr>
            <w:tcW w:w="1667" w:type="pct"/>
            <w:tcBorders>
              <w:top w:val="single" w:sz="6" w:space="0" w:color="000000"/>
              <w:left w:val="single" w:sz="6" w:space="0" w:color="000000"/>
              <w:bottom w:val="single" w:sz="6" w:space="0" w:color="000000"/>
              <w:right w:val="single" w:sz="6" w:space="0" w:color="000000"/>
            </w:tcBorders>
            <w:shd w:val="clear" w:color="auto" w:fill="DADADA"/>
          </w:tcPr>
          <w:p w14:paraId="2435196B" w14:textId="77777777" w:rsidR="00A75091" w:rsidRPr="00CE778C" w:rsidRDefault="00A75091">
            <w:pPr>
              <w:pStyle w:val="TableParagraph"/>
              <w:keepNext/>
              <w:widowControl/>
              <w:ind w:left="57" w:right="57"/>
              <w:jc w:val="center"/>
              <w:rPr>
                <w:rFonts w:ascii="Times New Roman" w:hAnsi="Times New Roman" w:cs="Times New Roman"/>
                <w:lang w:eastAsia="en-US"/>
              </w:rPr>
            </w:pPr>
          </w:p>
        </w:tc>
        <w:tc>
          <w:tcPr>
            <w:tcW w:w="1539" w:type="pct"/>
            <w:tcBorders>
              <w:top w:val="single" w:sz="6" w:space="0" w:color="000000"/>
              <w:left w:val="single" w:sz="6" w:space="0" w:color="000000"/>
              <w:bottom w:val="single" w:sz="6" w:space="0" w:color="000000"/>
              <w:right w:val="single" w:sz="6" w:space="0" w:color="000000"/>
            </w:tcBorders>
            <w:shd w:val="clear" w:color="auto" w:fill="DADADA"/>
          </w:tcPr>
          <w:p w14:paraId="241CF637" w14:textId="77777777" w:rsidR="00A75091" w:rsidRPr="00CE778C" w:rsidRDefault="00A75091">
            <w:pPr>
              <w:pStyle w:val="TableParagraph"/>
              <w:keepNext/>
              <w:widowControl/>
              <w:ind w:left="57" w:right="57"/>
              <w:jc w:val="center"/>
              <w:rPr>
                <w:rFonts w:ascii="Times New Roman" w:hAnsi="Times New Roman" w:cs="Times New Roman"/>
                <w:lang w:eastAsia="en-US"/>
              </w:rPr>
            </w:pPr>
          </w:p>
        </w:tc>
      </w:tr>
      <w:tr w:rsidR="00A75091" w:rsidRPr="00CE778C" w14:paraId="7DCDB65D" w14:textId="77777777" w:rsidTr="00CE778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4BE22F5" w14:textId="77777777" w:rsidR="00A75091" w:rsidRPr="00CE778C" w:rsidRDefault="00A75091">
            <w:pPr>
              <w:pStyle w:val="TableParagraph"/>
              <w:keepNext/>
              <w:widowControl/>
              <w:ind w:left="57" w:right="57"/>
              <w:rPr>
                <w:rFonts w:ascii="Times New Roman" w:hAnsi="Times New Roman" w:cs="Times New Roman"/>
                <w:lang w:eastAsia="en-US"/>
              </w:rPr>
            </w:pPr>
            <w:r w:rsidRPr="00CE778C">
              <w:rPr>
                <w:rFonts w:ascii="Times New Roman" w:hAnsi="Times New Roman" w:cs="Times New Roman"/>
                <w:lang w:eastAsia="en-US"/>
              </w:rPr>
              <w:t>n</w:t>
            </w:r>
          </w:p>
        </w:tc>
        <w:tc>
          <w:tcPr>
            <w:tcW w:w="1667" w:type="pct"/>
            <w:tcBorders>
              <w:top w:val="single" w:sz="6" w:space="0" w:color="000000"/>
              <w:left w:val="single" w:sz="6" w:space="0" w:color="000000"/>
              <w:bottom w:val="single" w:sz="6" w:space="0" w:color="000000"/>
              <w:right w:val="single" w:sz="6" w:space="0" w:color="000000"/>
            </w:tcBorders>
            <w:hideMark/>
          </w:tcPr>
          <w:p w14:paraId="1D4FFE1A"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895 (21,7)</w:t>
            </w:r>
          </w:p>
        </w:tc>
        <w:tc>
          <w:tcPr>
            <w:tcW w:w="1539" w:type="pct"/>
            <w:tcBorders>
              <w:top w:val="single" w:sz="6" w:space="0" w:color="000000"/>
              <w:left w:val="single" w:sz="6" w:space="0" w:color="000000"/>
              <w:bottom w:val="single" w:sz="6" w:space="0" w:color="000000"/>
              <w:right w:val="single" w:sz="6" w:space="0" w:color="000000"/>
            </w:tcBorders>
            <w:hideMark/>
          </w:tcPr>
          <w:p w14:paraId="20D3F0E8"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1056 (25,6)</w:t>
            </w:r>
          </w:p>
        </w:tc>
      </w:tr>
      <w:tr w:rsidR="00A75091" w:rsidRPr="00CE778C" w14:paraId="17C3C8EE" w14:textId="77777777" w:rsidTr="00CE778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7DA15EE" w14:textId="77777777" w:rsidR="00A75091" w:rsidRPr="00CE778C" w:rsidRDefault="00A75091">
            <w:pPr>
              <w:pStyle w:val="TableParagraph"/>
              <w:keepNext/>
              <w:widowControl/>
              <w:ind w:left="57" w:right="57"/>
              <w:rPr>
                <w:rFonts w:ascii="Times New Roman" w:hAnsi="Times New Roman" w:cs="Times New Roman"/>
                <w:lang w:eastAsia="en-US"/>
              </w:rPr>
            </w:pPr>
            <w:r w:rsidRPr="00CE778C">
              <w:rPr>
                <w:rFonts w:ascii="Times New Roman" w:hAnsi="Times New Roman" w:cs="Times New Roman"/>
                <w:lang w:eastAsia="en-US"/>
              </w:rPr>
              <w:t>Median (95 % CI)</w:t>
            </w:r>
          </w:p>
        </w:tc>
        <w:tc>
          <w:tcPr>
            <w:tcW w:w="1667" w:type="pct"/>
            <w:tcBorders>
              <w:top w:val="single" w:sz="6" w:space="0" w:color="000000"/>
              <w:left w:val="single" w:sz="6" w:space="0" w:color="000000"/>
              <w:bottom w:val="single" w:sz="6" w:space="0" w:color="000000"/>
              <w:right w:val="single" w:sz="6" w:space="0" w:color="000000"/>
            </w:tcBorders>
            <w:hideMark/>
          </w:tcPr>
          <w:p w14:paraId="648826F2" w14:textId="77777777" w:rsidR="00A75091" w:rsidRPr="00CE778C" w:rsidRDefault="00A75091">
            <w:pPr>
              <w:pStyle w:val="TableParagraph"/>
              <w:keepNext/>
              <w:widowControl/>
              <w:ind w:left="57" w:right="57"/>
              <w:jc w:val="center"/>
              <w:rPr>
                <w:rFonts w:ascii="Times New Roman" w:hAnsi="Times New Roman" w:cs="Times New Roman"/>
                <w:lang w:eastAsia="en-US"/>
              </w:rPr>
            </w:pPr>
            <w:r w:rsidRPr="00CE778C">
              <w:rPr>
                <w:rFonts w:ascii="Times New Roman" w:hAnsi="Times New Roman" w:cs="Times New Roman"/>
                <w:lang w:eastAsia="en-US"/>
              </w:rPr>
              <w:t>0,82 (0,75; 0,90)</w:t>
            </w:r>
          </w:p>
        </w:tc>
        <w:tc>
          <w:tcPr>
            <w:tcW w:w="1539" w:type="pct"/>
            <w:tcBorders>
              <w:top w:val="single" w:sz="6" w:space="0" w:color="000000"/>
              <w:left w:val="single" w:sz="6" w:space="0" w:color="000000"/>
              <w:bottom w:val="single" w:sz="6" w:space="0" w:color="000000"/>
              <w:right w:val="single" w:sz="6" w:space="0" w:color="000000"/>
            </w:tcBorders>
          </w:tcPr>
          <w:p w14:paraId="564B09CC" w14:textId="77777777" w:rsidR="00A75091" w:rsidRPr="00CE778C" w:rsidRDefault="00A75091">
            <w:pPr>
              <w:pStyle w:val="TableParagraph"/>
              <w:keepNext/>
              <w:widowControl/>
              <w:ind w:left="57" w:right="57"/>
              <w:jc w:val="center"/>
              <w:rPr>
                <w:rFonts w:ascii="Times New Roman" w:hAnsi="Times New Roman" w:cs="Times New Roman"/>
                <w:lang w:eastAsia="en-US"/>
              </w:rPr>
            </w:pPr>
          </w:p>
        </w:tc>
      </w:tr>
    </w:tbl>
    <w:p w14:paraId="4D000290" w14:textId="77777777" w:rsidR="00A75091" w:rsidRPr="00CE778C" w:rsidRDefault="00A75091" w:rsidP="00A75091">
      <w:pPr>
        <w:pStyle w:val="Brdtekst"/>
        <w:suppressAutoHyphens/>
        <w:kinsoku w:val="0"/>
        <w:overflowPunct w:val="0"/>
        <w:ind w:left="0"/>
      </w:pPr>
      <w:r w:rsidRPr="00CE778C">
        <w:t>Forkortelser: ICH = intrakraniel blødning, HR = hazard ratio vs. warfarin, CI = konfidensinterval,</w:t>
      </w:r>
    </w:p>
    <w:p w14:paraId="146F3FAF" w14:textId="77777777" w:rsidR="00A75091" w:rsidRPr="00CE778C" w:rsidRDefault="00A75091" w:rsidP="00A75091">
      <w:pPr>
        <w:pStyle w:val="Brdtekst"/>
        <w:suppressAutoHyphens/>
        <w:kinsoku w:val="0"/>
        <w:overflowPunct w:val="0"/>
        <w:ind w:left="0"/>
      </w:pPr>
      <w:r w:rsidRPr="00CE778C">
        <w:t>N = antallet af personer i sikkerhedspopulationer, n = antal hændelser, CRNM = klinisk relevant ikke svær.</w:t>
      </w:r>
    </w:p>
    <w:p w14:paraId="0AEAC93C" w14:textId="77E96D28" w:rsidR="00A75091" w:rsidRPr="00CE778C" w:rsidRDefault="00A75091" w:rsidP="004D17AE">
      <w:pPr>
        <w:pStyle w:val="Brdtekst"/>
        <w:suppressAutoHyphens/>
        <w:kinsoku w:val="0"/>
        <w:overflowPunct w:val="0"/>
        <w:ind w:left="284" w:hanging="284"/>
      </w:pPr>
      <w:r w:rsidRPr="00CE778C">
        <w:rPr>
          <w:vertAlign w:val="superscript"/>
        </w:rPr>
        <w:t>a</w:t>
      </w:r>
      <w:r w:rsidRPr="00CE778C">
        <w:t xml:space="preserve"> </w:t>
      </w:r>
      <w:r w:rsidR="004D17AE">
        <w:tab/>
      </w:r>
      <w:r w:rsidRPr="00CE778C">
        <w:t>I behandlingsperioden: Tid fra første dosis af studielægemiddel til den sidste dosis plus 3 dage.</w:t>
      </w:r>
    </w:p>
    <w:p w14:paraId="0B76DC09" w14:textId="2B522533" w:rsidR="00A75091" w:rsidRPr="00CE778C" w:rsidRDefault="00A75091" w:rsidP="004D17AE">
      <w:pPr>
        <w:pStyle w:val="Brdtekst"/>
        <w:suppressAutoHyphens/>
        <w:kinsoku w:val="0"/>
        <w:overflowPunct w:val="0"/>
        <w:ind w:left="284" w:hanging="284"/>
      </w:pPr>
      <w:r w:rsidRPr="00CE778C">
        <w:rPr>
          <w:vertAlign w:val="superscript"/>
        </w:rPr>
        <w:t>b</w:t>
      </w:r>
      <w:r w:rsidRPr="00CE778C">
        <w:t xml:space="preserve"> </w:t>
      </w:r>
      <w:r w:rsidR="004D17AE">
        <w:tab/>
      </w:r>
      <w:r w:rsidRPr="00CE778C">
        <w:t>Primært endepunkt for sikkerhed: Klinisk relevant blødning (sammensætning af svær og klinisk</w:t>
      </w:r>
      <w:r w:rsidR="004D17AE">
        <w:t xml:space="preserve"> </w:t>
      </w:r>
      <w:r w:rsidRPr="00CE778C">
        <w:t>relevant ikke svær blødning).</w:t>
      </w:r>
    </w:p>
    <w:p w14:paraId="69E3F18D" w14:textId="77777777" w:rsidR="00A75091" w:rsidRPr="00CE778C" w:rsidRDefault="00A75091" w:rsidP="00A75091">
      <w:pPr>
        <w:pStyle w:val="Brdtekst"/>
        <w:widowControl/>
        <w:suppressAutoHyphens/>
        <w:kinsoku w:val="0"/>
        <w:overflowPunct w:val="0"/>
        <w:ind w:left="0"/>
      </w:pPr>
    </w:p>
    <w:p w14:paraId="3EC53BDE" w14:textId="293D2C9A" w:rsidR="00A75091" w:rsidRPr="00CE778C" w:rsidRDefault="00A75091" w:rsidP="00CE778C">
      <w:pPr>
        <w:ind w:left="851"/>
        <w:rPr>
          <w:sz w:val="24"/>
          <w:szCs w:val="24"/>
        </w:rPr>
      </w:pPr>
      <w:r w:rsidRPr="00CE778C">
        <w:rPr>
          <w:sz w:val="24"/>
          <w:szCs w:val="24"/>
        </w:rPr>
        <w:t>I undergruppeanalyser for personer, hvor dosis blev reduceret til 30 mg i Hokusai-VTE-studiet for legemsvægt ≤ 60 kg, moderat nedsat nyrefunktion eller samtidig anvendelse af P-gp-hæmmere, havde</w:t>
      </w:r>
      <w:r w:rsidR="004D17AE">
        <w:rPr>
          <w:sz w:val="24"/>
          <w:szCs w:val="24"/>
        </w:rPr>
        <w:t xml:space="preserve"> </w:t>
      </w:r>
      <w:r w:rsidRPr="00CE778C">
        <w:rPr>
          <w:sz w:val="24"/>
          <w:szCs w:val="24"/>
        </w:rPr>
        <w:t xml:space="preserve">58 (7,9 %) af personerne på dosisreduceret edoxaban 30 mg og 92 </w:t>
      </w:r>
      <w:r w:rsidRPr="00CE778C">
        <w:rPr>
          <w:sz w:val="24"/>
          <w:szCs w:val="24"/>
        </w:rPr>
        <w:lastRenderedPageBreak/>
        <w:t>(12,8 %) af personerne på warfarin</w:t>
      </w:r>
      <w:r w:rsidR="004D17AE">
        <w:rPr>
          <w:sz w:val="24"/>
          <w:szCs w:val="24"/>
        </w:rPr>
        <w:t xml:space="preserve"> </w:t>
      </w:r>
      <w:r w:rsidRPr="00CE778C">
        <w:rPr>
          <w:sz w:val="24"/>
          <w:szCs w:val="24"/>
        </w:rPr>
        <w:t>en svær blødning eller CRNM-hændelse [HR (95 %): 0,62 (0,44, 0,86)].</w:t>
      </w:r>
    </w:p>
    <w:p w14:paraId="2F967836" w14:textId="77777777" w:rsidR="00A75091" w:rsidRPr="00CE778C" w:rsidRDefault="00A75091" w:rsidP="00CE778C">
      <w:pPr>
        <w:ind w:left="851"/>
        <w:rPr>
          <w:sz w:val="24"/>
          <w:szCs w:val="24"/>
        </w:rPr>
      </w:pPr>
    </w:p>
    <w:p w14:paraId="3A8E6AD0" w14:textId="480DAD54" w:rsidR="00A75091" w:rsidRPr="00CE778C" w:rsidRDefault="00A75091" w:rsidP="00CE778C">
      <w:pPr>
        <w:ind w:left="851"/>
        <w:rPr>
          <w:sz w:val="24"/>
          <w:szCs w:val="24"/>
        </w:rPr>
      </w:pPr>
      <w:r w:rsidRPr="00CE778C">
        <w:rPr>
          <w:sz w:val="24"/>
          <w:szCs w:val="24"/>
        </w:rPr>
        <w:t>I Hokusai-VTE-studiet var nettoresultatet for kliniske udfald (recidiverende VTE, svære blødninger eller mortalitet af alle årsager, mITT-population, samlet studieperiode) HR (95</w:t>
      </w:r>
      <w:r w:rsidR="00BC493D">
        <w:rPr>
          <w:sz w:val="24"/>
          <w:szCs w:val="24"/>
        </w:rPr>
        <w:t> </w:t>
      </w:r>
      <w:r w:rsidRPr="00CE778C">
        <w:rPr>
          <w:sz w:val="24"/>
          <w:szCs w:val="24"/>
        </w:rPr>
        <w:t>% CI) 1,00 (0,85;1,18), når edoxaban blev sammenlignet med warfarin.</w:t>
      </w:r>
    </w:p>
    <w:p w14:paraId="04A47413" w14:textId="77777777" w:rsidR="00A75091" w:rsidRPr="00CE778C" w:rsidRDefault="00A75091" w:rsidP="00CE778C">
      <w:pPr>
        <w:ind w:left="851"/>
        <w:rPr>
          <w:sz w:val="24"/>
          <w:szCs w:val="24"/>
        </w:rPr>
      </w:pPr>
    </w:p>
    <w:p w14:paraId="3405AD75" w14:textId="77777777" w:rsidR="00A75091" w:rsidRPr="00CE778C" w:rsidRDefault="00A75091" w:rsidP="00CE778C">
      <w:pPr>
        <w:ind w:left="851"/>
        <w:rPr>
          <w:i/>
          <w:iCs/>
          <w:sz w:val="24"/>
          <w:szCs w:val="24"/>
        </w:rPr>
      </w:pPr>
      <w:r w:rsidRPr="00CE778C">
        <w:rPr>
          <w:i/>
          <w:iCs/>
          <w:sz w:val="24"/>
          <w:szCs w:val="24"/>
        </w:rPr>
        <w:t>Forebyggelse af apopleksi og systemisk emboli hos NVAF-patienter med høj CrCl (CrCl &gt; 100 ml/min)</w:t>
      </w:r>
    </w:p>
    <w:p w14:paraId="350F8580" w14:textId="4FBF5C16" w:rsidR="00A75091" w:rsidRPr="00CE778C" w:rsidRDefault="00A75091" w:rsidP="00CE778C">
      <w:pPr>
        <w:ind w:left="851"/>
        <w:rPr>
          <w:sz w:val="24"/>
          <w:szCs w:val="24"/>
        </w:rPr>
      </w:pPr>
      <w:r w:rsidRPr="00CE778C">
        <w:rPr>
          <w:sz w:val="24"/>
          <w:szCs w:val="24"/>
        </w:rPr>
        <w:t>Der blev udført et dedikeret, randomiseret, dobbeltblindet studie (E314) hos 607 NVAF-patienter med</w:t>
      </w:r>
      <w:r w:rsidR="004D17AE">
        <w:rPr>
          <w:sz w:val="24"/>
          <w:szCs w:val="24"/>
        </w:rPr>
        <w:t xml:space="preserve"> </w:t>
      </w:r>
      <w:r w:rsidRPr="00CE778C">
        <w:rPr>
          <w:sz w:val="24"/>
          <w:szCs w:val="24"/>
        </w:rPr>
        <w:t>høj CrCl (CrCl &gt; 100 ml/min, målt med Cockcroft-Gault-formlen) med det primære formål at evaluere</w:t>
      </w:r>
      <w:r w:rsidR="004D17AE">
        <w:rPr>
          <w:sz w:val="24"/>
          <w:szCs w:val="24"/>
        </w:rPr>
        <w:t xml:space="preserve"> </w:t>
      </w:r>
      <w:r w:rsidRPr="00CE778C">
        <w:rPr>
          <w:sz w:val="24"/>
          <w:szCs w:val="24"/>
        </w:rPr>
        <w:t>farmakokinetikken/farmakodynamikken af et doseringsprogram med edoxaban 60 mg en gang dagligt</w:t>
      </w:r>
      <w:r w:rsidR="004D17AE">
        <w:rPr>
          <w:sz w:val="24"/>
          <w:szCs w:val="24"/>
        </w:rPr>
        <w:t xml:space="preserve"> </w:t>
      </w:r>
      <w:r w:rsidRPr="00CE778C">
        <w:rPr>
          <w:sz w:val="24"/>
          <w:szCs w:val="24"/>
        </w:rPr>
        <w:t>vs. 75 mg en gang dagligt. Studiet inkluderede i tillæg til det primære farmakokinetiske/farmakodynamiske endepunkt evalueringen af de kliniske endepunkter apopleksi og blødning i løbet af en 12-måneders behandlingsperiode.</w:t>
      </w:r>
    </w:p>
    <w:p w14:paraId="2F814975" w14:textId="77777777" w:rsidR="00A75091" w:rsidRPr="00CE778C" w:rsidRDefault="00A75091" w:rsidP="00CE778C">
      <w:pPr>
        <w:ind w:left="851"/>
        <w:rPr>
          <w:sz w:val="24"/>
          <w:szCs w:val="24"/>
        </w:rPr>
      </w:pPr>
    </w:p>
    <w:p w14:paraId="0DEBCBB3" w14:textId="77777777" w:rsidR="00A75091" w:rsidRPr="00CE778C" w:rsidRDefault="00A75091" w:rsidP="00CE778C">
      <w:pPr>
        <w:ind w:left="851"/>
        <w:rPr>
          <w:sz w:val="24"/>
          <w:szCs w:val="24"/>
        </w:rPr>
      </w:pPr>
      <w:r w:rsidRPr="00CE778C">
        <w:rPr>
          <w:sz w:val="24"/>
          <w:szCs w:val="24"/>
        </w:rPr>
        <w:t>En edoxabandosis på 75 mg en gang dagligt i undergruppen med høj CrCl (&gt; 100 ml/min) gav som forventet en ~25 % forhøjet eksponering sammenlignet med en edoxabandosis på 60 mg en gang dagligt.</w:t>
      </w:r>
    </w:p>
    <w:p w14:paraId="29F23C5D" w14:textId="77777777" w:rsidR="00A75091" w:rsidRPr="00CE778C" w:rsidRDefault="00A75091" w:rsidP="00CE778C">
      <w:pPr>
        <w:ind w:left="851"/>
        <w:rPr>
          <w:sz w:val="24"/>
          <w:szCs w:val="24"/>
        </w:rPr>
      </w:pPr>
    </w:p>
    <w:p w14:paraId="390F5126" w14:textId="60E0E573" w:rsidR="00A75091" w:rsidRPr="00CE778C" w:rsidRDefault="00A75091" w:rsidP="00CE778C">
      <w:pPr>
        <w:ind w:left="851"/>
        <w:rPr>
          <w:sz w:val="24"/>
          <w:szCs w:val="24"/>
        </w:rPr>
      </w:pPr>
      <w:r w:rsidRPr="00CE778C">
        <w:rPr>
          <w:sz w:val="24"/>
          <w:szCs w:val="24"/>
        </w:rPr>
        <w:t>Antallet af personer, der oplevede virkningshændelser med det adjudikerede sammensatte endepunkt</w:t>
      </w:r>
      <w:r w:rsidR="004D17AE">
        <w:rPr>
          <w:sz w:val="24"/>
          <w:szCs w:val="24"/>
        </w:rPr>
        <w:t xml:space="preserve"> </w:t>
      </w:r>
      <w:r w:rsidRPr="00CE778C">
        <w:rPr>
          <w:sz w:val="24"/>
          <w:szCs w:val="24"/>
        </w:rPr>
        <w:t>apopleksi/transitorisk iskæmisk anfald (TIA)/systemisk embolisk hændelse (SEE), var begrænset og</w:t>
      </w:r>
      <w:r w:rsidR="004D17AE">
        <w:rPr>
          <w:sz w:val="24"/>
          <w:szCs w:val="24"/>
        </w:rPr>
        <w:t xml:space="preserve"> </w:t>
      </w:r>
      <w:r w:rsidRPr="00CE778C">
        <w:rPr>
          <w:sz w:val="24"/>
          <w:szCs w:val="24"/>
        </w:rPr>
        <w:t>omfattede 2 hændelser med apopleksi i gruppen med edoxaban 60</w:t>
      </w:r>
      <w:r w:rsidR="00BC493D">
        <w:rPr>
          <w:sz w:val="24"/>
          <w:szCs w:val="24"/>
        </w:rPr>
        <w:t> </w:t>
      </w:r>
      <w:r w:rsidRPr="00CE778C">
        <w:rPr>
          <w:sz w:val="24"/>
          <w:szCs w:val="24"/>
        </w:rPr>
        <w:t>mg (0,7 %; 95 % CI: 0,1 % til</w:t>
      </w:r>
      <w:r w:rsidR="004D17AE">
        <w:rPr>
          <w:sz w:val="24"/>
          <w:szCs w:val="24"/>
        </w:rPr>
        <w:t xml:space="preserve"> </w:t>
      </w:r>
      <w:r w:rsidRPr="00CE778C">
        <w:rPr>
          <w:sz w:val="24"/>
          <w:szCs w:val="24"/>
        </w:rPr>
        <w:t>2,4 %) og 3 hændelser med apopleksi i gruppen med edoxaban 75 mg (1 %, 95 % CI: 0,2 % til 2,9 %).</w:t>
      </w:r>
    </w:p>
    <w:p w14:paraId="1BA8E697" w14:textId="77777777" w:rsidR="00A75091" w:rsidRPr="00CE778C" w:rsidRDefault="00A75091" w:rsidP="00CE778C">
      <w:pPr>
        <w:ind w:left="851"/>
        <w:rPr>
          <w:sz w:val="24"/>
          <w:szCs w:val="24"/>
        </w:rPr>
      </w:pPr>
    </w:p>
    <w:p w14:paraId="39A2E2C8" w14:textId="7AA88FE8" w:rsidR="00A75091" w:rsidRPr="00CE778C" w:rsidRDefault="00A75091" w:rsidP="00CE778C">
      <w:pPr>
        <w:ind w:left="851"/>
        <w:rPr>
          <w:sz w:val="24"/>
          <w:szCs w:val="24"/>
        </w:rPr>
      </w:pPr>
      <w:r w:rsidRPr="00CE778C">
        <w:rPr>
          <w:sz w:val="24"/>
          <w:szCs w:val="24"/>
        </w:rPr>
        <w:t>Adjudikerede større blødningshændelser opstod hos 2 (0,7 %; 95 % CI: 0,1 % til 2,4 %) personer i gruppen med edoxaban 60 mg sammenlignet med 3 (1,0 %; 95 % CI: 0,2 % til 2,9 %) personer i gruppen med edoxaban 75 mg. Ud af de 2 større blødninger i gruppen med edoxaban 60 mg var 1 i et kritisk område/organ (intraokulært), og den anden større blødning var en intramuskulær blødning. Ud af de 3 større blødninger i gruppen med edoxaban 75 mg opstod 2 i et kritisk område/organ (intracerebralt/1 hændelse med dødelig udgang), og 1 var en blødning i den øvre den af mave-tarm</w:t>
      </w:r>
      <w:r w:rsidR="00BC493D">
        <w:rPr>
          <w:sz w:val="24"/>
          <w:szCs w:val="24"/>
        </w:rPr>
        <w:t>-</w:t>
      </w:r>
      <w:r w:rsidRPr="00CE778C">
        <w:rPr>
          <w:sz w:val="24"/>
          <w:szCs w:val="24"/>
        </w:rPr>
        <w:t>kanalen (livstruende). Der var også 9 (3 %) klinisk relevante ikke-større (CRNM)-blødninger i gruppen med edoxaban 60</w:t>
      </w:r>
      <w:r w:rsidR="00BC493D">
        <w:rPr>
          <w:sz w:val="24"/>
          <w:szCs w:val="24"/>
        </w:rPr>
        <w:t> </w:t>
      </w:r>
      <w:r w:rsidRPr="00CE778C">
        <w:rPr>
          <w:sz w:val="24"/>
          <w:szCs w:val="24"/>
        </w:rPr>
        <w:t>mg og 7 (2,3 %) CRNM-blødninger i gruppen med edoxaban 75 mg.</w:t>
      </w:r>
    </w:p>
    <w:p w14:paraId="38E2E7C7" w14:textId="77777777" w:rsidR="00A75091" w:rsidRPr="00CE778C" w:rsidRDefault="00A75091" w:rsidP="00CE778C">
      <w:pPr>
        <w:ind w:left="851"/>
        <w:rPr>
          <w:sz w:val="24"/>
          <w:szCs w:val="24"/>
        </w:rPr>
      </w:pPr>
    </w:p>
    <w:p w14:paraId="73E27DF4" w14:textId="4E8ED01A" w:rsidR="00A75091" w:rsidRPr="00CE778C" w:rsidRDefault="00A75091" w:rsidP="00CE778C">
      <w:pPr>
        <w:ind w:left="851"/>
        <w:rPr>
          <w:sz w:val="24"/>
          <w:szCs w:val="24"/>
        </w:rPr>
      </w:pPr>
      <w:r w:rsidRPr="00CE778C">
        <w:rPr>
          <w:sz w:val="24"/>
          <w:szCs w:val="24"/>
        </w:rPr>
        <w:t>Udover det kliniske studie E314 blev der udført et prospektivt, multinationalt observationsstudie med flere centre efter godkendelse (ETNA-AF) i 10 europæiske lande, hvilket inkluderede 13.980 personer. I denne population havde 1.826 en CrCl &gt;</w:t>
      </w:r>
      <w:r w:rsidR="00BC493D">
        <w:rPr>
          <w:sz w:val="24"/>
          <w:szCs w:val="24"/>
        </w:rPr>
        <w:t> </w:t>
      </w:r>
      <w:r w:rsidRPr="00CE778C">
        <w:rPr>
          <w:sz w:val="24"/>
          <w:szCs w:val="24"/>
        </w:rPr>
        <w:t>100</w:t>
      </w:r>
      <w:r w:rsidR="00BC493D">
        <w:rPr>
          <w:sz w:val="24"/>
          <w:szCs w:val="24"/>
        </w:rPr>
        <w:t> </w:t>
      </w:r>
      <w:r w:rsidRPr="00CE778C">
        <w:rPr>
          <w:sz w:val="24"/>
          <w:szCs w:val="24"/>
        </w:rPr>
        <w:t>ml/min, og de fik edoxaban 60 mg i overensstemmelse med doseringskriterierne udstukket i produktresuméet. De årlige hyppigheder af det sammensatte endepunkt iskæmisk apopleksi eller systemisk emboli var 0,39 %/år, og større blødningshændelser opstod hos 0,73 %/år.</w:t>
      </w:r>
    </w:p>
    <w:p w14:paraId="5306F07A" w14:textId="77777777" w:rsidR="00A75091" w:rsidRPr="00CE778C" w:rsidRDefault="00A75091" w:rsidP="00CE778C">
      <w:pPr>
        <w:ind w:left="851"/>
        <w:rPr>
          <w:sz w:val="24"/>
          <w:szCs w:val="24"/>
        </w:rPr>
      </w:pPr>
    </w:p>
    <w:p w14:paraId="748F3AE0" w14:textId="74F60A5E" w:rsidR="00A75091" w:rsidRPr="00CE778C" w:rsidRDefault="00A75091" w:rsidP="00CE778C">
      <w:pPr>
        <w:ind w:left="851"/>
        <w:rPr>
          <w:sz w:val="24"/>
          <w:szCs w:val="24"/>
        </w:rPr>
      </w:pPr>
      <w:r w:rsidRPr="00CE778C">
        <w:rPr>
          <w:sz w:val="24"/>
          <w:szCs w:val="24"/>
        </w:rPr>
        <w:t>Samlet set viser data fra ENGAGE AF, E314 og ETNA-AF, at patienter med NVAF og høj CrCl i</w:t>
      </w:r>
      <w:r w:rsidR="004D17AE">
        <w:rPr>
          <w:sz w:val="24"/>
          <w:szCs w:val="24"/>
        </w:rPr>
        <w:t xml:space="preserve"> </w:t>
      </w:r>
      <w:r w:rsidRPr="00CE778C">
        <w:rPr>
          <w:sz w:val="24"/>
          <w:szCs w:val="24"/>
        </w:rPr>
        <w:t xml:space="preserve">behandling med edoxaban 60 mg forventes at have en årlig hyppighed af iskæmisk apopleksi/systemisk emboli ≤ 1 %. En forøgelse af dosis over 60 mg hos NVAF-patienter med høj CrCl (&gt; 100 ml/min) forventes ikke at give mere beskyttelse mod apopleksi, og det kan være forbundet med flere uønskede hændelser. Derfor anbefales et </w:t>
      </w:r>
      <w:r w:rsidRPr="00CE778C">
        <w:rPr>
          <w:sz w:val="24"/>
          <w:szCs w:val="24"/>
        </w:rPr>
        <w:lastRenderedPageBreak/>
        <w:t>behandlingsprogram med edoxaban 60 mg en gang dagligt til disse patienter efter en nøje evaluering af den individuelle tromboemboliske risiko og blødningsrisiko (se pkt. 4.4.).</w:t>
      </w:r>
    </w:p>
    <w:p w14:paraId="35D28741" w14:textId="77777777" w:rsidR="00A75091" w:rsidRPr="00CE778C" w:rsidRDefault="00A75091" w:rsidP="00CE778C">
      <w:pPr>
        <w:ind w:left="851"/>
        <w:rPr>
          <w:sz w:val="24"/>
          <w:szCs w:val="24"/>
        </w:rPr>
      </w:pPr>
    </w:p>
    <w:p w14:paraId="689BA765" w14:textId="77777777" w:rsidR="00A75091" w:rsidRPr="00CE778C" w:rsidRDefault="00A75091" w:rsidP="00CE778C">
      <w:pPr>
        <w:ind w:left="851"/>
        <w:rPr>
          <w:i/>
          <w:iCs/>
          <w:sz w:val="24"/>
          <w:szCs w:val="24"/>
        </w:rPr>
      </w:pPr>
      <w:r w:rsidRPr="00CE778C">
        <w:rPr>
          <w:i/>
          <w:iCs/>
          <w:sz w:val="24"/>
          <w:szCs w:val="24"/>
        </w:rPr>
        <w:t>Patienter, der gennemgår kardiovertering</w:t>
      </w:r>
    </w:p>
    <w:p w14:paraId="45AA0ABC" w14:textId="68E4F087" w:rsidR="00A75091" w:rsidRPr="00CE778C" w:rsidRDefault="00A75091" w:rsidP="00CE778C">
      <w:pPr>
        <w:ind w:left="851"/>
        <w:rPr>
          <w:sz w:val="24"/>
          <w:szCs w:val="24"/>
        </w:rPr>
      </w:pPr>
      <w:r w:rsidRPr="00CE778C">
        <w:rPr>
          <w:sz w:val="24"/>
          <w:szCs w:val="24"/>
        </w:rPr>
        <w:t>Et multicenter, prospektivt, randomiseret, åbent studie med blindet endepunktsevaluering (ENSUREAF)</w:t>
      </w:r>
      <w:r w:rsidR="004D17AE">
        <w:rPr>
          <w:sz w:val="24"/>
          <w:szCs w:val="24"/>
        </w:rPr>
        <w:t xml:space="preserve"> </w:t>
      </w:r>
      <w:r w:rsidRPr="00CE778C">
        <w:rPr>
          <w:sz w:val="24"/>
          <w:szCs w:val="24"/>
        </w:rPr>
        <w:t>blev udført ved randomisering af 2199 forsøgspersoner (oral antikoagulant-naïve og forbehandlede) med NVAF, hvor kardiovertering var planlagt, til sammenligning af edoxaban 60 mg en gang dagligt med enoxaparin/warfarin til opretholdelse af et terapeutisk INR på 2,0-3,0 (randomiseret 1:1), gennemsnitlig TTR på warfarin var 70,8 %. I alt 2149 forsøgspersoner blev behandlet med enten edoxaban (N = 1067) eller enoxaparin/warfarin (N = 1082). Forsøgspersonerne i edoxaban-behandlingsgruppen fik 30 mg en gang dagligt, hvis en eller flere af følgende kliniske faktorer var til stede: moderat nedsat nyrefunktion (CrCl 30-50 ml/min.), lav legemsvægt (≤ 60 kg) eller samtidig anvendelse af specifikke P-gp-hæmmere. Størstedelen af forsøgspersonerne i edoxaban og warfaringrupperne fik udført kardiovertering (henholdsvis 83,7 % og 78,9 %) eller blev autokonverteret (henholdsvis 6,6 % og 8,6 %). TEE-styret (inden for 3 dage efter initiering) eller traditionel kardiovertering (mindst 21 dage efter forbehandling) blev anvendt. Forsøgspersonerne blev opretholdt på behandlingen i 28 dage efter kardiovertering.</w:t>
      </w:r>
    </w:p>
    <w:p w14:paraId="276AB540" w14:textId="77777777" w:rsidR="00A75091" w:rsidRPr="00CE778C" w:rsidRDefault="00A75091" w:rsidP="00CE778C">
      <w:pPr>
        <w:ind w:left="851"/>
        <w:rPr>
          <w:sz w:val="24"/>
          <w:szCs w:val="24"/>
        </w:rPr>
      </w:pPr>
    </w:p>
    <w:p w14:paraId="1DE0E1D9" w14:textId="3D7FCF6E" w:rsidR="00A75091" w:rsidRPr="00CE778C" w:rsidRDefault="00A75091" w:rsidP="00CE778C">
      <w:pPr>
        <w:ind w:left="851"/>
        <w:rPr>
          <w:sz w:val="24"/>
          <w:szCs w:val="24"/>
        </w:rPr>
      </w:pPr>
      <w:r w:rsidRPr="00CE778C">
        <w:rPr>
          <w:sz w:val="24"/>
          <w:szCs w:val="24"/>
        </w:rPr>
        <w:t>Det primære virkningsudfald bestod af det sammensatte udfald af alle tilfælde af apopleksi, SEE, MI</w:t>
      </w:r>
      <w:r w:rsidR="004D17AE">
        <w:rPr>
          <w:sz w:val="24"/>
          <w:szCs w:val="24"/>
        </w:rPr>
        <w:t xml:space="preserve"> </w:t>
      </w:r>
      <w:r w:rsidRPr="00CE778C">
        <w:rPr>
          <w:sz w:val="24"/>
          <w:szCs w:val="24"/>
        </w:rPr>
        <w:t>og CV-mortalitet. Der forekom i alt 5 (0,5 %, 95 % CI 0,15 %-1,06 %) hændelser hos forsøgspersoner</w:t>
      </w:r>
      <w:r w:rsidR="004D17AE">
        <w:rPr>
          <w:sz w:val="24"/>
          <w:szCs w:val="24"/>
        </w:rPr>
        <w:t xml:space="preserve"> </w:t>
      </w:r>
      <w:r w:rsidRPr="00CE778C">
        <w:rPr>
          <w:sz w:val="24"/>
          <w:szCs w:val="24"/>
        </w:rPr>
        <w:t>i edoxaban-gruppen (N = 1095) og 11 (1,0 %, 95 % CI 0,50 %-1,78</w:t>
      </w:r>
      <w:r w:rsidR="00BC493D">
        <w:rPr>
          <w:sz w:val="24"/>
          <w:szCs w:val="24"/>
        </w:rPr>
        <w:t> </w:t>
      </w:r>
      <w:r w:rsidRPr="00CE778C">
        <w:rPr>
          <w:sz w:val="24"/>
          <w:szCs w:val="24"/>
        </w:rPr>
        <w:t>%) hændelser i warfarin-gruppen</w:t>
      </w:r>
      <w:r w:rsidR="004D17AE">
        <w:rPr>
          <w:sz w:val="24"/>
          <w:szCs w:val="24"/>
        </w:rPr>
        <w:t xml:space="preserve"> </w:t>
      </w:r>
      <w:r w:rsidRPr="00CE778C">
        <w:rPr>
          <w:sz w:val="24"/>
          <w:szCs w:val="24"/>
        </w:rPr>
        <w:t>(N = 1104), odds ratio (OR) 0,46 (95 % CI 0,12-1,43), ITT-analysesættet fra den samlede studieperiode med en gennemsnitlig varighed på 66 dage.</w:t>
      </w:r>
    </w:p>
    <w:p w14:paraId="57450E08" w14:textId="77777777" w:rsidR="00A75091" w:rsidRPr="00CE778C" w:rsidRDefault="00A75091" w:rsidP="00CE778C">
      <w:pPr>
        <w:ind w:left="851"/>
        <w:rPr>
          <w:sz w:val="24"/>
          <w:szCs w:val="24"/>
        </w:rPr>
      </w:pPr>
    </w:p>
    <w:p w14:paraId="0EA8210F" w14:textId="7AA86F68" w:rsidR="00A75091" w:rsidRPr="00CE778C" w:rsidRDefault="00A75091" w:rsidP="00CE778C">
      <w:pPr>
        <w:ind w:left="851"/>
        <w:rPr>
          <w:sz w:val="24"/>
          <w:szCs w:val="24"/>
        </w:rPr>
      </w:pPr>
      <w:r w:rsidRPr="00CE778C">
        <w:rPr>
          <w:sz w:val="24"/>
          <w:szCs w:val="24"/>
        </w:rPr>
        <w:t>Det primære sikkerhedsudfald var det sammensatte udfald af tilfælde af svær og CRNM-blødning. Der</w:t>
      </w:r>
      <w:r w:rsidR="004D17AE">
        <w:rPr>
          <w:sz w:val="24"/>
          <w:szCs w:val="24"/>
        </w:rPr>
        <w:t xml:space="preserve"> </w:t>
      </w:r>
      <w:r w:rsidRPr="00CE778C">
        <w:rPr>
          <w:sz w:val="24"/>
          <w:szCs w:val="24"/>
        </w:rPr>
        <w:t>forekom i alt 16 (1,5 %, 95 % CI 0,86 %-2,42 %) hændelser hos forsøgspersoner i edoxaban-gruppen</w:t>
      </w:r>
      <w:r w:rsidR="004D17AE">
        <w:rPr>
          <w:sz w:val="24"/>
          <w:szCs w:val="24"/>
        </w:rPr>
        <w:t xml:space="preserve"> </w:t>
      </w:r>
      <w:r w:rsidRPr="00CE778C">
        <w:rPr>
          <w:sz w:val="24"/>
          <w:szCs w:val="24"/>
        </w:rPr>
        <w:t>(N = 1067) og 11 (1,0 %, 95 % CI 0,51 %-1,81 %) hændelser i warfarin-gruppen (N = 1082), OR 1,48 (95% CI 0,64-3,55), sikkerhedsanalysesæt fra behandlingsperioden.</w:t>
      </w:r>
    </w:p>
    <w:p w14:paraId="6308FD1C" w14:textId="77777777" w:rsidR="00A75091" w:rsidRPr="00CE778C" w:rsidRDefault="00A75091" w:rsidP="00CE778C">
      <w:pPr>
        <w:ind w:left="851"/>
        <w:rPr>
          <w:sz w:val="24"/>
          <w:szCs w:val="24"/>
        </w:rPr>
      </w:pPr>
    </w:p>
    <w:p w14:paraId="2436B3B7" w14:textId="28ABE256" w:rsidR="00A75091" w:rsidRPr="00CE778C" w:rsidRDefault="00A75091" w:rsidP="00CE778C">
      <w:pPr>
        <w:ind w:left="851"/>
        <w:rPr>
          <w:sz w:val="24"/>
          <w:szCs w:val="24"/>
        </w:rPr>
      </w:pPr>
      <w:r w:rsidRPr="00CE778C">
        <w:rPr>
          <w:sz w:val="24"/>
          <w:szCs w:val="24"/>
        </w:rPr>
        <w:t>Dette eksplorative studie viste lave hyppigheder af svær og CRNM-blødning og tromboemboli i de to</w:t>
      </w:r>
      <w:r w:rsidR="004D17AE">
        <w:rPr>
          <w:sz w:val="24"/>
          <w:szCs w:val="24"/>
        </w:rPr>
        <w:t xml:space="preserve"> </w:t>
      </w:r>
      <w:r w:rsidRPr="00CE778C">
        <w:rPr>
          <w:sz w:val="24"/>
          <w:szCs w:val="24"/>
        </w:rPr>
        <w:t>behandlingsgrupper i forbindelse med kardiovertering.</w:t>
      </w:r>
    </w:p>
    <w:p w14:paraId="619936FD" w14:textId="77777777" w:rsidR="00A75091" w:rsidRPr="00CE778C" w:rsidRDefault="00A75091" w:rsidP="00CE778C">
      <w:pPr>
        <w:ind w:left="851"/>
        <w:rPr>
          <w:sz w:val="24"/>
          <w:szCs w:val="24"/>
        </w:rPr>
      </w:pPr>
    </w:p>
    <w:p w14:paraId="4DDF7B00" w14:textId="77777777" w:rsidR="00A75091" w:rsidRPr="00CE778C" w:rsidRDefault="00A75091" w:rsidP="00CE778C">
      <w:pPr>
        <w:ind w:left="851"/>
        <w:rPr>
          <w:sz w:val="24"/>
          <w:szCs w:val="24"/>
          <w:u w:val="single"/>
        </w:rPr>
      </w:pPr>
      <w:r w:rsidRPr="00CE778C">
        <w:rPr>
          <w:sz w:val="24"/>
          <w:szCs w:val="24"/>
          <w:u w:val="single"/>
        </w:rPr>
        <w:t>Pædiatrisk population</w:t>
      </w:r>
    </w:p>
    <w:p w14:paraId="117E88D8" w14:textId="77777777" w:rsidR="00A75091" w:rsidRPr="00CE778C" w:rsidRDefault="00A75091" w:rsidP="00CE778C">
      <w:pPr>
        <w:ind w:left="851"/>
        <w:rPr>
          <w:sz w:val="24"/>
          <w:szCs w:val="24"/>
          <w:u w:val="single"/>
        </w:rPr>
      </w:pPr>
    </w:p>
    <w:p w14:paraId="3E5471C7" w14:textId="77777777" w:rsidR="00A75091" w:rsidRPr="00CE778C" w:rsidRDefault="00A75091" w:rsidP="00CE778C">
      <w:pPr>
        <w:ind w:left="851"/>
        <w:rPr>
          <w:sz w:val="24"/>
          <w:szCs w:val="24"/>
        </w:rPr>
      </w:pPr>
      <w:r w:rsidRPr="00CE778C">
        <w:rPr>
          <w:sz w:val="24"/>
          <w:szCs w:val="24"/>
        </w:rPr>
        <w:t>Edoxabans sikkerhed og virkning, farmakokinetik og farmakodynamik hos pædiatriske forsøgspersoner i alderen 0 til 18 år med VTE og hjertesygdomme med risiko for trombosehændelser er blevet evalueret i to fase 3-studier, Hokusai VTE PEDIATRICS og ENNOBLE-ATE (se pkt. 4.2). Det pivotale pædiatriske studie, Hokusai VTE PEDIATRICS, er beskrevet herunder.</w:t>
      </w:r>
    </w:p>
    <w:p w14:paraId="489DB8AF" w14:textId="77777777" w:rsidR="00A75091" w:rsidRPr="00CE778C" w:rsidRDefault="00A75091" w:rsidP="00CE778C">
      <w:pPr>
        <w:ind w:left="851"/>
        <w:rPr>
          <w:sz w:val="24"/>
          <w:szCs w:val="24"/>
        </w:rPr>
      </w:pPr>
    </w:p>
    <w:p w14:paraId="1520880D" w14:textId="55351C86" w:rsidR="00A75091" w:rsidRPr="00CE778C" w:rsidRDefault="00A75091" w:rsidP="00CE778C">
      <w:pPr>
        <w:ind w:left="851"/>
        <w:rPr>
          <w:sz w:val="24"/>
          <w:szCs w:val="24"/>
        </w:rPr>
      </w:pPr>
      <w:r w:rsidRPr="00CE778C">
        <w:rPr>
          <w:sz w:val="24"/>
          <w:szCs w:val="24"/>
        </w:rPr>
        <w:t>Det pivotale studie (Hokusai VTE PEDIATRICS) var et åbent, randomiseret, kontrolleret fase 3-multicenterstudie til evaluering af edoxabans farmakokinetik og farmakodynamik og sammenligning</w:t>
      </w:r>
      <w:r w:rsidR="004D17AE">
        <w:rPr>
          <w:sz w:val="24"/>
          <w:szCs w:val="24"/>
        </w:rPr>
        <w:t xml:space="preserve"> </w:t>
      </w:r>
      <w:r w:rsidRPr="00CE778C">
        <w:rPr>
          <w:sz w:val="24"/>
          <w:szCs w:val="24"/>
        </w:rPr>
        <w:t>af edoxabans sikkerhed og virkning med standardbehandling (kontrolgruppe) med antikoagulantia hos</w:t>
      </w:r>
      <w:r w:rsidR="004D17AE">
        <w:rPr>
          <w:sz w:val="24"/>
          <w:szCs w:val="24"/>
        </w:rPr>
        <w:t xml:space="preserve"> </w:t>
      </w:r>
      <w:r w:rsidRPr="00CE778C">
        <w:rPr>
          <w:sz w:val="24"/>
          <w:szCs w:val="24"/>
        </w:rPr>
        <w:t>pædiatriske forsøgspersoner i alderen 0 til under 18 år med bekræftet venøs tromboemboli (VTE).</w:t>
      </w:r>
    </w:p>
    <w:p w14:paraId="1C10153F" w14:textId="77777777" w:rsidR="00A75091" w:rsidRPr="00CE778C" w:rsidRDefault="00A75091" w:rsidP="00CE778C">
      <w:pPr>
        <w:ind w:left="851"/>
        <w:rPr>
          <w:sz w:val="24"/>
          <w:szCs w:val="24"/>
        </w:rPr>
      </w:pPr>
    </w:p>
    <w:p w14:paraId="300BCDB3" w14:textId="77777777" w:rsidR="00A75091" w:rsidRPr="00CE778C" w:rsidRDefault="00A75091" w:rsidP="00CE778C">
      <w:pPr>
        <w:ind w:left="851"/>
        <w:rPr>
          <w:sz w:val="24"/>
          <w:szCs w:val="24"/>
        </w:rPr>
      </w:pPr>
      <w:r w:rsidRPr="00CE778C">
        <w:rPr>
          <w:sz w:val="24"/>
          <w:szCs w:val="24"/>
        </w:rPr>
        <w:lastRenderedPageBreak/>
        <w:t>Det primære endepunkt for virkning var det sammensatte endepunkt, symptomatisk recidiverende venøs tromboembolisk sygdom, død som følge af VTE og ingen ændring eller øget trombosebyrde i løbet af den første 3-måneders periode (den tilsigtede behandlingsvarighed var 6 til 12 uger for pædiatriske patienter i alderen 0 til under 6 måneder).</w:t>
      </w:r>
    </w:p>
    <w:p w14:paraId="4FDF1C0D" w14:textId="77777777" w:rsidR="00A75091" w:rsidRPr="00CE778C" w:rsidRDefault="00A75091" w:rsidP="00CE778C">
      <w:pPr>
        <w:ind w:left="851"/>
        <w:rPr>
          <w:sz w:val="24"/>
          <w:szCs w:val="24"/>
        </w:rPr>
      </w:pPr>
    </w:p>
    <w:p w14:paraId="7397FE80" w14:textId="5D2E4AEE" w:rsidR="00A75091" w:rsidRPr="00CE778C" w:rsidRDefault="00A75091" w:rsidP="00CE778C">
      <w:pPr>
        <w:ind w:left="851"/>
        <w:rPr>
          <w:sz w:val="24"/>
          <w:szCs w:val="24"/>
        </w:rPr>
      </w:pPr>
      <w:r w:rsidRPr="00CE778C">
        <w:rPr>
          <w:sz w:val="24"/>
          <w:szCs w:val="24"/>
        </w:rPr>
        <w:t>Edoxaban doserne, der blev testet i Hokusai VTE PEDIATRICS, blev fastlagt i henhold til alder og vægt. Dosisreduktioner blev anbefalet baseret på kliniske faktorer, herunder nyrefunktion og samtidig</w:t>
      </w:r>
      <w:r w:rsidR="004D17AE">
        <w:rPr>
          <w:sz w:val="24"/>
          <w:szCs w:val="24"/>
        </w:rPr>
        <w:t xml:space="preserve"> </w:t>
      </w:r>
      <w:r w:rsidRPr="00CE778C">
        <w:rPr>
          <w:sz w:val="24"/>
          <w:szCs w:val="24"/>
        </w:rPr>
        <w:t>anvendelse af P-gp-hæmmere (tabel 12).</w:t>
      </w:r>
    </w:p>
    <w:p w14:paraId="290B5E60" w14:textId="77777777" w:rsidR="00A75091" w:rsidRPr="00CE778C" w:rsidRDefault="00A75091" w:rsidP="00CE778C">
      <w:pPr>
        <w:ind w:left="851"/>
        <w:rPr>
          <w:sz w:val="24"/>
          <w:szCs w:val="24"/>
        </w:rPr>
      </w:pPr>
    </w:p>
    <w:p w14:paraId="343055AD" w14:textId="77777777" w:rsidR="00A75091" w:rsidRPr="00CE778C" w:rsidRDefault="00A75091" w:rsidP="00A75091">
      <w:pPr>
        <w:pStyle w:val="Brdtekst"/>
        <w:widowControl/>
        <w:suppressAutoHyphens/>
        <w:kinsoku w:val="0"/>
        <w:overflowPunct w:val="0"/>
        <w:ind w:left="0"/>
        <w:rPr>
          <w:b/>
          <w:bCs/>
        </w:rPr>
      </w:pPr>
      <w:r w:rsidRPr="00CE778C">
        <w:rPr>
          <w:b/>
          <w:bCs/>
        </w:rPr>
        <w:t>Tabel 12: Edoxaban-dosis, der blev testet i studiet Hokusai VTE PEDIATRICS</w:t>
      </w:r>
    </w:p>
    <w:p w14:paraId="3D53AEA8" w14:textId="77777777" w:rsidR="00A75091" w:rsidRPr="00CE778C" w:rsidRDefault="00A75091" w:rsidP="00A75091">
      <w:pPr>
        <w:pStyle w:val="Brdtekst"/>
        <w:widowControl/>
        <w:suppressAutoHyphens/>
        <w:kinsoku w:val="0"/>
        <w:overflowPunct w:val="0"/>
        <w:ind w:left="0"/>
      </w:pPr>
    </w:p>
    <w:tbl>
      <w:tblPr>
        <w:tblStyle w:val="Tabel-Gitter"/>
        <w:tblW w:w="5000" w:type="pct"/>
        <w:tblInd w:w="0" w:type="dxa"/>
        <w:tblLook w:val="04A0" w:firstRow="1" w:lastRow="0" w:firstColumn="1" w:lastColumn="0" w:noHBand="0" w:noVBand="1"/>
      </w:tblPr>
      <w:tblGrid>
        <w:gridCol w:w="2136"/>
        <w:gridCol w:w="2293"/>
        <w:gridCol w:w="1223"/>
        <w:gridCol w:w="1835"/>
        <w:gridCol w:w="2141"/>
      </w:tblGrid>
      <w:tr w:rsidR="00A75091" w:rsidRPr="004D17AE" w14:paraId="0B133550" w14:textId="77777777" w:rsidTr="00CE778C">
        <w:trPr>
          <w:trHeight w:val="20"/>
        </w:trPr>
        <w:tc>
          <w:tcPr>
            <w:tcW w:w="11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603095" w14:textId="77777777" w:rsidR="00A75091" w:rsidRPr="004D17AE" w:rsidRDefault="00A75091">
            <w:pPr>
              <w:ind w:left="57" w:right="57"/>
              <w:rPr>
                <w:rFonts w:ascii="Times New Roman" w:hAnsi="Times New Roman"/>
                <w:b/>
                <w:bCs/>
                <w:sz w:val="22"/>
                <w:szCs w:val="22"/>
                <w:lang w:eastAsia="ru-RU"/>
              </w:rPr>
            </w:pPr>
            <w:r w:rsidRPr="004D17AE">
              <w:rPr>
                <w:rFonts w:ascii="Times New Roman" w:hAnsi="Times New Roman"/>
                <w:b/>
                <w:bCs/>
                <w:sz w:val="22"/>
                <w:szCs w:val="22"/>
                <w:lang w:eastAsia="ru-RU"/>
              </w:rPr>
              <w:t>Alder på</w:t>
            </w:r>
          </w:p>
          <w:p w14:paraId="5B349DE4" w14:textId="77777777" w:rsidR="00A75091" w:rsidRPr="004D17AE" w:rsidRDefault="00A75091">
            <w:pPr>
              <w:ind w:left="57" w:right="57"/>
              <w:rPr>
                <w:rFonts w:ascii="Times New Roman" w:eastAsia="TimesNewRoman" w:hAnsi="Times New Roman"/>
                <w:b/>
                <w:bCs/>
                <w:sz w:val="22"/>
                <w:szCs w:val="22"/>
                <w:lang w:val="en-US" w:eastAsia="ru-RU"/>
              </w:rPr>
            </w:pPr>
            <w:r w:rsidRPr="004D17AE">
              <w:rPr>
                <w:rFonts w:ascii="Times New Roman" w:hAnsi="Times New Roman"/>
                <w:b/>
                <w:bCs/>
                <w:sz w:val="22"/>
                <w:szCs w:val="22"/>
                <w:lang w:eastAsia="ru-RU"/>
              </w:rPr>
              <w:t>samtykkedatoen</w:t>
            </w:r>
          </w:p>
        </w:tc>
        <w:tc>
          <w:tcPr>
            <w:tcW w:w="119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A24E6" w14:textId="77777777" w:rsidR="00A75091" w:rsidRPr="004D17AE" w:rsidRDefault="00A75091">
            <w:pPr>
              <w:ind w:left="57" w:right="57"/>
              <w:rPr>
                <w:rFonts w:ascii="Times New Roman" w:eastAsia="TimesNewRoman" w:hAnsi="Times New Roman"/>
                <w:b/>
                <w:bCs/>
                <w:sz w:val="22"/>
                <w:szCs w:val="22"/>
                <w:lang w:eastAsia="ru-RU"/>
              </w:rPr>
            </w:pPr>
            <w:r w:rsidRPr="004D17AE">
              <w:rPr>
                <w:rFonts w:ascii="Times New Roman" w:hAnsi="Times New Roman"/>
                <w:b/>
                <w:bCs/>
                <w:sz w:val="22"/>
                <w:szCs w:val="22"/>
                <w:lang w:eastAsia="ru-RU"/>
              </w:rPr>
              <w:t>Legemsvægt</w:t>
            </w:r>
          </w:p>
        </w:tc>
        <w:tc>
          <w:tcPr>
            <w:tcW w:w="63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8642B5" w14:textId="77777777" w:rsidR="00A75091" w:rsidRPr="004D17AE" w:rsidRDefault="00A75091">
            <w:pPr>
              <w:ind w:left="57" w:right="57"/>
              <w:rPr>
                <w:rFonts w:ascii="Times New Roman" w:hAnsi="Times New Roman"/>
                <w:b/>
                <w:bCs/>
                <w:sz w:val="22"/>
                <w:szCs w:val="22"/>
                <w:lang w:eastAsia="ru-RU"/>
              </w:rPr>
            </w:pPr>
            <w:r w:rsidRPr="004D17AE">
              <w:rPr>
                <w:rFonts w:ascii="Times New Roman" w:hAnsi="Times New Roman"/>
                <w:b/>
                <w:bCs/>
                <w:sz w:val="22"/>
                <w:szCs w:val="22"/>
                <w:lang w:eastAsia="ru-RU"/>
              </w:rPr>
              <w:t>Dosis</w:t>
            </w:r>
          </w:p>
          <w:p w14:paraId="09B9C13F" w14:textId="77777777" w:rsidR="00A75091" w:rsidRPr="004D17AE" w:rsidRDefault="00A75091">
            <w:pPr>
              <w:ind w:left="57" w:right="57"/>
              <w:rPr>
                <w:rFonts w:ascii="Times New Roman" w:eastAsia="TimesNewRoman" w:hAnsi="Times New Roman"/>
                <w:b/>
                <w:bCs/>
                <w:sz w:val="22"/>
                <w:szCs w:val="22"/>
                <w:lang w:eastAsia="ru-RU"/>
              </w:rPr>
            </w:pPr>
            <w:r w:rsidRPr="004D17AE">
              <w:rPr>
                <w:rFonts w:ascii="Times New Roman" w:hAnsi="Times New Roman"/>
                <w:b/>
                <w:bCs/>
                <w:sz w:val="22"/>
                <w:szCs w:val="22"/>
                <w:lang w:eastAsia="ru-RU"/>
              </w:rPr>
              <w:t>(tablet)</w:t>
            </w:r>
            <w:r w:rsidRPr="004D17AE">
              <w:rPr>
                <w:rFonts w:ascii="Times New Roman" w:hAnsi="Times New Roman"/>
                <w:b/>
                <w:bCs/>
                <w:sz w:val="22"/>
                <w:szCs w:val="22"/>
                <w:vertAlign w:val="superscript"/>
                <w:lang w:eastAsia="ru-RU"/>
              </w:rPr>
              <w:t>a</w:t>
            </w:r>
          </w:p>
        </w:tc>
        <w:tc>
          <w:tcPr>
            <w:tcW w:w="95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3736CC" w14:textId="77777777" w:rsidR="00A75091" w:rsidRPr="004D17AE" w:rsidRDefault="00A75091">
            <w:pPr>
              <w:ind w:left="57" w:right="57"/>
              <w:rPr>
                <w:rFonts w:ascii="Times New Roman" w:eastAsia="TimesNewRoman" w:hAnsi="Times New Roman"/>
                <w:b/>
                <w:bCs/>
                <w:sz w:val="22"/>
                <w:szCs w:val="22"/>
                <w:lang w:eastAsia="ru-RU"/>
              </w:rPr>
            </w:pPr>
            <w:r w:rsidRPr="004D17AE">
              <w:rPr>
                <w:rFonts w:ascii="Times New Roman" w:hAnsi="Times New Roman"/>
                <w:b/>
                <w:bCs/>
                <w:sz w:val="22"/>
                <w:szCs w:val="22"/>
                <w:lang w:eastAsia="ru-RU"/>
              </w:rPr>
              <w:t>Dosis (suspension)</w:t>
            </w:r>
            <w:r w:rsidRPr="004D17AE">
              <w:rPr>
                <w:rFonts w:ascii="Times New Roman" w:hAnsi="Times New Roman"/>
                <w:b/>
                <w:bCs/>
                <w:sz w:val="22"/>
                <w:szCs w:val="22"/>
                <w:vertAlign w:val="superscript"/>
                <w:lang w:eastAsia="ru-RU"/>
              </w:rPr>
              <w:t>a</w:t>
            </w:r>
          </w:p>
        </w:tc>
        <w:tc>
          <w:tcPr>
            <w:tcW w:w="111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3E10B0" w14:textId="77777777" w:rsidR="00A75091" w:rsidRPr="004D17AE" w:rsidRDefault="00A75091">
            <w:pPr>
              <w:ind w:left="57" w:right="57"/>
              <w:rPr>
                <w:rFonts w:ascii="Times New Roman" w:eastAsia="TimesNewRoman" w:hAnsi="Times New Roman"/>
                <w:b/>
                <w:bCs/>
                <w:sz w:val="22"/>
                <w:szCs w:val="22"/>
                <w:lang w:eastAsia="ru-RU"/>
              </w:rPr>
            </w:pPr>
            <w:r w:rsidRPr="004D17AE">
              <w:rPr>
                <w:rFonts w:ascii="Times New Roman" w:hAnsi="Times New Roman"/>
                <w:b/>
                <w:bCs/>
                <w:sz w:val="22"/>
                <w:szCs w:val="22"/>
                <w:lang w:eastAsia="ru-RU"/>
              </w:rPr>
              <w:t>Dosisreduktion</w:t>
            </w:r>
            <w:r w:rsidRPr="004D17AE">
              <w:rPr>
                <w:rFonts w:ascii="Times New Roman" w:hAnsi="Times New Roman"/>
                <w:b/>
                <w:bCs/>
                <w:sz w:val="22"/>
                <w:szCs w:val="22"/>
                <w:vertAlign w:val="superscript"/>
                <w:lang w:eastAsia="ru-RU"/>
              </w:rPr>
              <w:t>b</w:t>
            </w:r>
          </w:p>
        </w:tc>
      </w:tr>
      <w:tr w:rsidR="00A75091" w:rsidRPr="004D17AE" w14:paraId="3DB466D3" w14:textId="77777777" w:rsidTr="00CE778C">
        <w:trPr>
          <w:trHeight w:val="20"/>
        </w:trPr>
        <w:tc>
          <w:tcPr>
            <w:tcW w:w="1109" w:type="pct"/>
            <w:vMerge w:val="restart"/>
            <w:tcBorders>
              <w:top w:val="single" w:sz="4" w:space="0" w:color="auto"/>
              <w:left w:val="single" w:sz="4" w:space="0" w:color="auto"/>
              <w:bottom w:val="single" w:sz="4" w:space="0" w:color="auto"/>
              <w:right w:val="single" w:sz="4" w:space="0" w:color="auto"/>
            </w:tcBorders>
            <w:hideMark/>
          </w:tcPr>
          <w:p w14:paraId="7AF0FDD3"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12 til &lt;18 år</w:t>
            </w:r>
          </w:p>
        </w:tc>
        <w:tc>
          <w:tcPr>
            <w:tcW w:w="1191" w:type="pct"/>
            <w:tcBorders>
              <w:top w:val="single" w:sz="4" w:space="0" w:color="auto"/>
              <w:left w:val="single" w:sz="4" w:space="0" w:color="auto"/>
              <w:bottom w:val="single" w:sz="4" w:space="0" w:color="auto"/>
              <w:right w:val="single" w:sz="4" w:space="0" w:color="auto"/>
            </w:tcBorders>
            <w:hideMark/>
          </w:tcPr>
          <w:p w14:paraId="0A467799"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≥60 kg</w:t>
            </w:r>
          </w:p>
        </w:tc>
        <w:tc>
          <w:tcPr>
            <w:tcW w:w="635" w:type="pct"/>
            <w:tcBorders>
              <w:top w:val="single" w:sz="4" w:space="0" w:color="auto"/>
              <w:left w:val="single" w:sz="4" w:space="0" w:color="auto"/>
              <w:bottom w:val="single" w:sz="4" w:space="0" w:color="auto"/>
              <w:right w:val="single" w:sz="4" w:space="0" w:color="auto"/>
            </w:tcBorders>
            <w:hideMark/>
          </w:tcPr>
          <w:p w14:paraId="4C66EA72"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60 mg</w:t>
            </w:r>
          </w:p>
        </w:tc>
        <w:tc>
          <w:tcPr>
            <w:tcW w:w="953" w:type="pct"/>
            <w:tcBorders>
              <w:top w:val="single" w:sz="4" w:space="0" w:color="auto"/>
              <w:left w:val="single" w:sz="4" w:space="0" w:color="auto"/>
              <w:bottom w:val="single" w:sz="4" w:space="0" w:color="auto"/>
              <w:right w:val="single" w:sz="4" w:space="0" w:color="auto"/>
            </w:tcBorders>
            <w:hideMark/>
          </w:tcPr>
          <w:p w14:paraId="233CE44B"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NA</w:t>
            </w:r>
          </w:p>
        </w:tc>
        <w:tc>
          <w:tcPr>
            <w:tcW w:w="1112" w:type="pct"/>
            <w:tcBorders>
              <w:top w:val="single" w:sz="4" w:space="0" w:color="auto"/>
              <w:left w:val="single" w:sz="4" w:space="0" w:color="auto"/>
              <w:bottom w:val="single" w:sz="4" w:space="0" w:color="auto"/>
              <w:right w:val="single" w:sz="4" w:space="0" w:color="auto"/>
            </w:tcBorders>
            <w:hideMark/>
          </w:tcPr>
          <w:p w14:paraId="720ED2A8"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45 mg</w:t>
            </w:r>
          </w:p>
        </w:tc>
      </w:tr>
      <w:tr w:rsidR="00A75091" w:rsidRPr="004D17AE" w14:paraId="4ABF0B47" w14:textId="77777777" w:rsidTr="00CE778C">
        <w:trPr>
          <w:trHeight w:val="20"/>
        </w:trPr>
        <w:tc>
          <w:tcPr>
            <w:tcW w:w="1109" w:type="pct"/>
            <w:vMerge/>
            <w:tcBorders>
              <w:top w:val="single" w:sz="4" w:space="0" w:color="auto"/>
              <w:left w:val="single" w:sz="4" w:space="0" w:color="auto"/>
              <w:bottom w:val="single" w:sz="4" w:space="0" w:color="auto"/>
              <w:right w:val="single" w:sz="4" w:space="0" w:color="auto"/>
            </w:tcBorders>
            <w:vAlign w:val="center"/>
            <w:hideMark/>
          </w:tcPr>
          <w:p w14:paraId="4CD986CA" w14:textId="77777777" w:rsidR="00A75091" w:rsidRPr="004D17AE" w:rsidRDefault="00A75091">
            <w:pPr>
              <w:rPr>
                <w:rFonts w:ascii="Times New Roman" w:eastAsia="TimesNewRoman" w:hAnsi="Times New Roman"/>
                <w:sz w:val="22"/>
                <w:szCs w:val="22"/>
                <w:lang w:eastAsia="ru-RU"/>
              </w:rPr>
            </w:pPr>
          </w:p>
        </w:tc>
        <w:tc>
          <w:tcPr>
            <w:tcW w:w="1191" w:type="pct"/>
            <w:tcBorders>
              <w:top w:val="single" w:sz="4" w:space="0" w:color="auto"/>
              <w:left w:val="single" w:sz="4" w:space="0" w:color="auto"/>
              <w:bottom w:val="single" w:sz="4" w:space="0" w:color="auto"/>
              <w:right w:val="single" w:sz="4" w:space="0" w:color="auto"/>
            </w:tcBorders>
            <w:hideMark/>
          </w:tcPr>
          <w:p w14:paraId="5014E0ED"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≥30 og &lt;60 kg</w:t>
            </w:r>
          </w:p>
        </w:tc>
        <w:tc>
          <w:tcPr>
            <w:tcW w:w="635" w:type="pct"/>
            <w:tcBorders>
              <w:top w:val="single" w:sz="4" w:space="0" w:color="auto"/>
              <w:left w:val="single" w:sz="4" w:space="0" w:color="auto"/>
              <w:bottom w:val="single" w:sz="4" w:space="0" w:color="auto"/>
              <w:right w:val="single" w:sz="4" w:space="0" w:color="auto"/>
            </w:tcBorders>
            <w:hideMark/>
          </w:tcPr>
          <w:p w14:paraId="4C05D35E"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45 mg</w:t>
            </w:r>
          </w:p>
        </w:tc>
        <w:tc>
          <w:tcPr>
            <w:tcW w:w="953" w:type="pct"/>
            <w:tcBorders>
              <w:top w:val="single" w:sz="4" w:space="0" w:color="auto"/>
              <w:left w:val="single" w:sz="4" w:space="0" w:color="auto"/>
              <w:bottom w:val="single" w:sz="4" w:space="0" w:color="auto"/>
              <w:right w:val="single" w:sz="4" w:space="0" w:color="auto"/>
            </w:tcBorders>
            <w:hideMark/>
          </w:tcPr>
          <w:p w14:paraId="168A8CE0"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NA</w:t>
            </w:r>
          </w:p>
        </w:tc>
        <w:tc>
          <w:tcPr>
            <w:tcW w:w="1112" w:type="pct"/>
            <w:tcBorders>
              <w:top w:val="single" w:sz="4" w:space="0" w:color="auto"/>
              <w:left w:val="single" w:sz="4" w:space="0" w:color="auto"/>
              <w:bottom w:val="single" w:sz="4" w:space="0" w:color="auto"/>
              <w:right w:val="single" w:sz="4" w:space="0" w:color="auto"/>
            </w:tcBorders>
            <w:hideMark/>
          </w:tcPr>
          <w:p w14:paraId="5C4B2B0A"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30 mg</w:t>
            </w:r>
          </w:p>
        </w:tc>
      </w:tr>
      <w:tr w:rsidR="00A75091" w:rsidRPr="004D17AE" w14:paraId="20267208" w14:textId="77777777" w:rsidTr="00CE778C">
        <w:trPr>
          <w:trHeight w:val="20"/>
        </w:trPr>
        <w:tc>
          <w:tcPr>
            <w:tcW w:w="1109" w:type="pct"/>
            <w:vMerge/>
            <w:tcBorders>
              <w:top w:val="single" w:sz="4" w:space="0" w:color="auto"/>
              <w:left w:val="single" w:sz="4" w:space="0" w:color="auto"/>
              <w:bottom w:val="single" w:sz="4" w:space="0" w:color="auto"/>
              <w:right w:val="single" w:sz="4" w:space="0" w:color="auto"/>
            </w:tcBorders>
            <w:vAlign w:val="center"/>
            <w:hideMark/>
          </w:tcPr>
          <w:p w14:paraId="1E208B2C" w14:textId="77777777" w:rsidR="00A75091" w:rsidRPr="004D17AE" w:rsidRDefault="00A75091">
            <w:pPr>
              <w:rPr>
                <w:rFonts w:ascii="Times New Roman" w:eastAsia="TimesNewRoman" w:hAnsi="Times New Roman"/>
                <w:sz w:val="22"/>
                <w:szCs w:val="22"/>
                <w:lang w:eastAsia="ru-RU"/>
              </w:rPr>
            </w:pPr>
          </w:p>
        </w:tc>
        <w:tc>
          <w:tcPr>
            <w:tcW w:w="1191" w:type="pct"/>
            <w:tcBorders>
              <w:top w:val="single" w:sz="4" w:space="0" w:color="auto"/>
              <w:left w:val="single" w:sz="4" w:space="0" w:color="auto"/>
              <w:bottom w:val="single" w:sz="4" w:space="0" w:color="auto"/>
              <w:right w:val="single" w:sz="4" w:space="0" w:color="auto"/>
            </w:tcBorders>
            <w:hideMark/>
          </w:tcPr>
          <w:p w14:paraId="6187CB6F"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&lt;5. percentil for</w:t>
            </w:r>
          </w:p>
          <w:p w14:paraId="319440DC"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alder</w:t>
            </w:r>
          </w:p>
        </w:tc>
        <w:tc>
          <w:tcPr>
            <w:tcW w:w="635" w:type="pct"/>
            <w:tcBorders>
              <w:top w:val="single" w:sz="4" w:space="0" w:color="auto"/>
              <w:left w:val="single" w:sz="4" w:space="0" w:color="auto"/>
              <w:bottom w:val="single" w:sz="4" w:space="0" w:color="auto"/>
              <w:right w:val="single" w:sz="4" w:space="0" w:color="auto"/>
            </w:tcBorders>
            <w:hideMark/>
          </w:tcPr>
          <w:p w14:paraId="1F89021A"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30 mg</w:t>
            </w:r>
          </w:p>
        </w:tc>
        <w:tc>
          <w:tcPr>
            <w:tcW w:w="953" w:type="pct"/>
            <w:tcBorders>
              <w:top w:val="single" w:sz="4" w:space="0" w:color="auto"/>
              <w:left w:val="single" w:sz="4" w:space="0" w:color="auto"/>
              <w:bottom w:val="single" w:sz="4" w:space="0" w:color="auto"/>
              <w:right w:val="single" w:sz="4" w:space="0" w:color="auto"/>
            </w:tcBorders>
            <w:hideMark/>
          </w:tcPr>
          <w:p w14:paraId="6622728A"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NA</w:t>
            </w:r>
          </w:p>
        </w:tc>
        <w:tc>
          <w:tcPr>
            <w:tcW w:w="1112" w:type="pct"/>
            <w:tcBorders>
              <w:top w:val="single" w:sz="4" w:space="0" w:color="auto"/>
              <w:left w:val="single" w:sz="4" w:space="0" w:color="auto"/>
              <w:bottom w:val="single" w:sz="4" w:space="0" w:color="auto"/>
              <w:right w:val="single" w:sz="4" w:space="0" w:color="auto"/>
            </w:tcBorders>
            <w:hideMark/>
          </w:tcPr>
          <w:p w14:paraId="529102D4"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NA</w:t>
            </w:r>
          </w:p>
        </w:tc>
      </w:tr>
      <w:tr w:rsidR="00A75091" w:rsidRPr="004D17AE" w14:paraId="5E34D9E7" w14:textId="77777777" w:rsidTr="00CE778C">
        <w:trPr>
          <w:trHeight w:val="20"/>
        </w:trPr>
        <w:tc>
          <w:tcPr>
            <w:tcW w:w="1109" w:type="pct"/>
            <w:tcBorders>
              <w:top w:val="single" w:sz="4" w:space="0" w:color="auto"/>
              <w:left w:val="single" w:sz="4" w:space="0" w:color="auto"/>
              <w:bottom w:val="single" w:sz="4" w:space="0" w:color="auto"/>
              <w:right w:val="single" w:sz="4" w:space="0" w:color="auto"/>
            </w:tcBorders>
            <w:hideMark/>
          </w:tcPr>
          <w:p w14:paraId="7DF16FC6"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6 til &lt;12 år</w:t>
            </w:r>
          </w:p>
        </w:tc>
        <w:tc>
          <w:tcPr>
            <w:tcW w:w="1191" w:type="pct"/>
            <w:tcBorders>
              <w:top w:val="single" w:sz="4" w:space="0" w:color="auto"/>
              <w:left w:val="single" w:sz="4" w:space="0" w:color="auto"/>
              <w:bottom w:val="single" w:sz="4" w:space="0" w:color="auto"/>
              <w:right w:val="single" w:sz="4" w:space="0" w:color="auto"/>
            </w:tcBorders>
            <w:hideMark/>
          </w:tcPr>
          <w:p w14:paraId="3259FB16"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&lt;60 kg; doseret</w:t>
            </w:r>
          </w:p>
          <w:p w14:paraId="41025415"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baseret på mg/kg</w:t>
            </w:r>
          </w:p>
        </w:tc>
        <w:tc>
          <w:tcPr>
            <w:tcW w:w="635" w:type="pct"/>
            <w:tcBorders>
              <w:top w:val="single" w:sz="4" w:space="0" w:color="auto"/>
              <w:left w:val="single" w:sz="4" w:space="0" w:color="auto"/>
              <w:bottom w:val="single" w:sz="4" w:space="0" w:color="auto"/>
              <w:right w:val="single" w:sz="4" w:space="0" w:color="auto"/>
            </w:tcBorders>
            <w:hideMark/>
          </w:tcPr>
          <w:p w14:paraId="11608259"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NA</w:t>
            </w:r>
          </w:p>
        </w:tc>
        <w:tc>
          <w:tcPr>
            <w:tcW w:w="953" w:type="pct"/>
            <w:tcBorders>
              <w:top w:val="single" w:sz="4" w:space="0" w:color="auto"/>
              <w:left w:val="single" w:sz="4" w:space="0" w:color="auto"/>
              <w:bottom w:val="single" w:sz="4" w:space="0" w:color="auto"/>
              <w:right w:val="single" w:sz="4" w:space="0" w:color="auto"/>
            </w:tcBorders>
            <w:hideMark/>
          </w:tcPr>
          <w:p w14:paraId="3E754635"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1,2 mg/kg (højst 45 mg)</w:t>
            </w:r>
          </w:p>
        </w:tc>
        <w:tc>
          <w:tcPr>
            <w:tcW w:w="1112" w:type="pct"/>
            <w:tcBorders>
              <w:top w:val="single" w:sz="4" w:space="0" w:color="auto"/>
              <w:left w:val="single" w:sz="4" w:space="0" w:color="auto"/>
              <w:bottom w:val="single" w:sz="4" w:space="0" w:color="auto"/>
              <w:right w:val="single" w:sz="4" w:space="0" w:color="auto"/>
            </w:tcBorders>
            <w:hideMark/>
          </w:tcPr>
          <w:p w14:paraId="341329BC"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0,8 mg/kg (højst 45 mg)</w:t>
            </w:r>
          </w:p>
        </w:tc>
      </w:tr>
      <w:tr w:rsidR="00A75091" w:rsidRPr="004D17AE" w14:paraId="2769CF22" w14:textId="77777777" w:rsidTr="00CE778C">
        <w:trPr>
          <w:trHeight w:val="20"/>
        </w:trPr>
        <w:tc>
          <w:tcPr>
            <w:tcW w:w="1109" w:type="pct"/>
            <w:tcBorders>
              <w:top w:val="single" w:sz="4" w:space="0" w:color="auto"/>
              <w:left w:val="single" w:sz="4" w:space="0" w:color="auto"/>
              <w:bottom w:val="single" w:sz="4" w:space="0" w:color="auto"/>
              <w:right w:val="single" w:sz="4" w:space="0" w:color="auto"/>
            </w:tcBorders>
            <w:hideMark/>
          </w:tcPr>
          <w:p w14:paraId="2C984D22"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2 til &lt;6 år</w:t>
            </w:r>
          </w:p>
        </w:tc>
        <w:tc>
          <w:tcPr>
            <w:tcW w:w="1191" w:type="pct"/>
            <w:tcBorders>
              <w:top w:val="single" w:sz="4" w:space="0" w:color="auto"/>
              <w:left w:val="single" w:sz="4" w:space="0" w:color="auto"/>
              <w:bottom w:val="single" w:sz="4" w:space="0" w:color="auto"/>
              <w:right w:val="single" w:sz="4" w:space="0" w:color="auto"/>
            </w:tcBorders>
            <w:hideMark/>
          </w:tcPr>
          <w:p w14:paraId="69D3DF80"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Doseret baseret på</w:t>
            </w:r>
          </w:p>
          <w:p w14:paraId="00321CA7"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mg/kg</w:t>
            </w:r>
          </w:p>
        </w:tc>
        <w:tc>
          <w:tcPr>
            <w:tcW w:w="635" w:type="pct"/>
            <w:tcBorders>
              <w:top w:val="single" w:sz="4" w:space="0" w:color="auto"/>
              <w:left w:val="single" w:sz="4" w:space="0" w:color="auto"/>
              <w:bottom w:val="single" w:sz="4" w:space="0" w:color="auto"/>
              <w:right w:val="single" w:sz="4" w:space="0" w:color="auto"/>
            </w:tcBorders>
            <w:hideMark/>
          </w:tcPr>
          <w:p w14:paraId="1D81DC68"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NA</w:t>
            </w:r>
          </w:p>
        </w:tc>
        <w:tc>
          <w:tcPr>
            <w:tcW w:w="953" w:type="pct"/>
            <w:tcBorders>
              <w:top w:val="single" w:sz="4" w:space="0" w:color="auto"/>
              <w:left w:val="single" w:sz="4" w:space="0" w:color="auto"/>
              <w:bottom w:val="single" w:sz="4" w:space="0" w:color="auto"/>
              <w:right w:val="single" w:sz="4" w:space="0" w:color="auto"/>
            </w:tcBorders>
            <w:hideMark/>
          </w:tcPr>
          <w:p w14:paraId="19F13BEE"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1,4 mg/kg (højst 45 mg)</w:t>
            </w:r>
          </w:p>
        </w:tc>
        <w:tc>
          <w:tcPr>
            <w:tcW w:w="1112" w:type="pct"/>
            <w:tcBorders>
              <w:top w:val="single" w:sz="4" w:space="0" w:color="auto"/>
              <w:left w:val="single" w:sz="4" w:space="0" w:color="auto"/>
              <w:bottom w:val="single" w:sz="4" w:space="0" w:color="auto"/>
              <w:right w:val="single" w:sz="4" w:space="0" w:color="auto"/>
            </w:tcBorders>
            <w:hideMark/>
          </w:tcPr>
          <w:p w14:paraId="5694D986"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0,75 mg/kg (højst 24 mg)</w:t>
            </w:r>
          </w:p>
        </w:tc>
      </w:tr>
      <w:tr w:rsidR="00A75091" w:rsidRPr="004D17AE" w14:paraId="490315BB" w14:textId="77777777" w:rsidTr="00CE778C">
        <w:trPr>
          <w:trHeight w:val="20"/>
        </w:trPr>
        <w:tc>
          <w:tcPr>
            <w:tcW w:w="1109" w:type="pct"/>
            <w:tcBorders>
              <w:top w:val="single" w:sz="4" w:space="0" w:color="auto"/>
              <w:left w:val="single" w:sz="4" w:space="0" w:color="auto"/>
              <w:bottom w:val="single" w:sz="4" w:space="0" w:color="auto"/>
              <w:right w:val="single" w:sz="4" w:space="0" w:color="auto"/>
            </w:tcBorders>
            <w:hideMark/>
          </w:tcPr>
          <w:p w14:paraId="213C22F2"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6 måneder til</w:t>
            </w:r>
          </w:p>
          <w:p w14:paraId="1B155E5B"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&lt; 2 år</w:t>
            </w:r>
          </w:p>
        </w:tc>
        <w:tc>
          <w:tcPr>
            <w:tcW w:w="1191" w:type="pct"/>
            <w:tcBorders>
              <w:top w:val="single" w:sz="4" w:space="0" w:color="auto"/>
              <w:left w:val="single" w:sz="4" w:space="0" w:color="auto"/>
              <w:bottom w:val="single" w:sz="4" w:space="0" w:color="auto"/>
              <w:right w:val="single" w:sz="4" w:space="0" w:color="auto"/>
            </w:tcBorders>
            <w:hideMark/>
          </w:tcPr>
          <w:p w14:paraId="1DD184A1"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Doseret baseret på</w:t>
            </w:r>
          </w:p>
          <w:p w14:paraId="09D9D77A"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mg/kg</w:t>
            </w:r>
          </w:p>
        </w:tc>
        <w:tc>
          <w:tcPr>
            <w:tcW w:w="635" w:type="pct"/>
            <w:tcBorders>
              <w:top w:val="single" w:sz="4" w:space="0" w:color="auto"/>
              <w:left w:val="single" w:sz="4" w:space="0" w:color="auto"/>
              <w:bottom w:val="single" w:sz="4" w:space="0" w:color="auto"/>
              <w:right w:val="single" w:sz="4" w:space="0" w:color="auto"/>
            </w:tcBorders>
            <w:hideMark/>
          </w:tcPr>
          <w:p w14:paraId="052C25A3"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NA</w:t>
            </w:r>
          </w:p>
        </w:tc>
        <w:tc>
          <w:tcPr>
            <w:tcW w:w="953" w:type="pct"/>
            <w:tcBorders>
              <w:top w:val="single" w:sz="4" w:space="0" w:color="auto"/>
              <w:left w:val="single" w:sz="4" w:space="0" w:color="auto"/>
              <w:bottom w:val="single" w:sz="4" w:space="0" w:color="auto"/>
              <w:right w:val="single" w:sz="4" w:space="0" w:color="auto"/>
            </w:tcBorders>
            <w:hideMark/>
          </w:tcPr>
          <w:p w14:paraId="09AC882E"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1,5 mg/kg (højst 45 mg)</w:t>
            </w:r>
          </w:p>
        </w:tc>
        <w:tc>
          <w:tcPr>
            <w:tcW w:w="1112" w:type="pct"/>
            <w:tcBorders>
              <w:top w:val="single" w:sz="4" w:space="0" w:color="auto"/>
              <w:left w:val="single" w:sz="4" w:space="0" w:color="auto"/>
              <w:bottom w:val="single" w:sz="4" w:space="0" w:color="auto"/>
              <w:right w:val="single" w:sz="4" w:space="0" w:color="auto"/>
            </w:tcBorders>
            <w:hideMark/>
          </w:tcPr>
          <w:p w14:paraId="3AF0F566"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0,75 mg/kg (højst 24 mg)</w:t>
            </w:r>
          </w:p>
        </w:tc>
      </w:tr>
      <w:tr w:rsidR="00A75091" w:rsidRPr="004D17AE" w14:paraId="3BC75FF4" w14:textId="77777777" w:rsidTr="00CE778C">
        <w:trPr>
          <w:trHeight w:val="20"/>
        </w:trPr>
        <w:tc>
          <w:tcPr>
            <w:tcW w:w="1109" w:type="pct"/>
            <w:tcBorders>
              <w:top w:val="single" w:sz="4" w:space="0" w:color="auto"/>
              <w:left w:val="single" w:sz="4" w:space="0" w:color="auto"/>
              <w:bottom w:val="single" w:sz="4" w:space="0" w:color="auto"/>
              <w:right w:val="single" w:sz="4" w:space="0" w:color="auto"/>
            </w:tcBorders>
            <w:hideMark/>
          </w:tcPr>
          <w:p w14:paraId="1665924F"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&gt; 28 dage til</w:t>
            </w:r>
          </w:p>
          <w:p w14:paraId="51AA9F57"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&lt; 6 måneder</w:t>
            </w:r>
          </w:p>
        </w:tc>
        <w:tc>
          <w:tcPr>
            <w:tcW w:w="1191" w:type="pct"/>
            <w:tcBorders>
              <w:top w:val="single" w:sz="4" w:space="0" w:color="auto"/>
              <w:left w:val="single" w:sz="4" w:space="0" w:color="auto"/>
              <w:bottom w:val="single" w:sz="4" w:space="0" w:color="auto"/>
              <w:right w:val="single" w:sz="4" w:space="0" w:color="auto"/>
            </w:tcBorders>
            <w:hideMark/>
          </w:tcPr>
          <w:p w14:paraId="19AFA0C1"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Doseret baseret på</w:t>
            </w:r>
          </w:p>
          <w:p w14:paraId="01B6BEEB"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mg/kg</w:t>
            </w:r>
          </w:p>
        </w:tc>
        <w:tc>
          <w:tcPr>
            <w:tcW w:w="635" w:type="pct"/>
            <w:tcBorders>
              <w:top w:val="single" w:sz="4" w:space="0" w:color="auto"/>
              <w:left w:val="single" w:sz="4" w:space="0" w:color="auto"/>
              <w:bottom w:val="single" w:sz="4" w:space="0" w:color="auto"/>
              <w:right w:val="single" w:sz="4" w:space="0" w:color="auto"/>
            </w:tcBorders>
            <w:hideMark/>
          </w:tcPr>
          <w:p w14:paraId="5AC6F6B1"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NA</w:t>
            </w:r>
          </w:p>
        </w:tc>
        <w:tc>
          <w:tcPr>
            <w:tcW w:w="953" w:type="pct"/>
            <w:tcBorders>
              <w:top w:val="single" w:sz="4" w:space="0" w:color="auto"/>
              <w:left w:val="single" w:sz="4" w:space="0" w:color="auto"/>
              <w:bottom w:val="single" w:sz="4" w:space="0" w:color="auto"/>
              <w:right w:val="single" w:sz="4" w:space="0" w:color="auto"/>
            </w:tcBorders>
            <w:hideMark/>
          </w:tcPr>
          <w:p w14:paraId="1DF2BC6C"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0,8 mg/kg (højst 12 mg)</w:t>
            </w:r>
          </w:p>
        </w:tc>
        <w:tc>
          <w:tcPr>
            <w:tcW w:w="1112" w:type="pct"/>
            <w:tcBorders>
              <w:top w:val="single" w:sz="4" w:space="0" w:color="auto"/>
              <w:left w:val="single" w:sz="4" w:space="0" w:color="auto"/>
              <w:bottom w:val="single" w:sz="4" w:space="0" w:color="auto"/>
              <w:right w:val="single" w:sz="4" w:space="0" w:color="auto"/>
            </w:tcBorders>
            <w:hideMark/>
          </w:tcPr>
          <w:p w14:paraId="043336BB"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0,4 mg/kg (højst 6 mg)</w:t>
            </w:r>
          </w:p>
        </w:tc>
      </w:tr>
      <w:tr w:rsidR="00A75091" w:rsidRPr="004D17AE" w14:paraId="637E6924" w14:textId="77777777" w:rsidTr="00CE778C">
        <w:trPr>
          <w:trHeight w:val="20"/>
        </w:trPr>
        <w:tc>
          <w:tcPr>
            <w:tcW w:w="1109" w:type="pct"/>
            <w:tcBorders>
              <w:top w:val="single" w:sz="4" w:space="0" w:color="auto"/>
              <w:left w:val="single" w:sz="4" w:space="0" w:color="auto"/>
              <w:bottom w:val="single" w:sz="4" w:space="0" w:color="auto"/>
              <w:right w:val="single" w:sz="4" w:space="0" w:color="auto"/>
            </w:tcBorders>
            <w:hideMark/>
          </w:tcPr>
          <w:p w14:paraId="6AB8DA12"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Fødsel</w:t>
            </w:r>
          </w:p>
          <w:p w14:paraId="5092DADA"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(38 gestationsuger)</w:t>
            </w:r>
          </w:p>
          <w:p w14:paraId="2CE2AFC5" w14:textId="77777777" w:rsidR="00A75091" w:rsidRPr="004D17AE" w:rsidRDefault="00A75091">
            <w:pPr>
              <w:rPr>
                <w:rFonts w:ascii="Times New Roman" w:eastAsia="TimesNewRoman" w:hAnsi="Times New Roman"/>
                <w:sz w:val="22"/>
                <w:szCs w:val="22"/>
                <w:lang w:val="en-US" w:eastAsia="ru-RU"/>
              </w:rPr>
            </w:pPr>
            <w:r w:rsidRPr="004D17AE">
              <w:rPr>
                <w:rFonts w:ascii="Times New Roman" w:eastAsia="TimesNewRoman" w:hAnsi="Times New Roman"/>
                <w:sz w:val="22"/>
                <w:szCs w:val="22"/>
                <w:lang w:eastAsia="ru-RU"/>
              </w:rPr>
              <w:t>til ≤ 28 dage</w:t>
            </w:r>
          </w:p>
        </w:tc>
        <w:tc>
          <w:tcPr>
            <w:tcW w:w="1191" w:type="pct"/>
            <w:tcBorders>
              <w:top w:val="single" w:sz="4" w:space="0" w:color="auto"/>
              <w:left w:val="single" w:sz="4" w:space="0" w:color="auto"/>
              <w:bottom w:val="single" w:sz="4" w:space="0" w:color="auto"/>
              <w:right w:val="single" w:sz="4" w:space="0" w:color="auto"/>
            </w:tcBorders>
            <w:hideMark/>
          </w:tcPr>
          <w:p w14:paraId="0F7DD27D"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Doseret baseret på</w:t>
            </w:r>
          </w:p>
          <w:p w14:paraId="6900C88B"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mg/kg</w:t>
            </w:r>
          </w:p>
        </w:tc>
        <w:tc>
          <w:tcPr>
            <w:tcW w:w="635" w:type="pct"/>
            <w:tcBorders>
              <w:top w:val="single" w:sz="4" w:space="0" w:color="auto"/>
              <w:left w:val="single" w:sz="4" w:space="0" w:color="auto"/>
              <w:bottom w:val="single" w:sz="4" w:space="0" w:color="auto"/>
              <w:right w:val="single" w:sz="4" w:space="0" w:color="auto"/>
            </w:tcBorders>
            <w:hideMark/>
          </w:tcPr>
          <w:p w14:paraId="5E1A731B"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NA</w:t>
            </w:r>
          </w:p>
        </w:tc>
        <w:tc>
          <w:tcPr>
            <w:tcW w:w="953" w:type="pct"/>
            <w:tcBorders>
              <w:top w:val="single" w:sz="4" w:space="0" w:color="auto"/>
              <w:left w:val="single" w:sz="4" w:space="0" w:color="auto"/>
              <w:bottom w:val="single" w:sz="4" w:space="0" w:color="auto"/>
              <w:right w:val="single" w:sz="4" w:space="0" w:color="auto"/>
            </w:tcBorders>
            <w:hideMark/>
          </w:tcPr>
          <w:p w14:paraId="37BEC141"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0,4 mg/kg (højst 6 mg)</w:t>
            </w:r>
          </w:p>
        </w:tc>
        <w:tc>
          <w:tcPr>
            <w:tcW w:w="1112" w:type="pct"/>
            <w:tcBorders>
              <w:top w:val="single" w:sz="4" w:space="0" w:color="auto"/>
              <w:left w:val="single" w:sz="4" w:space="0" w:color="auto"/>
              <w:bottom w:val="single" w:sz="4" w:space="0" w:color="auto"/>
              <w:right w:val="single" w:sz="4" w:space="0" w:color="auto"/>
            </w:tcBorders>
            <w:hideMark/>
          </w:tcPr>
          <w:p w14:paraId="2C08AA6A" w14:textId="77777777" w:rsidR="00A75091" w:rsidRPr="004D17AE" w:rsidRDefault="00A75091">
            <w:pPr>
              <w:rPr>
                <w:rFonts w:ascii="Times New Roman" w:eastAsia="TimesNewRoman" w:hAnsi="Times New Roman"/>
                <w:sz w:val="22"/>
                <w:szCs w:val="22"/>
                <w:lang w:eastAsia="ru-RU"/>
              </w:rPr>
            </w:pPr>
            <w:r w:rsidRPr="004D17AE">
              <w:rPr>
                <w:rFonts w:ascii="Times New Roman" w:eastAsia="TimesNewRoman" w:hAnsi="Times New Roman"/>
                <w:sz w:val="22"/>
                <w:szCs w:val="22"/>
                <w:lang w:eastAsia="ru-RU"/>
              </w:rPr>
              <w:t>0,4 mg/kg (højst 6 mg)</w:t>
            </w:r>
          </w:p>
        </w:tc>
      </w:tr>
    </w:tbl>
    <w:p w14:paraId="0394729B" w14:textId="77777777" w:rsidR="00A75091" w:rsidRPr="00CE778C" w:rsidRDefault="00A75091" w:rsidP="00A75091">
      <w:pPr>
        <w:pStyle w:val="Brdtekst"/>
        <w:suppressAutoHyphens/>
        <w:kinsoku w:val="0"/>
        <w:overflowPunct w:val="0"/>
        <w:ind w:left="0"/>
      </w:pPr>
      <w:r w:rsidRPr="00CE778C">
        <w:t>NA = ikke relevant</w:t>
      </w:r>
    </w:p>
    <w:p w14:paraId="445991F5" w14:textId="4F935431" w:rsidR="00A75091" w:rsidRPr="00CE778C" w:rsidRDefault="00A75091" w:rsidP="004D17AE">
      <w:pPr>
        <w:pStyle w:val="Brdtekst"/>
        <w:suppressAutoHyphens/>
        <w:kinsoku w:val="0"/>
        <w:overflowPunct w:val="0"/>
        <w:ind w:left="284" w:hanging="284"/>
      </w:pPr>
      <w:r w:rsidRPr="00CE778C">
        <w:rPr>
          <w:vertAlign w:val="superscript"/>
        </w:rPr>
        <w:t>a</w:t>
      </w:r>
      <w:r w:rsidRPr="00CE778C">
        <w:t xml:space="preserve"> </w:t>
      </w:r>
      <w:r w:rsidR="004D17AE">
        <w:tab/>
      </w:r>
      <w:r w:rsidRPr="00CE778C">
        <w:t>Forsøgspersonerne blev instrueret om at tage edoxaban (tabletter eller granulat) oralt én gang dagligt,</w:t>
      </w:r>
      <w:r w:rsidR="004D17AE">
        <w:t xml:space="preserve"> </w:t>
      </w:r>
      <w:r w:rsidRPr="00CE778C">
        <w:t>på samme tid hver dag, med eller uden mad. Tabletterne skulle sluges med et glas vand.</w:t>
      </w:r>
    </w:p>
    <w:p w14:paraId="071320FC" w14:textId="63704B3B" w:rsidR="00A75091" w:rsidRPr="00CE778C" w:rsidRDefault="00A75091" w:rsidP="004D17AE">
      <w:pPr>
        <w:pStyle w:val="Brdtekst"/>
        <w:suppressAutoHyphens/>
        <w:kinsoku w:val="0"/>
        <w:overflowPunct w:val="0"/>
        <w:ind w:left="284" w:hanging="284"/>
      </w:pPr>
      <w:r w:rsidRPr="00CE778C">
        <w:rPr>
          <w:vertAlign w:val="superscript"/>
        </w:rPr>
        <w:t>b</w:t>
      </w:r>
      <w:r w:rsidRPr="00CE778C">
        <w:t xml:space="preserve"> </w:t>
      </w:r>
      <w:r w:rsidR="004D17AE">
        <w:tab/>
      </w:r>
      <w:r w:rsidRPr="00CE778C">
        <w:t>Baseret på kliniske faktorer, herunder nyrefunktion (moderat-svært nedsat leverfunktion med</w:t>
      </w:r>
      <w:r w:rsidR="004D17AE">
        <w:t xml:space="preserve"> </w:t>
      </w:r>
      <w:r w:rsidRPr="00CE778C">
        <w:t>estimeret glomerulær filtrationsrate (eGFR) 10-20, 20-35, 30-50 ml/min/1,73 m</w:t>
      </w:r>
      <w:r w:rsidRPr="00CE778C">
        <w:rPr>
          <w:vertAlign w:val="superscript"/>
        </w:rPr>
        <w:t>2</w:t>
      </w:r>
      <w:r w:rsidRPr="00CE778C">
        <w:t xml:space="preserve"> for forsøgspersoner i</w:t>
      </w:r>
      <w:r w:rsidR="004D17AE">
        <w:t xml:space="preserve"> </w:t>
      </w:r>
      <w:r w:rsidRPr="00CE778C">
        <w:t>alderen &gt;4 og ≤8 uger, &gt;8 uger og ≤2 år, &gt;2 og ≤12 år; eGFR 35-55</w:t>
      </w:r>
      <w:r w:rsidR="00BC493D">
        <w:t> </w:t>
      </w:r>
      <w:r w:rsidRPr="00CE778C">
        <w:t>ml/min/1,73 m</w:t>
      </w:r>
      <w:r w:rsidRPr="00CE778C">
        <w:rPr>
          <w:vertAlign w:val="superscript"/>
        </w:rPr>
        <w:t>2</w:t>
      </w:r>
      <w:r w:rsidRPr="00CE778C">
        <w:t xml:space="preserve"> for drenge på</w:t>
      </w:r>
      <w:r w:rsidR="004D17AE">
        <w:t xml:space="preserve"> </w:t>
      </w:r>
      <w:r w:rsidRPr="00CE778C">
        <w:t>&gt;12 og &lt;18 år; og eGFR 30-50 ml/min/1,73 m</w:t>
      </w:r>
      <w:r w:rsidRPr="00CE778C">
        <w:rPr>
          <w:vertAlign w:val="superscript"/>
        </w:rPr>
        <w:t>2</w:t>
      </w:r>
      <w:r w:rsidRPr="00CE778C">
        <w:t xml:space="preserve"> for piger på &gt;12 og &lt;18 år) og samtidig anvendelse</w:t>
      </w:r>
      <w:r w:rsidR="004D17AE">
        <w:t xml:space="preserve"> </w:t>
      </w:r>
      <w:r w:rsidRPr="00CE778C">
        <w:t>af P-gp-hæmmere (f.eks. ciclosporin, dronedaron, erythromycin, ketoconazol).</w:t>
      </w:r>
    </w:p>
    <w:p w14:paraId="03E51681" w14:textId="77777777" w:rsidR="00A75091" w:rsidRPr="00CE778C" w:rsidRDefault="00A75091" w:rsidP="00A75091">
      <w:pPr>
        <w:pStyle w:val="Brdtekst"/>
        <w:widowControl/>
        <w:suppressAutoHyphens/>
        <w:kinsoku w:val="0"/>
        <w:overflowPunct w:val="0"/>
        <w:ind w:left="0"/>
      </w:pPr>
    </w:p>
    <w:p w14:paraId="069D0AC1" w14:textId="680972F0" w:rsidR="00A75091" w:rsidRPr="00CE778C" w:rsidRDefault="00A75091" w:rsidP="00CE778C">
      <w:pPr>
        <w:ind w:left="851"/>
        <w:rPr>
          <w:sz w:val="24"/>
          <w:szCs w:val="24"/>
        </w:rPr>
      </w:pPr>
      <w:r w:rsidRPr="00CE778C">
        <w:rPr>
          <w:sz w:val="24"/>
          <w:szCs w:val="24"/>
        </w:rPr>
        <w:t>I alt 290 forsøgspersoner blev randomiseret i forsøget: 147 i edoxaban-gruppen og 143 i kontrolgruppen, som fik standardbehandling, hvoraf 286 forsøgspersoner tog mindst én dosis forsøgslægemiddel (mITT); 145 forsøgspersoner i edoxaban-gruppen og 141 forsøgspersoner i kontrolgruppen. Ca. halvdelen af det samlede antal forsøgspersoner var af hankøn (52,4 %), og størstedelen af de behandlede forsøgspersoner var hvide (177 [61,9</w:t>
      </w:r>
      <w:r w:rsidR="00BC493D">
        <w:rPr>
          <w:sz w:val="24"/>
          <w:szCs w:val="24"/>
        </w:rPr>
        <w:t> </w:t>
      </w:r>
      <w:r w:rsidRPr="00CE778C">
        <w:rPr>
          <w:sz w:val="24"/>
          <w:szCs w:val="24"/>
        </w:rPr>
        <w:t>%] forsøgspersoner). Den gennemsnitlige vægt var 45,35 kg, og det gennemsnitlige BMI var 20,4 kg/m</w:t>
      </w:r>
      <w:r w:rsidRPr="00CE778C">
        <w:rPr>
          <w:sz w:val="24"/>
          <w:szCs w:val="24"/>
          <w:vertAlign w:val="superscript"/>
        </w:rPr>
        <w:t>2</w:t>
      </w:r>
      <w:r w:rsidRPr="00CE778C">
        <w:rPr>
          <w:sz w:val="24"/>
          <w:szCs w:val="24"/>
        </w:rPr>
        <w:t xml:space="preserve">. I alt var der 167 (58,4 %) forsøgspersoner i kohorten 12 til &lt;18 år, 44 (15,4 %) forsøgspersoner i kohorten 6 til &lt;12 år, 31 (10,8 %) forsøgspersoner i kohorten 2 til &lt;6 år, 28 (9,8 %) forsøgspersoner i kohorten 6 måneder til &lt;2 og 16 (5,6 %) forsøgspersoner i kohorten 0 til &lt; 6 måneder. I alt 28 (19,3 %) børn i edoxaban-gruppen og 31 (22,0 %) børn i kontrolgruppen havde neoplasmer i anamnesen. Indekshændelsestypen var DVT med eller uden LE hos 125 (86,2 %) ud af 145 børn i edoxabangruppen og 121 (85,8 %) ud af 141 børn i kontrolgruppen, mens de øvrige tilfælde, 20 (13,8 %) i </w:t>
      </w:r>
      <w:r w:rsidRPr="00CE778C">
        <w:rPr>
          <w:sz w:val="24"/>
          <w:szCs w:val="24"/>
        </w:rPr>
        <w:lastRenderedPageBreak/>
        <w:t>edoxaban-gruppen og 20 (14,2 %) i kontrolgruppen, var LE uden DVT. DVT'er var hyppigst lokaliseret i underekstremiteterne (50 (34,5 %) og 44 (31,2 %) tilfælde i henholdsvis edoxaban- og kontrolgruppen), overekstremiteterne (22 (15,2 %) vs. 24 (17,0</w:t>
      </w:r>
      <w:r w:rsidR="00BC493D">
        <w:rPr>
          <w:sz w:val="24"/>
          <w:szCs w:val="24"/>
        </w:rPr>
        <w:t> </w:t>
      </w:r>
      <w:r w:rsidRPr="00CE778C">
        <w:rPr>
          <w:sz w:val="24"/>
          <w:szCs w:val="24"/>
        </w:rPr>
        <w:t>%)) og cerebral venøs sinus (27 (18,6 %) vs. 21 (14,9 %)).</w:t>
      </w:r>
    </w:p>
    <w:p w14:paraId="51B245AA" w14:textId="77777777" w:rsidR="00A75091" w:rsidRPr="00CE778C" w:rsidRDefault="00A75091" w:rsidP="00CE778C">
      <w:pPr>
        <w:ind w:left="851"/>
        <w:rPr>
          <w:sz w:val="24"/>
          <w:szCs w:val="24"/>
        </w:rPr>
      </w:pPr>
    </w:p>
    <w:p w14:paraId="64144535" w14:textId="3C4DB937" w:rsidR="00A75091" w:rsidRPr="00CE778C" w:rsidRDefault="00A75091" w:rsidP="00CE778C">
      <w:pPr>
        <w:ind w:left="851"/>
        <w:rPr>
          <w:sz w:val="24"/>
          <w:szCs w:val="24"/>
        </w:rPr>
      </w:pPr>
      <w:r w:rsidRPr="00CE778C">
        <w:rPr>
          <w:sz w:val="24"/>
          <w:szCs w:val="24"/>
        </w:rPr>
        <w:t>HR for edoxaban-gruppen versus kontrolgruppen, som fik standardbehandling, var 1,01 (95 % CI: 0,59 til 1,72). Den øvre grænse af 95 % konfidensintervallet (1,72) oversteg den prædefinerede noninferioritetsmargin på 1,5, og edoxabans non-inferioritet versus standardbehandling blev dermed ikke</w:t>
      </w:r>
      <w:r w:rsidR="004D17AE">
        <w:rPr>
          <w:sz w:val="24"/>
          <w:szCs w:val="24"/>
        </w:rPr>
        <w:t xml:space="preserve"> </w:t>
      </w:r>
      <w:r w:rsidRPr="00CE778C">
        <w:rPr>
          <w:sz w:val="24"/>
          <w:szCs w:val="24"/>
        </w:rPr>
        <w:t>bekræftet (se tabel 13).</w:t>
      </w:r>
    </w:p>
    <w:p w14:paraId="78AFF09F" w14:textId="77777777" w:rsidR="00A75091" w:rsidRPr="00CE778C" w:rsidRDefault="00A75091" w:rsidP="00CE778C">
      <w:pPr>
        <w:ind w:left="851"/>
        <w:rPr>
          <w:sz w:val="24"/>
          <w:szCs w:val="24"/>
        </w:rPr>
      </w:pPr>
    </w:p>
    <w:p w14:paraId="22AB69C3" w14:textId="4D8B564D" w:rsidR="00A75091" w:rsidRPr="00CE778C" w:rsidRDefault="00A75091" w:rsidP="004D17AE">
      <w:pPr>
        <w:pStyle w:val="Brdtekst"/>
        <w:suppressAutoHyphens/>
        <w:kinsoku w:val="0"/>
        <w:overflowPunct w:val="0"/>
        <w:ind w:left="0"/>
        <w:rPr>
          <w:b/>
          <w:bCs/>
        </w:rPr>
      </w:pPr>
      <w:r w:rsidRPr="00CE778C">
        <w:rPr>
          <w:b/>
          <w:bCs/>
        </w:rPr>
        <w:t>Tabel 13: Adjudikeret sammensat primært endepunkt for virkning – hovedbehandlings</w:t>
      </w:r>
      <w:r w:rsidR="00BC493D">
        <w:rPr>
          <w:b/>
          <w:bCs/>
        </w:rPr>
        <w:softHyphen/>
      </w:r>
      <w:r w:rsidRPr="00CE778C">
        <w:rPr>
          <w:b/>
          <w:bCs/>
        </w:rPr>
        <w:t>periode</w:t>
      </w:r>
      <w:r w:rsidR="004D17AE">
        <w:rPr>
          <w:b/>
          <w:bCs/>
        </w:rPr>
        <w:t xml:space="preserve"> </w:t>
      </w:r>
      <w:r w:rsidRPr="00CE778C">
        <w:rPr>
          <w:b/>
          <w:bCs/>
        </w:rPr>
        <w:t>(mITT-analysesæt)</w:t>
      </w:r>
    </w:p>
    <w:p w14:paraId="25051FA1" w14:textId="77777777" w:rsidR="00A75091" w:rsidRPr="00CE778C" w:rsidRDefault="00A75091" w:rsidP="00A75091">
      <w:pPr>
        <w:pStyle w:val="Brdtekst"/>
        <w:widowControl/>
        <w:suppressAutoHyphens/>
        <w:kinsoku w:val="0"/>
        <w:overflowPunct w:val="0"/>
        <w:ind w:left="0"/>
      </w:pPr>
    </w:p>
    <w:tbl>
      <w:tblPr>
        <w:tblStyle w:val="Tabel-Gitter"/>
        <w:tblW w:w="5000" w:type="pct"/>
        <w:tblInd w:w="0" w:type="dxa"/>
        <w:tblLook w:val="04A0" w:firstRow="1" w:lastRow="0" w:firstColumn="1" w:lastColumn="0" w:noHBand="0" w:noVBand="1"/>
      </w:tblPr>
      <w:tblGrid>
        <w:gridCol w:w="4113"/>
        <w:gridCol w:w="2940"/>
        <w:gridCol w:w="2575"/>
      </w:tblGrid>
      <w:tr w:rsidR="00A75091" w:rsidRPr="00CE778C" w14:paraId="353A508C" w14:textId="77777777" w:rsidTr="00CE778C">
        <w:trPr>
          <w:trHeight w:val="20"/>
        </w:trPr>
        <w:tc>
          <w:tcPr>
            <w:tcW w:w="213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B2965" w14:textId="77777777" w:rsidR="00A75091" w:rsidRPr="00CE778C" w:rsidRDefault="00A75091">
            <w:pPr>
              <w:rPr>
                <w:rFonts w:ascii="Times New Roman" w:eastAsia="TimesNewRoman" w:hAnsi="Times New Roman"/>
                <w:sz w:val="24"/>
                <w:szCs w:val="24"/>
                <w:lang w:eastAsia="ru-RU"/>
              </w:rPr>
            </w:pPr>
          </w:p>
        </w:tc>
        <w:tc>
          <w:tcPr>
            <w:tcW w:w="152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8FF396" w14:textId="77777777" w:rsidR="00A75091" w:rsidRPr="00CE778C" w:rsidRDefault="00A75091">
            <w:pPr>
              <w:jc w:val="center"/>
              <w:rPr>
                <w:rFonts w:ascii="Times New Roman" w:eastAsia="TimesNewRoman" w:hAnsi="Times New Roman"/>
                <w:b/>
                <w:bCs/>
                <w:sz w:val="24"/>
                <w:szCs w:val="24"/>
                <w:lang w:eastAsia="ru-RU"/>
              </w:rPr>
            </w:pPr>
            <w:r w:rsidRPr="00CE778C">
              <w:rPr>
                <w:rFonts w:ascii="Times New Roman" w:eastAsia="TimesNewRoman" w:hAnsi="Times New Roman"/>
                <w:b/>
                <w:bCs/>
                <w:sz w:val="24"/>
                <w:szCs w:val="24"/>
                <w:lang w:eastAsia="ru-RU"/>
              </w:rPr>
              <w:t>Edoxaban</w:t>
            </w:r>
          </w:p>
          <w:p w14:paraId="0C80B0EA" w14:textId="77777777" w:rsidR="00A75091" w:rsidRPr="00CE778C" w:rsidRDefault="00A75091">
            <w:pPr>
              <w:jc w:val="center"/>
              <w:rPr>
                <w:rFonts w:ascii="Times New Roman" w:eastAsia="TimesNewRoman" w:hAnsi="Times New Roman"/>
                <w:b/>
                <w:bCs/>
                <w:sz w:val="24"/>
                <w:szCs w:val="24"/>
                <w:lang w:eastAsia="ru-RU"/>
              </w:rPr>
            </w:pPr>
            <w:r w:rsidRPr="00CE778C">
              <w:rPr>
                <w:rFonts w:ascii="Times New Roman" w:eastAsia="TimesNewRoman" w:hAnsi="Times New Roman"/>
                <w:b/>
                <w:bCs/>
                <w:sz w:val="24"/>
                <w:szCs w:val="24"/>
                <w:lang w:eastAsia="ru-RU"/>
              </w:rPr>
              <w:t>(N = 145)</w:t>
            </w:r>
          </w:p>
        </w:tc>
        <w:tc>
          <w:tcPr>
            <w:tcW w:w="133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0FB861" w14:textId="77777777" w:rsidR="00A75091" w:rsidRPr="00CE778C" w:rsidRDefault="00A75091">
            <w:pPr>
              <w:jc w:val="center"/>
              <w:rPr>
                <w:rFonts w:ascii="Times New Roman" w:eastAsia="TimesNewRoman" w:hAnsi="Times New Roman"/>
                <w:b/>
                <w:bCs/>
                <w:sz w:val="24"/>
                <w:szCs w:val="24"/>
                <w:lang w:eastAsia="ru-RU"/>
              </w:rPr>
            </w:pPr>
            <w:r w:rsidRPr="00CE778C">
              <w:rPr>
                <w:rFonts w:ascii="Times New Roman" w:eastAsia="TimesNewRoman" w:hAnsi="Times New Roman"/>
                <w:b/>
                <w:bCs/>
                <w:sz w:val="24"/>
                <w:szCs w:val="24"/>
                <w:lang w:eastAsia="ru-RU"/>
              </w:rPr>
              <w:t xml:space="preserve">Standardbehandling </w:t>
            </w:r>
          </w:p>
          <w:p w14:paraId="362143FF" w14:textId="77777777" w:rsidR="00A75091" w:rsidRPr="00CE778C" w:rsidRDefault="00A75091">
            <w:pPr>
              <w:jc w:val="center"/>
              <w:rPr>
                <w:rFonts w:ascii="Times New Roman" w:eastAsia="TimesNewRoman" w:hAnsi="Times New Roman"/>
                <w:b/>
                <w:bCs/>
                <w:sz w:val="24"/>
                <w:szCs w:val="24"/>
                <w:lang w:eastAsia="ru-RU"/>
              </w:rPr>
            </w:pPr>
            <w:r w:rsidRPr="00CE778C">
              <w:rPr>
                <w:rFonts w:ascii="Times New Roman" w:eastAsia="TimesNewRoman" w:hAnsi="Times New Roman"/>
                <w:b/>
                <w:bCs/>
                <w:sz w:val="24"/>
                <w:szCs w:val="24"/>
                <w:lang w:eastAsia="ru-RU"/>
              </w:rPr>
              <w:t>(N = 141)</w:t>
            </w:r>
          </w:p>
        </w:tc>
      </w:tr>
      <w:tr w:rsidR="00A75091" w:rsidRPr="00CE778C" w14:paraId="44A37063" w14:textId="77777777" w:rsidTr="00CE778C">
        <w:trPr>
          <w:trHeight w:val="20"/>
        </w:trPr>
        <w:tc>
          <w:tcPr>
            <w:tcW w:w="2136" w:type="pct"/>
            <w:tcBorders>
              <w:top w:val="single" w:sz="4" w:space="0" w:color="auto"/>
              <w:left w:val="single" w:sz="4" w:space="0" w:color="auto"/>
              <w:bottom w:val="single" w:sz="4" w:space="0" w:color="auto"/>
              <w:right w:val="single" w:sz="4" w:space="0" w:color="auto"/>
            </w:tcBorders>
            <w:hideMark/>
          </w:tcPr>
          <w:p w14:paraId="1930EC92" w14:textId="77777777" w:rsidR="00A75091" w:rsidRPr="00CE778C" w:rsidRDefault="00A75091">
            <w:pP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Forsøgspersoner med hændelser (n,%)</w:t>
            </w:r>
          </w:p>
        </w:tc>
        <w:tc>
          <w:tcPr>
            <w:tcW w:w="1527" w:type="pct"/>
            <w:tcBorders>
              <w:top w:val="single" w:sz="4" w:space="0" w:color="auto"/>
              <w:left w:val="single" w:sz="4" w:space="0" w:color="auto"/>
              <w:bottom w:val="single" w:sz="4" w:space="0" w:color="auto"/>
              <w:right w:val="single" w:sz="4" w:space="0" w:color="auto"/>
            </w:tcBorders>
            <w:hideMark/>
          </w:tcPr>
          <w:p w14:paraId="04F04B20"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26 (17,9)</w:t>
            </w:r>
          </w:p>
        </w:tc>
        <w:tc>
          <w:tcPr>
            <w:tcW w:w="1337" w:type="pct"/>
            <w:tcBorders>
              <w:top w:val="single" w:sz="4" w:space="0" w:color="auto"/>
              <w:left w:val="single" w:sz="4" w:space="0" w:color="auto"/>
              <w:bottom w:val="single" w:sz="4" w:space="0" w:color="auto"/>
              <w:right w:val="single" w:sz="4" w:space="0" w:color="auto"/>
            </w:tcBorders>
            <w:hideMark/>
          </w:tcPr>
          <w:p w14:paraId="117EB2F1"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31 (22,0)</w:t>
            </w:r>
          </w:p>
        </w:tc>
      </w:tr>
      <w:tr w:rsidR="00A75091" w:rsidRPr="00CE778C" w14:paraId="4F741A04" w14:textId="77777777" w:rsidTr="00CE778C">
        <w:trPr>
          <w:trHeight w:val="20"/>
        </w:trPr>
        <w:tc>
          <w:tcPr>
            <w:tcW w:w="2136" w:type="pct"/>
            <w:tcBorders>
              <w:top w:val="single" w:sz="4" w:space="0" w:color="auto"/>
              <w:left w:val="single" w:sz="4" w:space="0" w:color="auto"/>
              <w:bottom w:val="single" w:sz="4" w:space="0" w:color="auto"/>
              <w:right w:val="single" w:sz="4" w:space="0" w:color="auto"/>
            </w:tcBorders>
            <w:hideMark/>
          </w:tcPr>
          <w:p w14:paraId="4D1B5F94" w14:textId="77777777" w:rsidR="00A75091" w:rsidRPr="00CE778C" w:rsidRDefault="00A75091">
            <w:pP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Symptomatisk recidiverende VTE (n,%)</w:t>
            </w:r>
          </w:p>
        </w:tc>
        <w:tc>
          <w:tcPr>
            <w:tcW w:w="1527" w:type="pct"/>
            <w:tcBorders>
              <w:top w:val="single" w:sz="4" w:space="0" w:color="auto"/>
              <w:left w:val="single" w:sz="4" w:space="0" w:color="auto"/>
              <w:bottom w:val="single" w:sz="4" w:space="0" w:color="auto"/>
              <w:right w:val="single" w:sz="4" w:space="0" w:color="auto"/>
            </w:tcBorders>
            <w:hideMark/>
          </w:tcPr>
          <w:p w14:paraId="2E2E93E6"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5 (3,4)</w:t>
            </w:r>
          </w:p>
        </w:tc>
        <w:tc>
          <w:tcPr>
            <w:tcW w:w="1337" w:type="pct"/>
            <w:tcBorders>
              <w:top w:val="single" w:sz="4" w:space="0" w:color="auto"/>
              <w:left w:val="single" w:sz="4" w:space="0" w:color="auto"/>
              <w:bottom w:val="single" w:sz="4" w:space="0" w:color="auto"/>
              <w:right w:val="single" w:sz="4" w:space="0" w:color="auto"/>
            </w:tcBorders>
            <w:hideMark/>
          </w:tcPr>
          <w:p w14:paraId="4BEC9DF2"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2 (1,4)</w:t>
            </w:r>
          </w:p>
        </w:tc>
      </w:tr>
      <w:tr w:rsidR="00A75091" w:rsidRPr="00CE778C" w14:paraId="239094B0" w14:textId="77777777" w:rsidTr="00CE778C">
        <w:trPr>
          <w:trHeight w:val="20"/>
        </w:trPr>
        <w:tc>
          <w:tcPr>
            <w:tcW w:w="2136" w:type="pct"/>
            <w:tcBorders>
              <w:top w:val="single" w:sz="4" w:space="0" w:color="auto"/>
              <w:left w:val="single" w:sz="4" w:space="0" w:color="auto"/>
              <w:bottom w:val="single" w:sz="4" w:space="0" w:color="auto"/>
              <w:right w:val="single" w:sz="4" w:space="0" w:color="auto"/>
            </w:tcBorders>
            <w:hideMark/>
          </w:tcPr>
          <w:p w14:paraId="3416E1C6" w14:textId="77777777" w:rsidR="00A75091" w:rsidRPr="00CE778C" w:rsidRDefault="00A75091">
            <w:pP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LE med eller uden DVT (n, %)</w:t>
            </w:r>
          </w:p>
        </w:tc>
        <w:tc>
          <w:tcPr>
            <w:tcW w:w="1527" w:type="pct"/>
            <w:tcBorders>
              <w:top w:val="single" w:sz="4" w:space="0" w:color="auto"/>
              <w:left w:val="single" w:sz="4" w:space="0" w:color="auto"/>
              <w:bottom w:val="single" w:sz="4" w:space="0" w:color="auto"/>
              <w:right w:val="single" w:sz="4" w:space="0" w:color="auto"/>
            </w:tcBorders>
            <w:hideMark/>
          </w:tcPr>
          <w:p w14:paraId="6CE025FE"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0</w:t>
            </w:r>
          </w:p>
        </w:tc>
        <w:tc>
          <w:tcPr>
            <w:tcW w:w="1337" w:type="pct"/>
            <w:tcBorders>
              <w:top w:val="single" w:sz="4" w:space="0" w:color="auto"/>
              <w:left w:val="single" w:sz="4" w:space="0" w:color="auto"/>
              <w:bottom w:val="single" w:sz="4" w:space="0" w:color="auto"/>
              <w:right w:val="single" w:sz="4" w:space="0" w:color="auto"/>
            </w:tcBorders>
            <w:hideMark/>
          </w:tcPr>
          <w:p w14:paraId="6E1E82E6"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1 (0,7)</w:t>
            </w:r>
          </w:p>
        </w:tc>
      </w:tr>
      <w:tr w:rsidR="00A75091" w:rsidRPr="00CE778C" w14:paraId="21C620DB" w14:textId="77777777" w:rsidTr="00CE778C">
        <w:trPr>
          <w:trHeight w:val="20"/>
        </w:trPr>
        <w:tc>
          <w:tcPr>
            <w:tcW w:w="2136" w:type="pct"/>
            <w:tcBorders>
              <w:top w:val="single" w:sz="4" w:space="0" w:color="auto"/>
              <w:left w:val="single" w:sz="4" w:space="0" w:color="auto"/>
              <w:bottom w:val="single" w:sz="4" w:space="0" w:color="auto"/>
              <w:right w:val="single" w:sz="4" w:space="0" w:color="auto"/>
            </w:tcBorders>
            <w:hideMark/>
          </w:tcPr>
          <w:p w14:paraId="7CA4E366" w14:textId="77777777" w:rsidR="00A75091" w:rsidRPr="00CE778C" w:rsidRDefault="00A75091">
            <w:pPr>
              <w:ind w:left="589"/>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Dødelig LE (n, %)</w:t>
            </w:r>
          </w:p>
        </w:tc>
        <w:tc>
          <w:tcPr>
            <w:tcW w:w="1527" w:type="pct"/>
            <w:tcBorders>
              <w:top w:val="single" w:sz="4" w:space="0" w:color="auto"/>
              <w:left w:val="single" w:sz="4" w:space="0" w:color="auto"/>
              <w:bottom w:val="single" w:sz="4" w:space="0" w:color="auto"/>
              <w:right w:val="single" w:sz="4" w:space="0" w:color="auto"/>
            </w:tcBorders>
            <w:hideMark/>
          </w:tcPr>
          <w:p w14:paraId="5CB4BA7C"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0</w:t>
            </w:r>
          </w:p>
        </w:tc>
        <w:tc>
          <w:tcPr>
            <w:tcW w:w="1337" w:type="pct"/>
            <w:tcBorders>
              <w:top w:val="single" w:sz="4" w:space="0" w:color="auto"/>
              <w:left w:val="single" w:sz="4" w:space="0" w:color="auto"/>
              <w:bottom w:val="single" w:sz="4" w:space="0" w:color="auto"/>
              <w:right w:val="single" w:sz="4" w:space="0" w:color="auto"/>
            </w:tcBorders>
            <w:hideMark/>
          </w:tcPr>
          <w:p w14:paraId="1C631FC2"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0</w:t>
            </w:r>
          </w:p>
        </w:tc>
      </w:tr>
      <w:tr w:rsidR="00A75091" w:rsidRPr="00CE778C" w14:paraId="1B88289D" w14:textId="77777777" w:rsidTr="00CE778C">
        <w:trPr>
          <w:trHeight w:val="20"/>
        </w:trPr>
        <w:tc>
          <w:tcPr>
            <w:tcW w:w="2136" w:type="pct"/>
            <w:tcBorders>
              <w:top w:val="single" w:sz="4" w:space="0" w:color="auto"/>
              <w:left w:val="single" w:sz="4" w:space="0" w:color="auto"/>
              <w:bottom w:val="single" w:sz="4" w:space="0" w:color="auto"/>
              <w:right w:val="single" w:sz="4" w:space="0" w:color="auto"/>
            </w:tcBorders>
            <w:hideMark/>
          </w:tcPr>
          <w:p w14:paraId="48E7410F" w14:textId="77777777" w:rsidR="00A75091" w:rsidRPr="00CE778C" w:rsidRDefault="00A75091">
            <w:pPr>
              <w:ind w:left="589"/>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Ikke-dødelig LE (n, %)</w:t>
            </w:r>
          </w:p>
        </w:tc>
        <w:tc>
          <w:tcPr>
            <w:tcW w:w="1527" w:type="pct"/>
            <w:tcBorders>
              <w:top w:val="single" w:sz="4" w:space="0" w:color="auto"/>
              <w:left w:val="single" w:sz="4" w:space="0" w:color="auto"/>
              <w:bottom w:val="single" w:sz="4" w:space="0" w:color="auto"/>
              <w:right w:val="single" w:sz="4" w:space="0" w:color="auto"/>
            </w:tcBorders>
            <w:hideMark/>
          </w:tcPr>
          <w:p w14:paraId="6AB7AB92"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0</w:t>
            </w:r>
          </w:p>
        </w:tc>
        <w:tc>
          <w:tcPr>
            <w:tcW w:w="1337" w:type="pct"/>
            <w:tcBorders>
              <w:top w:val="single" w:sz="4" w:space="0" w:color="auto"/>
              <w:left w:val="single" w:sz="4" w:space="0" w:color="auto"/>
              <w:bottom w:val="single" w:sz="4" w:space="0" w:color="auto"/>
              <w:right w:val="single" w:sz="4" w:space="0" w:color="auto"/>
            </w:tcBorders>
            <w:hideMark/>
          </w:tcPr>
          <w:p w14:paraId="233DF90D"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1 (0,7)</w:t>
            </w:r>
          </w:p>
        </w:tc>
      </w:tr>
      <w:tr w:rsidR="00A75091" w:rsidRPr="00CE778C" w14:paraId="47BA9F62" w14:textId="77777777" w:rsidTr="00CE778C">
        <w:trPr>
          <w:trHeight w:val="20"/>
        </w:trPr>
        <w:tc>
          <w:tcPr>
            <w:tcW w:w="2136" w:type="pct"/>
            <w:tcBorders>
              <w:top w:val="single" w:sz="4" w:space="0" w:color="auto"/>
              <w:left w:val="single" w:sz="4" w:space="0" w:color="auto"/>
              <w:bottom w:val="single" w:sz="4" w:space="0" w:color="auto"/>
              <w:right w:val="single" w:sz="4" w:space="0" w:color="auto"/>
            </w:tcBorders>
            <w:hideMark/>
          </w:tcPr>
          <w:p w14:paraId="518ACE0D" w14:textId="77777777" w:rsidR="00A75091" w:rsidRPr="00CE778C" w:rsidRDefault="00A75091">
            <w:pP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Kun DVT (n, %)</w:t>
            </w:r>
          </w:p>
        </w:tc>
        <w:tc>
          <w:tcPr>
            <w:tcW w:w="1527" w:type="pct"/>
            <w:tcBorders>
              <w:top w:val="single" w:sz="4" w:space="0" w:color="auto"/>
              <w:left w:val="single" w:sz="4" w:space="0" w:color="auto"/>
              <w:bottom w:val="single" w:sz="4" w:space="0" w:color="auto"/>
              <w:right w:val="single" w:sz="4" w:space="0" w:color="auto"/>
            </w:tcBorders>
            <w:hideMark/>
          </w:tcPr>
          <w:p w14:paraId="550F9958"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5 (3,4)</w:t>
            </w:r>
          </w:p>
        </w:tc>
        <w:tc>
          <w:tcPr>
            <w:tcW w:w="1337" w:type="pct"/>
            <w:tcBorders>
              <w:top w:val="single" w:sz="4" w:space="0" w:color="auto"/>
              <w:left w:val="single" w:sz="4" w:space="0" w:color="auto"/>
              <w:bottom w:val="single" w:sz="4" w:space="0" w:color="auto"/>
              <w:right w:val="single" w:sz="4" w:space="0" w:color="auto"/>
            </w:tcBorders>
            <w:hideMark/>
          </w:tcPr>
          <w:p w14:paraId="527AAFE4"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1 (0,7)</w:t>
            </w:r>
          </w:p>
        </w:tc>
      </w:tr>
      <w:tr w:rsidR="00A75091" w:rsidRPr="00CE778C" w14:paraId="4046954F" w14:textId="77777777" w:rsidTr="00CE778C">
        <w:trPr>
          <w:trHeight w:val="20"/>
        </w:trPr>
        <w:tc>
          <w:tcPr>
            <w:tcW w:w="2136" w:type="pct"/>
            <w:tcBorders>
              <w:top w:val="single" w:sz="4" w:space="0" w:color="auto"/>
              <w:left w:val="single" w:sz="4" w:space="0" w:color="auto"/>
              <w:bottom w:val="single" w:sz="4" w:space="0" w:color="auto"/>
              <w:right w:val="single" w:sz="4" w:space="0" w:color="auto"/>
            </w:tcBorders>
            <w:hideMark/>
          </w:tcPr>
          <w:p w14:paraId="5D815F79" w14:textId="77777777" w:rsidR="00A75091" w:rsidRPr="00CE778C" w:rsidRDefault="00A75091">
            <w:pPr>
              <w:ind w:left="589"/>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Dødelig DVT (n, %)</w:t>
            </w:r>
          </w:p>
        </w:tc>
        <w:tc>
          <w:tcPr>
            <w:tcW w:w="1527" w:type="pct"/>
            <w:tcBorders>
              <w:top w:val="single" w:sz="4" w:space="0" w:color="auto"/>
              <w:left w:val="single" w:sz="4" w:space="0" w:color="auto"/>
              <w:bottom w:val="single" w:sz="4" w:space="0" w:color="auto"/>
              <w:right w:val="single" w:sz="4" w:space="0" w:color="auto"/>
            </w:tcBorders>
            <w:hideMark/>
          </w:tcPr>
          <w:p w14:paraId="47387BE0"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0</w:t>
            </w:r>
          </w:p>
        </w:tc>
        <w:tc>
          <w:tcPr>
            <w:tcW w:w="1337" w:type="pct"/>
            <w:tcBorders>
              <w:top w:val="single" w:sz="4" w:space="0" w:color="auto"/>
              <w:left w:val="single" w:sz="4" w:space="0" w:color="auto"/>
              <w:bottom w:val="single" w:sz="4" w:space="0" w:color="auto"/>
              <w:right w:val="single" w:sz="4" w:space="0" w:color="auto"/>
            </w:tcBorders>
            <w:hideMark/>
          </w:tcPr>
          <w:p w14:paraId="5CF50ED3"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0</w:t>
            </w:r>
          </w:p>
        </w:tc>
      </w:tr>
      <w:tr w:rsidR="00A75091" w:rsidRPr="00CE778C" w14:paraId="372FE425" w14:textId="77777777" w:rsidTr="00CE778C">
        <w:trPr>
          <w:trHeight w:val="20"/>
        </w:trPr>
        <w:tc>
          <w:tcPr>
            <w:tcW w:w="2136" w:type="pct"/>
            <w:tcBorders>
              <w:top w:val="single" w:sz="4" w:space="0" w:color="auto"/>
              <w:left w:val="single" w:sz="4" w:space="0" w:color="auto"/>
              <w:bottom w:val="single" w:sz="4" w:space="0" w:color="auto"/>
              <w:right w:val="single" w:sz="4" w:space="0" w:color="auto"/>
            </w:tcBorders>
            <w:hideMark/>
          </w:tcPr>
          <w:p w14:paraId="6EDADDAD" w14:textId="77777777" w:rsidR="00A75091" w:rsidRPr="00CE778C" w:rsidRDefault="00A75091">
            <w:pPr>
              <w:ind w:left="589"/>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Ikke-dødelig DVT (n, %)</w:t>
            </w:r>
          </w:p>
        </w:tc>
        <w:tc>
          <w:tcPr>
            <w:tcW w:w="1527" w:type="pct"/>
            <w:tcBorders>
              <w:top w:val="single" w:sz="4" w:space="0" w:color="auto"/>
              <w:left w:val="single" w:sz="4" w:space="0" w:color="auto"/>
              <w:bottom w:val="single" w:sz="4" w:space="0" w:color="auto"/>
              <w:right w:val="single" w:sz="4" w:space="0" w:color="auto"/>
            </w:tcBorders>
            <w:hideMark/>
          </w:tcPr>
          <w:p w14:paraId="5D7717DA"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4 (2,8)</w:t>
            </w:r>
          </w:p>
        </w:tc>
        <w:tc>
          <w:tcPr>
            <w:tcW w:w="1337" w:type="pct"/>
            <w:tcBorders>
              <w:top w:val="single" w:sz="4" w:space="0" w:color="auto"/>
              <w:left w:val="single" w:sz="4" w:space="0" w:color="auto"/>
              <w:bottom w:val="single" w:sz="4" w:space="0" w:color="auto"/>
              <w:right w:val="single" w:sz="4" w:space="0" w:color="auto"/>
            </w:tcBorders>
            <w:hideMark/>
          </w:tcPr>
          <w:p w14:paraId="3CDAF683"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0</w:t>
            </w:r>
          </w:p>
        </w:tc>
      </w:tr>
      <w:tr w:rsidR="00A75091" w:rsidRPr="00CE778C" w14:paraId="57786158" w14:textId="77777777" w:rsidTr="00CE778C">
        <w:trPr>
          <w:trHeight w:val="20"/>
        </w:trPr>
        <w:tc>
          <w:tcPr>
            <w:tcW w:w="2136" w:type="pct"/>
            <w:tcBorders>
              <w:top w:val="single" w:sz="4" w:space="0" w:color="auto"/>
              <w:left w:val="single" w:sz="4" w:space="0" w:color="auto"/>
              <w:bottom w:val="single" w:sz="4" w:space="0" w:color="auto"/>
              <w:right w:val="single" w:sz="4" w:space="0" w:color="auto"/>
            </w:tcBorders>
            <w:hideMark/>
          </w:tcPr>
          <w:p w14:paraId="43503024" w14:textId="77777777" w:rsidR="00A75091" w:rsidRPr="00CE778C" w:rsidRDefault="00A75091">
            <w:pPr>
              <w:ind w:left="589"/>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Uforklarligt dødsfald, hvor VTE ikke kan udelukkes (n,%)</w:t>
            </w:r>
          </w:p>
        </w:tc>
        <w:tc>
          <w:tcPr>
            <w:tcW w:w="1527" w:type="pct"/>
            <w:tcBorders>
              <w:top w:val="single" w:sz="4" w:space="0" w:color="auto"/>
              <w:left w:val="single" w:sz="4" w:space="0" w:color="auto"/>
              <w:bottom w:val="single" w:sz="4" w:space="0" w:color="auto"/>
              <w:right w:val="single" w:sz="4" w:space="0" w:color="auto"/>
            </w:tcBorders>
            <w:hideMark/>
          </w:tcPr>
          <w:p w14:paraId="7653A09A"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1 (0,7)</w:t>
            </w:r>
          </w:p>
        </w:tc>
        <w:tc>
          <w:tcPr>
            <w:tcW w:w="1337" w:type="pct"/>
            <w:tcBorders>
              <w:top w:val="single" w:sz="4" w:space="0" w:color="auto"/>
              <w:left w:val="single" w:sz="4" w:space="0" w:color="auto"/>
              <w:bottom w:val="single" w:sz="4" w:space="0" w:color="auto"/>
              <w:right w:val="single" w:sz="4" w:space="0" w:color="auto"/>
            </w:tcBorders>
            <w:hideMark/>
          </w:tcPr>
          <w:p w14:paraId="014537C0"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1 (0,7)</w:t>
            </w:r>
          </w:p>
        </w:tc>
      </w:tr>
      <w:tr w:rsidR="00A75091" w:rsidRPr="00CE778C" w14:paraId="3A98394D" w14:textId="77777777" w:rsidTr="00CE778C">
        <w:trPr>
          <w:trHeight w:val="20"/>
        </w:trPr>
        <w:tc>
          <w:tcPr>
            <w:tcW w:w="2136" w:type="pct"/>
            <w:tcBorders>
              <w:top w:val="single" w:sz="4" w:space="0" w:color="auto"/>
              <w:left w:val="single" w:sz="4" w:space="0" w:color="auto"/>
              <w:bottom w:val="single" w:sz="4" w:space="0" w:color="auto"/>
              <w:right w:val="single" w:sz="4" w:space="0" w:color="auto"/>
            </w:tcBorders>
            <w:hideMark/>
          </w:tcPr>
          <w:p w14:paraId="403B4755" w14:textId="77777777" w:rsidR="00A75091" w:rsidRPr="00CE778C" w:rsidRDefault="00A75091">
            <w:pP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Ingen ændring eller øgning i</w:t>
            </w:r>
          </w:p>
          <w:p w14:paraId="3D2C6F6E" w14:textId="77777777" w:rsidR="00A75091" w:rsidRPr="00CE778C" w:rsidRDefault="00A75091">
            <w:pP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trombosebyrde baseret på scanning (n,%)</w:t>
            </w:r>
          </w:p>
        </w:tc>
        <w:tc>
          <w:tcPr>
            <w:tcW w:w="1527" w:type="pct"/>
            <w:tcBorders>
              <w:top w:val="single" w:sz="4" w:space="0" w:color="auto"/>
              <w:left w:val="single" w:sz="4" w:space="0" w:color="auto"/>
              <w:bottom w:val="single" w:sz="4" w:space="0" w:color="auto"/>
              <w:right w:val="single" w:sz="4" w:space="0" w:color="auto"/>
            </w:tcBorders>
            <w:hideMark/>
          </w:tcPr>
          <w:p w14:paraId="6CBBA9D9"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21 (14,5)</w:t>
            </w:r>
          </w:p>
        </w:tc>
        <w:tc>
          <w:tcPr>
            <w:tcW w:w="1337" w:type="pct"/>
            <w:tcBorders>
              <w:top w:val="single" w:sz="4" w:space="0" w:color="auto"/>
              <w:left w:val="single" w:sz="4" w:space="0" w:color="auto"/>
              <w:bottom w:val="single" w:sz="4" w:space="0" w:color="auto"/>
              <w:right w:val="single" w:sz="4" w:space="0" w:color="auto"/>
            </w:tcBorders>
            <w:hideMark/>
          </w:tcPr>
          <w:p w14:paraId="766FD055"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29 (20,6)</w:t>
            </w:r>
          </w:p>
        </w:tc>
      </w:tr>
      <w:tr w:rsidR="00A75091" w:rsidRPr="00CE778C" w14:paraId="1042A673" w14:textId="77777777" w:rsidTr="00CE778C">
        <w:trPr>
          <w:trHeight w:val="20"/>
        </w:trPr>
        <w:tc>
          <w:tcPr>
            <w:tcW w:w="2136" w:type="pct"/>
            <w:tcBorders>
              <w:top w:val="single" w:sz="4" w:space="0" w:color="auto"/>
              <w:left w:val="single" w:sz="4" w:space="0" w:color="auto"/>
              <w:bottom w:val="single" w:sz="4" w:space="0" w:color="auto"/>
              <w:right w:val="single" w:sz="4" w:space="0" w:color="auto"/>
            </w:tcBorders>
            <w:hideMark/>
          </w:tcPr>
          <w:p w14:paraId="7CDB1284" w14:textId="77777777" w:rsidR="00A75091" w:rsidRPr="00CE778C" w:rsidRDefault="00A75091">
            <w:pP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Hazard ratio</w:t>
            </w:r>
            <w:r w:rsidRPr="00CE778C">
              <w:rPr>
                <w:rFonts w:ascii="Times New Roman" w:eastAsia="TimesNewRoman" w:hAnsi="Times New Roman"/>
                <w:sz w:val="24"/>
                <w:szCs w:val="24"/>
                <w:vertAlign w:val="superscript"/>
                <w:lang w:eastAsia="ru-RU"/>
              </w:rPr>
              <w:t>a</w:t>
            </w:r>
          </w:p>
        </w:tc>
        <w:tc>
          <w:tcPr>
            <w:tcW w:w="1527" w:type="pct"/>
            <w:tcBorders>
              <w:top w:val="single" w:sz="4" w:space="0" w:color="auto"/>
              <w:left w:val="single" w:sz="4" w:space="0" w:color="auto"/>
              <w:bottom w:val="single" w:sz="4" w:space="0" w:color="auto"/>
              <w:right w:val="single" w:sz="4" w:space="0" w:color="auto"/>
            </w:tcBorders>
            <w:hideMark/>
          </w:tcPr>
          <w:p w14:paraId="7B624018"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1,01</w:t>
            </w:r>
          </w:p>
        </w:tc>
        <w:tc>
          <w:tcPr>
            <w:tcW w:w="1337" w:type="pct"/>
            <w:tcBorders>
              <w:top w:val="single" w:sz="4" w:space="0" w:color="auto"/>
              <w:left w:val="single" w:sz="4" w:space="0" w:color="auto"/>
              <w:bottom w:val="single" w:sz="4" w:space="0" w:color="auto"/>
              <w:right w:val="single" w:sz="4" w:space="0" w:color="auto"/>
            </w:tcBorders>
            <w:hideMark/>
          </w:tcPr>
          <w:p w14:paraId="0341D986"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w:t>
            </w:r>
          </w:p>
        </w:tc>
      </w:tr>
      <w:tr w:rsidR="00A75091" w:rsidRPr="00CE778C" w14:paraId="214B028C" w14:textId="77777777" w:rsidTr="00CE778C">
        <w:trPr>
          <w:trHeight w:val="20"/>
        </w:trPr>
        <w:tc>
          <w:tcPr>
            <w:tcW w:w="2136" w:type="pct"/>
            <w:tcBorders>
              <w:top w:val="single" w:sz="4" w:space="0" w:color="auto"/>
              <w:left w:val="single" w:sz="4" w:space="0" w:color="auto"/>
              <w:bottom w:val="single" w:sz="4" w:space="0" w:color="auto"/>
              <w:right w:val="single" w:sz="4" w:space="0" w:color="auto"/>
            </w:tcBorders>
            <w:hideMark/>
          </w:tcPr>
          <w:p w14:paraId="67F8492B" w14:textId="77777777" w:rsidR="00A75091" w:rsidRPr="00CE778C" w:rsidRDefault="00A75091">
            <w:pP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2-sidet 95 % CI for hazard ratio</w:t>
            </w:r>
          </w:p>
        </w:tc>
        <w:tc>
          <w:tcPr>
            <w:tcW w:w="1527" w:type="pct"/>
            <w:tcBorders>
              <w:top w:val="single" w:sz="4" w:space="0" w:color="auto"/>
              <w:left w:val="single" w:sz="4" w:space="0" w:color="auto"/>
              <w:bottom w:val="single" w:sz="4" w:space="0" w:color="auto"/>
              <w:right w:val="single" w:sz="4" w:space="0" w:color="auto"/>
            </w:tcBorders>
            <w:hideMark/>
          </w:tcPr>
          <w:p w14:paraId="3B1BDABA"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(0,59; 1,72)</w:t>
            </w:r>
          </w:p>
        </w:tc>
        <w:tc>
          <w:tcPr>
            <w:tcW w:w="1337" w:type="pct"/>
            <w:tcBorders>
              <w:top w:val="single" w:sz="4" w:space="0" w:color="auto"/>
              <w:left w:val="single" w:sz="4" w:space="0" w:color="auto"/>
              <w:bottom w:val="single" w:sz="4" w:space="0" w:color="auto"/>
              <w:right w:val="single" w:sz="4" w:space="0" w:color="auto"/>
            </w:tcBorders>
            <w:hideMark/>
          </w:tcPr>
          <w:p w14:paraId="36A2DED3" w14:textId="77777777" w:rsidR="00A75091" w:rsidRPr="00CE778C" w:rsidRDefault="00A75091">
            <w:pPr>
              <w:jc w:val="center"/>
              <w:rPr>
                <w:rFonts w:ascii="Times New Roman" w:eastAsia="TimesNewRoman" w:hAnsi="Times New Roman"/>
                <w:sz w:val="24"/>
                <w:szCs w:val="24"/>
                <w:lang w:eastAsia="ru-RU"/>
              </w:rPr>
            </w:pPr>
            <w:r w:rsidRPr="00CE778C">
              <w:rPr>
                <w:rFonts w:ascii="Times New Roman" w:eastAsia="TimesNewRoman" w:hAnsi="Times New Roman"/>
                <w:sz w:val="24"/>
                <w:szCs w:val="24"/>
                <w:lang w:eastAsia="ru-RU"/>
              </w:rPr>
              <w:t>-</w:t>
            </w:r>
          </w:p>
        </w:tc>
      </w:tr>
    </w:tbl>
    <w:p w14:paraId="55AD69AF" w14:textId="77777777" w:rsidR="00A75091" w:rsidRPr="00CE778C" w:rsidRDefault="00A75091" w:rsidP="00A75091">
      <w:pPr>
        <w:pStyle w:val="Brdtekst"/>
        <w:suppressAutoHyphens/>
        <w:kinsoku w:val="0"/>
        <w:overflowPunct w:val="0"/>
        <w:ind w:left="0"/>
      </w:pPr>
      <w:r w:rsidRPr="00CE778C">
        <w:t>CI = konfidensinterval; DVT = dyb venetrombose; mITT = modificeret Intent-to-Treat; LE =</w:t>
      </w:r>
    </w:p>
    <w:p w14:paraId="78BC3A95" w14:textId="77777777" w:rsidR="00A75091" w:rsidRPr="00CE778C" w:rsidRDefault="00A75091" w:rsidP="00A75091">
      <w:pPr>
        <w:pStyle w:val="Brdtekst"/>
        <w:suppressAutoHyphens/>
        <w:kinsoku w:val="0"/>
        <w:overflowPunct w:val="0"/>
        <w:ind w:left="0"/>
      </w:pPr>
      <w:r w:rsidRPr="00CE778C">
        <w:t>lungeemboli; VTE = venøs tromboemboli.</w:t>
      </w:r>
    </w:p>
    <w:p w14:paraId="6820686D" w14:textId="77777777" w:rsidR="00A75091" w:rsidRPr="00CE778C" w:rsidRDefault="00A75091" w:rsidP="00A75091">
      <w:pPr>
        <w:pStyle w:val="Brdtekst"/>
        <w:suppressAutoHyphens/>
        <w:kinsoku w:val="0"/>
        <w:overflowPunct w:val="0"/>
        <w:ind w:left="0"/>
      </w:pPr>
      <w:r w:rsidRPr="00CE778C">
        <w:rPr>
          <w:vertAlign w:val="superscript"/>
        </w:rPr>
        <w:t>a</w:t>
      </w:r>
      <w:r w:rsidRPr="00CE778C">
        <w:t xml:space="preserve"> Hazard ratio for edoxaban i forhold til standardbehandling.</w:t>
      </w:r>
    </w:p>
    <w:p w14:paraId="3E531901" w14:textId="77777777" w:rsidR="00A75091" w:rsidRPr="00CE778C" w:rsidRDefault="00A75091" w:rsidP="00A75091">
      <w:pPr>
        <w:pStyle w:val="Brdtekst"/>
        <w:suppressAutoHyphens/>
        <w:kinsoku w:val="0"/>
        <w:overflowPunct w:val="0"/>
        <w:ind w:left="0"/>
      </w:pPr>
      <w:r w:rsidRPr="00CE778C">
        <w:t>Bemærk: Det adjudikerede sammensatte primære endepunkt for virkning inkluderer symptomatisk</w:t>
      </w:r>
    </w:p>
    <w:p w14:paraId="4D6FD2D4" w14:textId="5467C2B9" w:rsidR="00A75091" w:rsidRPr="00CE778C" w:rsidRDefault="00A75091" w:rsidP="00A75091">
      <w:pPr>
        <w:pStyle w:val="Brdtekst"/>
        <w:suppressAutoHyphens/>
        <w:kinsoku w:val="0"/>
        <w:overflowPunct w:val="0"/>
        <w:ind w:left="0"/>
      </w:pPr>
      <w:r w:rsidRPr="00CE778C">
        <w:t>recidiverende VTE, død som følge af VTE og ingen ændring eller øgning i trombosebyrde baseret på</w:t>
      </w:r>
      <w:r w:rsidR="004D17AE">
        <w:t xml:space="preserve"> </w:t>
      </w:r>
      <w:r w:rsidRPr="00CE778C">
        <w:t>scanning.</w:t>
      </w:r>
    </w:p>
    <w:p w14:paraId="55F7EBA0" w14:textId="77777777" w:rsidR="00A75091" w:rsidRPr="00CE778C" w:rsidRDefault="00A75091" w:rsidP="00A75091">
      <w:pPr>
        <w:pStyle w:val="Brdtekst"/>
        <w:widowControl/>
        <w:suppressAutoHyphens/>
        <w:kinsoku w:val="0"/>
        <w:overflowPunct w:val="0"/>
        <w:ind w:left="0"/>
      </w:pPr>
      <w:r w:rsidRPr="00CE778C">
        <w:t>Bemærk: Hovedbehandlingsperioden er defineret som fra randomisering til måned 3-besøget + 3 dage.</w:t>
      </w:r>
    </w:p>
    <w:p w14:paraId="23174673" w14:textId="77777777" w:rsidR="00A75091" w:rsidRPr="00CE778C" w:rsidRDefault="00A75091" w:rsidP="00CE778C">
      <w:pPr>
        <w:ind w:left="851"/>
        <w:rPr>
          <w:sz w:val="24"/>
          <w:szCs w:val="24"/>
        </w:rPr>
      </w:pPr>
    </w:p>
    <w:p w14:paraId="4EF65DC7" w14:textId="77777777" w:rsidR="00A75091" w:rsidRPr="00CE778C" w:rsidRDefault="00A75091" w:rsidP="00CE778C">
      <w:pPr>
        <w:ind w:left="851"/>
        <w:rPr>
          <w:sz w:val="24"/>
          <w:szCs w:val="24"/>
        </w:rPr>
      </w:pPr>
      <w:r w:rsidRPr="00CE778C">
        <w:rPr>
          <w:sz w:val="24"/>
          <w:szCs w:val="24"/>
        </w:rPr>
        <w:t>Det primære endepunkt for sikkerhed var en kombination af hændelser med svær blødning og CRNMblødning (3 måneder + 3 dage).</w:t>
      </w:r>
    </w:p>
    <w:p w14:paraId="5C787761" w14:textId="77777777" w:rsidR="00A75091" w:rsidRPr="00CE778C" w:rsidRDefault="00A75091" w:rsidP="00CE778C">
      <w:pPr>
        <w:ind w:left="851"/>
        <w:rPr>
          <w:sz w:val="24"/>
          <w:szCs w:val="24"/>
        </w:rPr>
      </w:pPr>
    </w:p>
    <w:p w14:paraId="46017B59" w14:textId="0DC9793E" w:rsidR="00A75091" w:rsidRPr="00CE778C" w:rsidRDefault="00A75091" w:rsidP="00CE778C">
      <w:pPr>
        <w:ind w:left="851"/>
        <w:rPr>
          <w:sz w:val="24"/>
          <w:szCs w:val="24"/>
        </w:rPr>
      </w:pPr>
      <w:r w:rsidRPr="00CE778C">
        <w:rPr>
          <w:sz w:val="24"/>
          <w:szCs w:val="24"/>
        </w:rPr>
        <w:t>Sikkerhedsresultaterne var sammenlignelige for edoxaban- og kontrolgruppen, som fik standardbehandling. I alt 3 (2,1 %) forsøgspersoner i edoxaban-gruppen og 5 (3,5 %) forsøgspersoner i</w:t>
      </w:r>
      <w:r w:rsidR="004D17AE">
        <w:rPr>
          <w:sz w:val="24"/>
          <w:szCs w:val="24"/>
        </w:rPr>
        <w:t xml:space="preserve"> </w:t>
      </w:r>
      <w:r w:rsidRPr="00CE778C">
        <w:rPr>
          <w:sz w:val="24"/>
          <w:szCs w:val="24"/>
        </w:rPr>
        <w:t>kontrolgruppen havde mindst 1 adjudikeret bekræftet hændelse med svær blødning og CRNMblødning</w:t>
      </w:r>
      <w:r w:rsidR="004D17AE">
        <w:rPr>
          <w:sz w:val="24"/>
          <w:szCs w:val="24"/>
        </w:rPr>
        <w:t xml:space="preserve"> </w:t>
      </w:r>
      <w:r w:rsidRPr="00CE778C">
        <w:rPr>
          <w:sz w:val="24"/>
          <w:szCs w:val="24"/>
        </w:rPr>
        <w:t>i løbet af hovedbehandlingsperioden og under behandlingen [HR (95 % CI): 0,60 (0,139; 2,597)].</w:t>
      </w:r>
    </w:p>
    <w:p w14:paraId="6E24130D" w14:textId="757A9E23" w:rsidR="00BC493D" w:rsidRDefault="00BC493D">
      <w:pPr>
        <w:rPr>
          <w:sz w:val="24"/>
          <w:szCs w:val="24"/>
        </w:rPr>
      </w:pPr>
      <w:r>
        <w:rPr>
          <w:sz w:val="24"/>
          <w:szCs w:val="24"/>
        </w:rPr>
        <w:br w:type="page"/>
      </w:r>
    </w:p>
    <w:p w14:paraId="7C11A091" w14:textId="77777777" w:rsidR="009260DE" w:rsidRPr="00CE778C" w:rsidRDefault="009260DE" w:rsidP="009260DE">
      <w:pPr>
        <w:tabs>
          <w:tab w:val="left" w:pos="851"/>
        </w:tabs>
        <w:ind w:left="851"/>
        <w:rPr>
          <w:sz w:val="24"/>
          <w:szCs w:val="24"/>
        </w:rPr>
      </w:pPr>
    </w:p>
    <w:p w14:paraId="78FBC22B" w14:textId="77777777" w:rsidR="009260DE" w:rsidRPr="00CE778C" w:rsidRDefault="009260DE" w:rsidP="009260DE">
      <w:pPr>
        <w:tabs>
          <w:tab w:val="left" w:pos="851"/>
        </w:tabs>
        <w:ind w:left="851" w:hanging="851"/>
        <w:rPr>
          <w:b/>
          <w:sz w:val="24"/>
          <w:szCs w:val="24"/>
        </w:rPr>
      </w:pPr>
      <w:r w:rsidRPr="00CE778C">
        <w:rPr>
          <w:b/>
          <w:sz w:val="24"/>
          <w:szCs w:val="24"/>
        </w:rPr>
        <w:t>5.2</w:t>
      </w:r>
      <w:r w:rsidRPr="00CE778C">
        <w:rPr>
          <w:b/>
          <w:sz w:val="24"/>
          <w:szCs w:val="24"/>
        </w:rPr>
        <w:tab/>
        <w:t>Farmakokinetiske egenskaber</w:t>
      </w:r>
    </w:p>
    <w:p w14:paraId="114E2121" w14:textId="77777777" w:rsidR="004D17AE" w:rsidRDefault="004D17AE" w:rsidP="00CE778C">
      <w:pPr>
        <w:ind w:left="851"/>
        <w:rPr>
          <w:sz w:val="24"/>
          <w:szCs w:val="24"/>
        </w:rPr>
      </w:pPr>
    </w:p>
    <w:p w14:paraId="44B75DB8" w14:textId="053D074F" w:rsidR="00A75091" w:rsidRPr="004D17AE" w:rsidRDefault="00A75091" w:rsidP="00CE778C">
      <w:pPr>
        <w:ind w:left="851"/>
        <w:rPr>
          <w:sz w:val="24"/>
          <w:szCs w:val="24"/>
          <w:u w:val="single"/>
        </w:rPr>
      </w:pPr>
      <w:r w:rsidRPr="004D17AE">
        <w:rPr>
          <w:sz w:val="24"/>
          <w:szCs w:val="24"/>
          <w:u w:val="single"/>
        </w:rPr>
        <w:t>Absorption</w:t>
      </w:r>
    </w:p>
    <w:p w14:paraId="4993231A" w14:textId="77777777" w:rsidR="00A75091" w:rsidRPr="00CE778C" w:rsidRDefault="00A75091" w:rsidP="00CE778C">
      <w:pPr>
        <w:ind w:left="851"/>
        <w:rPr>
          <w:sz w:val="24"/>
          <w:szCs w:val="24"/>
        </w:rPr>
      </w:pPr>
    </w:p>
    <w:p w14:paraId="094D4DBC" w14:textId="40F332AC" w:rsidR="00A75091" w:rsidRPr="00CE778C" w:rsidRDefault="00A75091" w:rsidP="00CE778C">
      <w:pPr>
        <w:ind w:left="851"/>
        <w:rPr>
          <w:sz w:val="24"/>
          <w:szCs w:val="24"/>
        </w:rPr>
      </w:pPr>
      <w:r w:rsidRPr="00CE778C">
        <w:rPr>
          <w:sz w:val="24"/>
          <w:szCs w:val="24"/>
        </w:rPr>
        <w:t>Edoxaban absorberes med maksimale plasmakoncentrationer i løbet af 1 - 2 timer efter oral administration af edoxaban-tabletter. Den absolutte biotilgængelighed er ca. 62 %. Mad øger den maksimale eksponering for edoxaban-tabletter i varierende grad, men det har en minimal virkning på</w:t>
      </w:r>
      <w:r w:rsidR="004D17AE">
        <w:rPr>
          <w:sz w:val="24"/>
          <w:szCs w:val="24"/>
        </w:rPr>
        <w:t xml:space="preserve"> </w:t>
      </w:r>
      <w:r w:rsidRPr="00CE778C">
        <w:rPr>
          <w:sz w:val="24"/>
          <w:szCs w:val="24"/>
        </w:rPr>
        <w:t>den totale eksponering. Edoxaban blev administreret sammen med eller uden mad i ENGAGE AFTIMI</w:t>
      </w:r>
      <w:r w:rsidR="004D17AE">
        <w:rPr>
          <w:sz w:val="24"/>
          <w:szCs w:val="24"/>
        </w:rPr>
        <w:t xml:space="preserve"> </w:t>
      </w:r>
      <w:r w:rsidRPr="00CE778C">
        <w:rPr>
          <w:sz w:val="24"/>
          <w:szCs w:val="24"/>
        </w:rPr>
        <w:t>48- og Hokusai-VTE-studierne samt pædiatriske studier af virkning og sikkerhed. Edoxaban er dårligt opløseligt ved pH på 6.0 eller derover. Samtidig administration af protonpumpehæmmere gav ingen relevant påvirkning af eksponeringen for edoxaban.</w:t>
      </w:r>
    </w:p>
    <w:p w14:paraId="75ABE80E" w14:textId="77777777" w:rsidR="00A75091" w:rsidRPr="00CE778C" w:rsidRDefault="00A75091" w:rsidP="00CE778C">
      <w:pPr>
        <w:ind w:left="851"/>
        <w:rPr>
          <w:sz w:val="24"/>
          <w:szCs w:val="24"/>
        </w:rPr>
      </w:pPr>
    </w:p>
    <w:p w14:paraId="5EF25B38" w14:textId="6CD46AAC" w:rsidR="00A75091" w:rsidRPr="00CE778C" w:rsidRDefault="00A75091" w:rsidP="00CE778C">
      <w:pPr>
        <w:ind w:left="851"/>
        <w:rPr>
          <w:sz w:val="24"/>
          <w:szCs w:val="24"/>
        </w:rPr>
      </w:pPr>
      <w:r w:rsidRPr="00CE778C">
        <w:rPr>
          <w:sz w:val="24"/>
          <w:szCs w:val="24"/>
        </w:rPr>
        <w:t>I et studie med 30 raske personer var gennemsnitlige værdier for både AUC og C</w:t>
      </w:r>
      <w:r w:rsidRPr="00CE778C">
        <w:rPr>
          <w:sz w:val="24"/>
          <w:szCs w:val="24"/>
          <w:vertAlign w:val="subscript"/>
        </w:rPr>
        <w:t>max</w:t>
      </w:r>
      <w:r w:rsidRPr="00CE778C">
        <w:rPr>
          <w:sz w:val="24"/>
          <w:szCs w:val="24"/>
        </w:rPr>
        <w:t xml:space="preserve"> for 60</w:t>
      </w:r>
      <w:r w:rsidR="00BC493D">
        <w:rPr>
          <w:sz w:val="24"/>
          <w:szCs w:val="24"/>
        </w:rPr>
        <w:t> </w:t>
      </w:r>
      <w:r w:rsidRPr="00CE778C">
        <w:rPr>
          <w:sz w:val="24"/>
          <w:szCs w:val="24"/>
        </w:rPr>
        <w:t>mg edoxaban administreret som en knust tablet oralt, blandet med æblemos eller opslæmmet i vand via en nasogastrisk sonde, bioækvivalente med den intakte tablet. På baggrund af den forventede, dosisproportionale farmakokinetiske profil for edoxaban er det sandsynligt, at biotilgængelighedsresultaterne fra dette studie er gældende for lavere edoxabandoser.</w:t>
      </w:r>
    </w:p>
    <w:p w14:paraId="0CAF4479" w14:textId="77777777" w:rsidR="004D17AE" w:rsidRDefault="004D17AE" w:rsidP="00CE778C">
      <w:pPr>
        <w:ind w:left="851"/>
        <w:rPr>
          <w:sz w:val="24"/>
          <w:szCs w:val="24"/>
        </w:rPr>
      </w:pPr>
    </w:p>
    <w:p w14:paraId="12A2502F" w14:textId="4CEBC9F3" w:rsidR="00A75091" w:rsidRPr="004D17AE" w:rsidRDefault="00A75091" w:rsidP="00CE778C">
      <w:pPr>
        <w:ind w:left="851"/>
        <w:rPr>
          <w:sz w:val="24"/>
          <w:szCs w:val="24"/>
          <w:u w:val="single"/>
        </w:rPr>
      </w:pPr>
      <w:r w:rsidRPr="004D17AE">
        <w:rPr>
          <w:sz w:val="24"/>
          <w:szCs w:val="24"/>
          <w:u w:val="single"/>
        </w:rPr>
        <w:t>Fordeling</w:t>
      </w:r>
    </w:p>
    <w:p w14:paraId="77EAD092" w14:textId="77777777" w:rsidR="00A75091" w:rsidRPr="00CE778C" w:rsidRDefault="00A75091" w:rsidP="00CE778C">
      <w:pPr>
        <w:ind w:left="851"/>
        <w:rPr>
          <w:sz w:val="24"/>
          <w:szCs w:val="24"/>
        </w:rPr>
      </w:pPr>
    </w:p>
    <w:p w14:paraId="06506568" w14:textId="77777777" w:rsidR="00A75091" w:rsidRPr="00CE778C" w:rsidRDefault="00A75091" w:rsidP="00CE778C">
      <w:pPr>
        <w:ind w:left="851"/>
        <w:rPr>
          <w:sz w:val="24"/>
          <w:szCs w:val="24"/>
        </w:rPr>
      </w:pPr>
      <w:r w:rsidRPr="00CE778C">
        <w:rPr>
          <w:sz w:val="24"/>
          <w:szCs w:val="24"/>
        </w:rPr>
        <w:t>Dispositionen er bifasisk. Fordelingsvoluminet er 107 (19,9) L-gennemsnit (SD).</w:t>
      </w:r>
    </w:p>
    <w:p w14:paraId="554EFDB4" w14:textId="77777777" w:rsidR="00A75091" w:rsidRPr="00CE778C" w:rsidRDefault="00A75091" w:rsidP="00CE778C">
      <w:pPr>
        <w:ind w:left="851"/>
        <w:rPr>
          <w:sz w:val="24"/>
          <w:szCs w:val="24"/>
        </w:rPr>
      </w:pPr>
      <w:r w:rsidRPr="00CE778C">
        <w:rPr>
          <w:i/>
          <w:iCs/>
          <w:sz w:val="24"/>
          <w:szCs w:val="24"/>
        </w:rPr>
        <w:t>In-vitro</w:t>
      </w:r>
      <w:r w:rsidRPr="00CE778C">
        <w:rPr>
          <w:sz w:val="24"/>
          <w:szCs w:val="24"/>
        </w:rPr>
        <w:t xml:space="preserve"> plasma-proteinbindingsgraden er ca. 55 %. Der er ingen klinisk relevant akkumulation af edoxaban (akkumulationsforhold 1/14) med dosering en gang dagligt. Der opnås steady-statekoncentrationer i løbet af 3 dage.</w:t>
      </w:r>
    </w:p>
    <w:p w14:paraId="5267C1B3" w14:textId="77777777" w:rsidR="00A75091" w:rsidRPr="00CE778C" w:rsidRDefault="00A75091" w:rsidP="00CE778C">
      <w:pPr>
        <w:ind w:left="851"/>
        <w:rPr>
          <w:sz w:val="24"/>
          <w:szCs w:val="24"/>
        </w:rPr>
      </w:pPr>
    </w:p>
    <w:p w14:paraId="717ECBA9" w14:textId="77777777" w:rsidR="00A75091" w:rsidRPr="004D17AE" w:rsidRDefault="00A75091" w:rsidP="00CE778C">
      <w:pPr>
        <w:ind w:left="851"/>
        <w:rPr>
          <w:sz w:val="24"/>
          <w:szCs w:val="24"/>
          <w:u w:val="single"/>
        </w:rPr>
      </w:pPr>
      <w:r w:rsidRPr="004D17AE">
        <w:rPr>
          <w:sz w:val="24"/>
          <w:szCs w:val="24"/>
          <w:u w:val="single"/>
        </w:rPr>
        <w:t>Biotransformation</w:t>
      </w:r>
    </w:p>
    <w:p w14:paraId="28581838" w14:textId="77777777" w:rsidR="00A75091" w:rsidRPr="00CE778C" w:rsidRDefault="00A75091" w:rsidP="00CE778C">
      <w:pPr>
        <w:ind w:left="851"/>
        <w:rPr>
          <w:sz w:val="24"/>
          <w:szCs w:val="24"/>
        </w:rPr>
      </w:pPr>
    </w:p>
    <w:p w14:paraId="42EDA539" w14:textId="2C0D2A31" w:rsidR="00A75091" w:rsidRPr="00CE778C" w:rsidRDefault="00A75091" w:rsidP="00CE778C">
      <w:pPr>
        <w:ind w:left="851"/>
        <w:rPr>
          <w:sz w:val="24"/>
          <w:szCs w:val="24"/>
          <w:lang w:val="nb-NO"/>
        </w:rPr>
      </w:pPr>
      <w:r w:rsidRPr="00CE778C">
        <w:rPr>
          <w:sz w:val="24"/>
          <w:szCs w:val="24"/>
        </w:rPr>
        <w:t>Uændret edoxaban er den primære form i plasma. Edoxaban metaboliseres via hydrolyse (medieret af</w:t>
      </w:r>
      <w:r w:rsidR="004D17AE">
        <w:rPr>
          <w:sz w:val="24"/>
          <w:szCs w:val="24"/>
        </w:rPr>
        <w:t xml:space="preserve"> </w:t>
      </w:r>
      <w:r w:rsidRPr="00CE778C">
        <w:rPr>
          <w:sz w:val="24"/>
          <w:szCs w:val="24"/>
        </w:rPr>
        <w:t>carboxylesterase 1), konjugation eller oxidation med CYP3A4/5 (&lt; 10 %). Edoxaban har tre aktive</w:t>
      </w:r>
      <w:r w:rsidR="004D17AE">
        <w:rPr>
          <w:sz w:val="24"/>
          <w:szCs w:val="24"/>
        </w:rPr>
        <w:t xml:space="preserve"> </w:t>
      </w:r>
      <w:r w:rsidRPr="00CE778C">
        <w:rPr>
          <w:sz w:val="24"/>
          <w:szCs w:val="24"/>
        </w:rPr>
        <w:t>metabolitter, den primære metabolit (M-4), der dannes ved hydrolyse, er aktiv og når op på under</w:t>
      </w:r>
      <w:r w:rsidR="004D17AE">
        <w:rPr>
          <w:sz w:val="24"/>
          <w:szCs w:val="24"/>
        </w:rPr>
        <w:t xml:space="preserve"> </w:t>
      </w:r>
      <w:r w:rsidRPr="00CE778C">
        <w:rPr>
          <w:sz w:val="24"/>
          <w:szCs w:val="24"/>
        </w:rPr>
        <w:t>10 % af eksponeringen fra udgangsstoffet hos raske personer. Eksponeringen for andre metabolitter er</w:t>
      </w:r>
      <w:r w:rsidR="004D17AE">
        <w:rPr>
          <w:sz w:val="24"/>
          <w:szCs w:val="24"/>
        </w:rPr>
        <w:t xml:space="preserve"> </w:t>
      </w:r>
      <w:r w:rsidRPr="00CE778C">
        <w:rPr>
          <w:sz w:val="24"/>
          <w:szCs w:val="24"/>
        </w:rPr>
        <w:t>under 5 %. Edoxaban er et substrat for efflux-transporterproteinet P-gp, men det er ikke et substrat for</w:t>
      </w:r>
      <w:r w:rsidR="004D17AE">
        <w:rPr>
          <w:sz w:val="24"/>
          <w:szCs w:val="24"/>
        </w:rPr>
        <w:t xml:space="preserve"> </w:t>
      </w:r>
      <w:r w:rsidRPr="00CE778C">
        <w:rPr>
          <w:sz w:val="24"/>
          <w:szCs w:val="24"/>
          <w:lang w:val="nb-NO"/>
        </w:rPr>
        <w:t>optagelses</w:t>
      </w:r>
      <w:r w:rsidR="00BC493D">
        <w:rPr>
          <w:sz w:val="24"/>
          <w:szCs w:val="24"/>
          <w:lang w:val="nb-NO"/>
        </w:rPr>
        <w:softHyphen/>
      </w:r>
      <w:r w:rsidRPr="00CE778C">
        <w:rPr>
          <w:sz w:val="24"/>
          <w:szCs w:val="24"/>
          <w:lang w:val="nb-NO"/>
        </w:rPr>
        <w:t>transportproteiner, såsom organisk aniontransportprotein-polypeptid OATP1B1, organisk</w:t>
      </w:r>
      <w:r w:rsidR="004D17AE">
        <w:rPr>
          <w:sz w:val="24"/>
          <w:szCs w:val="24"/>
          <w:lang w:val="nb-NO"/>
        </w:rPr>
        <w:t xml:space="preserve"> </w:t>
      </w:r>
      <w:r w:rsidRPr="00CE778C">
        <w:rPr>
          <w:sz w:val="24"/>
          <w:szCs w:val="24"/>
          <w:lang w:val="nb-NO"/>
        </w:rPr>
        <w:t>aniontransportprotein OAT1 eller OAT3 eller organisk kationtransportprotein OCT2. Den aktive</w:t>
      </w:r>
      <w:r w:rsidR="004D17AE">
        <w:rPr>
          <w:sz w:val="24"/>
          <w:szCs w:val="24"/>
          <w:lang w:val="nb-NO"/>
        </w:rPr>
        <w:t xml:space="preserve"> </w:t>
      </w:r>
      <w:r w:rsidRPr="00CE778C">
        <w:rPr>
          <w:sz w:val="24"/>
          <w:szCs w:val="24"/>
          <w:lang w:val="nb-NO"/>
        </w:rPr>
        <w:t>metabolit er et substrat for OATP1B1.</w:t>
      </w:r>
    </w:p>
    <w:p w14:paraId="31E844D7" w14:textId="77777777" w:rsidR="00A75091" w:rsidRPr="00CE778C" w:rsidRDefault="00A75091" w:rsidP="00CE778C">
      <w:pPr>
        <w:ind w:left="851"/>
        <w:rPr>
          <w:sz w:val="24"/>
          <w:szCs w:val="24"/>
          <w:lang w:val="nb-NO"/>
        </w:rPr>
      </w:pPr>
    </w:p>
    <w:p w14:paraId="36A5AA5F" w14:textId="77777777" w:rsidR="00A75091" w:rsidRPr="004D17AE" w:rsidRDefault="00A75091" w:rsidP="00CE778C">
      <w:pPr>
        <w:ind w:left="851"/>
        <w:rPr>
          <w:sz w:val="24"/>
          <w:szCs w:val="24"/>
          <w:u w:val="single"/>
          <w:lang w:val="nb-NO"/>
        </w:rPr>
      </w:pPr>
      <w:r w:rsidRPr="004D17AE">
        <w:rPr>
          <w:sz w:val="24"/>
          <w:szCs w:val="24"/>
          <w:u w:val="single"/>
          <w:lang w:val="nb-NO"/>
        </w:rPr>
        <w:t>Elimination</w:t>
      </w:r>
    </w:p>
    <w:p w14:paraId="0C85D62E" w14:textId="77777777" w:rsidR="00A75091" w:rsidRPr="00CE778C" w:rsidRDefault="00A75091" w:rsidP="00CE778C">
      <w:pPr>
        <w:ind w:left="851"/>
        <w:rPr>
          <w:sz w:val="24"/>
          <w:szCs w:val="24"/>
          <w:lang w:val="nb-NO"/>
        </w:rPr>
      </w:pPr>
    </w:p>
    <w:p w14:paraId="5059AF7A" w14:textId="6F355049" w:rsidR="00A75091" w:rsidRPr="00CE778C" w:rsidRDefault="00A75091" w:rsidP="00CE778C">
      <w:pPr>
        <w:ind w:left="851"/>
        <w:rPr>
          <w:sz w:val="24"/>
          <w:szCs w:val="24"/>
        </w:rPr>
      </w:pPr>
      <w:r w:rsidRPr="00CE778C">
        <w:rPr>
          <w:sz w:val="24"/>
          <w:szCs w:val="24"/>
          <w:lang w:val="nb-NO"/>
        </w:rPr>
        <w:t>Hos raske personer er den totale clearance estimeret til 22 (± 3) l/time, 50 % udskilles via nyrerne</w:t>
      </w:r>
      <w:r w:rsidR="004D17AE">
        <w:rPr>
          <w:sz w:val="24"/>
          <w:szCs w:val="24"/>
          <w:lang w:val="nb-NO"/>
        </w:rPr>
        <w:t xml:space="preserve"> </w:t>
      </w:r>
      <w:r w:rsidRPr="00CE778C">
        <w:rPr>
          <w:sz w:val="24"/>
          <w:szCs w:val="24"/>
        </w:rPr>
        <w:t>(11 l/time). Nyreclearance finder sted for ca. 35 % af den administrerede dosis. Metabolisme og galde-/tarmudskillelse udgør den resterende clearance. T½ for oral administration er 10 - 14 timer.</w:t>
      </w:r>
    </w:p>
    <w:p w14:paraId="1BADC07A" w14:textId="77777777" w:rsidR="00A75091" w:rsidRPr="00CE778C" w:rsidRDefault="00A75091" w:rsidP="00CE778C">
      <w:pPr>
        <w:ind w:left="851"/>
        <w:rPr>
          <w:sz w:val="24"/>
          <w:szCs w:val="24"/>
        </w:rPr>
      </w:pPr>
    </w:p>
    <w:p w14:paraId="73BDC409" w14:textId="77777777" w:rsidR="00A75091" w:rsidRPr="004D17AE" w:rsidRDefault="00A75091" w:rsidP="00CE778C">
      <w:pPr>
        <w:ind w:left="851"/>
        <w:rPr>
          <w:sz w:val="24"/>
          <w:szCs w:val="24"/>
          <w:u w:val="single"/>
        </w:rPr>
      </w:pPr>
      <w:r w:rsidRPr="004D17AE">
        <w:rPr>
          <w:sz w:val="24"/>
          <w:szCs w:val="24"/>
          <w:u w:val="single"/>
        </w:rPr>
        <w:t>Linearitet/non-linearitet</w:t>
      </w:r>
    </w:p>
    <w:p w14:paraId="5216848E" w14:textId="77777777" w:rsidR="00A75091" w:rsidRPr="00CE778C" w:rsidRDefault="00A75091" w:rsidP="00CE778C">
      <w:pPr>
        <w:ind w:left="851"/>
        <w:rPr>
          <w:sz w:val="24"/>
          <w:szCs w:val="24"/>
        </w:rPr>
      </w:pPr>
    </w:p>
    <w:p w14:paraId="1787BCE4" w14:textId="5D3B6CD1" w:rsidR="00A75091" w:rsidRPr="00CE778C" w:rsidRDefault="00A75091" w:rsidP="00CE778C">
      <w:pPr>
        <w:ind w:left="851"/>
        <w:rPr>
          <w:sz w:val="24"/>
          <w:szCs w:val="24"/>
        </w:rPr>
      </w:pPr>
      <w:r w:rsidRPr="00CE778C">
        <w:rPr>
          <w:sz w:val="24"/>
          <w:szCs w:val="24"/>
        </w:rPr>
        <w:t>Edoxaban udviser omtrent dosisproportional farmakokinetik for doser på 15 mg til 60 mg hos raske</w:t>
      </w:r>
      <w:r w:rsidR="004D17AE">
        <w:rPr>
          <w:sz w:val="24"/>
          <w:szCs w:val="24"/>
        </w:rPr>
        <w:t xml:space="preserve"> </w:t>
      </w:r>
      <w:r w:rsidRPr="00CE778C">
        <w:rPr>
          <w:sz w:val="24"/>
          <w:szCs w:val="24"/>
        </w:rPr>
        <w:t>personer.</w:t>
      </w:r>
    </w:p>
    <w:p w14:paraId="4D663ED5" w14:textId="77777777" w:rsidR="00A75091" w:rsidRPr="00CE778C" w:rsidRDefault="00A75091" w:rsidP="00CE778C">
      <w:pPr>
        <w:ind w:left="851"/>
        <w:rPr>
          <w:sz w:val="24"/>
          <w:szCs w:val="24"/>
        </w:rPr>
      </w:pPr>
    </w:p>
    <w:p w14:paraId="66856092" w14:textId="77777777" w:rsidR="00A75091" w:rsidRPr="004D17AE" w:rsidRDefault="00A75091" w:rsidP="00CE778C">
      <w:pPr>
        <w:ind w:left="851"/>
        <w:rPr>
          <w:sz w:val="24"/>
          <w:szCs w:val="24"/>
          <w:u w:val="single"/>
        </w:rPr>
      </w:pPr>
      <w:r w:rsidRPr="004D17AE">
        <w:rPr>
          <w:sz w:val="24"/>
          <w:szCs w:val="24"/>
          <w:u w:val="single"/>
        </w:rPr>
        <w:t>Specielle populationer</w:t>
      </w:r>
    </w:p>
    <w:p w14:paraId="25D6B029" w14:textId="77777777" w:rsidR="00A75091" w:rsidRPr="00CE778C" w:rsidRDefault="00A75091" w:rsidP="00CE778C">
      <w:pPr>
        <w:ind w:left="851"/>
        <w:rPr>
          <w:sz w:val="24"/>
          <w:szCs w:val="24"/>
        </w:rPr>
      </w:pPr>
    </w:p>
    <w:p w14:paraId="3830D6AF" w14:textId="77777777" w:rsidR="00A75091" w:rsidRPr="00CE778C" w:rsidRDefault="00A75091" w:rsidP="00CE778C">
      <w:pPr>
        <w:ind w:left="851"/>
        <w:rPr>
          <w:i/>
          <w:iCs/>
          <w:sz w:val="24"/>
          <w:szCs w:val="24"/>
        </w:rPr>
      </w:pPr>
      <w:r w:rsidRPr="00CE778C">
        <w:rPr>
          <w:i/>
          <w:iCs/>
          <w:sz w:val="24"/>
          <w:szCs w:val="24"/>
        </w:rPr>
        <w:t>Ældre</w:t>
      </w:r>
    </w:p>
    <w:p w14:paraId="1BE83430" w14:textId="208EE0E2" w:rsidR="00A75091" w:rsidRPr="00CE778C" w:rsidRDefault="00A75091" w:rsidP="00CE778C">
      <w:pPr>
        <w:ind w:left="851"/>
        <w:rPr>
          <w:sz w:val="24"/>
          <w:szCs w:val="24"/>
        </w:rPr>
      </w:pPr>
      <w:r w:rsidRPr="00CE778C">
        <w:rPr>
          <w:sz w:val="24"/>
          <w:szCs w:val="24"/>
        </w:rPr>
        <w:t>Efter der er taget hensyn til nyrefunktionen og legemsvægten, havde alderen ingen yderligere klinisk</w:t>
      </w:r>
      <w:r w:rsidR="004D17AE">
        <w:rPr>
          <w:sz w:val="24"/>
          <w:szCs w:val="24"/>
        </w:rPr>
        <w:t xml:space="preserve"> </w:t>
      </w:r>
      <w:r w:rsidRPr="00CE778C">
        <w:rPr>
          <w:sz w:val="24"/>
          <w:szCs w:val="24"/>
        </w:rPr>
        <w:t>signifikant virkning på farmakokinetikken for edoxaban i en populationsfarmakokinetisk analyse af</w:t>
      </w:r>
      <w:r w:rsidR="004D17AE">
        <w:rPr>
          <w:sz w:val="24"/>
          <w:szCs w:val="24"/>
        </w:rPr>
        <w:t xml:space="preserve"> </w:t>
      </w:r>
      <w:proofErr w:type="gramStart"/>
      <w:r w:rsidRPr="00CE778C">
        <w:rPr>
          <w:sz w:val="24"/>
          <w:szCs w:val="24"/>
        </w:rPr>
        <w:t>det pivotale</w:t>
      </w:r>
      <w:proofErr w:type="gramEnd"/>
      <w:r w:rsidRPr="00CE778C">
        <w:rPr>
          <w:sz w:val="24"/>
          <w:szCs w:val="24"/>
        </w:rPr>
        <w:t xml:space="preserve"> fase III-studie af NVAF (ENGAGE AF-TIMI 48).</w:t>
      </w:r>
    </w:p>
    <w:p w14:paraId="3626CCBC" w14:textId="77777777" w:rsidR="00A75091" w:rsidRPr="00CE778C" w:rsidRDefault="00A75091" w:rsidP="00CE778C">
      <w:pPr>
        <w:ind w:left="851"/>
        <w:rPr>
          <w:sz w:val="24"/>
          <w:szCs w:val="24"/>
        </w:rPr>
      </w:pPr>
    </w:p>
    <w:p w14:paraId="09892416" w14:textId="77777777" w:rsidR="00A75091" w:rsidRPr="00CE778C" w:rsidRDefault="00A75091" w:rsidP="00CE778C">
      <w:pPr>
        <w:ind w:left="851"/>
        <w:rPr>
          <w:i/>
          <w:iCs/>
          <w:sz w:val="24"/>
          <w:szCs w:val="24"/>
        </w:rPr>
      </w:pPr>
      <w:r w:rsidRPr="00CE778C">
        <w:rPr>
          <w:i/>
          <w:iCs/>
          <w:sz w:val="24"/>
          <w:szCs w:val="24"/>
        </w:rPr>
        <w:t>Nedsat nyrefunktion</w:t>
      </w:r>
    </w:p>
    <w:p w14:paraId="603E01CF" w14:textId="53B50F34" w:rsidR="00A75091" w:rsidRPr="00CE778C" w:rsidRDefault="00A75091" w:rsidP="00CE778C">
      <w:pPr>
        <w:ind w:left="851"/>
        <w:rPr>
          <w:sz w:val="24"/>
          <w:szCs w:val="24"/>
        </w:rPr>
      </w:pPr>
      <w:r w:rsidRPr="00CE778C">
        <w:rPr>
          <w:sz w:val="24"/>
          <w:szCs w:val="24"/>
        </w:rPr>
        <w:t xml:space="preserve">Plasma-AUC for personer med let (CrCl &gt; 50 - 80 ml/min.), moderat (CrCl 30 </w:t>
      </w:r>
      <w:r w:rsidR="00BC493D">
        <w:rPr>
          <w:sz w:val="24"/>
          <w:szCs w:val="24"/>
        </w:rPr>
        <w:t>–</w:t>
      </w:r>
      <w:r w:rsidRPr="00CE778C">
        <w:rPr>
          <w:sz w:val="24"/>
          <w:szCs w:val="24"/>
        </w:rPr>
        <w:t xml:space="preserve"> 50</w:t>
      </w:r>
      <w:r w:rsidR="00BC493D">
        <w:rPr>
          <w:sz w:val="24"/>
          <w:szCs w:val="24"/>
        </w:rPr>
        <w:t> </w:t>
      </w:r>
      <w:r w:rsidRPr="00CE778C">
        <w:rPr>
          <w:sz w:val="24"/>
          <w:szCs w:val="24"/>
        </w:rPr>
        <w:t>ml/min.) og svært</w:t>
      </w:r>
      <w:r w:rsidR="004D17AE">
        <w:rPr>
          <w:sz w:val="24"/>
          <w:szCs w:val="24"/>
        </w:rPr>
        <w:t xml:space="preserve"> </w:t>
      </w:r>
      <w:r w:rsidRPr="00CE778C">
        <w:rPr>
          <w:sz w:val="24"/>
          <w:szCs w:val="24"/>
        </w:rPr>
        <w:t>(CrCl &lt; 30 ml/min., men som ikke gennemgår dialyse) nedsat nyrefunktion var forhøjet med hhv.</w:t>
      </w:r>
      <w:r w:rsidR="004D17AE">
        <w:rPr>
          <w:sz w:val="24"/>
          <w:szCs w:val="24"/>
        </w:rPr>
        <w:t xml:space="preserve"> </w:t>
      </w:r>
      <w:r w:rsidRPr="00CE778C">
        <w:rPr>
          <w:sz w:val="24"/>
          <w:szCs w:val="24"/>
        </w:rPr>
        <w:t>32 %, 74 % og 72 % i forhold til personer med normal nyrefunktion. Hos patienter med nedsat</w:t>
      </w:r>
      <w:r w:rsidR="004D17AE">
        <w:rPr>
          <w:sz w:val="24"/>
          <w:szCs w:val="24"/>
        </w:rPr>
        <w:t xml:space="preserve"> </w:t>
      </w:r>
      <w:r w:rsidRPr="00CE778C">
        <w:rPr>
          <w:sz w:val="24"/>
          <w:szCs w:val="24"/>
        </w:rPr>
        <w:t>nyrefunktion ændres den metaboliske profil, og der dannes en større mængde aktive metabolitter.</w:t>
      </w:r>
    </w:p>
    <w:p w14:paraId="45D858BC" w14:textId="77777777" w:rsidR="00A75091" w:rsidRPr="00CE778C" w:rsidRDefault="00A75091" w:rsidP="00CE778C">
      <w:pPr>
        <w:ind w:left="851"/>
        <w:rPr>
          <w:sz w:val="24"/>
          <w:szCs w:val="24"/>
        </w:rPr>
      </w:pPr>
    </w:p>
    <w:p w14:paraId="49BD7ED9" w14:textId="4BD3B437" w:rsidR="00A75091" w:rsidRPr="00CE778C" w:rsidRDefault="00A75091" w:rsidP="00CE778C">
      <w:pPr>
        <w:ind w:left="851"/>
        <w:rPr>
          <w:sz w:val="24"/>
          <w:szCs w:val="24"/>
        </w:rPr>
      </w:pPr>
      <w:r w:rsidRPr="00CE778C">
        <w:rPr>
          <w:sz w:val="24"/>
          <w:szCs w:val="24"/>
        </w:rPr>
        <w:t>Der er en lineær korrelation mellem plasmakoncentrationen af edoxaban og anti-FXa-aktivitet uanset</w:t>
      </w:r>
      <w:r w:rsidR="004D17AE">
        <w:rPr>
          <w:sz w:val="24"/>
          <w:szCs w:val="24"/>
        </w:rPr>
        <w:t xml:space="preserve"> </w:t>
      </w:r>
      <w:r w:rsidRPr="00CE778C">
        <w:rPr>
          <w:sz w:val="24"/>
          <w:szCs w:val="24"/>
        </w:rPr>
        <w:t>nyrefunktion.</w:t>
      </w:r>
    </w:p>
    <w:p w14:paraId="06E78F31" w14:textId="32BE0B96" w:rsidR="00A75091" w:rsidRPr="00CE778C" w:rsidRDefault="00A75091" w:rsidP="00CE778C">
      <w:pPr>
        <w:ind w:left="851"/>
        <w:rPr>
          <w:sz w:val="24"/>
          <w:szCs w:val="24"/>
        </w:rPr>
      </w:pPr>
      <w:r w:rsidRPr="00CE778C">
        <w:rPr>
          <w:sz w:val="24"/>
          <w:szCs w:val="24"/>
        </w:rPr>
        <w:t>Personer med ESRD, der gennemgik peritonealdialyse, havde en 93 % højere total eksponering</w:t>
      </w:r>
      <w:r w:rsidR="004D17AE">
        <w:rPr>
          <w:sz w:val="24"/>
          <w:szCs w:val="24"/>
        </w:rPr>
        <w:t xml:space="preserve"> </w:t>
      </w:r>
      <w:r w:rsidRPr="00CE778C">
        <w:rPr>
          <w:sz w:val="24"/>
          <w:szCs w:val="24"/>
        </w:rPr>
        <w:t>sammenlignet med raske personer.</w:t>
      </w:r>
    </w:p>
    <w:p w14:paraId="7BF68060" w14:textId="0C9D9982" w:rsidR="00A75091" w:rsidRPr="00CE778C" w:rsidRDefault="00A75091" w:rsidP="00CE778C">
      <w:pPr>
        <w:ind w:left="851"/>
        <w:rPr>
          <w:sz w:val="24"/>
          <w:szCs w:val="24"/>
        </w:rPr>
      </w:pPr>
      <w:r w:rsidRPr="00CE778C">
        <w:rPr>
          <w:sz w:val="24"/>
          <w:szCs w:val="24"/>
        </w:rPr>
        <w:t>Populationsfarmakokinetisk modellering indikerer, at eksponeringerne omtrent fordobles hos patienter</w:t>
      </w:r>
      <w:r w:rsidR="004D17AE">
        <w:rPr>
          <w:sz w:val="24"/>
          <w:szCs w:val="24"/>
        </w:rPr>
        <w:t xml:space="preserve"> </w:t>
      </w:r>
      <w:r w:rsidRPr="00CE778C">
        <w:rPr>
          <w:sz w:val="24"/>
          <w:szCs w:val="24"/>
        </w:rPr>
        <w:t>med svært nedsat nyrefunktion (CrCl 15 – 29 ml/min.) i forhold til patienter med normal nyrefunktion.</w:t>
      </w:r>
    </w:p>
    <w:p w14:paraId="3AA7E5C6" w14:textId="77777777" w:rsidR="00A75091" w:rsidRPr="00CE778C" w:rsidRDefault="00A75091" w:rsidP="00CE778C">
      <w:pPr>
        <w:ind w:left="851"/>
        <w:rPr>
          <w:sz w:val="24"/>
          <w:szCs w:val="24"/>
        </w:rPr>
      </w:pPr>
    </w:p>
    <w:p w14:paraId="5626C35B" w14:textId="77777777" w:rsidR="00A75091" w:rsidRPr="00CE778C" w:rsidRDefault="00A75091" w:rsidP="00CE778C">
      <w:pPr>
        <w:ind w:left="851"/>
        <w:rPr>
          <w:sz w:val="24"/>
          <w:szCs w:val="24"/>
        </w:rPr>
      </w:pPr>
      <w:r w:rsidRPr="00CE778C">
        <w:rPr>
          <w:sz w:val="24"/>
          <w:szCs w:val="24"/>
        </w:rPr>
        <w:t>Tabel 14 nedenfor viser anti-FXa-aktiviteten for edoxaban pr. CrCl-kategori for hver indikation.</w:t>
      </w:r>
    </w:p>
    <w:p w14:paraId="28215F83" w14:textId="77777777" w:rsidR="00A75091" w:rsidRPr="00CE778C" w:rsidRDefault="00A75091" w:rsidP="00A75091">
      <w:pPr>
        <w:pStyle w:val="Brdtekst"/>
        <w:widowControl/>
        <w:suppressAutoHyphens/>
        <w:kinsoku w:val="0"/>
        <w:overflowPunct w:val="0"/>
        <w:ind w:left="0"/>
        <w:rPr>
          <w:color w:val="000000" w:themeColor="text1"/>
        </w:rPr>
      </w:pPr>
    </w:p>
    <w:p w14:paraId="2359FC2F" w14:textId="77777777" w:rsidR="00A75091" w:rsidRPr="00CE778C" w:rsidRDefault="00A75091" w:rsidP="00A75091">
      <w:pPr>
        <w:pStyle w:val="Brdtekst"/>
        <w:keepNext/>
        <w:widowControl/>
        <w:suppressAutoHyphens/>
        <w:kinsoku w:val="0"/>
        <w:overflowPunct w:val="0"/>
        <w:ind w:left="0"/>
        <w:rPr>
          <w:b/>
          <w:bCs/>
          <w:color w:val="000000" w:themeColor="text1"/>
        </w:rPr>
      </w:pPr>
      <w:r w:rsidRPr="00CE778C">
        <w:rPr>
          <w:b/>
          <w:bCs/>
          <w:color w:val="000000" w:themeColor="text1"/>
        </w:rPr>
        <w:t>Tabel 14: Anti-FXa-aktiviteten for edoxaban pr. CrCl-kategori</w:t>
      </w:r>
    </w:p>
    <w:p w14:paraId="4E2C5783" w14:textId="77777777" w:rsidR="00A75091" w:rsidRPr="00CE778C" w:rsidRDefault="00A75091" w:rsidP="00A75091">
      <w:pPr>
        <w:pStyle w:val="Brdtekst"/>
        <w:keepNext/>
        <w:widowControl/>
        <w:suppressAutoHyphens/>
        <w:kinsoku w:val="0"/>
        <w:overflowPunct w:val="0"/>
        <w:ind w:left="0"/>
        <w:rPr>
          <w:b/>
          <w:bCs/>
          <w:color w:val="000000" w:themeColor="text1"/>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5"/>
        <w:gridCol w:w="2053"/>
        <w:gridCol w:w="2750"/>
        <w:gridCol w:w="2750"/>
      </w:tblGrid>
      <w:tr w:rsidR="00A75091" w:rsidRPr="004D17AE" w14:paraId="03ABA9AC" w14:textId="77777777" w:rsidTr="00CE778C">
        <w:trPr>
          <w:trHeight w:val="20"/>
          <w:tblHeader/>
        </w:trPr>
        <w:tc>
          <w:tcPr>
            <w:tcW w:w="1078" w:type="pct"/>
            <w:tcBorders>
              <w:top w:val="single" w:sz="4" w:space="0" w:color="000000"/>
              <w:left w:val="single" w:sz="4" w:space="0" w:color="000000"/>
              <w:bottom w:val="single" w:sz="4" w:space="0" w:color="000000"/>
              <w:right w:val="single" w:sz="4" w:space="0" w:color="000000"/>
            </w:tcBorders>
            <w:shd w:val="clear" w:color="auto" w:fill="DADADA"/>
            <w:hideMark/>
          </w:tcPr>
          <w:p w14:paraId="16261E86" w14:textId="77777777" w:rsidR="00A75091" w:rsidRPr="004D17AE" w:rsidRDefault="00A75091">
            <w:pPr>
              <w:pStyle w:val="TableParagraph"/>
              <w:keepNext/>
              <w:widowControl/>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Edoxaban dosis</w:t>
            </w:r>
          </w:p>
        </w:tc>
        <w:tc>
          <w:tcPr>
            <w:tcW w:w="1066" w:type="pct"/>
            <w:tcBorders>
              <w:top w:val="single" w:sz="4" w:space="0" w:color="000000"/>
              <w:left w:val="single" w:sz="4" w:space="0" w:color="000000"/>
              <w:bottom w:val="single" w:sz="4" w:space="0" w:color="000000"/>
              <w:right w:val="single" w:sz="4" w:space="0" w:color="000000"/>
            </w:tcBorders>
            <w:shd w:val="clear" w:color="auto" w:fill="DADADA"/>
            <w:hideMark/>
          </w:tcPr>
          <w:p w14:paraId="4F6DBDAA" w14:textId="77777777" w:rsidR="00A75091" w:rsidRPr="004D17AE" w:rsidRDefault="00A75091">
            <w:pPr>
              <w:pStyle w:val="TableParagraph"/>
              <w:keepNext/>
              <w:widowControl/>
              <w:ind w:left="57" w:right="57"/>
              <w:jc w:val="center"/>
              <w:rPr>
                <w:rFonts w:ascii="Times New Roman" w:hAnsi="Times New Roman" w:cs="Times New Roman"/>
                <w:b/>
                <w:sz w:val="22"/>
                <w:szCs w:val="22"/>
                <w:lang w:eastAsia="en-US"/>
              </w:rPr>
            </w:pPr>
            <w:r w:rsidRPr="004D17AE">
              <w:rPr>
                <w:rFonts w:ascii="Times New Roman" w:hAnsi="Times New Roman" w:cs="Times New Roman"/>
                <w:b/>
                <w:sz w:val="22"/>
                <w:szCs w:val="22"/>
                <w:lang w:eastAsia="en-US"/>
              </w:rPr>
              <w:t xml:space="preserve">CrCl </w:t>
            </w:r>
            <w:r w:rsidRPr="004D17AE">
              <w:rPr>
                <w:rFonts w:ascii="Times New Roman" w:hAnsi="Times New Roman" w:cs="Times New Roman"/>
                <w:b/>
                <w:sz w:val="22"/>
                <w:szCs w:val="22"/>
                <w:lang w:eastAsia="en-US"/>
              </w:rPr>
              <w:br/>
              <w:t>(mL/min)</w:t>
            </w:r>
          </w:p>
        </w:tc>
        <w:tc>
          <w:tcPr>
            <w:tcW w:w="1428" w:type="pct"/>
            <w:tcBorders>
              <w:top w:val="single" w:sz="4" w:space="0" w:color="000000"/>
              <w:left w:val="single" w:sz="4" w:space="0" w:color="000000"/>
              <w:bottom w:val="single" w:sz="4" w:space="0" w:color="000000"/>
              <w:right w:val="single" w:sz="4" w:space="0" w:color="000000"/>
            </w:tcBorders>
            <w:shd w:val="clear" w:color="auto" w:fill="DADADA"/>
            <w:hideMark/>
          </w:tcPr>
          <w:p w14:paraId="40120B6F" w14:textId="77777777" w:rsidR="00A75091" w:rsidRPr="004D17AE" w:rsidRDefault="00A75091">
            <w:pPr>
              <w:pStyle w:val="TableParagraph"/>
              <w:keepNext/>
              <w:widowControl/>
              <w:ind w:left="57" w:right="57"/>
              <w:jc w:val="center"/>
              <w:rPr>
                <w:rFonts w:ascii="Times New Roman" w:hAnsi="Times New Roman" w:cs="Times New Roman"/>
                <w:b/>
                <w:bCs/>
                <w:sz w:val="22"/>
                <w:szCs w:val="22"/>
                <w:lang w:val="sv-SE" w:eastAsia="en-US"/>
              </w:rPr>
            </w:pPr>
            <w:r w:rsidRPr="004D17AE">
              <w:rPr>
                <w:rFonts w:ascii="Times New Roman" w:hAnsi="Times New Roman" w:cs="Times New Roman"/>
                <w:b/>
                <w:bCs/>
                <w:sz w:val="22"/>
                <w:szCs w:val="22"/>
                <w:lang w:val="sv-SE" w:eastAsia="en-US"/>
              </w:rPr>
              <w:t>Edoxaban</w:t>
            </w:r>
            <w:r w:rsidRPr="004D17AE">
              <w:rPr>
                <w:rFonts w:ascii="Times New Roman" w:hAnsi="Times New Roman" w:cs="Times New Roman"/>
                <w:b/>
                <w:bCs/>
                <w:sz w:val="22"/>
                <w:szCs w:val="22"/>
                <w:lang w:val="sv-SE" w:eastAsia="en-US"/>
              </w:rPr>
              <w:br/>
              <w:t xml:space="preserve">Anti-FXa-aktivitet </w:t>
            </w:r>
          </w:p>
          <w:p w14:paraId="0F4D71A7" w14:textId="77777777" w:rsidR="00A75091" w:rsidRPr="004D17AE" w:rsidRDefault="00A75091">
            <w:pPr>
              <w:pStyle w:val="TableParagraph"/>
              <w:keepNext/>
              <w:widowControl/>
              <w:ind w:left="57" w:right="57"/>
              <w:jc w:val="center"/>
              <w:rPr>
                <w:rFonts w:ascii="Times New Roman" w:hAnsi="Times New Roman" w:cs="Times New Roman"/>
                <w:b/>
                <w:sz w:val="22"/>
                <w:szCs w:val="22"/>
                <w:lang w:val="sv-SE" w:eastAsia="en-US"/>
              </w:rPr>
            </w:pPr>
            <w:r w:rsidRPr="004D17AE">
              <w:rPr>
                <w:rFonts w:ascii="Times New Roman" w:hAnsi="Times New Roman" w:cs="Times New Roman"/>
                <w:b/>
                <w:bCs/>
                <w:sz w:val="22"/>
                <w:szCs w:val="22"/>
                <w:lang w:val="sv-SE" w:eastAsia="en-US"/>
              </w:rPr>
              <w:t>efter dosis (IE/ml)</w:t>
            </w:r>
            <w:r w:rsidRPr="004D17AE">
              <w:rPr>
                <w:rFonts w:ascii="Times New Roman" w:hAnsi="Times New Roman" w:cs="Times New Roman"/>
                <w:b/>
                <w:bCs/>
                <w:sz w:val="22"/>
                <w:szCs w:val="22"/>
                <w:vertAlign w:val="superscript"/>
                <w:lang w:val="sv-SE" w:eastAsia="en-US"/>
              </w:rPr>
              <w:t>1</w:t>
            </w:r>
          </w:p>
        </w:tc>
        <w:tc>
          <w:tcPr>
            <w:tcW w:w="1429" w:type="pct"/>
            <w:tcBorders>
              <w:top w:val="single" w:sz="4" w:space="0" w:color="000000"/>
              <w:left w:val="single" w:sz="4" w:space="0" w:color="000000"/>
              <w:bottom w:val="single" w:sz="4" w:space="0" w:color="000000"/>
              <w:right w:val="single" w:sz="4" w:space="0" w:color="000000"/>
            </w:tcBorders>
            <w:shd w:val="clear" w:color="auto" w:fill="DADADA"/>
            <w:hideMark/>
          </w:tcPr>
          <w:p w14:paraId="290DBC5B" w14:textId="77777777" w:rsidR="00A75091" w:rsidRPr="004D17AE" w:rsidRDefault="00A75091">
            <w:pPr>
              <w:pStyle w:val="TableParagraph"/>
              <w:keepNext/>
              <w:widowControl/>
              <w:ind w:left="57" w:right="57"/>
              <w:jc w:val="center"/>
              <w:rPr>
                <w:rFonts w:ascii="Times New Roman" w:hAnsi="Times New Roman" w:cs="Times New Roman"/>
                <w:b/>
                <w:bCs/>
                <w:sz w:val="22"/>
                <w:szCs w:val="22"/>
                <w:lang w:val="da-DK" w:eastAsia="en-US"/>
              </w:rPr>
            </w:pPr>
            <w:r w:rsidRPr="004D17AE">
              <w:rPr>
                <w:rFonts w:ascii="Times New Roman" w:hAnsi="Times New Roman" w:cs="Times New Roman"/>
                <w:b/>
                <w:bCs/>
                <w:sz w:val="22"/>
                <w:szCs w:val="22"/>
                <w:lang w:val="da-DK" w:eastAsia="en-US"/>
              </w:rPr>
              <w:t xml:space="preserve">Edoxaban </w:t>
            </w:r>
            <w:r w:rsidRPr="004D17AE">
              <w:rPr>
                <w:rFonts w:ascii="Times New Roman" w:hAnsi="Times New Roman" w:cs="Times New Roman"/>
                <w:b/>
                <w:bCs/>
                <w:sz w:val="22"/>
                <w:szCs w:val="22"/>
                <w:lang w:val="da-DK" w:eastAsia="en-US"/>
              </w:rPr>
              <w:br/>
              <w:t xml:space="preserve">Anti-FXa-aktivitet </w:t>
            </w:r>
          </w:p>
          <w:p w14:paraId="0EFFBABD" w14:textId="77777777" w:rsidR="00A75091" w:rsidRPr="004D17AE" w:rsidRDefault="00A75091">
            <w:pPr>
              <w:pStyle w:val="TableParagraph"/>
              <w:keepNext/>
              <w:widowControl/>
              <w:ind w:left="57" w:right="57"/>
              <w:jc w:val="center"/>
              <w:rPr>
                <w:rFonts w:ascii="Times New Roman" w:hAnsi="Times New Roman" w:cs="Times New Roman"/>
                <w:b/>
                <w:bCs/>
                <w:sz w:val="22"/>
                <w:szCs w:val="22"/>
                <w:lang w:val="da-DK" w:eastAsia="en-US"/>
              </w:rPr>
            </w:pPr>
            <w:r w:rsidRPr="004D17AE">
              <w:rPr>
                <w:rFonts w:ascii="Times New Roman" w:hAnsi="Times New Roman" w:cs="Times New Roman"/>
                <w:b/>
                <w:bCs/>
                <w:sz w:val="22"/>
                <w:szCs w:val="22"/>
                <w:lang w:val="da-DK" w:eastAsia="en-US"/>
              </w:rPr>
              <w:t>før dosis (IE/ml)</w:t>
            </w:r>
            <w:r w:rsidRPr="004D17AE">
              <w:rPr>
                <w:rFonts w:ascii="Times New Roman" w:hAnsi="Times New Roman" w:cs="Times New Roman"/>
                <w:b/>
                <w:bCs/>
                <w:sz w:val="22"/>
                <w:szCs w:val="22"/>
                <w:vertAlign w:val="superscript"/>
                <w:lang w:val="da-DK" w:eastAsia="en-US"/>
              </w:rPr>
              <w:t>2</w:t>
            </w:r>
          </w:p>
        </w:tc>
      </w:tr>
      <w:tr w:rsidR="00A75091" w:rsidRPr="004D17AE" w14:paraId="03FCDBCF" w14:textId="77777777" w:rsidTr="00CE778C">
        <w:trPr>
          <w:trHeight w:val="20"/>
        </w:trPr>
        <w:tc>
          <w:tcPr>
            <w:tcW w:w="1078" w:type="pct"/>
            <w:tcBorders>
              <w:top w:val="single" w:sz="4" w:space="0" w:color="000000"/>
              <w:left w:val="single" w:sz="4" w:space="0" w:color="000000"/>
              <w:bottom w:val="single" w:sz="4" w:space="0" w:color="000000"/>
              <w:right w:val="single" w:sz="4" w:space="0" w:color="000000"/>
            </w:tcBorders>
          </w:tcPr>
          <w:p w14:paraId="6B98EA1F" w14:textId="77777777" w:rsidR="00A75091" w:rsidRPr="004D17AE" w:rsidRDefault="00A75091">
            <w:pPr>
              <w:pStyle w:val="TableParagraph"/>
              <w:keepNext/>
              <w:widowControl/>
              <w:ind w:left="57" w:right="57"/>
              <w:rPr>
                <w:rFonts w:ascii="Times New Roman" w:hAnsi="Times New Roman" w:cs="Times New Roman"/>
                <w:sz w:val="22"/>
                <w:szCs w:val="22"/>
                <w:lang w:val="da-DK" w:eastAsia="en-US"/>
              </w:rPr>
            </w:pPr>
          </w:p>
        </w:tc>
        <w:tc>
          <w:tcPr>
            <w:tcW w:w="3922" w:type="pct"/>
            <w:gridSpan w:val="3"/>
            <w:tcBorders>
              <w:top w:val="single" w:sz="4" w:space="0" w:color="000000"/>
              <w:left w:val="single" w:sz="4" w:space="0" w:color="000000"/>
              <w:bottom w:val="single" w:sz="4" w:space="0" w:color="000000"/>
              <w:right w:val="single" w:sz="4" w:space="0" w:color="000000"/>
            </w:tcBorders>
            <w:hideMark/>
          </w:tcPr>
          <w:p w14:paraId="645AA1C5"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Median [2,5 – 97,5 % interval]</w:t>
            </w:r>
          </w:p>
        </w:tc>
      </w:tr>
      <w:tr w:rsidR="00A75091" w:rsidRPr="004D17AE" w14:paraId="2D7B1368" w14:textId="77777777" w:rsidTr="00CE778C">
        <w:trPr>
          <w:trHeight w:val="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ADADA"/>
            <w:hideMark/>
          </w:tcPr>
          <w:p w14:paraId="1689547E" w14:textId="77777777" w:rsidR="00A75091" w:rsidRPr="004D17AE" w:rsidRDefault="00A75091">
            <w:pPr>
              <w:pStyle w:val="TableParagraph"/>
              <w:keepNext/>
              <w:widowControl/>
              <w:ind w:left="57" w:right="57"/>
              <w:rPr>
                <w:rFonts w:ascii="Times New Roman" w:hAnsi="Times New Roman" w:cs="Times New Roman"/>
                <w:sz w:val="22"/>
                <w:szCs w:val="22"/>
                <w:lang w:val="da-DK" w:eastAsia="en-US"/>
              </w:rPr>
            </w:pPr>
            <w:r w:rsidRPr="004D17AE">
              <w:rPr>
                <w:rFonts w:ascii="Times New Roman" w:hAnsi="Times New Roman" w:cs="Times New Roman"/>
                <w:sz w:val="22"/>
                <w:szCs w:val="22"/>
                <w:lang w:val="da-DK" w:eastAsia="en-US"/>
              </w:rPr>
              <w:t>Forebyggelse af apopleksi og systemisk emboli: NVAF</w:t>
            </w:r>
          </w:p>
        </w:tc>
      </w:tr>
      <w:tr w:rsidR="00A75091" w:rsidRPr="004D17AE" w14:paraId="00B5A173" w14:textId="77777777" w:rsidTr="00CE778C">
        <w:trPr>
          <w:trHeight w:val="20"/>
        </w:trPr>
        <w:tc>
          <w:tcPr>
            <w:tcW w:w="1078" w:type="pct"/>
            <w:tcBorders>
              <w:top w:val="single" w:sz="4" w:space="0" w:color="000000"/>
              <w:left w:val="single" w:sz="4" w:space="0" w:color="000000"/>
              <w:bottom w:val="single" w:sz="4" w:space="0" w:color="000000"/>
              <w:right w:val="single" w:sz="4" w:space="0" w:color="000000"/>
            </w:tcBorders>
            <w:hideMark/>
          </w:tcPr>
          <w:p w14:paraId="65A44802" w14:textId="77777777" w:rsidR="00A75091" w:rsidRPr="004D17AE" w:rsidRDefault="00A75091">
            <w:pPr>
              <w:pStyle w:val="TableParagraph"/>
              <w:keepNext/>
              <w:widowControl/>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30 mg en gang</w:t>
            </w:r>
          </w:p>
          <w:p w14:paraId="6A6B5CA6" w14:textId="77777777" w:rsidR="00A75091" w:rsidRPr="004D17AE" w:rsidRDefault="00A75091">
            <w:pPr>
              <w:pStyle w:val="TableParagraph"/>
              <w:keepNext/>
              <w:widowControl/>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dagligt</w:t>
            </w:r>
          </w:p>
        </w:tc>
        <w:tc>
          <w:tcPr>
            <w:tcW w:w="1066" w:type="pct"/>
            <w:tcBorders>
              <w:top w:val="single" w:sz="4" w:space="0" w:color="000000"/>
              <w:left w:val="single" w:sz="4" w:space="0" w:color="000000"/>
              <w:bottom w:val="single" w:sz="4" w:space="0" w:color="000000"/>
              <w:right w:val="single" w:sz="4" w:space="0" w:color="000000"/>
            </w:tcBorders>
            <w:hideMark/>
          </w:tcPr>
          <w:p w14:paraId="33CE4A09" w14:textId="77777777" w:rsidR="00A75091" w:rsidRPr="004D17AE" w:rsidRDefault="00A75091">
            <w:pPr>
              <w:pStyle w:val="TableParagraph"/>
              <w:keepNext/>
              <w:widowControl/>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 30 til ≤ 50</w:t>
            </w:r>
          </w:p>
        </w:tc>
        <w:tc>
          <w:tcPr>
            <w:tcW w:w="1428" w:type="pct"/>
            <w:tcBorders>
              <w:top w:val="single" w:sz="4" w:space="0" w:color="000000"/>
              <w:left w:val="single" w:sz="4" w:space="0" w:color="000000"/>
              <w:bottom w:val="single" w:sz="4" w:space="0" w:color="000000"/>
              <w:right w:val="single" w:sz="4" w:space="0" w:color="000000"/>
            </w:tcBorders>
            <w:hideMark/>
          </w:tcPr>
          <w:p w14:paraId="0BFB0D2B"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2,92</w:t>
            </w:r>
          </w:p>
          <w:p w14:paraId="3934F28E"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[0,33 – 5,88]</w:t>
            </w:r>
          </w:p>
        </w:tc>
        <w:tc>
          <w:tcPr>
            <w:tcW w:w="1429" w:type="pct"/>
            <w:tcBorders>
              <w:top w:val="single" w:sz="4" w:space="0" w:color="000000"/>
              <w:left w:val="single" w:sz="4" w:space="0" w:color="000000"/>
              <w:bottom w:val="single" w:sz="4" w:space="0" w:color="000000"/>
              <w:right w:val="single" w:sz="4" w:space="0" w:color="000000"/>
            </w:tcBorders>
            <w:hideMark/>
          </w:tcPr>
          <w:p w14:paraId="3F49F373"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0,53</w:t>
            </w:r>
          </w:p>
          <w:p w14:paraId="130D4FA8"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[0,11 – 2,06]</w:t>
            </w:r>
          </w:p>
        </w:tc>
      </w:tr>
      <w:tr w:rsidR="00A75091" w:rsidRPr="004D17AE" w14:paraId="03E1A019" w14:textId="77777777" w:rsidTr="00CE778C">
        <w:trPr>
          <w:trHeight w:val="20"/>
        </w:trPr>
        <w:tc>
          <w:tcPr>
            <w:tcW w:w="1078" w:type="pct"/>
            <w:vMerge w:val="restart"/>
            <w:tcBorders>
              <w:top w:val="single" w:sz="4" w:space="0" w:color="000000"/>
              <w:left w:val="single" w:sz="4" w:space="0" w:color="000000"/>
              <w:bottom w:val="single" w:sz="4" w:space="0" w:color="000000"/>
              <w:right w:val="single" w:sz="4" w:space="0" w:color="000000"/>
            </w:tcBorders>
            <w:hideMark/>
          </w:tcPr>
          <w:p w14:paraId="52FF5BD8" w14:textId="77777777" w:rsidR="00A75091" w:rsidRPr="004D17AE" w:rsidRDefault="00A75091">
            <w:pPr>
              <w:pStyle w:val="TableParagraph"/>
              <w:keepNext/>
              <w:widowControl/>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60 mg en gang dagligt</w:t>
            </w:r>
            <w:r w:rsidRPr="004D17AE">
              <w:rPr>
                <w:rFonts w:ascii="Times New Roman" w:hAnsi="Times New Roman" w:cs="Times New Roman"/>
                <w:sz w:val="22"/>
                <w:szCs w:val="22"/>
                <w:vertAlign w:val="superscript"/>
                <w:lang w:eastAsia="en-US"/>
              </w:rPr>
              <w:t>*</w:t>
            </w:r>
          </w:p>
        </w:tc>
        <w:tc>
          <w:tcPr>
            <w:tcW w:w="1066" w:type="pct"/>
            <w:tcBorders>
              <w:top w:val="single" w:sz="4" w:space="0" w:color="000000"/>
              <w:left w:val="single" w:sz="4" w:space="0" w:color="000000"/>
              <w:bottom w:val="single" w:sz="4" w:space="0" w:color="000000"/>
              <w:right w:val="single" w:sz="4" w:space="0" w:color="000000"/>
            </w:tcBorders>
            <w:hideMark/>
          </w:tcPr>
          <w:p w14:paraId="2973479C" w14:textId="77777777" w:rsidR="00A75091" w:rsidRPr="004D17AE" w:rsidRDefault="00A75091">
            <w:pPr>
              <w:pStyle w:val="TableParagraph"/>
              <w:keepNext/>
              <w:widowControl/>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50 til ≤ 70</w:t>
            </w:r>
          </w:p>
        </w:tc>
        <w:tc>
          <w:tcPr>
            <w:tcW w:w="1428" w:type="pct"/>
            <w:tcBorders>
              <w:top w:val="single" w:sz="4" w:space="0" w:color="000000"/>
              <w:left w:val="single" w:sz="4" w:space="0" w:color="000000"/>
              <w:bottom w:val="single" w:sz="4" w:space="0" w:color="000000"/>
              <w:right w:val="single" w:sz="4" w:space="0" w:color="000000"/>
            </w:tcBorders>
            <w:hideMark/>
          </w:tcPr>
          <w:p w14:paraId="468EFE51"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4,52</w:t>
            </w:r>
          </w:p>
          <w:p w14:paraId="76BF50AD"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[0,38 – 7,64]</w:t>
            </w:r>
          </w:p>
        </w:tc>
        <w:tc>
          <w:tcPr>
            <w:tcW w:w="1429" w:type="pct"/>
            <w:tcBorders>
              <w:top w:val="single" w:sz="4" w:space="0" w:color="000000"/>
              <w:left w:val="single" w:sz="4" w:space="0" w:color="000000"/>
              <w:bottom w:val="single" w:sz="4" w:space="0" w:color="000000"/>
              <w:right w:val="single" w:sz="4" w:space="0" w:color="000000"/>
            </w:tcBorders>
            <w:hideMark/>
          </w:tcPr>
          <w:p w14:paraId="2486E23A"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0,83</w:t>
            </w:r>
          </w:p>
          <w:p w14:paraId="65A19BC4"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[0,16 – 2,61]</w:t>
            </w:r>
          </w:p>
        </w:tc>
      </w:tr>
      <w:tr w:rsidR="00A75091" w:rsidRPr="004D17AE" w14:paraId="2017BDE0" w14:textId="77777777" w:rsidTr="00CE778C">
        <w:trPr>
          <w:trHeight w:val="20"/>
        </w:trPr>
        <w:tc>
          <w:tcPr>
            <w:tcW w:w="1078" w:type="pct"/>
            <w:vMerge/>
            <w:tcBorders>
              <w:top w:val="single" w:sz="4" w:space="0" w:color="000000"/>
              <w:left w:val="single" w:sz="4" w:space="0" w:color="000000"/>
              <w:bottom w:val="single" w:sz="4" w:space="0" w:color="000000"/>
              <w:right w:val="single" w:sz="4" w:space="0" w:color="000000"/>
            </w:tcBorders>
            <w:vAlign w:val="center"/>
            <w:hideMark/>
          </w:tcPr>
          <w:p w14:paraId="01C79629" w14:textId="77777777" w:rsidR="00A75091" w:rsidRPr="004D17AE" w:rsidRDefault="00A75091">
            <w:pPr>
              <w:rPr>
                <w:rFonts w:ascii="Times New Roman" w:hAnsi="Times New Roman" w:cs="Times New Roman"/>
                <w:sz w:val="22"/>
              </w:rPr>
            </w:pPr>
          </w:p>
        </w:tc>
        <w:tc>
          <w:tcPr>
            <w:tcW w:w="1066" w:type="pct"/>
            <w:tcBorders>
              <w:top w:val="single" w:sz="4" w:space="0" w:color="000000"/>
              <w:left w:val="single" w:sz="4" w:space="0" w:color="000000"/>
              <w:bottom w:val="single" w:sz="4" w:space="0" w:color="000000"/>
              <w:right w:val="single" w:sz="4" w:space="0" w:color="000000"/>
            </w:tcBorders>
            <w:hideMark/>
          </w:tcPr>
          <w:p w14:paraId="60D84369" w14:textId="77777777" w:rsidR="00A75091" w:rsidRPr="004D17AE" w:rsidRDefault="00A75091">
            <w:pPr>
              <w:pStyle w:val="TableParagraph"/>
              <w:keepNext/>
              <w:widowControl/>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70 til ≤ 90</w:t>
            </w:r>
          </w:p>
        </w:tc>
        <w:tc>
          <w:tcPr>
            <w:tcW w:w="1428" w:type="pct"/>
            <w:tcBorders>
              <w:top w:val="single" w:sz="4" w:space="0" w:color="000000"/>
              <w:left w:val="single" w:sz="4" w:space="0" w:color="000000"/>
              <w:bottom w:val="single" w:sz="4" w:space="0" w:color="000000"/>
              <w:right w:val="single" w:sz="4" w:space="0" w:color="000000"/>
            </w:tcBorders>
            <w:hideMark/>
          </w:tcPr>
          <w:p w14:paraId="639F0CE7"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4,12</w:t>
            </w:r>
          </w:p>
          <w:p w14:paraId="67BEF120"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[0,19 – 7,55]</w:t>
            </w:r>
          </w:p>
        </w:tc>
        <w:tc>
          <w:tcPr>
            <w:tcW w:w="1429" w:type="pct"/>
            <w:tcBorders>
              <w:top w:val="single" w:sz="4" w:space="0" w:color="000000"/>
              <w:left w:val="single" w:sz="4" w:space="0" w:color="000000"/>
              <w:bottom w:val="single" w:sz="4" w:space="0" w:color="000000"/>
              <w:right w:val="single" w:sz="4" w:space="0" w:color="000000"/>
            </w:tcBorders>
            <w:hideMark/>
          </w:tcPr>
          <w:p w14:paraId="23355874"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0,68</w:t>
            </w:r>
          </w:p>
          <w:p w14:paraId="508F2F55"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[0,05 – 2,33]</w:t>
            </w:r>
          </w:p>
        </w:tc>
      </w:tr>
      <w:tr w:rsidR="00A75091" w:rsidRPr="004D17AE" w14:paraId="7CB995D0" w14:textId="77777777" w:rsidTr="00CE778C">
        <w:trPr>
          <w:trHeight w:val="20"/>
        </w:trPr>
        <w:tc>
          <w:tcPr>
            <w:tcW w:w="1078" w:type="pct"/>
            <w:vMerge/>
            <w:tcBorders>
              <w:top w:val="single" w:sz="4" w:space="0" w:color="000000"/>
              <w:left w:val="single" w:sz="4" w:space="0" w:color="000000"/>
              <w:bottom w:val="single" w:sz="4" w:space="0" w:color="000000"/>
              <w:right w:val="single" w:sz="4" w:space="0" w:color="000000"/>
            </w:tcBorders>
            <w:vAlign w:val="center"/>
            <w:hideMark/>
          </w:tcPr>
          <w:p w14:paraId="49DC06BA" w14:textId="77777777" w:rsidR="00A75091" w:rsidRPr="004D17AE" w:rsidRDefault="00A75091">
            <w:pPr>
              <w:rPr>
                <w:rFonts w:ascii="Times New Roman" w:hAnsi="Times New Roman" w:cs="Times New Roman"/>
                <w:sz w:val="22"/>
              </w:rPr>
            </w:pPr>
          </w:p>
        </w:tc>
        <w:tc>
          <w:tcPr>
            <w:tcW w:w="1066" w:type="pct"/>
            <w:tcBorders>
              <w:top w:val="single" w:sz="4" w:space="0" w:color="000000"/>
              <w:left w:val="single" w:sz="4" w:space="0" w:color="000000"/>
              <w:bottom w:val="single" w:sz="4" w:space="0" w:color="000000"/>
              <w:right w:val="single" w:sz="4" w:space="0" w:color="000000"/>
            </w:tcBorders>
            <w:hideMark/>
          </w:tcPr>
          <w:p w14:paraId="18FAEAEF" w14:textId="77777777" w:rsidR="00A75091" w:rsidRPr="004D17AE" w:rsidRDefault="00A75091">
            <w:pPr>
              <w:pStyle w:val="TableParagraph"/>
              <w:keepNext/>
              <w:widowControl/>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90 til ≤ 110</w:t>
            </w:r>
          </w:p>
        </w:tc>
        <w:tc>
          <w:tcPr>
            <w:tcW w:w="1428" w:type="pct"/>
            <w:tcBorders>
              <w:top w:val="single" w:sz="4" w:space="0" w:color="000000"/>
              <w:left w:val="single" w:sz="4" w:space="0" w:color="000000"/>
              <w:bottom w:val="single" w:sz="4" w:space="0" w:color="000000"/>
              <w:right w:val="single" w:sz="4" w:space="0" w:color="000000"/>
            </w:tcBorders>
            <w:hideMark/>
          </w:tcPr>
          <w:p w14:paraId="6D1392BC"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3,82</w:t>
            </w:r>
          </w:p>
          <w:p w14:paraId="22F1342E"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[0,36 – 7,39]</w:t>
            </w:r>
          </w:p>
        </w:tc>
        <w:tc>
          <w:tcPr>
            <w:tcW w:w="1429" w:type="pct"/>
            <w:tcBorders>
              <w:top w:val="single" w:sz="4" w:space="0" w:color="000000"/>
              <w:left w:val="single" w:sz="4" w:space="0" w:color="000000"/>
              <w:bottom w:val="single" w:sz="4" w:space="0" w:color="000000"/>
              <w:right w:val="single" w:sz="4" w:space="0" w:color="000000"/>
            </w:tcBorders>
            <w:hideMark/>
          </w:tcPr>
          <w:p w14:paraId="1A6B822F"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0,60</w:t>
            </w:r>
          </w:p>
          <w:p w14:paraId="296E04C4"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[0,14 – 3,57]</w:t>
            </w:r>
          </w:p>
        </w:tc>
      </w:tr>
      <w:tr w:rsidR="00A75091" w:rsidRPr="004D17AE" w14:paraId="2844094C" w14:textId="77777777" w:rsidTr="00CE778C">
        <w:trPr>
          <w:trHeight w:val="20"/>
        </w:trPr>
        <w:tc>
          <w:tcPr>
            <w:tcW w:w="1078" w:type="pct"/>
            <w:vMerge/>
            <w:tcBorders>
              <w:top w:val="single" w:sz="4" w:space="0" w:color="000000"/>
              <w:left w:val="single" w:sz="4" w:space="0" w:color="000000"/>
              <w:bottom w:val="single" w:sz="4" w:space="0" w:color="000000"/>
              <w:right w:val="single" w:sz="4" w:space="0" w:color="000000"/>
            </w:tcBorders>
            <w:vAlign w:val="center"/>
            <w:hideMark/>
          </w:tcPr>
          <w:p w14:paraId="76B538C2" w14:textId="77777777" w:rsidR="00A75091" w:rsidRPr="004D17AE" w:rsidRDefault="00A75091">
            <w:pPr>
              <w:rPr>
                <w:rFonts w:ascii="Times New Roman" w:hAnsi="Times New Roman" w:cs="Times New Roman"/>
                <w:sz w:val="22"/>
              </w:rPr>
            </w:pPr>
          </w:p>
        </w:tc>
        <w:tc>
          <w:tcPr>
            <w:tcW w:w="1066" w:type="pct"/>
            <w:tcBorders>
              <w:top w:val="single" w:sz="4" w:space="0" w:color="000000"/>
              <w:left w:val="single" w:sz="4" w:space="0" w:color="000000"/>
              <w:bottom w:val="single" w:sz="4" w:space="0" w:color="000000"/>
              <w:right w:val="single" w:sz="4" w:space="0" w:color="000000"/>
            </w:tcBorders>
            <w:hideMark/>
          </w:tcPr>
          <w:p w14:paraId="214F4F68" w14:textId="77777777" w:rsidR="00A75091" w:rsidRPr="004D17AE" w:rsidRDefault="00A75091">
            <w:pPr>
              <w:pStyle w:val="TableParagraph"/>
              <w:keepNext/>
              <w:widowControl/>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110 til ≤ 130</w:t>
            </w:r>
          </w:p>
        </w:tc>
        <w:tc>
          <w:tcPr>
            <w:tcW w:w="1428" w:type="pct"/>
            <w:tcBorders>
              <w:top w:val="single" w:sz="4" w:space="0" w:color="000000"/>
              <w:left w:val="single" w:sz="4" w:space="0" w:color="000000"/>
              <w:bottom w:val="single" w:sz="4" w:space="0" w:color="000000"/>
              <w:right w:val="single" w:sz="4" w:space="0" w:color="000000"/>
            </w:tcBorders>
            <w:hideMark/>
          </w:tcPr>
          <w:p w14:paraId="7AA61607"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3,16</w:t>
            </w:r>
          </w:p>
          <w:p w14:paraId="50A81529"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[0,28 – 6,71]</w:t>
            </w:r>
          </w:p>
        </w:tc>
        <w:tc>
          <w:tcPr>
            <w:tcW w:w="1429" w:type="pct"/>
            <w:tcBorders>
              <w:top w:val="single" w:sz="4" w:space="0" w:color="000000"/>
              <w:left w:val="single" w:sz="4" w:space="0" w:color="000000"/>
              <w:bottom w:val="single" w:sz="4" w:space="0" w:color="000000"/>
              <w:right w:val="single" w:sz="4" w:space="0" w:color="000000"/>
            </w:tcBorders>
            <w:hideMark/>
          </w:tcPr>
          <w:p w14:paraId="5B40A13B"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0,41</w:t>
            </w:r>
          </w:p>
          <w:p w14:paraId="59763E62"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[0,15 – 1,51]</w:t>
            </w:r>
          </w:p>
        </w:tc>
      </w:tr>
      <w:tr w:rsidR="00A75091" w:rsidRPr="004D17AE" w14:paraId="6EC3F87B" w14:textId="77777777" w:rsidTr="00CE778C">
        <w:trPr>
          <w:trHeight w:val="20"/>
        </w:trPr>
        <w:tc>
          <w:tcPr>
            <w:tcW w:w="1078" w:type="pct"/>
            <w:vMerge/>
            <w:tcBorders>
              <w:top w:val="single" w:sz="4" w:space="0" w:color="000000"/>
              <w:left w:val="single" w:sz="4" w:space="0" w:color="000000"/>
              <w:bottom w:val="single" w:sz="4" w:space="0" w:color="000000"/>
              <w:right w:val="single" w:sz="4" w:space="0" w:color="000000"/>
            </w:tcBorders>
            <w:vAlign w:val="center"/>
            <w:hideMark/>
          </w:tcPr>
          <w:p w14:paraId="55257E54" w14:textId="77777777" w:rsidR="00A75091" w:rsidRPr="004D17AE" w:rsidRDefault="00A75091">
            <w:pPr>
              <w:rPr>
                <w:rFonts w:ascii="Times New Roman" w:hAnsi="Times New Roman" w:cs="Times New Roman"/>
                <w:sz w:val="22"/>
              </w:rPr>
            </w:pPr>
          </w:p>
        </w:tc>
        <w:tc>
          <w:tcPr>
            <w:tcW w:w="1066" w:type="pct"/>
            <w:tcBorders>
              <w:top w:val="single" w:sz="4" w:space="0" w:color="000000"/>
              <w:left w:val="single" w:sz="4" w:space="0" w:color="000000"/>
              <w:bottom w:val="single" w:sz="4" w:space="0" w:color="000000"/>
              <w:right w:val="single" w:sz="4" w:space="0" w:color="000000"/>
            </w:tcBorders>
            <w:hideMark/>
          </w:tcPr>
          <w:p w14:paraId="1A6C2E91" w14:textId="77777777" w:rsidR="00A75091" w:rsidRPr="004D17AE" w:rsidRDefault="00A75091">
            <w:pPr>
              <w:pStyle w:val="TableParagraph"/>
              <w:keepNext/>
              <w:widowControl/>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130</w:t>
            </w:r>
          </w:p>
        </w:tc>
        <w:tc>
          <w:tcPr>
            <w:tcW w:w="1428" w:type="pct"/>
            <w:tcBorders>
              <w:top w:val="single" w:sz="4" w:space="0" w:color="000000"/>
              <w:left w:val="single" w:sz="4" w:space="0" w:color="000000"/>
              <w:bottom w:val="single" w:sz="4" w:space="0" w:color="000000"/>
              <w:right w:val="single" w:sz="4" w:space="0" w:color="000000"/>
            </w:tcBorders>
            <w:hideMark/>
          </w:tcPr>
          <w:p w14:paraId="4343202E"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2,76</w:t>
            </w:r>
          </w:p>
          <w:p w14:paraId="013664B3"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[0,12 – 6,10]</w:t>
            </w:r>
          </w:p>
        </w:tc>
        <w:tc>
          <w:tcPr>
            <w:tcW w:w="1429" w:type="pct"/>
            <w:tcBorders>
              <w:top w:val="single" w:sz="4" w:space="0" w:color="000000"/>
              <w:left w:val="single" w:sz="4" w:space="0" w:color="000000"/>
              <w:bottom w:val="single" w:sz="4" w:space="0" w:color="000000"/>
              <w:right w:val="single" w:sz="4" w:space="0" w:color="000000"/>
            </w:tcBorders>
            <w:hideMark/>
          </w:tcPr>
          <w:p w14:paraId="1EC1CE4B"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0,45</w:t>
            </w:r>
          </w:p>
          <w:p w14:paraId="0C13CD9F"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[0,00 – 3,10]</w:t>
            </w:r>
          </w:p>
        </w:tc>
      </w:tr>
      <w:tr w:rsidR="00A75091" w:rsidRPr="004D17AE" w14:paraId="1921C7B0" w14:textId="77777777" w:rsidTr="00CE778C">
        <w:trPr>
          <w:trHeight w:val="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ADADA"/>
            <w:hideMark/>
          </w:tcPr>
          <w:p w14:paraId="6F207337" w14:textId="77777777" w:rsidR="00A75091" w:rsidRPr="004D17AE" w:rsidRDefault="00A75091">
            <w:pPr>
              <w:pStyle w:val="TableParagraph"/>
              <w:keepNext/>
              <w:widowControl/>
              <w:ind w:left="57" w:right="57"/>
              <w:rPr>
                <w:rFonts w:ascii="Times New Roman" w:hAnsi="Times New Roman" w:cs="Times New Roman"/>
                <w:sz w:val="22"/>
                <w:szCs w:val="22"/>
                <w:lang w:val="da-DK" w:eastAsia="en-US"/>
              </w:rPr>
            </w:pPr>
            <w:r w:rsidRPr="004D17AE">
              <w:rPr>
                <w:rFonts w:ascii="Times New Roman" w:hAnsi="Times New Roman" w:cs="Times New Roman"/>
                <w:sz w:val="22"/>
                <w:szCs w:val="22"/>
                <w:lang w:val="da-DK" w:eastAsia="en-US"/>
              </w:rPr>
              <w:lastRenderedPageBreak/>
              <w:t>Behandling af DVT, behandling af LE og forebyggelse af tilbagevendende DVT og LE</w:t>
            </w:r>
          </w:p>
          <w:p w14:paraId="4AF0F632" w14:textId="77777777" w:rsidR="00A75091" w:rsidRPr="004D17AE" w:rsidRDefault="00A75091">
            <w:pPr>
              <w:pStyle w:val="TableParagraph"/>
              <w:keepNext/>
              <w:widowControl/>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(VTE)</w:t>
            </w:r>
          </w:p>
        </w:tc>
      </w:tr>
      <w:tr w:rsidR="00A75091" w:rsidRPr="004D17AE" w14:paraId="2CD1D457" w14:textId="77777777" w:rsidTr="00CE778C">
        <w:trPr>
          <w:trHeight w:val="20"/>
        </w:trPr>
        <w:tc>
          <w:tcPr>
            <w:tcW w:w="1078" w:type="pct"/>
            <w:tcBorders>
              <w:top w:val="single" w:sz="4" w:space="0" w:color="000000"/>
              <w:left w:val="single" w:sz="4" w:space="0" w:color="000000"/>
              <w:bottom w:val="single" w:sz="4" w:space="0" w:color="000000"/>
              <w:right w:val="single" w:sz="4" w:space="0" w:color="000000"/>
            </w:tcBorders>
            <w:hideMark/>
          </w:tcPr>
          <w:p w14:paraId="3FF67784" w14:textId="77777777" w:rsidR="00A75091" w:rsidRPr="004D17AE" w:rsidRDefault="00A75091">
            <w:pPr>
              <w:pStyle w:val="TableParagraph"/>
              <w:keepNext/>
              <w:widowControl/>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30 mg en gang dagligt</w:t>
            </w:r>
          </w:p>
        </w:tc>
        <w:tc>
          <w:tcPr>
            <w:tcW w:w="1066" w:type="pct"/>
            <w:tcBorders>
              <w:top w:val="single" w:sz="4" w:space="0" w:color="000000"/>
              <w:left w:val="single" w:sz="4" w:space="0" w:color="000000"/>
              <w:bottom w:val="single" w:sz="4" w:space="0" w:color="000000"/>
              <w:right w:val="single" w:sz="4" w:space="0" w:color="000000"/>
            </w:tcBorders>
            <w:hideMark/>
          </w:tcPr>
          <w:p w14:paraId="6D53CEDA" w14:textId="77777777" w:rsidR="00A75091" w:rsidRPr="004D17AE" w:rsidRDefault="00A75091">
            <w:pPr>
              <w:pStyle w:val="TableParagraph"/>
              <w:keepNext/>
              <w:widowControl/>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 30 til ≤ 50</w:t>
            </w:r>
          </w:p>
        </w:tc>
        <w:tc>
          <w:tcPr>
            <w:tcW w:w="1428" w:type="pct"/>
            <w:tcBorders>
              <w:top w:val="single" w:sz="4" w:space="0" w:color="000000"/>
              <w:left w:val="single" w:sz="4" w:space="0" w:color="000000"/>
              <w:bottom w:val="single" w:sz="4" w:space="0" w:color="000000"/>
              <w:right w:val="single" w:sz="4" w:space="0" w:color="000000"/>
            </w:tcBorders>
            <w:hideMark/>
          </w:tcPr>
          <w:p w14:paraId="43338179"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2,21</w:t>
            </w:r>
          </w:p>
          <w:p w14:paraId="29FAD799"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[0,14 – 4,47]</w:t>
            </w:r>
          </w:p>
        </w:tc>
        <w:tc>
          <w:tcPr>
            <w:tcW w:w="1429" w:type="pct"/>
            <w:tcBorders>
              <w:top w:val="single" w:sz="4" w:space="0" w:color="000000"/>
              <w:left w:val="single" w:sz="4" w:space="0" w:color="000000"/>
              <w:bottom w:val="single" w:sz="4" w:space="0" w:color="000000"/>
              <w:right w:val="single" w:sz="4" w:space="0" w:color="000000"/>
            </w:tcBorders>
            <w:hideMark/>
          </w:tcPr>
          <w:p w14:paraId="172DDDDA"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0,22</w:t>
            </w:r>
          </w:p>
          <w:p w14:paraId="55A4C2CB"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[0,00 – 1,09]</w:t>
            </w:r>
          </w:p>
        </w:tc>
      </w:tr>
      <w:tr w:rsidR="00A75091" w:rsidRPr="004D17AE" w14:paraId="4A3A4A69" w14:textId="77777777" w:rsidTr="00CE778C">
        <w:trPr>
          <w:trHeight w:val="20"/>
        </w:trPr>
        <w:tc>
          <w:tcPr>
            <w:tcW w:w="1078" w:type="pct"/>
            <w:vMerge w:val="restart"/>
            <w:tcBorders>
              <w:top w:val="single" w:sz="4" w:space="0" w:color="000000"/>
              <w:left w:val="single" w:sz="4" w:space="0" w:color="000000"/>
              <w:bottom w:val="single" w:sz="4" w:space="0" w:color="000000"/>
              <w:right w:val="single" w:sz="4" w:space="0" w:color="000000"/>
            </w:tcBorders>
            <w:hideMark/>
          </w:tcPr>
          <w:p w14:paraId="08CBEB58" w14:textId="77777777" w:rsidR="00A75091" w:rsidRPr="004D17AE" w:rsidRDefault="00A75091">
            <w:pPr>
              <w:pStyle w:val="TableParagraph"/>
              <w:keepNext/>
              <w:widowControl/>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60 mg en gang dagligt</w:t>
            </w:r>
            <w:r w:rsidRPr="004D17AE">
              <w:rPr>
                <w:rFonts w:ascii="Times New Roman" w:hAnsi="Times New Roman" w:cs="Times New Roman"/>
                <w:sz w:val="22"/>
                <w:szCs w:val="22"/>
                <w:vertAlign w:val="superscript"/>
                <w:lang w:eastAsia="en-US"/>
              </w:rPr>
              <w:t>*</w:t>
            </w:r>
          </w:p>
        </w:tc>
        <w:tc>
          <w:tcPr>
            <w:tcW w:w="1066" w:type="pct"/>
            <w:tcBorders>
              <w:top w:val="single" w:sz="4" w:space="0" w:color="000000"/>
              <w:left w:val="single" w:sz="4" w:space="0" w:color="000000"/>
              <w:bottom w:val="single" w:sz="4" w:space="0" w:color="000000"/>
              <w:right w:val="single" w:sz="4" w:space="0" w:color="000000"/>
            </w:tcBorders>
            <w:hideMark/>
          </w:tcPr>
          <w:p w14:paraId="12104B5D" w14:textId="77777777" w:rsidR="00A75091" w:rsidRPr="004D17AE" w:rsidRDefault="00A75091">
            <w:pPr>
              <w:pStyle w:val="TableParagraph"/>
              <w:keepNext/>
              <w:widowControl/>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50 til ≤ 70</w:t>
            </w:r>
          </w:p>
        </w:tc>
        <w:tc>
          <w:tcPr>
            <w:tcW w:w="1428" w:type="pct"/>
            <w:tcBorders>
              <w:top w:val="single" w:sz="4" w:space="0" w:color="000000"/>
              <w:left w:val="single" w:sz="4" w:space="0" w:color="000000"/>
              <w:bottom w:val="single" w:sz="4" w:space="0" w:color="000000"/>
              <w:right w:val="single" w:sz="4" w:space="0" w:color="000000"/>
            </w:tcBorders>
            <w:hideMark/>
          </w:tcPr>
          <w:p w14:paraId="1627F1B3"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3,42</w:t>
            </w:r>
          </w:p>
          <w:p w14:paraId="15701B60"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[0,19 – 6,13]</w:t>
            </w:r>
          </w:p>
        </w:tc>
        <w:tc>
          <w:tcPr>
            <w:tcW w:w="1429" w:type="pct"/>
            <w:tcBorders>
              <w:top w:val="single" w:sz="4" w:space="0" w:color="000000"/>
              <w:left w:val="single" w:sz="4" w:space="0" w:color="000000"/>
              <w:bottom w:val="single" w:sz="4" w:space="0" w:color="000000"/>
              <w:right w:val="single" w:sz="4" w:space="0" w:color="000000"/>
            </w:tcBorders>
            <w:hideMark/>
          </w:tcPr>
          <w:p w14:paraId="08D6DFF6"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0,34</w:t>
            </w:r>
          </w:p>
          <w:p w14:paraId="365A88AE"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[0,00 – 3,10]</w:t>
            </w:r>
          </w:p>
        </w:tc>
      </w:tr>
      <w:tr w:rsidR="00A75091" w:rsidRPr="004D17AE" w14:paraId="69C63F64" w14:textId="77777777" w:rsidTr="00CE778C">
        <w:trPr>
          <w:trHeight w:val="20"/>
        </w:trPr>
        <w:tc>
          <w:tcPr>
            <w:tcW w:w="1078" w:type="pct"/>
            <w:vMerge/>
            <w:tcBorders>
              <w:top w:val="single" w:sz="4" w:space="0" w:color="000000"/>
              <w:left w:val="single" w:sz="4" w:space="0" w:color="000000"/>
              <w:bottom w:val="single" w:sz="4" w:space="0" w:color="000000"/>
              <w:right w:val="single" w:sz="4" w:space="0" w:color="000000"/>
            </w:tcBorders>
            <w:vAlign w:val="center"/>
            <w:hideMark/>
          </w:tcPr>
          <w:p w14:paraId="394577C2" w14:textId="77777777" w:rsidR="00A75091" w:rsidRPr="004D17AE" w:rsidRDefault="00A75091">
            <w:pPr>
              <w:rPr>
                <w:rFonts w:ascii="Times New Roman" w:hAnsi="Times New Roman" w:cs="Times New Roman"/>
                <w:sz w:val="22"/>
              </w:rPr>
            </w:pPr>
          </w:p>
        </w:tc>
        <w:tc>
          <w:tcPr>
            <w:tcW w:w="1066" w:type="pct"/>
            <w:tcBorders>
              <w:top w:val="single" w:sz="4" w:space="0" w:color="000000"/>
              <w:left w:val="single" w:sz="4" w:space="0" w:color="000000"/>
              <w:bottom w:val="single" w:sz="4" w:space="0" w:color="000000"/>
              <w:right w:val="single" w:sz="4" w:space="0" w:color="000000"/>
            </w:tcBorders>
            <w:hideMark/>
          </w:tcPr>
          <w:p w14:paraId="3910309C" w14:textId="77777777" w:rsidR="00A75091" w:rsidRPr="004D17AE" w:rsidRDefault="00A75091">
            <w:pPr>
              <w:pStyle w:val="TableParagraph"/>
              <w:keepNext/>
              <w:widowControl/>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70 til ≤ 90</w:t>
            </w:r>
          </w:p>
        </w:tc>
        <w:tc>
          <w:tcPr>
            <w:tcW w:w="1428" w:type="pct"/>
            <w:tcBorders>
              <w:top w:val="single" w:sz="4" w:space="0" w:color="000000"/>
              <w:left w:val="single" w:sz="4" w:space="0" w:color="000000"/>
              <w:bottom w:val="single" w:sz="4" w:space="0" w:color="000000"/>
              <w:right w:val="single" w:sz="4" w:space="0" w:color="000000"/>
            </w:tcBorders>
            <w:hideMark/>
          </w:tcPr>
          <w:p w14:paraId="3D259010"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2,97</w:t>
            </w:r>
          </w:p>
          <w:p w14:paraId="651482E9"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[0,24 – 5,82]</w:t>
            </w:r>
          </w:p>
        </w:tc>
        <w:tc>
          <w:tcPr>
            <w:tcW w:w="1429" w:type="pct"/>
            <w:tcBorders>
              <w:top w:val="single" w:sz="4" w:space="0" w:color="000000"/>
              <w:left w:val="single" w:sz="4" w:space="0" w:color="000000"/>
              <w:bottom w:val="single" w:sz="4" w:space="0" w:color="000000"/>
              <w:right w:val="single" w:sz="4" w:space="0" w:color="000000"/>
            </w:tcBorders>
            <w:hideMark/>
          </w:tcPr>
          <w:p w14:paraId="5EEF2153"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0,24</w:t>
            </w:r>
          </w:p>
          <w:p w14:paraId="16DE5096"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[0,00 – 1,77]</w:t>
            </w:r>
          </w:p>
        </w:tc>
      </w:tr>
      <w:tr w:rsidR="00A75091" w:rsidRPr="004D17AE" w14:paraId="6291E98F" w14:textId="77777777" w:rsidTr="00CE778C">
        <w:trPr>
          <w:trHeight w:val="20"/>
        </w:trPr>
        <w:tc>
          <w:tcPr>
            <w:tcW w:w="1078" w:type="pct"/>
            <w:vMerge/>
            <w:tcBorders>
              <w:top w:val="single" w:sz="4" w:space="0" w:color="000000"/>
              <w:left w:val="single" w:sz="4" w:space="0" w:color="000000"/>
              <w:bottom w:val="single" w:sz="4" w:space="0" w:color="000000"/>
              <w:right w:val="single" w:sz="4" w:space="0" w:color="000000"/>
            </w:tcBorders>
            <w:vAlign w:val="center"/>
            <w:hideMark/>
          </w:tcPr>
          <w:p w14:paraId="757AC24E" w14:textId="77777777" w:rsidR="00A75091" w:rsidRPr="004D17AE" w:rsidRDefault="00A75091">
            <w:pPr>
              <w:rPr>
                <w:rFonts w:ascii="Times New Roman" w:hAnsi="Times New Roman" w:cs="Times New Roman"/>
                <w:sz w:val="22"/>
              </w:rPr>
            </w:pPr>
          </w:p>
        </w:tc>
        <w:tc>
          <w:tcPr>
            <w:tcW w:w="1066" w:type="pct"/>
            <w:tcBorders>
              <w:top w:val="single" w:sz="4" w:space="0" w:color="000000"/>
              <w:left w:val="single" w:sz="4" w:space="0" w:color="000000"/>
              <w:bottom w:val="single" w:sz="4" w:space="0" w:color="000000"/>
              <w:right w:val="single" w:sz="4" w:space="0" w:color="000000"/>
            </w:tcBorders>
            <w:hideMark/>
          </w:tcPr>
          <w:p w14:paraId="017D2885" w14:textId="77777777" w:rsidR="00A75091" w:rsidRPr="004D17AE" w:rsidRDefault="00A75091">
            <w:pPr>
              <w:pStyle w:val="TableParagraph"/>
              <w:keepNext/>
              <w:widowControl/>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90 til ≤ 110</w:t>
            </w:r>
          </w:p>
        </w:tc>
        <w:tc>
          <w:tcPr>
            <w:tcW w:w="1428" w:type="pct"/>
            <w:tcBorders>
              <w:top w:val="single" w:sz="4" w:space="0" w:color="000000"/>
              <w:left w:val="single" w:sz="4" w:space="0" w:color="000000"/>
              <w:bottom w:val="single" w:sz="4" w:space="0" w:color="000000"/>
              <w:right w:val="single" w:sz="4" w:space="0" w:color="000000"/>
            </w:tcBorders>
            <w:hideMark/>
          </w:tcPr>
          <w:p w14:paraId="3988254C"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2,82</w:t>
            </w:r>
          </w:p>
          <w:p w14:paraId="370BAA2E"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[0,14 – 5,31]</w:t>
            </w:r>
          </w:p>
        </w:tc>
        <w:tc>
          <w:tcPr>
            <w:tcW w:w="1429" w:type="pct"/>
            <w:tcBorders>
              <w:top w:val="single" w:sz="4" w:space="0" w:color="000000"/>
              <w:left w:val="single" w:sz="4" w:space="0" w:color="000000"/>
              <w:bottom w:val="single" w:sz="4" w:space="0" w:color="000000"/>
              <w:right w:val="single" w:sz="4" w:space="0" w:color="000000"/>
            </w:tcBorders>
            <w:hideMark/>
          </w:tcPr>
          <w:p w14:paraId="558C7649"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0,20</w:t>
            </w:r>
          </w:p>
          <w:p w14:paraId="08A2A49E"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[0,00 – 2,52]</w:t>
            </w:r>
          </w:p>
        </w:tc>
      </w:tr>
      <w:tr w:rsidR="00A75091" w:rsidRPr="004D17AE" w14:paraId="043E4444" w14:textId="77777777" w:rsidTr="00CE778C">
        <w:trPr>
          <w:trHeight w:val="20"/>
        </w:trPr>
        <w:tc>
          <w:tcPr>
            <w:tcW w:w="1078" w:type="pct"/>
            <w:vMerge/>
            <w:tcBorders>
              <w:top w:val="single" w:sz="4" w:space="0" w:color="000000"/>
              <w:left w:val="single" w:sz="4" w:space="0" w:color="000000"/>
              <w:bottom w:val="single" w:sz="4" w:space="0" w:color="000000"/>
              <w:right w:val="single" w:sz="4" w:space="0" w:color="000000"/>
            </w:tcBorders>
            <w:vAlign w:val="center"/>
            <w:hideMark/>
          </w:tcPr>
          <w:p w14:paraId="12B9FA94" w14:textId="77777777" w:rsidR="00A75091" w:rsidRPr="004D17AE" w:rsidRDefault="00A75091">
            <w:pPr>
              <w:rPr>
                <w:rFonts w:ascii="Times New Roman" w:hAnsi="Times New Roman" w:cs="Times New Roman"/>
                <w:sz w:val="22"/>
              </w:rPr>
            </w:pPr>
          </w:p>
        </w:tc>
        <w:tc>
          <w:tcPr>
            <w:tcW w:w="1066" w:type="pct"/>
            <w:tcBorders>
              <w:top w:val="single" w:sz="4" w:space="0" w:color="000000"/>
              <w:left w:val="single" w:sz="4" w:space="0" w:color="000000"/>
              <w:bottom w:val="single" w:sz="4" w:space="0" w:color="000000"/>
              <w:right w:val="single" w:sz="4" w:space="0" w:color="000000"/>
            </w:tcBorders>
            <w:hideMark/>
          </w:tcPr>
          <w:p w14:paraId="03CEBB43" w14:textId="77777777" w:rsidR="00A75091" w:rsidRPr="004D17AE" w:rsidRDefault="00A75091">
            <w:pPr>
              <w:pStyle w:val="TableParagraph"/>
              <w:keepNext/>
              <w:widowControl/>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110 til ≤ 130</w:t>
            </w:r>
          </w:p>
        </w:tc>
        <w:tc>
          <w:tcPr>
            <w:tcW w:w="1428" w:type="pct"/>
            <w:tcBorders>
              <w:top w:val="single" w:sz="4" w:space="0" w:color="000000"/>
              <w:left w:val="single" w:sz="4" w:space="0" w:color="000000"/>
              <w:bottom w:val="single" w:sz="4" w:space="0" w:color="000000"/>
              <w:right w:val="single" w:sz="4" w:space="0" w:color="000000"/>
            </w:tcBorders>
            <w:hideMark/>
          </w:tcPr>
          <w:p w14:paraId="2CF2B55C"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2,64</w:t>
            </w:r>
          </w:p>
          <w:p w14:paraId="762450DA"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[0,13 – 5,57]</w:t>
            </w:r>
          </w:p>
        </w:tc>
        <w:tc>
          <w:tcPr>
            <w:tcW w:w="1429" w:type="pct"/>
            <w:tcBorders>
              <w:top w:val="single" w:sz="4" w:space="0" w:color="000000"/>
              <w:left w:val="single" w:sz="4" w:space="0" w:color="000000"/>
              <w:bottom w:val="single" w:sz="4" w:space="0" w:color="000000"/>
              <w:right w:val="single" w:sz="4" w:space="0" w:color="000000"/>
            </w:tcBorders>
            <w:hideMark/>
          </w:tcPr>
          <w:p w14:paraId="6A3EB181"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0,17</w:t>
            </w:r>
          </w:p>
          <w:p w14:paraId="022C9AE0"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[0,00 – 1,86]</w:t>
            </w:r>
          </w:p>
        </w:tc>
      </w:tr>
      <w:tr w:rsidR="00A75091" w:rsidRPr="004D17AE" w14:paraId="4006FFAD" w14:textId="77777777" w:rsidTr="00CE778C">
        <w:trPr>
          <w:trHeight w:val="20"/>
        </w:trPr>
        <w:tc>
          <w:tcPr>
            <w:tcW w:w="1078" w:type="pct"/>
            <w:vMerge/>
            <w:tcBorders>
              <w:top w:val="single" w:sz="4" w:space="0" w:color="000000"/>
              <w:left w:val="single" w:sz="4" w:space="0" w:color="000000"/>
              <w:bottom w:val="single" w:sz="4" w:space="0" w:color="000000"/>
              <w:right w:val="single" w:sz="4" w:space="0" w:color="000000"/>
            </w:tcBorders>
            <w:vAlign w:val="center"/>
            <w:hideMark/>
          </w:tcPr>
          <w:p w14:paraId="63CDA3B8" w14:textId="77777777" w:rsidR="00A75091" w:rsidRPr="004D17AE" w:rsidRDefault="00A75091">
            <w:pPr>
              <w:rPr>
                <w:rFonts w:ascii="Times New Roman" w:hAnsi="Times New Roman" w:cs="Times New Roman"/>
                <w:sz w:val="22"/>
              </w:rPr>
            </w:pPr>
          </w:p>
        </w:tc>
        <w:tc>
          <w:tcPr>
            <w:tcW w:w="1066" w:type="pct"/>
            <w:tcBorders>
              <w:top w:val="single" w:sz="4" w:space="0" w:color="000000"/>
              <w:left w:val="single" w:sz="4" w:space="0" w:color="000000"/>
              <w:bottom w:val="single" w:sz="4" w:space="0" w:color="000000"/>
              <w:right w:val="single" w:sz="4" w:space="0" w:color="000000"/>
            </w:tcBorders>
            <w:hideMark/>
          </w:tcPr>
          <w:p w14:paraId="630EB175" w14:textId="77777777" w:rsidR="00A75091" w:rsidRPr="004D17AE" w:rsidRDefault="00A75091">
            <w:pPr>
              <w:pStyle w:val="TableParagraph"/>
              <w:keepNext/>
              <w:widowControl/>
              <w:ind w:left="57" w:right="57"/>
              <w:rPr>
                <w:rFonts w:ascii="Times New Roman" w:hAnsi="Times New Roman" w:cs="Times New Roman"/>
                <w:sz w:val="22"/>
                <w:szCs w:val="22"/>
                <w:lang w:eastAsia="en-US"/>
              </w:rPr>
            </w:pPr>
            <w:r w:rsidRPr="004D17AE">
              <w:rPr>
                <w:rFonts w:ascii="Times New Roman" w:hAnsi="Times New Roman" w:cs="Times New Roman"/>
                <w:sz w:val="22"/>
                <w:szCs w:val="22"/>
                <w:lang w:eastAsia="en-US"/>
              </w:rPr>
              <w:t>&gt; 130</w:t>
            </w:r>
          </w:p>
        </w:tc>
        <w:tc>
          <w:tcPr>
            <w:tcW w:w="1428" w:type="pct"/>
            <w:tcBorders>
              <w:top w:val="single" w:sz="4" w:space="0" w:color="000000"/>
              <w:left w:val="single" w:sz="4" w:space="0" w:color="000000"/>
              <w:bottom w:val="single" w:sz="4" w:space="0" w:color="000000"/>
              <w:right w:val="single" w:sz="4" w:space="0" w:color="000000"/>
            </w:tcBorders>
            <w:hideMark/>
          </w:tcPr>
          <w:p w14:paraId="45BACE70"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2,39</w:t>
            </w:r>
          </w:p>
          <w:p w14:paraId="2A8E7EF9"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[0,10 – 4,92]</w:t>
            </w:r>
          </w:p>
        </w:tc>
        <w:tc>
          <w:tcPr>
            <w:tcW w:w="1429" w:type="pct"/>
            <w:tcBorders>
              <w:top w:val="single" w:sz="4" w:space="0" w:color="000000"/>
              <w:left w:val="single" w:sz="4" w:space="0" w:color="000000"/>
              <w:bottom w:val="single" w:sz="4" w:space="0" w:color="000000"/>
              <w:right w:val="single" w:sz="4" w:space="0" w:color="000000"/>
            </w:tcBorders>
            <w:hideMark/>
          </w:tcPr>
          <w:p w14:paraId="37A9D998"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0,13</w:t>
            </w:r>
          </w:p>
          <w:p w14:paraId="0A0D6C78" w14:textId="77777777" w:rsidR="00A75091" w:rsidRPr="004D17AE" w:rsidRDefault="00A75091">
            <w:pPr>
              <w:pStyle w:val="TableParagraph"/>
              <w:keepNext/>
              <w:widowControl/>
              <w:ind w:left="57" w:right="57"/>
              <w:jc w:val="center"/>
              <w:rPr>
                <w:rFonts w:ascii="Times New Roman" w:hAnsi="Times New Roman" w:cs="Times New Roman"/>
                <w:sz w:val="22"/>
                <w:szCs w:val="22"/>
                <w:lang w:eastAsia="en-US"/>
              </w:rPr>
            </w:pPr>
            <w:r w:rsidRPr="004D17AE">
              <w:rPr>
                <w:rFonts w:ascii="Times New Roman" w:hAnsi="Times New Roman" w:cs="Times New Roman"/>
                <w:sz w:val="22"/>
                <w:szCs w:val="22"/>
                <w:lang w:eastAsia="en-US"/>
              </w:rPr>
              <w:t>[0,00 – 2,43]</w:t>
            </w:r>
          </w:p>
        </w:tc>
      </w:tr>
    </w:tbl>
    <w:p w14:paraId="678B5FA5" w14:textId="6DE8E168" w:rsidR="00A75091" w:rsidRPr="00CE778C" w:rsidRDefault="00A75091" w:rsidP="004D17AE">
      <w:pPr>
        <w:pStyle w:val="Brdtekst"/>
        <w:suppressAutoHyphens/>
        <w:kinsoku w:val="0"/>
        <w:overflowPunct w:val="0"/>
        <w:ind w:left="284" w:hanging="284"/>
        <w:rPr>
          <w:color w:val="000000" w:themeColor="text1"/>
        </w:rPr>
      </w:pPr>
      <w:r w:rsidRPr="00CE778C">
        <w:rPr>
          <w:color w:val="000000" w:themeColor="text1"/>
          <w:vertAlign w:val="superscript"/>
        </w:rPr>
        <w:t>*</w:t>
      </w:r>
      <w:r w:rsidR="004D17AE">
        <w:rPr>
          <w:color w:val="000000" w:themeColor="text1"/>
          <w:vertAlign w:val="superscript"/>
        </w:rPr>
        <w:tab/>
      </w:r>
      <w:r w:rsidRPr="00CE778C">
        <w:rPr>
          <w:color w:val="000000" w:themeColor="text1"/>
        </w:rPr>
        <w:t>Dosisreduktion til 30 mg for lav legemsvægt ≤ 60 kg eller specifik samtidig hæmning af P-gp</w:t>
      </w:r>
    </w:p>
    <w:p w14:paraId="68E127F0" w14:textId="1A1C4D71" w:rsidR="00A75091" w:rsidRPr="00CE778C" w:rsidRDefault="00A75091" w:rsidP="004D17AE">
      <w:pPr>
        <w:pStyle w:val="Brdtekst"/>
        <w:suppressAutoHyphens/>
        <w:kinsoku w:val="0"/>
        <w:overflowPunct w:val="0"/>
        <w:ind w:left="284" w:hanging="284"/>
        <w:rPr>
          <w:color w:val="000000" w:themeColor="text1"/>
        </w:rPr>
      </w:pPr>
      <w:r w:rsidRPr="00CE778C">
        <w:rPr>
          <w:color w:val="000000" w:themeColor="text1"/>
          <w:vertAlign w:val="superscript"/>
        </w:rPr>
        <w:t>1</w:t>
      </w:r>
      <w:r w:rsidRPr="00CE778C">
        <w:rPr>
          <w:color w:val="000000" w:themeColor="text1"/>
        </w:rPr>
        <w:t xml:space="preserve"> </w:t>
      </w:r>
      <w:r w:rsidR="004D17AE">
        <w:rPr>
          <w:color w:val="000000" w:themeColor="text1"/>
        </w:rPr>
        <w:tab/>
      </w:r>
      <w:r w:rsidRPr="00CE778C">
        <w:rPr>
          <w:color w:val="000000" w:themeColor="text1"/>
        </w:rPr>
        <w:t>Efter dosis svarer til C</w:t>
      </w:r>
      <w:r w:rsidRPr="00CE778C">
        <w:rPr>
          <w:color w:val="000000" w:themeColor="text1"/>
          <w:vertAlign w:val="subscript"/>
        </w:rPr>
        <w:t>max</w:t>
      </w:r>
      <w:r w:rsidRPr="00CE778C">
        <w:rPr>
          <w:color w:val="000000" w:themeColor="text1"/>
        </w:rPr>
        <w:t xml:space="preserve"> (prøver efter dosis blev taget 1 – 3 timer efter administration af edoxaban)</w:t>
      </w:r>
    </w:p>
    <w:p w14:paraId="20C60AB7" w14:textId="4AD3A8DD" w:rsidR="00A75091" w:rsidRPr="00CE778C" w:rsidRDefault="00A75091" w:rsidP="004D17AE">
      <w:pPr>
        <w:pStyle w:val="Brdtekst"/>
        <w:widowControl/>
        <w:suppressAutoHyphens/>
        <w:kinsoku w:val="0"/>
        <w:overflowPunct w:val="0"/>
        <w:ind w:left="284" w:hanging="284"/>
        <w:rPr>
          <w:color w:val="000000" w:themeColor="text1"/>
          <w:vertAlign w:val="subscript"/>
        </w:rPr>
      </w:pPr>
      <w:r w:rsidRPr="00CE778C">
        <w:rPr>
          <w:color w:val="000000" w:themeColor="text1"/>
          <w:vertAlign w:val="superscript"/>
        </w:rPr>
        <w:t>2</w:t>
      </w:r>
      <w:r w:rsidRPr="00CE778C">
        <w:rPr>
          <w:color w:val="000000" w:themeColor="text1"/>
        </w:rPr>
        <w:t xml:space="preserve"> </w:t>
      </w:r>
      <w:r w:rsidR="004D17AE">
        <w:rPr>
          <w:color w:val="000000" w:themeColor="text1"/>
        </w:rPr>
        <w:tab/>
      </w:r>
      <w:r w:rsidRPr="00CE778C">
        <w:rPr>
          <w:color w:val="000000" w:themeColor="text1"/>
        </w:rPr>
        <w:t>Før dosis svarer til C</w:t>
      </w:r>
      <w:r w:rsidRPr="00CE778C">
        <w:rPr>
          <w:color w:val="000000" w:themeColor="text1"/>
          <w:vertAlign w:val="subscript"/>
        </w:rPr>
        <w:t>min</w:t>
      </w:r>
    </w:p>
    <w:p w14:paraId="6895D0DD" w14:textId="77777777" w:rsidR="00A75091" w:rsidRPr="00CE778C" w:rsidRDefault="00A75091" w:rsidP="00A75091">
      <w:pPr>
        <w:pStyle w:val="Brdtekst"/>
        <w:widowControl/>
        <w:suppressAutoHyphens/>
        <w:kinsoku w:val="0"/>
        <w:overflowPunct w:val="0"/>
        <w:ind w:left="0"/>
        <w:rPr>
          <w:color w:val="000000" w:themeColor="text1"/>
        </w:rPr>
      </w:pPr>
    </w:p>
    <w:p w14:paraId="49E2C5BC" w14:textId="52DF5898" w:rsidR="00A75091" w:rsidRPr="00CE778C" w:rsidRDefault="00A75091" w:rsidP="00CE778C">
      <w:pPr>
        <w:ind w:left="851"/>
        <w:rPr>
          <w:sz w:val="24"/>
          <w:szCs w:val="24"/>
        </w:rPr>
      </w:pPr>
      <w:r w:rsidRPr="00CE778C">
        <w:rPr>
          <w:sz w:val="24"/>
          <w:szCs w:val="24"/>
        </w:rPr>
        <w:t>Selvom behandling med edoxaban ikke kræver rutinemæssige kontroller, kan virkningen på</w:t>
      </w:r>
      <w:r w:rsidR="004D17AE">
        <w:rPr>
          <w:sz w:val="24"/>
          <w:szCs w:val="24"/>
        </w:rPr>
        <w:t xml:space="preserve"> </w:t>
      </w:r>
      <w:r w:rsidRPr="00CE778C">
        <w:rPr>
          <w:sz w:val="24"/>
          <w:szCs w:val="24"/>
        </w:rPr>
        <w:t>antikoagulation estimeres ved en kalibreret kvantitativ anti-FXa-analyse, hvilket kan være nyttigt i</w:t>
      </w:r>
      <w:r w:rsidR="004D17AE">
        <w:rPr>
          <w:sz w:val="24"/>
          <w:szCs w:val="24"/>
        </w:rPr>
        <w:t xml:space="preserve"> </w:t>
      </w:r>
      <w:r w:rsidRPr="00CE778C">
        <w:rPr>
          <w:sz w:val="24"/>
          <w:szCs w:val="24"/>
        </w:rPr>
        <w:t>ekstraordinære tilfælde, hvor kendskabet til eksponeringen over for edoxaban kan hjælpe med at belyse kliniske beslutninger, f.eks. overdoseringer og akut kirurgi (se også pkt. 4.4).</w:t>
      </w:r>
    </w:p>
    <w:p w14:paraId="1BC8A526" w14:textId="77777777" w:rsidR="00A75091" w:rsidRPr="00CE778C" w:rsidRDefault="00A75091" w:rsidP="00CE778C">
      <w:pPr>
        <w:ind w:left="851"/>
        <w:rPr>
          <w:sz w:val="24"/>
          <w:szCs w:val="24"/>
        </w:rPr>
      </w:pPr>
    </w:p>
    <w:p w14:paraId="7B747333" w14:textId="77777777" w:rsidR="00A75091" w:rsidRPr="00CE778C" w:rsidRDefault="00A75091" w:rsidP="00CE778C">
      <w:pPr>
        <w:ind w:left="851"/>
        <w:rPr>
          <w:sz w:val="24"/>
          <w:szCs w:val="24"/>
        </w:rPr>
      </w:pPr>
      <w:r w:rsidRPr="00CE778C">
        <w:rPr>
          <w:sz w:val="24"/>
          <w:szCs w:val="24"/>
        </w:rPr>
        <w:t>En 4-timers hæmodialyse reducerede den total eksponering for edoxaban med under 9 %.</w:t>
      </w:r>
    </w:p>
    <w:p w14:paraId="3D7467E9" w14:textId="77777777" w:rsidR="00A75091" w:rsidRPr="00CE778C" w:rsidRDefault="00A75091" w:rsidP="00CE778C">
      <w:pPr>
        <w:ind w:left="851"/>
        <w:rPr>
          <w:sz w:val="24"/>
          <w:szCs w:val="24"/>
        </w:rPr>
      </w:pPr>
    </w:p>
    <w:p w14:paraId="35C31D34" w14:textId="77777777" w:rsidR="00A75091" w:rsidRPr="00CE778C" w:rsidRDefault="00A75091" w:rsidP="00CE778C">
      <w:pPr>
        <w:ind w:left="851"/>
        <w:rPr>
          <w:i/>
          <w:iCs/>
          <w:sz w:val="24"/>
          <w:szCs w:val="24"/>
        </w:rPr>
      </w:pPr>
      <w:r w:rsidRPr="00CE778C">
        <w:rPr>
          <w:i/>
          <w:iCs/>
          <w:sz w:val="24"/>
          <w:szCs w:val="24"/>
        </w:rPr>
        <w:t>Nedsat leverfunktion</w:t>
      </w:r>
    </w:p>
    <w:p w14:paraId="19441947" w14:textId="77777777" w:rsidR="00A75091" w:rsidRPr="00CE778C" w:rsidRDefault="00A75091" w:rsidP="00CE778C">
      <w:pPr>
        <w:ind w:left="851"/>
        <w:rPr>
          <w:sz w:val="24"/>
          <w:szCs w:val="24"/>
        </w:rPr>
      </w:pPr>
      <w:r w:rsidRPr="00CE778C">
        <w:rPr>
          <w:sz w:val="24"/>
          <w:szCs w:val="24"/>
        </w:rPr>
        <w:t>Patienter med let eller moderat nedsat leverfunktion udviste en farmakokinetik og farmakodynamik, der var sammenlignelig med deres matchede raske kontrolgruppe. Edoxaban er ikke blevet undersøgt hos patienter med svært nedsat leverfunktion (se pkt. 4.2).</w:t>
      </w:r>
    </w:p>
    <w:p w14:paraId="648A73E9" w14:textId="77777777" w:rsidR="00A75091" w:rsidRPr="00CE778C" w:rsidRDefault="00A75091" w:rsidP="00CE778C">
      <w:pPr>
        <w:ind w:left="851"/>
        <w:rPr>
          <w:sz w:val="24"/>
          <w:szCs w:val="24"/>
        </w:rPr>
      </w:pPr>
    </w:p>
    <w:p w14:paraId="2E8D978C" w14:textId="77777777" w:rsidR="00A75091" w:rsidRPr="00CE778C" w:rsidRDefault="00A75091" w:rsidP="00CE778C">
      <w:pPr>
        <w:ind w:left="851"/>
        <w:rPr>
          <w:i/>
          <w:iCs/>
          <w:sz w:val="24"/>
          <w:szCs w:val="24"/>
        </w:rPr>
      </w:pPr>
      <w:r w:rsidRPr="00CE778C">
        <w:rPr>
          <w:i/>
          <w:iCs/>
          <w:sz w:val="24"/>
          <w:szCs w:val="24"/>
        </w:rPr>
        <w:t>Køn</w:t>
      </w:r>
    </w:p>
    <w:p w14:paraId="2E1C45AB" w14:textId="672C948A" w:rsidR="00A75091" w:rsidRPr="00CE778C" w:rsidRDefault="00A75091" w:rsidP="00CE778C">
      <w:pPr>
        <w:ind w:left="851"/>
        <w:rPr>
          <w:sz w:val="24"/>
          <w:szCs w:val="24"/>
        </w:rPr>
      </w:pPr>
      <w:r w:rsidRPr="00CE778C">
        <w:rPr>
          <w:sz w:val="24"/>
          <w:szCs w:val="24"/>
        </w:rPr>
        <w:t>Efter der er taget hensyn til legemsvægten, havde kønnet ingen yderligere klinisk signifikant virkning</w:t>
      </w:r>
      <w:r w:rsidR="004D17AE">
        <w:rPr>
          <w:sz w:val="24"/>
          <w:szCs w:val="24"/>
        </w:rPr>
        <w:t xml:space="preserve"> </w:t>
      </w:r>
      <w:r w:rsidRPr="00CE778C">
        <w:rPr>
          <w:sz w:val="24"/>
          <w:szCs w:val="24"/>
        </w:rPr>
        <w:t>på farmakokinetikken for edoxaban i en populationsfarmakokinetisk analyse af fase III-studiet i</w:t>
      </w:r>
      <w:r w:rsidR="004D17AE">
        <w:rPr>
          <w:sz w:val="24"/>
          <w:szCs w:val="24"/>
        </w:rPr>
        <w:t xml:space="preserve"> </w:t>
      </w:r>
      <w:r w:rsidRPr="00CE778C">
        <w:rPr>
          <w:sz w:val="24"/>
          <w:szCs w:val="24"/>
        </w:rPr>
        <w:t>NVAF (ENGAGE AF-TIMI 48).</w:t>
      </w:r>
    </w:p>
    <w:p w14:paraId="0DA98558" w14:textId="77777777" w:rsidR="00A75091" w:rsidRPr="00CE778C" w:rsidRDefault="00A75091" w:rsidP="00CE778C">
      <w:pPr>
        <w:ind w:left="851"/>
        <w:rPr>
          <w:sz w:val="24"/>
          <w:szCs w:val="24"/>
        </w:rPr>
      </w:pPr>
    </w:p>
    <w:p w14:paraId="3B6D3ABD" w14:textId="77777777" w:rsidR="00A75091" w:rsidRPr="00CE778C" w:rsidRDefault="00A75091" w:rsidP="00CE778C">
      <w:pPr>
        <w:ind w:left="851"/>
        <w:rPr>
          <w:i/>
          <w:iCs/>
          <w:sz w:val="24"/>
          <w:szCs w:val="24"/>
        </w:rPr>
      </w:pPr>
      <w:r w:rsidRPr="00CE778C">
        <w:rPr>
          <w:i/>
          <w:iCs/>
          <w:sz w:val="24"/>
          <w:szCs w:val="24"/>
        </w:rPr>
        <w:t>Etnisk oprindelse</w:t>
      </w:r>
    </w:p>
    <w:p w14:paraId="2873A333" w14:textId="4D516035" w:rsidR="00A75091" w:rsidRPr="00CE778C" w:rsidRDefault="00A75091" w:rsidP="00CE778C">
      <w:pPr>
        <w:ind w:left="851"/>
        <w:rPr>
          <w:sz w:val="24"/>
          <w:szCs w:val="24"/>
        </w:rPr>
      </w:pPr>
      <w:r w:rsidRPr="00CE778C">
        <w:rPr>
          <w:sz w:val="24"/>
          <w:szCs w:val="24"/>
        </w:rPr>
        <w:t>I en populationsfarmakokinetisk analyse af ENGAGE AF-TIMI 48-studiet var den maksimale og</w:t>
      </w:r>
      <w:r w:rsidR="004D17AE">
        <w:rPr>
          <w:sz w:val="24"/>
          <w:szCs w:val="24"/>
        </w:rPr>
        <w:t xml:space="preserve"> </w:t>
      </w:r>
      <w:r w:rsidRPr="00CE778C">
        <w:rPr>
          <w:sz w:val="24"/>
          <w:szCs w:val="24"/>
        </w:rPr>
        <w:t>totale eksponering hos asiatiske patienter og ikke-asiatiske patienter sammenlignelige.</w:t>
      </w:r>
    </w:p>
    <w:p w14:paraId="7748A2DB" w14:textId="77777777" w:rsidR="00A75091" w:rsidRPr="00CE778C" w:rsidRDefault="00A75091" w:rsidP="00CE778C">
      <w:pPr>
        <w:ind w:left="851"/>
        <w:rPr>
          <w:sz w:val="24"/>
          <w:szCs w:val="24"/>
        </w:rPr>
      </w:pPr>
    </w:p>
    <w:p w14:paraId="389CA8C4" w14:textId="77777777" w:rsidR="00A75091" w:rsidRPr="00CE778C" w:rsidRDefault="00A75091" w:rsidP="00CE778C">
      <w:pPr>
        <w:ind w:left="851"/>
        <w:rPr>
          <w:i/>
          <w:iCs/>
          <w:sz w:val="24"/>
          <w:szCs w:val="24"/>
        </w:rPr>
      </w:pPr>
      <w:r w:rsidRPr="00CE778C">
        <w:rPr>
          <w:i/>
          <w:iCs/>
          <w:sz w:val="24"/>
          <w:szCs w:val="24"/>
        </w:rPr>
        <w:t>Pædiatrisk population</w:t>
      </w:r>
    </w:p>
    <w:p w14:paraId="5E1A7213" w14:textId="64FB97F9" w:rsidR="00A75091" w:rsidRPr="00CE778C" w:rsidRDefault="00A75091" w:rsidP="00CE778C">
      <w:pPr>
        <w:ind w:left="851"/>
        <w:rPr>
          <w:sz w:val="24"/>
          <w:szCs w:val="24"/>
        </w:rPr>
      </w:pPr>
      <w:r w:rsidRPr="00CE778C">
        <w:rPr>
          <w:sz w:val="24"/>
          <w:szCs w:val="24"/>
        </w:rPr>
        <w:t>Edoxabans farmakokinetik blev evalueret hos 208 pædiatriske forsøgspersoner over 3</w:t>
      </w:r>
      <w:r w:rsidR="006B6B57">
        <w:rPr>
          <w:sz w:val="24"/>
          <w:szCs w:val="24"/>
        </w:rPr>
        <w:t> </w:t>
      </w:r>
      <w:r w:rsidRPr="00CE778C">
        <w:rPr>
          <w:sz w:val="24"/>
          <w:szCs w:val="24"/>
        </w:rPr>
        <w:t>kliniske studier</w:t>
      </w:r>
      <w:r w:rsidR="004D17AE">
        <w:rPr>
          <w:sz w:val="24"/>
          <w:szCs w:val="24"/>
        </w:rPr>
        <w:t xml:space="preserve"> </w:t>
      </w:r>
      <w:r w:rsidRPr="00CE778C">
        <w:rPr>
          <w:sz w:val="24"/>
          <w:szCs w:val="24"/>
        </w:rPr>
        <w:t>(Hokusai VTE PEDIATRICS, ENNOBLE-ATE og et farmakokinetisk/farmakodynamisk enkeltdosisstudie) ved anvendelse af en populationsfarmakokinetisk model (PopPK-model). De</w:t>
      </w:r>
      <w:r w:rsidR="004D17AE">
        <w:rPr>
          <w:sz w:val="24"/>
          <w:szCs w:val="24"/>
        </w:rPr>
        <w:t xml:space="preserve"> </w:t>
      </w:r>
      <w:r w:rsidRPr="00CE778C">
        <w:rPr>
          <w:sz w:val="24"/>
          <w:szCs w:val="24"/>
        </w:rPr>
        <w:t>farmakokinetiske data for 141 pædiatriske forsøgspersoner, der indgik i Hokusai VTE PEDIATRICS</w:t>
      </w:r>
      <w:r w:rsidR="004D17AE">
        <w:rPr>
          <w:sz w:val="24"/>
          <w:szCs w:val="24"/>
        </w:rPr>
        <w:t xml:space="preserve"> </w:t>
      </w:r>
      <w:r w:rsidRPr="00CE778C">
        <w:rPr>
          <w:sz w:val="24"/>
          <w:szCs w:val="24"/>
        </w:rPr>
        <w:t>og ENNOBLE-</w:t>
      </w:r>
      <w:r w:rsidRPr="00CE778C">
        <w:rPr>
          <w:sz w:val="24"/>
          <w:szCs w:val="24"/>
        </w:rPr>
        <w:lastRenderedPageBreak/>
        <w:t>ATE, blev inkluderet i PopPK-analysen. Eksponeringen for edoxaban hos pædiatriske</w:t>
      </w:r>
      <w:r w:rsidR="004D17AE">
        <w:rPr>
          <w:sz w:val="24"/>
          <w:szCs w:val="24"/>
        </w:rPr>
        <w:t xml:space="preserve"> </w:t>
      </w:r>
      <w:r w:rsidRPr="00CE778C">
        <w:rPr>
          <w:sz w:val="24"/>
          <w:szCs w:val="24"/>
        </w:rPr>
        <w:t>forsøgspersoner var overvejende inden for de eksponeringsintervaller, der observeres hos voksne patienter, men der var en undereksponering på 20-30 % hos unge i alderen 12 til &lt;18 år sammenlignet</w:t>
      </w:r>
      <w:r w:rsidR="004D17AE">
        <w:rPr>
          <w:sz w:val="24"/>
          <w:szCs w:val="24"/>
        </w:rPr>
        <w:t xml:space="preserve"> </w:t>
      </w:r>
      <w:r w:rsidRPr="00CE778C">
        <w:rPr>
          <w:sz w:val="24"/>
          <w:szCs w:val="24"/>
        </w:rPr>
        <w:t xml:space="preserve">med voksne, der fik edoxaban 60 mg tabletterne. </w:t>
      </w:r>
      <w:r w:rsidRPr="00CE778C">
        <w:rPr>
          <w:sz w:val="24"/>
          <w:szCs w:val="24"/>
          <w:lang w:val="nb-NO"/>
        </w:rPr>
        <w:t>I Hokusai VTE PEDIATRICS og ENNOBLE-ATE</w:t>
      </w:r>
      <w:r w:rsidR="004D17AE">
        <w:rPr>
          <w:sz w:val="24"/>
          <w:szCs w:val="24"/>
          <w:lang w:val="nb-NO"/>
        </w:rPr>
        <w:t xml:space="preserve"> </w:t>
      </w:r>
      <w:r w:rsidRPr="00CE778C">
        <w:rPr>
          <w:sz w:val="24"/>
          <w:szCs w:val="24"/>
        </w:rPr>
        <w:t>var de observerede geometriske gennemsnit af daleksponeringer for edoxaban hos den pædiatriske</w:t>
      </w:r>
      <w:r w:rsidR="004D17AE">
        <w:rPr>
          <w:sz w:val="24"/>
          <w:szCs w:val="24"/>
        </w:rPr>
        <w:t xml:space="preserve"> </w:t>
      </w:r>
      <w:r w:rsidRPr="00CE778C">
        <w:rPr>
          <w:sz w:val="24"/>
          <w:szCs w:val="24"/>
        </w:rPr>
        <w:t>population 7,8 ng/ml hos forsøgspersoner i alderen 0 til &lt; 6 måneder (N = 9), 8,6 ng/ml hos forsøgspersoner i alderen 6 måneder til &lt;2 år (N = 19), 7,4 ng/ml hos forsøgspersoner i alderen 2 til</w:t>
      </w:r>
      <w:r w:rsidR="004D17AE">
        <w:rPr>
          <w:sz w:val="24"/>
          <w:szCs w:val="24"/>
        </w:rPr>
        <w:t xml:space="preserve"> </w:t>
      </w:r>
      <w:r w:rsidRPr="00CE778C">
        <w:rPr>
          <w:sz w:val="24"/>
          <w:szCs w:val="24"/>
        </w:rPr>
        <w:t>&lt;6 år (N</w:t>
      </w:r>
      <w:r w:rsidR="006B6B57">
        <w:rPr>
          <w:sz w:val="24"/>
          <w:szCs w:val="24"/>
        </w:rPr>
        <w:t> </w:t>
      </w:r>
      <w:r w:rsidRPr="00CE778C">
        <w:rPr>
          <w:sz w:val="24"/>
          <w:szCs w:val="24"/>
        </w:rPr>
        <w:t>=</w:t>
      </w:r>
      <w:r w:rsidR="006B6B57">
        <w:rPr>
          <w:sz w:val="24"/>
          <w:szCs w:val="24"/>
        </w:rPr>
        <w:t> </w:t>
      </w:r>
      <w:r w:rsidRPr="00CE778C">
        <w:rPr>
          <w:sz w:val="24"/>
          <w:szCs w:val="24"/>
        </w:rPr>
        <w:t>36), 13,7 ng/ml hos forsøgspersoner i alderen 6 til &lt;12 år (N = 38) og 10,8 ng/ml hos</w:t>
      </w:r>
      <w:r w:rsidR="004D17AE">
        <w:rPr>
          <w:sz w:val="24"/>
          <w:szCs w:val="24"/>
        </w:rPr>
        <w:t xml:space="preserve"> </w:t>
      </w:r>
      <w:r w:rsidRPr="00CE778C">
        <w:rPr>
          <w:sz w:val="24"/>
          <w:szCs w:val="24"/>
        </w:rPr>
        <w:t>forsøgspersoner i alderen 12 til &lt;18 år (N = 39).</w:t>
      </w:r>
    </w:p>
    <w:p w14:paraId="379722BD" w14:textId="77777777" w:rsidR="00A75091" w:rsidRPr="00CE778C" w:rsidRDefault="00A75091" w:rsidP="00CE778C">
      <w:pPr>
        <w:ind w:left="851"/>
        <w:rPr>
          <w:sz w:val="24"/>
          <w:szCs w:val="24"/>
        </w:rPr>
      </w:pPr>
    </w:p>
    <w:p w14:paraId="3C1C6C5A" w14:textId="77777777" w:rsidR="00A75091" w:rsidRPr="00CE778C" w:rsidRDefault="00A75091" w:rsidP="00CE778C">
      <w:pPr>
        <w:ind w:left="851"/>
        <w:rPr>
          <w:i/>
          <w:iCs/>
          <w:sz w:val="24"/>
          <w:szCs w:val="24"/>
        </w:rPr>
      </w:pPr>
      <w:r w:rsidRPr="00CE778C">
        <w:rPr>
          <w:i/>
          <w:iCs/>
          <w:sz w:val="24"/>
          <w:szCs w:val="24"/>
        </w:rPr>
        <w:t>Legemsvægt</w:t>
      </w:r>
    </w:p>
    <w:p w14:paraId="1B084B89" w14:textId="4B11A177" w:rsidR="00A75091" w:rsidRPr="00CE778C" w:rsidRDefault="00A75091" w:rsidP="00CE778C">
      <w:pPr>
        <w:ind w:left="851"/>
        <w:rPr>
          <w:sz w:val="24"/>
          <w:szCs w:val="24"/>
        </w:rPr>
      </w:pPr>
      <w:r w:rsidRPr="00CE778C">
        <w:rPr>
          <w:sz w:val="24"/>
          <w:szCs w:val="24"/>
        </w:rPr>
        <w:t>I en populationsfarmakokinetisk analyse af ENGAGE AF-TIMI 48-studiet i NVAF, var C</w:t>
      </w:r>
      <w:r w:rsidRPr="00CE778C">
        <w:rPr>
          <w:sz w:val="24"/>
          <w:szCs w:val="24"/>
          <w:vertAlign w:val="subscript"/>
        </w:rPr>
        <w:t>max</w:t>
      </w:r>
      <w:r w:rsidRPr="00CE778C">
        <w:rPr>
          <w:sz w:val="24"/>
          <w:szCs w:val="24"/>
        </w:rPr>
        <w:t xml:space="preserve"> og AUC</w:t>
      </w:r>
      <w:r w:rsidR="004D17AE">
        <w:rPr>
          <w:sz w:val="24"/>
          <w:szCs w:val="24"/>
        </w:rPr>
        <w:t xml:space="preserve"> </w:t>
      </w:r>
      <w:r w:rsidRPr="00CE778C">
        <w:rPr>
          <w:sz w:val="24"/>
          <w:szCs w:val="24"/>
        </w:rPr>
        <w:t>forhøjet hos patienter med medianen for lav legemsvægt (55 kg) med hhv. 40 % og 13 % sammenlignet med patienter med medianen for høj legemsvægt (84 kg). I de kliniske studier i fase III (både for indikationerne NVAF og VTE) fik patienter med en legemsvægt ≤ 60 kg en 50 % dosisreduktion af edoxaban, og de havde sammenlignelige virkninger og mindre blødninger sammenlignet med warfarin.</w:t>
      </w:r>
    </w:p>
    <w:p w14:paraId="28468556" w14:textId="77777777" w:rsidR="00A75091" w:rsidRPr="00CE778C" w:rsidRDefault="00A75091" w:rsidP="00CE778C">
      <w:pPr>
        <w:ind w:left="851"/>
        <w:rPr>
          <w:sz w:val="24"/>
          <w:szCs w:val="24"/>
        </w:rPr>
      </w:pPr>
    </w:p>
    <w:p w14:paraId="3476016B" w14:textId="77777777" w:rsidR="00A75091" w:rsidRPr="00CE778C" w:rsidRDefault="00A75091" w:rsidP="00CE778C">
      <w:pPr>
        <w:ind w:left="851"/>
        <w:rPr>
          <w:sz w:val="24"/>
          <w:szCs w:val="24"/>
          <w:u w:val="single"/>
        </w:rPr>
      </w:pPr>
      <w:r w:rsidRPr="00CE778C">
        <w:rPr>
          <w:sz w:val="24"/>
          <w:szCs w:val="24"/>
          <w:u w:val="single"/>
        </w:rPr>
        <w:t>Farmakokinetiske/farmakodynamiske forhold</w:t>
      </w:r>
    </w:p>
    <w:p w14:paraId="2E214329" w14:textId="77777777" w:rsidR="00A75091" w:rsidRPr="00CE778C" w:rsidRDefault="00A75091" w:rsidP="00CE778C">
      <w:pPr>
        <w:ind w:left="851"/>
        <w:rPr>
          <w:sz w:val="24"/>
          <w:szCs w:val="24"/>
          <w:u w:val="single"/>
        </w:rPr>
      </w:pPr>
    </w:p>
    <w:p w14:paraId="0169F7BF" w14:textId="157F1040" w:rsidR="00A75091" w:rsidRPr="00CE778C" w:rsidRDefault="00A75091" w:rsidP="00CE778C">
      <w:pPr>
        <w:ind w:left="851"/>
        <w:rPr>
          <w:sz w:val="24"/>
          <w:szCs w:val="24"/>
        </w:rPr>
      </w:pPr>
      <w:r w:rsidRPr="00CE778C">
        <w:rPr>
          <w:sz w:val="24"/>
          <w:szCs w:val="24"/>
        </w:rPr>
        <w:t>PT, INR, aPTT og anti-FXa korrelerer lineært med edoxabankoncentrationerne hos voksne. Der blev</w:t>
      </w:r>
      <w:r w:rsidR="004D17AE">
        <w:rPr>
          <w:sz w:val="24"/>
          <w:szCs w:val="24"/>
        </w:rPr>
        <w:t xml:space="preserve"> </w:t>
      </w:r>
      <w:r w:rsidRPr="00CE778C">
        <w:rPr>
          <w:sz w:val="24"/>
          <w:szCs w:val="24"/>
        </w:rPr>
        <w:t>også observeret en lineær korrelation mellem anti-FXa-aktiviteter og plasmakoncentrationer af edoxaban hos pædiatriske patienter i alderen 0 til 18 år. Samlet set var de farmakokinetiske/farmakodynamiske forhold sammenlignelige for pædiatriske patienter i alderen 0 til 18 år og for voksne VTE-patienter. Variabiliteten i farmakodynamikken gav dog anledning til en betydelig usikkerhed med hensyn til vurderingen af dette forhold.</w:t>
      </w:r>
    </w:p>
    <w:p w14:paraId="6F1E416E" w14:textId="77777777" w:rsidR="009260DE" w:rsidRPr="00CE778C" w:rsidRDefault="009260DE" w:rsidP="009260DE">
      <w:pPr>
        <w:tabs>
          <w:tab w:val="left" w:pos="851"/>
        </w:tabs>
        <w:ind w:left="851"/>
        <w:rPr>
          <w:sz w:val="24"/>
          <w:szCs w:val="24"/>
        </w:rPr>
      </w:pPr>
    </w:p>
    <w:p w14:paraId="76C108AD" w14:textId="77777777" w:rsidR="009260DE" w:rsidRPr="00CE778C" w:rsidRDefault="009260DE" w:rsidP="009260DE">
      <w:pPr>
        <w:tabs>
          <w:tab w:val="left" w:pos="851"/>
        </w:tabs>
        <w:ind w:left="851" w:hanging="851"/>
        <w:rPr>
          <w:b/>
          <w:sz w:val="24"/>
          <w:szCs w:val="24"/>
        </w:rPr>
      </w:pPr>
      <w:r w:rsidRPr="00CE778C">
        <w:rPr>
          <w:b/>
          <w:sz w:val="24"/>
          <w:szCs w:val="24"/>
        </w:rPr>
        <w:t>5.3</w:t>
      </w:r>
      <w:r w:rsidRPr="00CE778C">
        <w:rPr>
          <w:b/>
          <w:sz w:val="24"/>
          <w:szCs w:val="24"/>
        </w:rPr>
        <w:tab/>
      </w:r>
      <w:r w:rsidR="00BD7931" w:rsidRPr="00CE778C">
        <w:rPr>
          <w:b/>
          <w:sz w:val="24"/>
          <w:szCs w:val="24"/>
        </w:rPr>
        <w:t>Non-</w:t>
      </w:r>
      <w:r w:rsidRPr="00CE778C">
        <w:rPr>
          <w:b/>
          <w:sz w:val="24"/>
          <w:szCs w:val="24"/>
        </w:rPr>
        <w:t>kliniske sikkerhedsdata</w:t>
      </w:r>
    </w:p>
    <w:p w14:paraId="2C68E24E" w14:textId="532A31AD" w:rsidR="00A75091" w:rsidRPr="00CE778C" w:rsidRDefault="00A75091" w:rsidP="00CE778C">
      <w:pPr>
        <w:ind w:left="851"/>
        <w:rPr>
          <w:sz w:val="24"/>
          <w:szCs w:val="24"/>
        </w:rPr>
      </w:pPr>
      <w:r w:rsidRPr="00CE778C">
        <w:rPr>
          <w:sz w:val="24"/>
          <w:szCs w:val="24"/>
        </w:rPr>
        <w:t>Non-kliniske data viser ingen speciel risiko for mennesker vurderet ud fra konventionelle studier af</w:t>
      </w:r>
      <w:r w:rsidR="004D17AE">
        <w:rPr>
          <w:sz w:val="24"/>
          <w:szCs w:val="24"/>
        </w:rPr>
        <w:t xml:space="preserve"> </w:t>
      </w:r>
      <w:r w:rsidRPr="00CE778C">
        <w:rPr>
          <w:sz w:val="24"/>
          <w:szCs w:val="24"/>
        </w:rPr>
        <w:t>sikkerhedsfarmakologi, toksicitet efter gentagne doser, genotoksicitet, karcinogent potentiale eller</w:t>
      </w:r>
      <w:r w:rsidR="004D17AE">
        <w:rPr>
          <w:sz w:val="24"/>
          <w:szCs w:val="24"/>
        </w:rPr>
        <w:t xml:space="preserve"> </w:t>
      </w:r>
      <w:r w:rsidRPr="00CE778C">
        <w:rPr>
          <w:sz w:val="24"/>
          <w:szCs w:val="24"/>
        </w:rPr>
        <w:t>fototoksicitet.</w:t>
      </w:r>
    </w:p>
    <w:p w14:paraId="4EBEA453" w14:textId="77777777" w:rsidR="00A75091" w:rsidRPr="00CE778C" w:rsidRDefault="00A75091" w:rsidP="00CE778C">
      <w:pPr>
        <w:ind w:left="851"/>
        <w:rPr>
          <w:sz w:val="24"/>
          <w:szCs w:val="24"/>
        </w:rPr>
      </w:pPr>
    </w:p>
    <w:p w14:paraId="02B2E3C4" w14:textId="77777777" w:rsidR="00A75091" w:rsidRPr="00CE778C" w:rsidRDefault="00A75091" w:rsidP="00CE778C">
      <w:pPr>
        <w:ind w:left="851"/>
        <w:rPr>
          <w:i/>
          <w:iCs/>
          <w:sz w:val="24"/>
          <w:szCs w:val="24"/>
        </w:rPr>
      </w:pPr>
      <w:r w:rsidRPr="00CE778C">
        <w:rPr>
          <w:i/>
          <w:iCs/>
          <w:sz w:val="24"/>
          <w:szCs w:val="24"/>
        </w:rPr>
        <w:t>Reproduktionstoksikologi</w:t>
      </w:r>
    </w:p>
    <w:p w14:paraId="43D938E3" w14:textId="3A9E1C3B" w:rsidR="00A75091" w:rsidRPr="00CE778C" w:rsidRDefault="00A75091" w:rsidP="00CE778C">
      <w:pPr>
        <w:ind w:left="851"/>
        <w:rPr>
          <w:sz w:val="24"/>
          <w:szCs w:val="24"/>
        </w:rPr>
      </w:pPr>
      <w:r w:rsidRPr="00CE778C">
        <w:rPr>
          <w:sz w:val="24"/>
          <w:szCs w:val="24"/>
        </w:rPr>
        <w:t>Edoxaban viste vaginal blødning ved højere doser hos rotter og kaniner, men det havde ingen virkning</w:t>
      </w:r>
      <w:r w:rsidR="004D17AE">
        <w:rPr>
          <w:sz w:val="24"/>
          <w:szCs w:val="24"/>
        </w:rPr>
        <w:t xml:space="preserve"> </w:t>
      </w:r>
      <w:r w:rsidRPr="00CE778C">
        <w:rPr>
          <w:sz w:val="24"/>
          <w:szCs w:val="24"/>
        </w:rPr>
        <w:t>på reproduktionsevnen hos hunrotterne.</w:t>
      </w:r>
    </w:p>
    <w:p w14:paraId="7F68382C" w14:textId="77777777" w:rsidR="00A75091" w:rsidRPr="00CE778C" w:rsidRDefault="00A75091" w:rsidP="00CE778C">
      <w:pPr>
        <w:ind w:left="851"/>
        <w:rPr>
          <w:sz w:val="24"/>
          <w:szCs w:val="24"/>
        </w:rPr>
      </w:pPr>
    </w:p>
    <w:p w14:paraId="5C3FFCC6" w14:textId="77777777" w:rsidR="00A75091" w:rsidRPr="00CE778C" w:rsidRDefault="00A75091" w:rsidP="00CE778C">
      <w:pPr>
        <w:ind w:left="851"/>
        <w:rPr>
          <w:sz w:val="24"/>
          <w:szCs w:val="24"/>
        </w:rPr>
      </w:pPr>
      <w:r w:rsidRPr="00CE778C">
        <w:rPr>
          <w:sz w:val="24"/>
          <w:szCs w:val="24"/>
        </w:rPr>
        <w:t>Hos rotter blev der ikke observeret nogen virkning på fertiliteten hos han- og hunrotter.</w:t>
      </w:r>
    </w:p>
    <w:p w14:paraId="1DD11D76" w14:textId="77777777" w:rsidR="00A75091" w:rsidRPr="00CE778C" w:rsidRDefault="00A75091" w:rsidP="00CE778C">
      <w:pPr>
        <w:ind w:left="851"/>
        <w:rPr>
          <w:sz w:val="24"/>
          <w:szCs w:val="24"/>
        </w:rPr>
      </w:pPr>
    </w:p>
    <w:p w14:paraId="66FD787E" w14:textId="2161230E" w:rsidR="00A75091" w:rsidRPr="00CE778C" w:rsidRDefault="00A75091" w:rsidP="00CE778C">
      <w:pPr>
        <w:ind w:left="851"/>
        <w:rPr>
          <w:sz w:val="24"/>
          <w:szCs w:val="24"/>
        </w:rPr>
      </w:pPr>
      <w:r w:rsidRPr="00CE778C">
        <w:rPr>
          <w:sz w:val="24"/>
          <w:szCs w:val="24"/>
        </w:rPr>
        <w:t>I dyrereproduktionsforsøg viste kaniner en øget forekomst af galdeblærevariationer ved en dosis på 200 mg/kg, hvilket er ca. 65 gange den maksimalt anbefalede, humane dosis (maximum recommended</w:t>
      </w:r>
      <w:r w:rsidR="004D17AE">
        <w:rPr>
          <w:sz w:val="24"/>
          <w:szCs w:val="24"/>
        </w:rPr>
        <w:t xml:space="preserve"> </w:t>
      </w:r>
      <w:r w:rsidRPr="00CE778C">
        <w:rPr>
          <w:sz w:val="24"/>
          <w:szCs w:val="24"/>
        </w:rPr>
        <w:t>human dose, MRHD) på 60 mg/dag baseret på det totale legemsoverfladeareal i mg/m</w:t>
      </w:r>
      <w:r w:rsidRPr="00CE778C">
        <w:rPr>
          <w:sz w:val="24"/>
          <w:szCs w:val="24"/>
          <w:vertAlign w:val="superscript"/>
        </w:rPr>
        <w:t>2</w:t>
      </w:r>
      <w:r w:rsidRPr="00CE778C">
        <w:rPr>
          <w:sz w:val="24"/>
          <w:szCs w:val="24"/>
        </w:rPr>
        <w:t>. Der opstod et øget graviditetstab efter implantationen hos hhv. rotter ved 300 mg/kg/dag (ca. 49 gange MRHD) og hos kaniner ved 200 mg/kg/dag (ca. 65 gange MRHD).</w:t>
      </w:r>
    </w:p>
    <w:p w14:paraId="25045C28" w14:textId="77777777" w:rsidR="00A75091" w:rsidRPr="00CE778C" w:rsidRDefault="00A75091" w:rsidP="00CE778C">
      <w:pPr>
        <w:ind w:left="851"/>
        <w:rPr>
          <w:sz w:val="24"/>
          <w:szCs w:val="24"/>
        </w:rPr>
      </w:pPr>
    </w:p>
    <w:p w14:paraId="335030F7" w14:textId="77777777" w:rsidR="00A75091" w:rsidRPr="00CE778C" w:rsidRDefault="00A75091" w:rsidP="00CE778C">
      <w:pPr>
        <w:ind w:left="851"/>
        <w:rPr>
          <w:sz w:val="24"/>
          <w:szCs w:val="24"/>
        </w:rPr>
      </w:pPr>
      <w:r w:rsidRPr="00CE778C">
        <w:rPr>
          <w:sz w:val="24"/>
          <w:szCs w:val="24"/>
        </w:rPr>
        <w:t>Edoxaban blev udskilt i mælken hos diegivende rotter.</w:t>
      </w:r>
    </w:p>
    <w:p w14:paraId="267343AE" w14:textId="23020D04" w:rsidR="006B6B57" w:rsidRDefault="006B6B57">
      <w:pPr>
        <w:rPr>
          <w:sz w:val="24"/>
          <w:szCs w:val="24"/>
        </w:rPr>
      </w:pPr>
      <w:r>
        <w:rPr>
          <w:sz w:val="24"/>
          <w:szCs w:val="24"/>
        </w:rPr>
        <w:br w:type="page"/>
      </w:r>
    </w:p>
    <w:p w14:paraId="20BA18F6" w14:textId="77777777" w:rsidR="00A75091" w:rsidRPr="00CE778C" w:rsidRDefault="00A75091" w:rsidP="00CE778C">
      <w:pPr>
        <w:ind w:left="851"/>
        <w:rPr>
          <w:sz w:val="24"/>
          <w:szCs w:val="24"/>
        </w:rPr>
      </w:pPr>
    </w:p>
    <w:p w14:paraId="2EF83CC9" w14:textId="77777777" w:rsidR="00A75091" w:rsidRPr="00CE778C" w:rsidRDefault="00A75091" w:rsidP="00CE778C">
      <w:pPr>
        <w:ind w:left="851"/>
        <w:rPr>
          <w:sz w:val="24"/>
          <w:szCs w:val="24"/>
          <w:u w:val="single"/>
        </w:rPr>
      </w:pPr>
      <w:r w:rsidRPr="00CE778C">
        <w:rPr>
          <w:sz w:val="24"/>
          <w:szCs w:val="24"/>
          <w:u w:val="single"/>
        </w:rPr>
        <w:t>Miljørisikovurdering</w:t>
      </w:r>
    </w:p>
    <w:p w14:paraId="0440A4F1" w14:textId="77777777" w:rsidR="00A75091" w:rsidRPr="00CE778C" w:rsidRDefault="00A75091" w:rsidP="00CE778C">
      <w:pPr>
        <w:ind w:left="851"/>
        <w:rPr>
          <w:sz w:val="24"/>
          <w:szCs w:val="24"/>
          <w:u w:val="single"/>
        </w:rPr>
      </w:pPr>
    </w:p>
    <w:p w14:paraId="3F0474B0" w14:textId="77777777" w:rsidR="00A75091" w:rsidRPr="00CE778C" w:rsidRDefault="00A75091" w:rsidP="00CE778C">
      <w:pPr>
        <w:ind w:left="851"/>
        <w:rPr>
          <w:sz w:val="24"/>
          <w:szCs w:val="24"/>
        </w:rPr>
      </w:pPr>
      <w:r w:rsidRPr="00CE778C">
        <w:rPr>
          <w:sz w:val="24"/>
          <w:szCs w:val="24"/>
        </w:rPr>
        <w:t>Det aktive stof edoxabantosilat er persisterende i miljøet (for anvisninger i bortskaffelse, se pkt. 6.6).</w:t>
      </w:r>
    </w:p>
    <w:p w14:paraId="76DB30D9" w14:textId="77777777" w:rsidR="009260DE" w:rsidRPr="00CE778C" w:rsidRDefault="009260DE" w:rsidP="009260DE">
      <w:pPr>
        <w:tabs>
          <w:tab w:val="left" w:pos="851"/>
        </w:tabs>
        <w:ind w:left="851"/>
        <w:rPr>
          <w:sz w:val="24"/>
          <w:szCs w:val="24"/>
        </w:rPr>
      </w:pPr>
    </w:p>
    <w:p w14:paraId="51EDE693" w14:textId="77777777" w:rsidR="009260DE" w:rsidRPr="00CE778C" w:rsidRDefault="009260DE" w:rsidP="009260DE">
      <w:pPr>
        <w:tabs>
          <w:tab w:val="left" w:pos="851"/>
        </w:tabs>
        <w:ind w:left="851"/>
        <w:rPr>
          <w:sz w:val="24"/>
          <w:szCs w:val="24"/>
        </w:rPr>
      </w:pPr>
    </w:p>
    <w:p w14:paraId="2EB3650D" w14:textId="77777777" w:rsidR="009260DE" w:rsidRPr="00CE778C" w:rsidRDefault="009260DE" w:rsidP="009260DE">
      <w:pPr>
        <w:tabs>
          <w:tab w:val="left" w:pos="851"/>
        </w:tabs>
        <w:ind w:left="851" w:hanging="851"/>
        <w:rPr>
          <w:b/>
          <w:sz w:val="24"/>
          <w:szCs w:val="24"/>
        </w:rPr>
      </w:pPr>
      <w:r w:rsidRPr="00CE778C">
        <w:rPr>
          <w:b/>
          <w:sz w:val="24"/>
          <w:szCs w:val="24"/>
        </w:rPr>
        <w:t>6.</w:t>
      </w:r>
      <w:r w:rsidRPr="00CE778C">
        <w:rPr>
          <w:b/>
          <w:sz w:val="24"/>
          <w:szCs w:val="24"/>
        </w:rPr>
        <w:tab/>
        <w:t>FARMACEUTISKE OPLYSNINGER</w:t>
      </w:r>
    </w:p>
    <w:p w14:paraId="333880C9" w14:textId="77777777" w:rsidR="009260DE" w:rsidRPr="00CE778C" w:rsidRDefault="009260DE" w:rsidP="009260DE">
      <w:pPr>
        <w:tabs>
          <w:tab w:val="left" w:pos="851"/>
        </w:tabs>
        <w:ind w:left="851"/>
        <w:rPr>
          <w:sz w:val="24"/>
          <w:szCs w:val="24"/>
        </w:rPr>
      </w:pPr>
    </w:p>
    <w:p w14:paraId="19B1696D" w14:textId="77777777" w:rsidR="009260DE" w:rsidRPr="00CE778C" w:rsidRDefault="009260DE" w:rsidP="009260DE">
      <w:pPr>
        <w:tabs>
          <w:tab w:val="left" w:pos="851"/>
        </w:tabs>
        <w:ind w:left="851" w:hanging="851"/>
        <w:rPr>
          <w:b/>
          <w:sz w:val="24"/>
          <w:szCs w:val="24"/>
        </w:rPr>
      </w:pPr>
      <w:r w:rsidRPr="00CE778C">
        <w:rPr>
          <w:b/>
          <w:sz w:val="24"/>
          <w:szCs w:val="24"/>
        </w:rPr>
        <w:t>6.1</w:t>
      </w:r>
      <w:r w:rsidRPr="00CE778C">
        <w:rPr>
          <w:b/>
          <w:sz w:val="24"/>
          <w:szCs w:val="24"/>
        </w:rPr>
        <w:tab/>
        <w:t>Hjælpestoffer</w:t>
      </w:r>
    </w:p>
    <w:p w14:paraId="2ECB701C" w14:textId="77777777" w:rsidR="004D17AE" w:rsidRDefault="004D17AE" w:rsidP="00CE778C">
      <w:pPr>
        <w:ind w:left="851"/>
        <w:rPr>
          <w:sz w:val="24"/>
          <w:szCs w:val="24"/>
        </w:rPr>
      </w:pPr>
    </w:p>
    <w:p w14:paraId="1F1833B1" w14:textId="268A9D90" w:rsidR="00A75091" w:rsidRPr="004D17AE" w:rsidRDefault="00A75091" w:rsidP="00CE778C">
      <w:pPr>
        <w:ind w:left="851"/>
        <w:rPr>
          <w:sz w:val="24"/>
          <w:szCs w:val="24"/>
          <w:u w:val="single"/>
          <w:lang w:eastAsia="da-DK"/>
        </w:rPr>
      </w:pPr>
      <w:r w:rsidRPr="004D17AE">
        <w:rPr>
          <w:sz w:val="24"/>
          <w:szCs w:val="24"/>
          <w:u w:val="single"/>
        </w:rPr>
        <w:t>Tabletkerne</w:t>
      </w:r>
    </w:p>
    <w:p w14:paraId="7E83C678" w14:textId="77777777" w:rsidR="00A75091" w:rsidRPr="00CE778C" w:rsidRDefault="00A75091" w:rsidP="00CE778C">
      <w:pPr>
        <w:ind w:left="851"/>
        <w:rPr>
          <w:sz w:val="24"/>
          <w:szCs w:val="24"/>
        </w:rPr>
      </w:pPr>
      <w:r w:rsidRPr="00CE778C">
        <w:rPr>
          <w:sz w:val="24"/>
          <w:szCs w:val="24"/>
        </w:rPr>
        <w:t>Majsstivelse</w:t>
      </w:r>
    </w:p>
    <w:p w14:paraId="2061DA23" w14:textId="77777777" w:rsidR="00A75091" w:rsidRPr="00CE778C" w:rsidRDefault="00A75091" w:rsidP="00CE778C">
      <w:pPr>
        <w:ind w:left="851"/>
        <w:rPr>
          <w:sz w:val="24"/>
          <w:szCs w:val="24"/>
        </w:rPr>
      </w:pPr>
      <w:r w:rsidRPr="00CE778C">
        <w:rPr>
          <w:sz w:val="24"/>
          <w:szCs w:val="24"/>
        </w:rPr>
        <w:t>Majsstivelse, prægelatineret</w:t>
      </w:r>
    </w:p>
    <w:p w14:paraId="64FA43F5" w14:textId="77777777" w:rsidR="00A75091" w:rsidRPr="00CE778C" w:rsidRDefault="00A75091" w:rsidP="00CE778C">
      <w:pPr>
        <w:ind w:left="851"/>
        <w:rPr>
          <w:sz w:val="24"/>
          <w:szCs w:val="24"/>
          <w:lang w:val="en-US"/>
        </w:rPr>
      </w:pPr>
      <w:r w:rsidRPr="00CE778C">
        <w:rPr>
          <w:sz w:val="24"/>
          <w:szCs w:val="24"/>
          <w:lang w:val="en-US"/>
        </w:rPr>
        <w:t xml:space="preserve">Crospovidon </w:t>
      </w:r>
    </w:p>
    <w:p w14:paraId="700E06A3" w14:textId="77777777" w:rsidR="00A75091" w:rsidRPr="00CE778C" w:rsidRDefault="00A75091" w:rsidP="00CE778C">
      <w:pPr>
        <w:ind w:left="851"/>
        <w:rPr>
          <w:sz w:val="24"/>
          <w:szCs w:val="24"/>
          <w:lang w:val="en-US"/>
        </w:rPr>
      </w:pPr>
      <w:r w:rsidRPr="00CE778C">
        <w:rPr>
          <w:sz w:val="24"/>
          <w:szCs w:val="24"/>
          <w:lang w:val="en-US"/>
        </w:rPr>
        <w:t>Hydroxypropylcellulose (E463)</w:t>
      </w:r>
    </w:p>
    <w:p w14:paraId="652185FC" w14:textId="77777777" w:rsidR="00A75091" w:rsidRPr="00CE778C" w:rsidRDefault="00A75091" w:rsidP="00CE778C">
      <w:pPr>
        <w:ind w:left="851"/>
        <w:rPr>
          <w:sz w:val="24"/>
          <w:szCs w:val="24"/>
          <w:lang w:val="en-US"/>
        </w:rPr>
      </w:pPr>
      <w:r w:rsidRPr="00CE778C">
        <w:rPr>
          <w:sz w:val="24"/>
          <w:szCs w:val="24"/>
          <w:lang w:val="en-US"/>
        </w:rPr>
        <w:t>Magnesiumstearat</w:t>
      </w:r>
    </w:p>
    <w:p w14:paraId="521E0E9B" w14:textId="77777777" w:rsidR="00A75091" w:rsidRPr="00CE778C" w:rsidRDefault="00A75091" w:rsidP="00CE778C">
      <w:pPr>
        <w:ind w:left="851"/>
        <w:rPr>
          <w:sz w:val="24"/>
          <w:szCs w:val="24"/>
          <w:lang w:val="en-US"/>
        </w:rPr>
      </w:pPr>
    </w:p>
    <w:p w14:paraId="66232606" w14:textId="77777777" w:rsidR="00A75091" w:rsidRPr="004D17AE" w:rsidRDefault="00A75091" w:rsidP="00CE778C">
      <w:pPr>
        <w:ind w:left="851"/>
        <w:rPr>
          <w:sz w:val="24"/>
          <w:szCs w:val="24"/>
          <w:u w:val="single"/>
          <w:lang w:val="en-US"/>
        </w:rPr>
      </w:pPr>
      <w:r w:rsidRPr="004D17AE">
        <w:rPr>
          <w:sz w:val="24"/>
          <w:szCs w:val="24"/>
          <w:u w:val="single"/>
          <w:lang w:val="en-US"/>
        </w:rPr>
        <w:t>Filmovertræk</w:t>
      </w:r>
    </w:p>
    <w:p w14:paraId="6D76AC96" w14:textId="77777777" w:rsidR="00A75091" w:rsidRPr="00CE778C" w:rsidRDefault="00A75091" w:rsidP="00CE778C">
      <w:pPr>
        <w:ind w:left="851"/>
        <w:rPr>
          <w:sz w:val="24"/>
          <w:szCs w:val="24"/>
          <w:lang w:val="en-US"/>
        </w:rPr>
      </w:pPr>
      <w:r w:rsidRPr="00CE778C">
        <w:rPr>
          <w:sz w:val="24"/>
          <w:szCs w:val="24"/>
          <w:lang w:val="en-US"/>
        </w:rPr>
        <w:t xml:space="preserve">Hypromellose </w:t>
      </w:r>
    </w:p>
    <w:p w14:paraId="7CC7F2B8" w14:textId="77777777" w:rsidR="00A75091" w:rsidRPr="00CE778C" w:rsidRDefault="00A75091" w:rsidP="00CE778C">
      <w:pPr>
        <w:ind w:left="851"/>
        <w:rPr>
          <w:sz w:val="24"/>
          <w:szCs w:val="24"/>
          <w:lang w:val="en-US"/>
        </w:rPr>
      </w:pPr>
      <w:r w:rsidRPr="00CE778C">
        <w:rPr>
          <w:sz w:val="24"/>
          <w:szCs w:val="24"/>
          <w:lang w:val="en-US"/>
        </w:rPr>
        <w:t>Macrogol</w:t>
      </w:r>
    </w:p>
    <w:p w14:paraId="1DB78358" w14:textId="77777777" w:rsidR="00A75091" w:rsidRPr="00CE778C" w:rsidRDefault="00A75091" w:rsidP="00CE778C">
      <w:pPr>
        <w:ind w:left="851"/>
        <w:rPr>
          <w:sz w:val="24"/>
          <w:szCs w:val="24"/>
          <w:lang w:val="en-US"/>
        </w:rPr>
      </w:pPr>
      <w:r w:rsidRPr="00CE778C">
        <w:rPr>
          <w:sz w:val="24"/>
          <w:szCs w:val="24"/>
          <w:lang w:val="en-US"/>
        </w:rPr>
        <w:t>Talcum</w:t>
      </w:r>
    </w:p>
    <w:p w14:paraId="24367C3F" w14:textId="77777777" w:rsidR="00A75091" w:rsidRPr="00CE778C" w:rsidRDefault="00A75091" w:rsidP="00CE778C">
      <w:pPr>
        <w:ind w:left="851"/>
        <w:rPr>
          <w:sz w:val="24"/>
          <w:szCs w:val="24"/>
          <w:lang w:val="en-US"/>
        </w:rPr>
      </w:pPr>
    </w:p>
    <w:p w14:paraId="594935FB" w14:textId="73774F47" w:rsidR="00A75091" w:rsidRPr="00CE778C" w:rsidRDefault="00A75091" w:rsidP="00CE778C">
      <w:pPr>
        <w:ind w:left="851"/>
        <w:rPr>
          <w:i/>
          <w:iCs/>
          <w:sz w:val="24"/>
          <w:szCs w:val="24"/>
          <w:lang w:val="en-US"/>
        </w:rPr>
      </w:pPr>
      <w:r w:rsidRPr="00CE778C">
        <w:rPr>
          <w:i/>
          <w:iCs/>
          <w:sz w:val="24"/>
          <w:szCs w:val="24"/>
          <w:lang w:val="en-US"/>
        </w:rPr>
        <w:t xml:space="preserve">Edoxaban </w:t>
      </w:r>
      <w:r w:rsidR="00BC493D">
        <w:rPr>
          <w:i/>
          <w:iCs/>
          <w:sz w:val="24"/>
          <w:szCs w:val="24"/>
          <w:lang w:val="en-US"/>
        </w:rPr>
        <w:t>"</w:t>
      </w:r>
      <w:r w:rsidRPr="00CE778C">
        <w:rPr>
          <w:i/>
          <w:iCs/>
          <w:sz w:val="24"/>
          <w:szCs w:val="24"/>
          <w:lang w:val="en-US"/>
        </w:rPr>
        <w:t>Zentiva</w:t>
      </w:r>
      <w:r w:rsidR="00BC493D">
        <w:rPr>
          <w:i/>
          <w:iCs/>
          <w:sz w:val="24"/>
          <w:szCs w:val="24"/>
          <w:lang w:val="en-US"/>
        </w:rPr>
        <w:t>"</w:t>
      </w:r>
      <w:r w:rsidRPr="00CE778C">
        <w:rPr>
          <w:i/>
          <w:iCs/>
          <w:sz w:val="24"/>
          <w:szCs w:val="24"/>
          <w:lang w:val="en-US"/>
        </w:rPr>
        <w:t xml:space="preserve"> 15 mg filmovertrukne tabletter</w:t>
      </w:r>
    </w:p>
    <w:p w14:paraId="68A8C7C1" w14:textId="77777777" w:rsidR="00A75091" w:rsidRPr="00CE778C" w:rsidRDefault="00A75091" w:rsidP="00CE778C">
      <w:pPr>
        <w:ind w:left="851"/>
        <w:rPr>
          <w:sz w:val="24"/>
          <w:szCs w:val="24"/>
        </w:rPr>
      </w:pPr>
      <w:r w:rsidRPr="00CE778C">
        <w:rPr>
          <w:sz w:val="24"/>
          <w:szCs w:val="24"/>
        </w:rPr>
        <w:t>Jernoxid, gul (E172) og jernoxid, rød (E172)</w:t>
      </w:r>
    </w:p>
    <w:p w14:paraId="2E0434B2" w14:textId="77777777" w:rsidR="00A75091" w:rsidRPr="00CE778C" w:rsidRDefault="00A75091" w:rsidP="00CE778C">
      <w:pPr>
        <w:ind w:left="851"/>
        <w:rPr>
          <w:sz w:val="24"/>
          <w:szCs w:val="24"/>
        </w:rPr>
      </w:pPr>
    </w:p>
    <w:p w14:paraId="7266549F" w14:textId="24881FF9" w:rsidR="00A75091" w:rsidRPr="00CE778C" w:rsidRDefault="00A75091" w:rsidP="00CE778C">
      <w:pPr>
        <w:ind w:left="851"/>
        <w:rPr>
          <w:i/>
          <w:iCs/>
          <w:sz w:val="24"/>
          <w:szCs w:val="24"/>
        </w:rPr>
      </w:pPr>
      <w:r w:rsidRPr="00CE778C">
        <w:rPr>
          <w:i/>
          <w:iCs/>
          <w:sz w:val="24"/>
          <w:szCs w:val="24"/>
        </w:rPr>
        <w:t xml:space="preserve">Edoxaban </w:t>
      </w:r>
      <w:r w:rsidR="00BC493D">
        <w:rPr>
          <w:i/>
          <w:iCs/>
          <w:sz w:val="24"/>
          <w:szCs w:val="24"/>
        </w:rPr>
        <w:t>"</w:t>
      </w:r>
      <w:r w:rsidRPr="00CE778C">
        <w:rPr>
          <w:i/>
          <w:iCs/>
          <w:sz w:val="24"/>
          <w:szCs w:val="24"/>
        </w:rPr>
        <w:t>Zentiva</w:t>
      </w:r>
      <w:r w:rsidR="00BC493D">
        <w:rPr>
          <w:i/>
          <w:iCs/>
          <w:sz w:val="24"/>
          <w:szCs w:val="24"/>
        </w:rPr>
        <w:t>"</w:t>
      </w:r>
      <w:r w:rsidRPr="00CE778C">
        <w:rPr>
          <w:i/>
          <w:iCs/>
          <w:sz w:val="24"/>
          <w:szCs w:val="24"/>
        </w:rPr>
        <w:t xml:space="preserve"> 30 mg filmovertrukne tabletter</w:t>
      </w:r>
    </w:p>
    <w:p w14:paraId="5AC94E4C" w14:textId="77777777" w:rsidR="00A75091" w:rsidRPr="00CE778C" w:rsidRDefault="00A75091" w:rsidP="00CE778C">
      <w:pPr>
        <w:ind w:left="851"/>
        <w:rPr>
          <w:sz w:val="24"/>
          <w:szCs w:val="24"/>
        </w:rPr>
      </w:pPr>
      <w:r w:rsidRPr="00CE778C">
        <w:rPr>
          <w:sz w:val="24"/>
          <w:szCs w:val="24"/>
        </w:rPr>
        <w:t>Jernoxid, rød (E172)</w:t>
      </w:r>
    </w:p>
    <w:p w14:paraId="77CDA13B" w14:textId="77777777" w:rsidR="00A75091" w:rsidRPr="00CE778C" w:rsidRDefault="00A75091" w:rsidP="00CE778C">
      <w:pPr>
        <w:ind w:left="851"/>
        <w:rPr>
          <w:sz w:val="24"/>
          <w:szCs w:val="24"/>
        </w:rPr>
      </w:pPr>
    </w:p>
    <w:p w14:paraId="26AF5CA8" w14:textId="3BBB8084" w:rsidR="00A75091" w:rsidRPr="00CE778C" w:rsidRDefault="00A75091" w:rsidP="00CE778C">
      <w:pPr>
        <w:ind w:left="851"/>
        <w:rPr>
          <w:i/>
          <w:iCs/>
          <w:sz w:val="24"/>
          <w:szCs w:val="24"/>
        </w:rPr>
      </w:pPr>
      <w:r w:rsidRPr="00CE778C">
        <w:rPr>
          <w:i/>
          <w:iCs/>
          <w:sz w:val="24"/>
          <w:szCs w:val="24"/>
        </w:rPr>
        <w:t xml:space="preserve">Edoxaban </w:t>
      </w:r>
      <w:r w:rsidR="00BC493D">
        <w:rPr>
          <w:i/>
          <w:iCs/>
          <w:sz w:val="24"/>
          <w:szCs w:val="24"/>
        </w:rPr>
        <w:t>"</w:t>
      </w:r>
      <w:r w:rsidRPr="00CE778C">
        <w:rPr>
          <w:i/>
          <w:iCs/>
          <w:sz w:val="24"/>
          <w:szCs w:val="24"/>
        </w:rPr>
        <w:t>Zentiva</w:t>
      </w:r>
      <w:r w:rsidR="00BC493D">
        <w:rPr>
          <w:i/>
          <w:iCs/>
          <w:sz w:val="24"/>
          <w:szCs w:val="24"/>
        </w:rPr>
        <w:t>"</w:t>
      </w:r>
      <w:r w:rsidRPr="00CE778C">
        <w:rPr>
          <w:i/>
          <w:iCs/>
          <w:sz w:val="24"/>
          <w:szCs w:val="24"/>
        </w:rPr>
        <w:t xml:space="preserve"> 60 mg filmovertrukne tabletter</w:t>
      </w:r>
    </w:p>
    <w:p w14:paraId="30825533" w14:textId="77777777" w:rsidR="00A75091" w:rsidRPr="00CE778C" w:rsidRDefault="00A75091" w:rsidP="00CE778C">
      <w:pPr>
        <w:ind w:left="851"/>
        <w:rPr>
          <w:sz w:val="24"/>
          <w:szCs w:val="24"/>
        </w:rPr>
      </w:pPr>
      <w:r w:rsidRPr="00CE778C">
        <w:rPr>
          <w:sz w:val="24"/>
          <w:szCs w:val="24"/>
        </w:rPr>
        <w:t>Jernoxid, gul (E172)</w:t>
      </w:r>
    </w:p>
    <w:p w14:paraId="43E1A822" w14:textId="77777777" w:rsidR="009260DE" w:rsidRPr="00CE778C" w:rsidRDefault="009260DE" w:rsidP="009260DE">
      <w:pPr>
        <w:tabs>
          <w:tab w:val="left" w:pos="851"/>
        </w:tabs>
        <w:ind w:left="851"/>
        <w:rPr>
          <w:sz w:val="24"/>
          <w:szCs w:val="24"/>
        </w:rPr>
      </w:pPr>
    </w:p>
    <w:p w14:paraId="42FBEE21" w14:textId="77777777" w:rsidR="009260DE" w:rsidRPr="00CE778C" w:rsidRDefault="009260DE" w:rsidP="009260DE">
      <w:pPr>
        <w:tabs>
          <w:tab w:val="left" w:pos="851"/>
        </w:tabs>
        <w:ind w:left="851" w:hanging="851"/>
        <w:rPr>
          <w:b/>
          <w:sz w:val="24"/>
          <w:szCs w:val="24"/>
        </w:rPr>
      </w:pPr>
      <w:r w:rsidRPr="00CE778C">
        <w:rPr>
          <w:b/>
          <w:sz w:val="24"/>
          <w:szCs w:val="24"/>
        </w:rPr>
        <w:t>6.2</w:t>
      </w:r>
      <w:r w:rsidRPr="00CE778C">
        <w:rPr>
          <w:b/>
          <w:sz w:val="24"/>
          <w:szCs w:val="24"/>
        </w:rPr>
        <w:tab/>
        <w:t>Uforligeligheder</w:t>
      </w:r>
    </w:p>
    <w:p w14:paraId="41D4B2BB" w14:textId="77777777" w:rsidR="00A75091" w:rsidRPr="00CE778C" w:rsidRDefault="00A75091" w:rsidP="00CE778C">
      <w:pPr>
        <w:ind w:left="851"/>
        <w:rPr>
          <w:sz w:val="24"/>
          <w:szCs w:val="24"/>
          <w:lang w:eastAsia="da-DK"/>
        </w:rPr>
      </w:pPr>
      <w:r w:rsidRPr="00CE778C">
        <w:rPr>
          <w:sz w:val="24"/>
          <w:szCs w:val="24"/>
        </w:rPr>
        <w:t>Ikke relevant.</w:t>
      </w:r>
    </w:p>
    <w:p w14:paraId="3AA891F3" w14:textId="77777777" w:rsidR="009260DE" w:rsidRPr="00CE778C" w:rsidRDefault="009260DE" w:rsidP="009260DE">
      <w:pPr>
        <w:tabs>
          <w:tab w:val="left" w:pos="851"/>
        </w:tabs>
        <w:ind w:left="851"/>
        <w:rPr>
          <w:sz w:val="24"/>
          <w:szCs w:val="24"/>
        </w:rPr>
      </w:pPr>
    </w:p>
    <w:p w14:paraId="6FF3F5E9" w14:textId="77777777" w:rsidR="009260DE" w:rsidRPr="00CE778C" w:rsidRDefault="009260DE" w:rsidP="009260DE">
      <w:pPr>
        <w:tabs>
          <w:tab w:val="left" w:pos="851"/>
        </w:tabs>
        <w:ind w:left="851" w:hanging="851"/>
        <w:rPr>
          <w:b/>
          <w:sz w:val="24"/>
          <w:szCs w:val="24"/>
        </w:rPr>
      </w:pPr>
      <w:r w:rsidRPr="00CE778C">
        <w:rPr>
          <w:b/>
          <w:sz w:val="24"/>
          <w:szCs w:val="24"/>
        </w:rPr>
        <w:t>6.3</w:t>
      </w:r>
      <w:r w:rsidRPr="00CE778C">
        <w:rPr>
          <w:b/>
          <w:sz w:val="24"/>
          <w:szCs w:val="24"/>
        </w:rPr>
        <w:tab/>
        <w:t>Opbevaringstid</w:t>
      </w:r>
    </w:p>
    <w:p w14:paraId="3E33978F" w14:textId="77777777" w:rsidR="00A75091" w:rsidRPr="00CE778C" w:rsidRDefault="00A75091" w:rsidP="00CE778C">
      <w:pPr>
        <w:ind w:left="851"/>
        <w:rPr>
          <w:sz w:val="24"/>
          <w:szCs w:val="24"/>
          <w:lang w:eastAsia="da-DK"/>
        </w:rPr>
      </w:pPr>
      <w:r w:rsidRPr="00CE778C">
        <w:rPr>
          <w:sz w:val="24"/>
          <w:szCs w:val="24"/>
        </w:rPr>
        <w:t>2 år</w:t>
      </w:r>
    </w:p>
    <w:p w14:paraId="625C7C94" w14:textId="77777777" w:rsidR="009260DE" w:rsidRPr="00CE778C" w:rsidRDefault="009260DE" w:rsidP="009260DE">
      <w:pPr>
        <w:tabs>
          <w:tab w:val="left" w:pos="851"/>
        </w:tabs>
        <w:ind w:left="851"/>
        <w:rPr>
          <w:sz w:val="24"/>
          <w:szCs w:val="24"/>
        </w:rPr>
      </w:pPr>
    </w:p>
    <w:p w14:paraId="11242DFC" w14:textId="77777777" w:rsidR="009260DE" w:rsidRPr="00CE778C" w:rsidRDefault="009260DE" w:rsidP="009260DE">
      <w:pPr>
        <w:tabs>
          <w:tab w:val="left" w:pos="851"/>
        </w:tabs>
        <w:ind w:left="851" w:hanging="851"/>
        <w:rPr>
          <w:b/>
          <w:sz w:val="24"/>
          <w:szCs w:val="24"/>
        </w:rPr>
      </w:pPr>
      <w:r w:rsidRPr="00CE778C">
        <w:rPr>
          <w:b/>
          <w:sz w:val="24"/>
          <w:szCs w:val="24"/>
        </w:rPr>
        <w:t>6.4</w:t>
      </w:r>
      <w:r w:rsidRPr="00CE778C">
        <w:rPr>
          <w:b/>
          <w:sz w:val="24"/>
          <w:szCs w:val="24"/>
        </w:rPr>
        <w:tab/>
        <w:t>Særlige opbevaringsforhold</w:t>
      </w:r>
    </w:p>
    <w:p w14:paraId="3DB891BE" w14:textId="77777777" w:rsidR="00A75091" w:rsidRPr="00CE778C" w:rsidRDefault="00A75091" w:rsidP="00CE778C">
      <w:pPr>
        <w:ind w:left="851"/>
        <w:rPr>
          <w:sz w:val="24"/>
          <w:szCs w:val="24"/>
        </w:rPr>
      </w:pPr>
      <w:r w:rsidRPr="00CE778C">
        <w:rPr>
          <w:sz w:val="24"/>
          <w:szCs w:val="24"/>
        </w:rPr>
        <w:t>Dette lægemiddel kræver ikke nogen særlig opbevaringstemperatur.</w:t>
      </w:r>
    </w:p>
    <w:p w14:paraId="6CBC0BB3" w14:textId="77777777" w:rsidR="00A75091" w:rsidRPr="00CE778C" w:rsidRDefault="00A75091" w:rsidP="00CE778C">
      <w:pPr>
        <w:ind w:left="851"/>
        <w:rPr>
          <w:sz w:val="24"/>
          <w:szCs w:val="24"/>
        </w:rPr>
      </w:pPr>
      <w:r w:rsidRPr="00CE778C">
        <w:rPr>
          <w:sz w:val="24"/>
          <w:szCs w:val="24"/>
        </w:rPr>
        <w:t>Opbevares i den originale emballage for at beskytte mod fugt.</w:t>
      </w:r>
    </w:p>
    <w:p w14:paraId="3617FA16" w14:textId="77777777" w:rsidR="009260DE" w:rsidRPr="00CE778C" w:rsidRDefault="009260DE" w:rsidP="009260DE">
      <w:pPr>
        <w:tabs>
          <w:tab w:val="left" w:pos="851"/>
        </w:tabs>
        <w:ind w:left="851"/>
        <w:rPr>
          <w:sz w:val="24"/>
          <w:szCs w:val="24"/>
        </w:rPr>
      </w:pPr>
    </w:p>
    <w:p w14:paraId="50E1FD00" w14:textId="77777777" w:rsidR="009260DE" w:rsidRPr="00CE778C" w:rsidRDefault="009260DE" w:rsidP="009260DE">
      <w:pPr>
        <w:tabs>
          <w:tab w:val="left" w:pos="851"/>
        </w:tabs>
        <w:ind w:left="851" w:hanging="851"/>
        <w:rPr>
          <w:b/>
          <w:sz w:val="24"/>
          <w:szCs w:val="24"/>
        </w:rPr>
      </w:pPr>
      <w:r w:rsidRPr="00CE778C">
        <w:rPr>
          <w:b/>
          <w:sz w:val="24"/>
          <w:szCs w:val="24"/>
        </w:rPr>
        <w:t>6.5</w:t>
      </w:r>
      <w:r w:rsidRPr="00CE778C">
        <w:rPr>
          <w:b/>
          <w:sz w:val="24"/>
          <w:szCs w:val="24"/>
        </w:rPr>
        <w:tab/>
        <w:t>Emballagetype og pakningsstørrelser</w:t>
      </w:r>
    </w:p>
    <w:p w14:paraId="54200F60" w14:textId="77777777" w:rsidR="00A75091" w:rsidRPr="00CE778C" w:rsidRDefault="00A75091" w:rsidP="00CE778C">
      <w:pPr>
        <w:ind w:left="851"/>
        <w:rPr>
          <w:sz w:val="24"/>
          <w:szCs w:val="24"/>
        </w:rPr>
      </w:pPr>
      <w:r w:rsidRPr="00CE778C">
        <w:rPr>
          <w:sz w:val="24"/>
          <w:szCs w:val="24"/>
        </w:rPr>
        <w:t>Pakket i PVC/PVDC//Alu-blisterpakninger</w:t>
      </w:r>
    </w:p>
    <w:p w14:paraId="6CFAA91E" w14:textId="77777777" w:rsidR="00A75091" w:rsidRPr="00CE778C" w:rsidRDefault="00A75091" w:rsidP="00CE778C">
      <w:pPr>
        <w:ind w:left="851"/>
        <w:rPr>
          <w:sz w:val="24"/>
          <w:szCs w:val="24"/>
        </w:rPr>
      </w:pPr>
    </w:p>
    <w:p w14:paraId="6736DC88" w14:textId="77777777" w:rsidR="00A75091" w:rsidRPr="00CE778C" w:rsidRDefault="00A75091" w:rsidP="00CE778C">
      <w:pPr>
        <w:ind w:left="851"/>
        <w:rPr>
          <w:sz w:val="24"/>
          <w:szCs w:val="24"/>
        </w:rPr>
      </w:pPr>
      <w:r w:rsidRPr="00CE778C">
        <w:rPr>
          <w:sz w:val="24"/>
          <w:szCs w:val="24"/>
        </w:rPr>
        <w:t>Pakningsstørrelser:</w:t>
      </w:r>
    </w:p>
    <w:p w14:paraId="3EB73854" w14:textId="77777777" w:rsidR="00A75091" w:rsidRPr="00CE778C" w:rsidRDefault="00A75091" w:rsidP="00CE778C">
      <w:pPr>
        <w:ind w:left="851"/>
        <w:rPr>
          <w:sz w:val="24"/>
          <w:szCs w:val="24"/>
        </w:rPr>
      </w:pPr>
      <w:r w:rsidRPr="00CE778C">
        <w:rPr>
          <w:sz w:val="24"/>
          <w:szCs w:val="24"/>
        </w:rPr>
        <w:t>15 mg: 10 filmovertrukne tabletter</w:t>
      </w:r>
    </w:p>
    <w:p w14:paraId="15F8D013" w14:textId="77777777" w:rsidR="00A75091" w:rsidRPr="00CE778C" w:rsidRDefault="00A75091" w:rsidP="00CE778C">
      <w:pPr>
        <w:ind w:left="851"/>
        <w:rPr>
          <w:sz w:val="24"/>
          <w:szCs w:val="24"/>
        </w:rPr>
      </w:pPr>
      <w:r w:rsidRPr="00CE778C">
        <w:rPr>
          <w:sz w:val="24"/>
          <w:szCs w:val="24"/>
        </w:rPr>
        <w:t>30 mg: 10, 14, 28, 30, 98 og 100 filmovertrukne tabletter</w:t>
      </w:r>
    </w:p>
    <w:p w14:paraId="05532F6A" w14:textId="77777777" w:rsidR="00A75091" w:rsidRPr="00CE778C" w:rsidRDefault="00A75091" w:rsidP="00CE778C">
      <w:pPr>
        <w:ind w:left="851"/>
        <w:rPr>
          <w:sz w:val="24"/>
          <w:szCs w:val="24"/>
        </w:rPr>
      </w:pPr>
      <w:r w:rsidRPr="00CE778C">
        <w:rPr>
          <w:sz w:val="24"/>
          <w:szCs w:val="24"/>
        </w:rPr>
        <w:t>60 mg: 10, 14, 28, 30, 60, 98 og 100 filmovertrukne tabletter</w:t>
      </w:r>
    </w:p>
    <w:p w14:paraId="634EA60F" w14:textId="77777777" w:rsidR="00A75091" w:rsidRPr="00CE778C" w:rsidRDefault="00A75091" w:rsidP="00CE778C">
      <w:pPr>
        <w:ind w:left="851"/>
        <w:rPr>
          <w:sz w:val="24"/>
          <w:szCs w:val="24"/>
        </w:rPr>
      </w:pPr>
    </w:p>
    <w:p w14:paraId="5B458243" w14:textId="77777777" w:rsidR="00A75091" w:rsidRPr="00CE778C" w:rsidRDefault="00A75091" w:rsidP="00CE778C">
      <w:pPr>
        <w:ind w:left="851"/>
        <w:rPr>
          <w:sz w:val="24"/>
          <w:szCs w:val="24"/>
        </w:rPr>
      </w:pPr>
      <w:r w:rsidRPr="00CE778C">
        <w:rPr>
          <w:sz w:val="24"/>
          <w:szCs w:val="24"/>
        </w:rPr>
        <w:t>Ikke alle pakningsstørrelser er nødvendigvis markedsført.</w:t>
      </w:r>
    </w:p>
    <w:p w14:paraId="751DEE91" w14:textId="77777777" w:rsidR="009260DE" w:rsidRPr="00CE778C" w:rsidRDefault="009260DE" w:rsidP="009260DE">
      <w:pPr>
        <w:tabs>
          <w:tab w:val="left" w:pos="851"/>
        </w:tabs>
        <w:ind w:left="851"/>
        <w:rPr>
          <w:sz w:val="24"/>
          <w:szCs w:val="24"/>
        </w:rPr>
      </w:pPr>
    </w:p>
    <w:p w14:paraId="185618C1" w14:textId="77777777" w:rsidR="009260DE" w:rsidRPr="00CE778C" w:rsidRDefault="009260DE" w:rsidP="009260DE">
      <w:pPr>
        <w:tabs>
          <w:tab w:val="left" w:pos="851"/>
        </w:tabs>
        <w:ind w:left="851" w:hanging="851"/>
        <w:rPr>
          <w:b/>
          <w:sz w:val="24"/>
          <w:szCs w:val="24"/>
        </w:rPr>
      </w:pPr>
      <w:r w:rsidRPr="00CE778C">
        <w:rPr>
          <w:b/>
          <w:sz w:val="24"/>
          <w:szCs w:val="24"/>
        </w:rPr>
        <w:t>6.6</w:t>
      </w:r>
      <w:r w:rsidRPr="00CE778C">
        <w:rPr>
          <w:b/>
          <w:sz w:val="24"/>
          <w:szCs w:val="24"/>
        </w:rPr>
        <w:tab/>
        <w:t xml:space="preserve">Regler for </w:t>
      </w:r>
      <w:r w:rsidR="00BD7931" w:rsidRPr="00CE778C">
        <w:rPr>
          <w:b/>
          <w:sz w:val="24"/>
          <w:szCs w:val="24"/>
        </w:rPr>
        <w:t>bortskaffelse</w:t>
      </w:r>
      <w:r w:rsidRPr="00CE778C">
        <w:rPr>
          <w:b/>
          <w:sz w:val="24"/>
          <w:szCs w:val="24"/>
        </w:rPr>
        <w:t xml:space="preserve"> og anden håndtering</w:t>
      </w:r>
    </w:p>
    <w:p w14:paraId="431B3EF5" w14:textId="77777777" w:rsidR="00A75091" w:rsidRPr="00CE778C" w:rsidRDefault="00A75091" w:rsidP="00CE778C">
      <w:pPr>
        <w:ind w:left="851"/>
        <w:rPr>
          <w:sz w:val="24"/>
          <w:szCs w:val="24"/>
        </w:rPr>
      </w:pPr>
      <w:r w:rsidRPr="00CE778C">
        <w:rPr>
          <w:sz w:val="24"/>
          <w:szCs w:val="24"/>
        </w:rPr>
        <w:t>Ikke anvendt lægemiddel samt affald heraf skal bortskaffes i henhold til lokale retningslinjer.</w:t>
      </w:r>
    </w:p>
    <w:p w14:paraId="074B1067" w14:textId="77777777" w:rsidR="00A75091" w:rsidRPr="00CE778C" w:rsidRDefault="00A75091" w:rsidP="00CE778C">
      <w:pPr>
        <w:ind w:left="851"/>
        <w:rPr>
          <w:sz w:val="24"/>
          <w:szCs w:val="24"/>
        </w:rPr>
      </w:pPr>
    </w:p>
    <w:p w14:paraId="65C0F943" w14:textId="5AB2FAF8" w:rsidR="00A75091" w:rsidRPr="00CE778C" w:rsidRDefault="00A75091" w:rsidP="00CE778C">
      <w:pPr>
        <w:ind w:left="851"/>
        <w:rPr>
          <w:sz w:val="24"/>
          <w:szCs w:val="24"/>
        </w:rPr>
      </w:pPr>
      <w:r w:rsidRPr="00CE778C">
        <w:rPr>
          <w:sz w:val="24"/>
          <w:szCs w:val="24"/>
        </w:rPr>
        <w:t xml:space="preserve">Edoxaban-tabletter kan knuses og opslæmmes i mindst 20 ml vand og administreres via en nasogastrisk sonde eller mavesonde. Det er muligt at bruge nasogastrisk sonde eller gastrisk sonde af almindeligt tilgængelige materialer (silikone, polyvinylchlorid, polyuretan) med slangestørrelse lig med eller større end 8 FR (PVC, PU) eller 9 FR (silikone) og længde op til 125 cm. Bagefter skal slangen skylles med mindst 30 ml vand. Edoxaban </w:t>
      </w:r>
      <w:r w:rsidR="006B6B57">
        <w:rPr>
          <w:sz w:val="24"/>
          <w:szCs w:val="24"/>
        </w:rPr>
        <w:t>"</w:t>
      </w:r>
      <w:r w:rsidRPr="00CE778C">
        <w:rPr>
          <w:sz w:val="24"/>
          <w:szCs w:val="24"/>
        </w:rPr>
        <w:t>Zentiva</w:t>
      </w:r>
      <w:r w:rsidR="006B6B57">
        <w:rPr>
          <w:sz w:val="24"/>
          <w:szCs w:val="24"/>
        </w:rPr>
        <w:t>"</w:t>
      </w:r>
      <w:r w:rsidRPr="00CE778C">
        <w:rPr>
          <w:sz w:val="24"/>
          <w:szCs w:val="24"/>
        </w:rPr>
        <w:t xml:space="preserve"> suspension skal administreres inden for 4 timer efter tilberedning. Hvis suspensionen ikke anvendes med det samme, skal den omrystes før administration.</w:t>
      </w:r>
    </w:p>
    <w:p w14:paraId="3BE7B99D" w14:textId="77777777" w:rsidR="009260DE" w:rsidRPr="00CE778C" w:rsidRDefault="009260DE" w:rsidP="000730CA">
      <w:pPr>
        <w:tabs>
          <w:tab w:val="left" w:pos="851"/>
        </w:tabs>
        <w:ind w:left="851"/>
        <w:rPr>
          <w:sz w:val="24"/>
          <w:szCs w:val="24"/>
        </w:rPr>
      </w:pPr>
    </w:p>
    <w:p w14:paraId="43C88098" w14:textId="77777777" w:rsidR="009260DE" w:rsidRPr="00CE778C" w:rsidRDefault="009260DE" w:rsidP="009260DE">
      <w:pPr>
        <w:tabs>
          <w:tab w:val="left" w:pos="851"/>
        </w:tabs>
        <w:ind w:left="851" w:hanging="851"/>
        <w:rPr>
          <w:b/>
          <w:sz w:val="24"/>
          <w:szCs w:val="24"/>
        </w:rPr>
      </w:pPr>
      <w:r w:rsidRPr="00CE778C">
        <w:rPr>
          <w:b/>
          <w:sz w:val="24"/>
          <w:szCs w:val="24"/>
        </w:rPr>
        <w:t>7.</w:t>
      </w:r>
      <w:r w:rsidRPr="00CE778C">
        <w:rPr>
          <w:b/>
          <w:sz w:val="24"/>
          <w:szCs w:val="24"/>
        </w:rPr>
        <w:tab/>
        <w:t>INDEHAVER AF MARKEDSFØRINGSTILLADELSEN</w:t>
      </w:r>
    </w:p>
    <w:p w14:paraId="296F9771" w14:textId="77777777" w:rsidR="00A75091" w:rsidRPr="00CE778C" w:rsidRDefault="00A75091" w:rsidP="00CE778C">
      <w:pPr>
        <w:ind w:left="851"/>
        <w:rPr>
          <w:sz w:val="24"/>
          <w:szCs w:val="24"/>
          <w:lang w:val="pt-PT" w:eastAsia="da-DK"/>
        </w:rPr>
      </w:pPr>
      <w:bookmarkStart w:id="1" w:name="_Hlk189656000"/>
      <w:r w:rsidRPr="00CE778C">
        <w:rPr>
          <w:sz w:val="24"/>
          <w:szCs w:val="24"/>
          <w:lang w:val="pt-PT"/>
        </w:rPr>
        <w:t>Zentiva k.s.</w:t>
      </w:r>
    </w:p>
    <w:p w14:paraId="39118A57" w14:textId="77777777" w:rsidR="00A75091" w:rsidRPr="00CE778C" w:rsidRDefault="00A75091" w:rsidP="00CE778C">
      <w:pPr>
        <w:ind w:left="851"/>
        <w:rPr>
          <w:sz w:val="24"/>
          <w:szCs w:val="24"/>
        </w:rPr>
      </w:pPr>
      <w:r w:rsidRPr="00CE778C">
        <w:rPr>
          <w:sz w:val="24"/>
          <w:szCs w:val="24"/>
        </w:rPr>
        <w:t>U Kabelovny 130</w:t>
      </w:r>
    </w:p>
    <w:p w14:paraId="70F4FF99" w14:textId="77777777" w:rsidR="00A75091" w:rsidRPr="00CE778C" w:rsidRDefault="00A75091" w:rsidP="00CE778C">
      <w:pPr>
        <w:ind w:left="851"/>
        <w:rPr>
          <w:sz w:val="24"/>
          <w:szCs w:val="24"/>
        </w:rPr>
      </w:pPr>
      <w:r w:rsidRPr="00CE778C">
        <w:rPr>
          <w:sz w:val="24"/>
          <w:szCs w:val="24"/>
        </w:rPr>
        <w:t>102 37 Prag 10</w:t>
      </w:r>
    </w:p>
    <w:p w14:paraId="01FE822D" w14:textId="77777777" w:rsidR="00A75091" w:rsidRPr="00CE778C" w:rsidRDefault="00A75091" w:rsidP="00CE778C">
      <w:pPr>
        <w:ind w:left="851"/>
        <w:rPr>
          <w:sz w:val="24"/>
          <w:szCs w:val="24"/>
        </w:rPr>
      </w:pPr>
      <w:r w:rsidRPr="00CE778C">
        <w:rPr>
          <w:sz w:val="24"/>
          <w:szCs w:val="24"/>
        </w:rPr>
        <w:t>Tjekkiet</w:t>
      </w:r>
      <w:bookmarkEnd w:id="1"/>
    </w:p>
    <w:p w14:paraId="00FB20CE" w14:textId="77777777" w:rsidR="009260DE" w:rsidRPr="00CE778C" w:rsidRDefault="009260DE" w:rsidP="00CE778C">
      <w:pPr>
        <w:ind w:left="851"/>
        <w:rPr>
          <w:sz w:val="24"/>
          <w:szCs w:val="24"/>
        </w:rPr>
      </w:pPr>
    </w:p>
    <w:p w14:paraId="3D262F77" w14:textId="77777777" w:rsidR="00641C65" w:rsidRPr="00CE778C" w:rsidRDefault="00641C65" w:rsidP="00CE778C">
      <w:pPr>
        <w:ind w:left="851"/>
        <w:rPr>
          <w:sz w:val="24"/>
          <w:szCs w:val="24"/>
        </w:rPr>
      </w:pPr>
      <w:r w:rsidRPr="00CE778C">
        <w:rPr>
          <w:b/>
          <w:sz w:val="24"/>
          <w:szCs w:val="24"/>
        </w:rPr>
        <w:t>Repræsentant</w:t>
      </w:r>
    </w:p>
    <w:p w14:paraId="3128351B" w14:textId="77777777" w:rsidR="00A75091" w:rsidRPr="00CE778C" w:rsidRDefault="00A75091" w:rsidP="00CE778C">
      <w:pPr>
        <w:ind w:left="851"/>
        <w:rPr>
          <w:sz w:val="24"/>
          <w:szCs w:val="24"/>
          <w:lang w:eastAsia="da-DK"/>
        </w:rPr>
      </w:pPr>
      <w:bookmarkStart w:id="2" w:name="_Hlk189656071"/>
      <w:r w:rsidRPr="00CE778C">
        <w:rPr>
          <w:sz w:val="24"/>
          <w:szCs w:val="24"/>
        </w:rPr>
        <w:t>Zentiva Denmark ApS</w:t>
      </w:r>
    </w:p>
    <w:p w14:paraId="6E8A25BF" w14:textId="77777777" w:rsidR="00A75091" w:rsidRPr="00CE778C" w:rsidRDefault="00A75091" w:rsidP="00CE778C">
      <w:pPr>
        <w:ind w:left="851"/>
        <w:rPr>
          <w:sz w:val="24"/>
          <w:szCs w:val="24"/>
        </w:rPr>
      </w:pPr>
      <w:r w:rsidRPr="00CE778C">
        <w:rPr>
          <w:sz w:val="24"/>
          <w:szCs w:val="24"/>
        </w:rPr>
        <w:t>Høffdingsvej 34</w:t>
      </w:r>
    </w:p>
    <w:p w14:paraId="44D70187" w14:textId="77777777" w:rsidR="00A75091" w:rsidRPr="00CE778C" w:rsidRDefault="00A75091" w:rsidP="00CE778C">
      <w:pPr>
        <w:ind w:left="851"/>
        <w:rPr>
          <w:sz w:val="24"/>
          <w:szCs w:val="24"/>
        </w:rPr>
      </w:pPr>
      <w:r w:rsidRPr="00CE778C">
        <w:rPr>
          <w:sz w:val="24"/>
          <w:szCs w:val="24"/>
        </w:rPr>
        <w:t>2500 Valby</w:t>
      </w:r>
      <w:bookmarkEnd w:id="2"/>
    </w:p>
    <w:p w14:paraId="4733714E" w14:textId="77777777" w:rsidR="00641C65" w:rsidRPr="00CE778C" w:rsidRDefault="00641C65" w:rsidP="009260DE">
      <w:pPr>
        <w:tabs>
          <w:tab w:val="left" w:pos="851"/>
        </w:tabs>
        <w:ind w:left="851"/>
        <w:rPr>
          <w:sz w:val="24"/>
          <w:szCs w:val="24"/>
        </w:rPr>
      </w:pPr>
    </w:p>
    <w:p w14:paraId="1B8E9BAC" w14:textId="77777777" w:rsidR="009260DE" w:rsidRPr="00CE778C" w:rsidRDefault="009260DE" w:rsidP="009260DE">
      <w:pPr>
        <w:tabs>
          <w:tab w:val="left" w:pos="851"/>
        </w:tabs>
        <w:ind w:left="851" w:hanging="851"/>
        <w:rPr>
          <w:b/>
          <w:sz w:val="24"/>
          <w:szCs w:val="24"/>
        </w:rPr>
      </w:pPr>
      <w:r w:rsidRPr="00CE778C">
        <w:rPr>
          <w:b/>
          <w:sz w:val="24"/>
          <w:szCs w:val="24"/>
        </w:rPr>
        <w:t>8.</w:t>
      </w:r>
      <w:r w:rsidRPr="00CE778C">
        <w:rPr>
          <w:b/>
          <w:sz w:val="24"/>
          <w:szCs w:val="24"/>
        </w:rPr>
        <w:tab/>
        <w:t>MARKEDSFØRINGSTILLADELSESNUMMER (</w:t>
      </w:r>
      <w:r w:rsidR="00BF6243" w:rsidRPr="00CE778C">
        <w:rPr>
          <w:b/>
          <w:sz w:val="24"/>
          <w:szCs w:val="24"/>
        </w:rPr>
        <w:t>-</w:t>
      </w:r>
      <w:r w:rsidRPr="00CE778C">
        <w:rPr>
          <w:b/>
          <w:sz w:val="24"/>
          <w:szCs w:val="24"/>
        </w:rPr>
        <w:t>NUMRE)</w:t>
      </w:r>
    </w:p>
    <w:p w14:paraId="48F6E342" w14:textId="55DD1A64" w:rsidR="009260DE" w:rsidRPr="00CE778C" w:rsidRDefault="00A75091" w:rsidP="009260DE">
      <w:pPr>
        <w:tabs>
          <w:tab w:val="left" w:pos="851"/>
        </w:tabs>
        <w:ind w:left="851"/>
        <w:rPr>
          <w:sz w:val="24"/>
          <w:szCs w:val="24"/>
        </w:rPr>
      </w:pPr>
      <w:r w:rsidRPr="00CE778C">
        <w:rPr>
          <w:sz w:val="24"/>
          <w:szCs w:val="24"/>
        </w:rPr>
        <w:t>15 mg: 70442</w:t>
      </w:r>
    </w:p>
    <w:p w14:paraId="4CDE6D72" w14:textId="55B5843C" w:rsidR="00A75091" w:rsidRPr="00CE778C" w:rsidRDefault="00A75091" w:rsidP="009260DE">
      <w:pPr>
        <w:tabs>
          <w:tab w:val="left" w:pos="851"/>
        </w:tabs>
        <w:ind w:left="851"/>
        <w:rPr>
          <w:sz w:val="24"/>
          <w:szCs w:val="24"/>
        </w:rPr>
      </w:pPr>
      <w:r w:rsidRPr="00CE778C">
        <w:rPr>
          <w:sz w:val="24"/>
          <w:szCs w:val="24"/>
        </w:rPr>
        <w:t>30 mg: 70443</w:t>
      </w:r>
    </w:p>
    <w:p w14:paraId="13919871" w14:textId="35448986" w:rsidR="00A75091" w:rsidRPr="00CE778C" w:rsidRDefault="00A75091" w:rsidP="009260DE">
      <w:pPr>
        <w:tabs>
          <w:tab w:val="left" w:pos="851"/>
        </w:tabs>
        <w:ind w:left="851"/>
        <w:rPr>
          <w:sz w:val="24"/>
          <w:szCs w:val="24"/>
        </w:rPr>
      </w:pPr>
      <w:r w:rsidRPr="00CE778C">
        <w:rPr>
          <w:sz w:val="24"/>
          <w:szCs w:val="24"/>
        </w:rPr>
        <w:t>60 mg: 70444</w:t>
      </w:r>
    </w:p>
    <w:p w14:paraId="427949A5" w14:textId="77777777" w:rsidR="009260DE" w:rsidRPr="00CE778C" w:rsidRDefault="009260DE" w:rsidP="009260DE">
      <w:pPr>
        <w:tabs>
          <w:tab w:val="left" w:pos="851"/>
        </w:tabs>
        <w:ind w:left="851"/>
        <w:jc w:val="both"/>
        <w:rPr>
          <w:sz w:val="24"/>
          <w:szCs w:val="24"/>
        </w:rPr>
      </w:pPr>
    </w:p>
    <w:p w14:paraId="420B23A5" w14:textId="77777777" w:rsidR="009260DE" w:rsidRPr="00CE778C" w:rsidRDefault="009260DE" w:rsidP="009260DE">
      <w:pPr>
        <w:tabs>
          <w:tab w:val="left" w:pos="851"/>
        </w:tabs>
        <w:ind w:left="851" w:hanging="851"/>
        <w:rPr>
          <w:b/>
          <w:sz w:val="24"/>
          <w:szCs w:val="24"/>
        </w:rPr>
      </w:pPr>
      <w:r w:rsidRPr="00CE778C">
        <w:rPr>
          <w:b/>
          <w:sz w:val="24"/>
          <w:szCs w:val="24"/>
        </w:rPr>
        <w:t>9.</w:t>
      </w:r>
      <w:r w:rsidRPr="00CE778C">
        <w:rPr>
          <w:b/>
          <w:sz w:val="24"/>
          <w:szCs w:val="24"/>
        </w:rPr>
        <w:tab/>
        <w:t>DATO FOR FØRSTE MARKEDSFØRINGSTILLADELSE</w:t>
      </w:r>
    </w:p>
    <w:p w14:paraId="40634F93" w14:textId="2BC3433E" w:rsidR="009260DE" w:rsidRPr="00CE778C" w:rsidRDefault="001D7285" w:rsidP="009260DE">
      <w:pPr>
        <w:tabs>
          <w:tab w:val="left" w:pos="851"/>
        </w:tabs>
        <w:ind w:left="851"/>
        <w:rPr>
          <w:sz w:val="24"/>
          <w:szCs w:val="24"/>
        </w:rPr>
      </w:pPr>
      <w:r>
        <w:rPr>
          <w:sz w:val="24"/>
          <w:szCs w:val="24"/>
        </w:rPr>
        <w:t>19. februar 2025</w:t>
      </w:r>
    </w:p>
    <w:p w14:paraId="3CF0A40D" w14:textId="77777777" w:rsidR="009260DE" w:rsidRPr="00CE778C" w:rsidRDefault="009260DE" w:rsidP="009260DE">
      <w:pPr>
        <w:tabs>
          <w:tab w:val="left" w:pos="851"/>
        </w:tabs>
        <w:ind w:left="851"/>
        <w:rPr>
          <w:sz w:val="24"/>
          <w:szCs w:val="24"/>
        </w:rPr>
      </w:pPr>
    </w:p>
    <w:p w14:paraId="76D264E8" w14:textId="77777777" w:rsidR="009260DE" w:rsidRPr="00CE778C" w:rsidRDefault="009260DE" w:rsidP="009260DE">
      <w:pPr>
        <w:tabs>
          <w:tab w:val="left" w:pos="851"/>
        </w:tabs>
        <w:ind w:left="851" w:hanging="851"/>
        <w:rPr>
          <w:b/>
          <w:sz w:val="24"/>
          <w:szCs w:val="24"/>
        </w:rPr>
      </w:pPr>
      <w:r w:rsidRPr="00CE778C">
        <w:rPr>
          <w:b/>
          <w:sz w:val="24"/>
          <w:szCs w:val="24"/>
        </w:rPr>
        <w:t>10.</w:t>
      </w:r>
      <w:r w:rsidRPr="00CE778C">
        <w:rPr>
          <w:b/>
          <w:sz w:val="24"/>
          <w:szCs w:val="24"/>
        </w:rPr>
        <w:tab/>
        <w:t>DATO FOR ÆNDRING AF TEKSTEN</w:t>
      </w:r>
    </w:p>
    <w:p w14:paraId="0075FE7D" w14:textId="354EFD89" w:rsidR="009260DE" w:rsidRPr="00CE778C" w:rsidRDefault="00A75091" w:rsidP="009260DE">
      <w:pPr>
        <w:tabs>
          <w:tab w:val="left" w:pos="851"/>
        </w:tabs>
        <w:ind w:left="851"/>
        <w:rPr>
          <w:sz w:val="24"/>
          <w:szCs w:val="24"/>
        </w:rPr>
      </w:pPr>
      <w:r w:rsidRPr="00CE778C">
        <w:rPr>
          <w:sz w:val="24"/>
          <w:szCs w:val="24"/>
        </w:rPr>
        <w:t>-</w:t>
      </w:r>
    </w:p>
    <w:sectPr w:rsidR="009260DE" w:rsidRPr="00CE778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9F1B2" w14:textId="77777777" w:rsidR="004D17AE" w:rsidRDefault="004D17AE">
      <w:r>
        <w:separator/>
      </w:r>
    </w:p>
  </w:endnote>
  <w:endnote w:type="continuationSeparator" w:id="0">
    <w:p w14:paraId="31D27854" w14:textId="77777777" w:rsidR="004D17AE" w:rsidRDefault="004D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8861D" w14:textId="77777777" w:rsidR="004D17AE" w:rsidRDefault="004D17AE">
    <w:pPr>
      <w:pStyle w:val="Sidefod"/>
      <w:pBdr>
        <w:bottom w:val="single" w:sz="6" w:space="1" w:color="auto"/>
      </w:pBdr>
    </w:pPr>
  </w:p>
  <w:p w14:paraId="767DEE75" w14:textId="77777777" w:rsidR="004D17AE" w:rsidRDefault="004D17AE" w:rsidP="00C42586">
    <w:pPr>
      <w:pStyle w:val="Sidefod"/>
      <w:tabs>
        <w:tab w:val="clear" w:pos="4819"/>
        <w:tab w:val="left" w:pos="8505"/>
      </w:tabs>
      <w:rPr>
        <w:i/>
        <w:sz w:val="18"/>
        <w:szCs w:val="18"/>
      </w:rPr>
    </w:pPr>
  </w:p>
  <w:p w14:paraId="5831FC3C" w14:textId="70D7DA7D" w:rsidR="004D17AE" w:rsidRPr="00B373D7" w:rsidRDefault="004D17A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F737F">
      <w:rPr>
        <w:i/>
        <w:noProof/>
        <w:sz w:val="18"/>
        <w:szCs w:val="18"/>
      </w:rPr>
      <w:t>Edoxaban Zentiva, filmovertrukne tabletter 15 mg, 30 mg og 60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5BDCE" w14:textId="77777777" w:rsidR="004D17AE" w:rsidRDefault="004D17AE">
      <w:r>
        <w:separator/>
      </w:r>
    </w:p>
  </w:footnote>
  <w:footnote w:type="continuationSeparator" w:id="0">
    <w:p w14:paraId="63047E0E" w14:textId="77777777" w:rsidR="004D17AE" w:rsidRDefault="004D1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28634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1C040D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4285D7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EAEE6B1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3F02A13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08F2D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FE52F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66002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940A8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B1FE127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70308F"/>
    <w:multiLevelType w:val="hybridMultilevel"/>
    <w:tmpl w:val="375C4CF4"/>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start w:val="1"/>
      <w:numFmt w:val="bullet"/>
      <w:lvlText w:val=""/>
      <w:lvlJc w:val="left"/>
      <w:pPr>
        <w:ind w:left="1800" w:hanging="360"/>
      </w:pPr>
      <w:rPr>
        <w:rFonts w:ascii="Wingdings" w:hAnsi="Wingdings" w:hint="default"/>
      </w:rPr>
    </w:lvl>
    <w:lvl w:ilvl="3" w:tplc="10000001">
      <w:start w:val="1"/>
      <w:numFmt w:val="bullet"/>
      <w:lvlText w:val=""/>
      <w:lvlJc w:val="left"/>
      <w:pPr>
        <w:ind w:left="2520" w:hanging="360"/>
      </w:pPr>
      <w:rPr>
        <w:rFonts w:ascii="Symbol" w:hAnsi="Symbol" w:hint="default"/>
      </w:rPr>
    </w:lvl>
    <w:lvl w:ilvl="4" w:tplc="10000003">
      <w:start w:val="1"/>
      <w:numFmt w:val="bullet"/>
      <w:lvlText w:val="o"/>
      <w:lvlJc w:val="left"/>
      <w:pPr>
        <w:ind w:left="3240" w:hanging="360"/>
      </w:pPr>
      <w:rPr>
        <w:rFonts w:ascii="Courier New" w:hAnsi="Courier New" w:cs="Courier New" w:hint="default"/>
      </w:rPr>
    </w:lvl>
    <w:lvl w:ilvl="5" w:tplc="10000005">
      <w:start w:val="1"/>
      <w:numFmt w:val="bullet"/>
      <w:lvlText w:val=""/>
      <w:lvlJc w:val="left"/>
      <w:pPr>
        <w:ind w:left="3960" w:hanging="360"/>
      </w:pPr>
      <w:rPr>
        <w:rFonts w:ascii="Wingdings" w:hAnsi="Wingdings" w:hint="default"/>
      </w:rPr>
    </w:lvl>
    <w:lvl w:ilvl="6" w:tplc="10000001">
      <w:start w:val="1"/>
      <w:numFmt w:val="bullet"/>
      <w:lvlText w:val=""/>
      <w:lvlJc w:val="left"/>
      <w:pPr>
        <w:ind w:left="4680" w:hanging="360"/>
      </w:pPr>
      <w:rPr>
        <w:rFonts w:ascii="Symbol" w:hAnsi="Symbol" w:hint="default"/>
      </w:rPr>
    </w:lvl>
    <w:lvl w:ilvl="7" w:tplc="10000003">
      <w:start w:val="1"/>
      <w:numFmt w:val="bullet"/>
      <w:lvlText w:val="o"/>
      <w:lvlJc w:val="left"/>
      <w:pPr>
        <w:ind w:left="5400" w:hanging="360"/>
      </w:pPr>
      <w:rPr>
        <w:rFonts w:ascii="Courier New" w:hAnsi="Courier New" w:cs="Courier New" w:hint="default"/>
      </w:rPr>
    </w:lvl>
    <w:lvl w:ilvl="8" w:tplc="10000005">
      <w:start w:val="1"/>
      <w:numFmt w:val="bullet"/>
      <w:lvlText w:val=""/>
      <w:lvlJc w:val="left"/>
      <w:pPr>
        <w:ind w:left="6120" w:hanging="360"/>
      </w:pPr>
      <w:rPr>
        <w:rFonts w:ascii="Wingdings" w:hAnsi="Wingdings" w:hint="default"/>
      </w:rPr>
    </w:lvl>
  </w:abstractNum>
  <w:abstractNum w:abstractNumId="1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1DC96476"/>
    <w:multiLevelType w:val="hybridMultilevel"/>
    <w:tmpl w:val="92EA9B98"/>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5" w15:restartNumberingAfterBreak="0">
    <w:nsid w:val="397A41C9"/>
    <w:multiLevelType w:val="hybridMultilevel"/>
    <w:tmpl w:val="E536D57E"/>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start w:val="1"/>
      <w:numFmt w:val="bullet"/>
      <w:lvlText w:val=""/>
      <w:lvlJc w:val="left"/>
      <w:pPr>
        <w:ind w:left="1800" w:hanging="360"/>
      </w:pPr>
      <w:rPr>
        <w:rFonts w:ascii="Wingdings" w:hAnsi="Wingdings" w:hint="default"/>
      </w:rPr>
    </w:lvl>
    <w:lvl w:ilvl="3" w:tplc="10000001">
      <w:start w:val="1"/>
      <w:numFmt w:val="bullet"/>
      <w:lvlText w:val=""/>
      <w:lvlJc w:val="left"/>
      <w:pPr>
        <w:ind w:left="2520" w:hanging="360"/>
      </w:pPr>
      <w:rPr>
        <w:rFonts w:ascii="Symbol" w:hAnsi="Symbol" w:hint="default"/>
      </w:rPr>
    </w:lvl>
    <w:lvl w:ilvl="4" w:tplc="10000003">
      <w:start w:val="1"/>
      <w:numFmt w:val="bullet"/>
      <w:lvlText w:val="o"/>
      <w:lvlJc w:val="left"/>
      <w:pPr>
        <w:ind w:left="3240" w:hanging="360"/>
      </w:pPr>
      <w:rPr>
        <w:rFonts w:ascii="Courier New" w:hAnsi="Courier New" w:cs="Courier New" w:hint="default"/>
      </w:rPr>
    </w:lvl>
    <w:lvl w:ilvl="5" w:tplc="10000005">
      <w:start w:val="1"/>
      <w:numFmt w:val="bullet"/>
      <w:lvlText w:val=""/>
      <w:lvlJc w:val="left"/>
      <w:pPr>
        <w:ind w:left="3960" w:hanging="360"/>
      </w:pPr>
      <w:rPr>
        <w:rFonts w:ascii="Wingdings" w:hAnsi="Wingdings" w:hint="default"/>
      </w:rPr>
    </w:lvl>
    <w:lvl w:ilvl="6" w:tplc="10000001">
      <w:start w:val="1"/>
      <w:numFmt w:val="bullet"/>
      <w:lvlText w:val=""/>
      <w:lvlJc w:val="left"/>
      <w:pPr>
        <w:ind w:left="4680" w:hanging="360"/>
      </w:pPr>
      <w:rPr>
        <w:rFonts w:ascii="Symbol" w:hAnsi="Symbol" w:hint="default"/>
      </w:rPr>
    </w:lvl>
    <w:lvl w:ilvl="7" w:tplc="10000003">
      <w:start w:val="1"/>
      <w:numFmt w:val="bullet"/>
      <w:lvlText w:val="o"/>
      <w:lvlJc w:val="left"/>
      <w:pPr>
        <w:ind w:left="5400" w:hanging="360"/>
      </w:pPr>
      <w:rPr>
        <w:rFonts w:ascii="Courier New" w:hAnsi="Courier New" w:cs="Courier New" w:hint="default"/>
      </w:rPr>
    </w:lvl>
    <w:lvl w:ilvl="8" w:tplc="10000005">
      <w:start w:val="1"/>
      <w:numFmt w:val="bullet"/>
      <w:lvlText w:val=""/>
      <w:lvlJc w:val="left"/>
      <w:pPr>
        <w:ind w:left="6120" w:hanging="360"/>
      </w:pPr>
      <w:rPr>
        <w:rFonts w:ascii="Wingdings" w:hAnsi="Wingdings" w:hint="default"/>
      </w:rPr>
    </w:lvl>
  </w:abstractNum>
  <w:abstractNum w:abstractNumId="16" w15:restartNumberingAfterBreak="0">
    <w:nsid w:val="3B1552B6"/>
    <w:multiLevelType w:val="hybridMultilevel"/>
    <w:tmpl w:val="9066054C"/>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start w:val="1"/>
      <w:numFmt w:val="bullet"/>
      <w:lvlText w:val=""/>
      <w:lvlJc w:val="left"/>
      <w:pPr>
        <w:ind w:left="1800" w:hanging="360"/>
      </w:pPr>
      <w:rPr>
        <w:rFonts w:ascii="Wingdings" w:hAnsi="Wingdings" w:hint="default"/>
      </w:rPr>
    </w:lvl>
    <w:lvl w:ilvl="3" w:tplc="10000001">
      <w:start w:val="1"/>
      <w:numFmt w:val="bullet"/>
      <w:lvlText w:val=""/>
      <w:lvlJc w:val="left"/>
      <w:pPr>
        <w:ind w:left="2520" w:hanging="360"/>
      </w:pPr>
      <w:rPr>
        <w:rFonts w:ascii="Symbol" w:hAnsi="Symbol" w:hint="default"/>
      </w:rPr>
    </w:lvl>
    <w:lvl w:ilvl="4" w:tplc="10000003">
      <w:start w:val="1"/>
      <w:numFmt w:val="bullet"/>
      <w:lvlText w:val="o"/>
      <w:lvlJc w:val="left"/>
      <w:pPr>
        <w:ind w:left="3240" w:hanging="360"/>
      </w:pPr>
      <w:rPr>
        <w:rFonts w:ascii="Courier New" w:hAnsi="Courier New" w:cs="Courier New" w:hint="default"/>
      </w:rPr>
    </w:lvl>
    <w:lvl w:ilvl="5" w:tplc="10000005">
      <w:start w:val="1"/>
      <w:numFmt w:val="bullet"/>
      <w:lvlText w:val=""/>
      <w:lvlJc w:val="left"/>
      <w:pPr>
        <w:ind w:left="3960" w:hanging="360"/>
      </w:pPr>
      <w:rPr>
        <w:rFonts w:ascii="Wingdings" w:hAnsi="Wingdings" w:hint="default"/>
      </w:rPr>
    </w:lvl>
    <w:lvl w:ilvl="6" w:tplc="10000001">
      <w:start w:val="1"/>
      <w:numFmt w:val="bullet"/>
      <w:lvlText w:val=""/>
      <w:lvlJc w:val="left"/>
      <w:pPr>
        <w:ind w:left="4680" w:hanging="360"/>
      </w:pPr>
      <w:rPr>
        <w:rFonts w:ascii="Symbol" w:hAnsi="Symbol" w:hint="default"/>
      </w:rPr>
    </w:lvl>
    <w:lvl w:ilvl="7" w:tplc="10000003">
      <w:start w:val="1"/>
      <w:numFmt w:val="bullet"/>
      <w:lvlText w:val="o"/>
      <w:lvlJc w:val="left"/>
      <w:pPr>
        <w:ind w:left="5400" w:hanging="360"/>
      </w:pPr>
      <w:rPr>
        <w:rFonts w:ascii="Courier New" w:hAnsi="Courier New" w:cs="Courier New" w:hint="default"/>
      </w:rPr>
    </w:lvl>
    <w:lvl w:ilvl="8" w:tplc="10000005">
      <w:start w:val="1"/>
      <w:numFmt w:val="bullet"/>
      <w:lvlText w:val=""/>
      <w:lvlJc w:val="left"/>
      <w:pPr>
        <w:ind w:left="6120" w:hanging="360"/>
      </w:pPr>
      <w:rPr>
        <w:rFonts w:ascii="Wingdings" w:hAnsi="Wingdings" w:hint="default"/>
      </w:rPr>
    </w:lvl>
  </w:abstractNum>
  <w:abstractNum w:abstractNumId="17" w15:restartNumberingAfterBreak="0">
    <w:nsid w:val="3BFF72CC"/>
    <w:multiLevelType w:val="hybridMultilevel"/>
    <w:tmpl w:val="2EA4C2D6"/>
    <w:lvl w:ilvl="0" w:tplc="10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71C14D5E"/>
    <w:multiLevelType w:val="hybridMultilevel"/>
    <w:tmpl w:val="C4241BC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1" w15:restartNumberingAfterBreak="0">
    <w:nsid w:val="71E24AF6"/>
    <w:multiLevelType w:val="hybridMultilevel"/>
    <w:tmpl w:val="C6761824"/>
    <w:lvl w:ilvl="0" w:tplc="FFFFFFFF">
      <w:start w:val="1"/>
      <w:numFmt w:val="bullet"/>
      <w:lvlText w:val="-"/>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7DFC09EC"/>
    <w:multiLevelType w:val="hybridMultilevel"/>
    <w:tmpl w:val="94006E4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6"/>
  </w:num>
  <w:num w:numId="8">
    <w:abstractNumId w:val="15"/>
  </w:num>
  <w:num w:numId="9">
    <w:abstractNumId w:val="10"/>
  </w:num>
  <w:num w:numId="10">
    <w:abstractNumId w:val="17"/>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2"/>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F7"/>
    <w:rsid w:val="000259B9"/>
    <w:rsid w:val="00041491"/>
    <w:rsid w:val="00050D16"/>
    <w:rsid w:val="000730CA"/>
    <w:rsid w:val="00074F2A"/>
    <w:rsid w:val="000A1CA8"/>
    <w:rsid w:val="000A466B"/>
    <w:rsid w:val="000B058C"/>
    <w:rsid w:val="000D68B0"/>
    <w:rsid w:val="000E4EE6"/>
    <w:rsid w:val="001454E2"/>
    <w:rsid w:val="001D7285"/>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77E76"/>
    <w:rsid w:val="0049104B"/>
    <w:rsid w:val="004D17AE"/>
    <w:rsid w:val="004E3B12"/>
    <w:rsid w:val="00532310"/>
    <w:rsid w:val="00565F0F"/>
    <w:rsid w:val="00594A86"/>
    <w:rsid w:val="00596D86"/>
    <w:rsid w:val="005C62B1"/>
    <w:rsid w:val="00637F5A"/>
    <w:rsid w:val="00641C65"/>
    <w:rsid w:val="006560B1"/>
    <w:rsid w:val="006756DD"/>
    <w:rsid w:val="006B6B57"/>
    <w:rsid w:val="006E6856"/>
    <w:rsid w:val="0071241E"/>
    <w:rsid w:val="00737275"/>
    <w:rsid w:val="00740EEC"/>
    <w:rsid w:val="007553F5"/>
    <w:rsid w:val="0078011A"/>
    <w:rsid w:val="00782AF4"/>
    <w:rsid w:val="00790EE7"/>
    <w:rsid w:val="007A2CF7"/>
    <w:rsid w:val="007B6649"/>
    <w:rsid w:val="0082576E"/>
    <w:rsid w:val="0089346F"/>
    <w:rsid w:val="008F737F"/>
    <w:rsid w:val="00907F75"/>
    <w:rsid w:val="009260DE"/>
    <w:rsid w:val="009305F3"/>
    <w:rsid w:val="0093258A"/>
    <w:rsid w:val="009C7BA3"/>
    <w:rsid w:val="009D1F5A"/>
    <w:rsid w:val="00A10294"/>
    <w:rsid w:val="00A75091"/>
    <w:rsid w:val="00B003BF"/>
    <w:rsid w:val="00B373D7"/>
    <w:rsid w:val="00B55271"/>
    <w:rsid w:val="00BC493D"/>
    <w:rsid w:val="00BD7931"/>
    <w:rsid w:val="00BF6243"/>
    <w:rsid w:val="00C36276"/>
    <w:rsid w:val="00C42586"/>
    <w:rsid w:val="00C45F6B"/>
    <w:rsid w:val="00C60CCD"/>
    <w:rsid w:val="00C84483"/>
    <w:rsid w:val="00C95551"/>
    <w:rsid w:val="00CB20D7"/>
    <w:rsid w:val="00CE778C"/>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CF0B3"/>
  <w15:chartTrackingRefBased/>
  <w15:docId w15:val="{9CC11885-C33F-48B1-A66A-E77EDAF9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A75091"/>
    <w:pPr>
      <w:keepNext/>
      <w:widowControl w:val="0"/>
      <w:autoSpaceDE w:val="0"/>
      <w:autoSpaceDN w:val="0"/>
      <w:adjustRightInd w:val="0"/>
      <w:spacing w:before="240" w:after="60"/>
      <w:outlineLvl w:val="1"/>
    </w:pPr>
    <w:rPr>
      <w:rFonts w:ascii="Cambria" w:hAnsi="Cambria"/>
      <w:b/>
      <w:bCs/>
      <w:i/>
      <w:iCs/>
      <w:sz w:val="28"/>
      <w:szCs w:val="28"/>
      <w:lang w:eastAsia="da-DK"/>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iPriority w:val="9"/>
    <w:semiHidden/>
    <w:unhideWhenUsed/>
    <w:qFormat/>
    <w:rsid w:val="00A75091"/>
    <w:pPr>
      <w:keepNext/>
      <w:widowControl w:val="0"/>
      <w:autoSpaceDE w:val="0"/>
      <w:autoSpaceDN w:val="0"/>
      <w:adjustRightInd w:val="0"/>
      <w:spacing w:before="240" w:after="60"/>
      <w:outlineLvl w:val="3"/>
    </w:pPr>
    <w:rPr>
      <w:rFonts w:ascii="Calibri" w:hAnsi="Calibri"/>
      <w:b/>
      <w:bCs/>
      <w:sz w:val="28"/>
      <w:szCs w:val="28"/>
      <w:lang w:eastAsia="da-DK"/>
    </w:rPr>
  </w:style>
  <w:style w:type="paragraph" w:styleId="Overskrift5">
    <w:name w:val="heading 5"/>
    <w:basedOn w:val="Normal"/>
    <w:next w:val="Normal"/>
    <w:link w:val="Overskrift5Tegn"/>
    <w:uiPriority w:val="9"/>
    <w:semiHidden/>
    <w:unhideWhenUsed/>
    <w:qFormat/>
    <w:rsid w:val="00A75091"/>
    <w:pPr>
      <w:widowControl w:val="0"/>
      <w:autoSpaceDE w:val="0"/>
      <w:autoSpaceDN w:val="0"/>
      <w:adjustRightInd w:val="0"/>
      <w:spacing w:before="240" w:after="60"/>
      <w:outlineLvl w:val="4"/>
    </w:pPr>
    <w:rPr>
      <w:rFonts w:ascii="Calibri" w:hAnsi="Calibri"/>
      <w:b/>
      <w:bCs/>
      <w:i/>
      <w:iCs/>
      <w:sz w:val="26"/>
      <w:szCs w:val="26"/>
      <w:lang w:eastAsia="da-DK"/>
    </w:rPr>
  </w:style>
  <w:style w:type="paragraph" w:styleId="Overskrift6">
    <w:name w:val="heading 6"/>
    <w:basedOn w:val="Normal"/>
    <w:next w:val="Normal"/>
    <w:link w:val="Overskrift6Tegn"/>
    <w:uiPriority w:val="9"/>
    <w:semiHidden/>
    <w:unhideWhenUsed/>
    <w:qFormat/>
    <w:rsid w:val="00A75091"/>
    <w:pPr>
      <w:widowControl w:val="0"/>
      <w:autoSpaceDE w:val="0"/>
      <w:autoSpaceDN w:val="0"/>
      <w:adjustRightInd w:val="0"/>
      <w:spacing w:before="240" w:after="60"/>
      <w:outlineLvl w:val="5"/>
    </w:pPr>
    <w:rPr>
      <w:rFonts w:ascii="Calibri" w:hAnsi="Calibri"/>
      <w:b/>
      <w:bCs/>
      <w:sz w:val="22"/>
      <w:szCs w:val="22"/>
      <w:lang w:eastAsia="da-DK"/>
    </w:rPr>
  </w:style>
  <w:style w:type="paragraph" w:styleId="Overskrift7">
    <w:name w:val="heading 7"/>
    <w:basedOn w:val="Normal"/>
    <w:next w:val="Normal"/>
    <w:link w:val="Overskrift7Tegn"/>
    <w:uiPriority w:val="9"/>
    <w:semiHidden/>
    <w:unhideWhenUsed/>
    <w:qFormat/>
    <w:rsid w:val="00A75091"/>
    <w:pPr>
      <w:widowControl w:val="0"/>
      <w:autoSpaceDE w:val="0"/>
      <w:autoSpaceDN w:val="0"/>
      <w:adjustRightInd w:val="0"/>
      <w:spacing w:before="240" w:after="60"/>
      <w:outlineLvl w:val="6"/>
    </w:pPr>
    <w:rPr>
      <w:rFonts w:ascii="Calibri" w:hAnsi="Calibri"/>
      <w:sz w:val="24"/>
      <w:szCs w:val="24"/>
      <w:lang w:eastAsia="da-DK"/>
    </w:rPr>
  </w:style>
  <w:style w:type="paragraph" w:styleId="Overskrift8">
    <w:name w:val="heading 8"/>
    <w:basedOn w:val="Normal"/>
    <w:next w:val="Normal"/>
    <w:link w:val="Overskrift8Tegn"/>
    <w:uiPriority w:val="9"/>
    <w:semiHidden/>
    <w:unhideWhenUsed/>
    <w:qFormat/>
    <w:rsid w:val="00A75091"/>
    <w:pPr>
      <w:widowControl w:val="0"/>
      <w:autoSpaceDE w:val="0"/>
      <w:autoSpaceDN w:val="0"/>
      <w:adjustRightInd w:val="0"/>
      <w:spacing w:before="240" w:after="60"/>
      <w:outlineLvl w:val="7"/>
    </w:pPr>
    <w:rPr>
      <w:rFonts w:ascii="Calibri" w:hAnsi="Calibri"/>
      <w:i/>
      <w:iCs/>
      <w:sz w:val="24"/>
      <w:szCs w:val="24"/>
      <w:lang w:eastAsia="da-DK"/>
    </w:rPr>
  </w:style>
  <w:style w:type="paragraph" w:styleId="Overskrift9">
    <w:name w:val="heading 9"/>
    <w:basedOn w:val="Normal"/>
    <w:next w:val="Normal"/>
    <w:link w:val="Overskrift9Tegn"/>
    <w:uiPriority w:val="9"/>
    <w:semiHidden/>
    <w:unhideWhenUsed/>
    <w:qFormat/>
    <w:rsid w:val="00A75091"/>
    <w:pPr>
      <w:widowControl w:val="0"/>
      <w:autoSpaceDE w:val="0"/>
      <w:autoSpaceDN w:val="0"/>
      <w:adjustRightInd w:val="0"/>
      <w:spacing w:before="240" w:after="60"/>
      <w:outlineLvl w:val="8"/>
    </w:pPr>
    <w:rPr>
      <w:rFonts w:ascii="Cambria" w:hAnsi="Cambria"/>
      <w:sz w:val="22"/>
      <w:szCs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uiPriority w:val="99"/>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uiPriority w:val="99"/>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A75091"/>
    <w:pPr>
      <w:widowControl w:val="0"/>
      <w:autoSpaceDE w:val="0"/>
      <w:autoSpaceDN w:val="0"/>
      <w:adjustRightInd w:val="0"/>
      <w:ind w:left="118"/>
    </w:pPr>
    <w:rPr>
      <w:sz w:val="24"/>
      <w:szCs w:val="24"/>
      <w:lang w:eastAsia="da-DK"/>
    </w:rPr>
  </w:style>
  <w:style w:type="character" w:customStyle="1" w:styleId="BrdtekstTegn">
    <w:name w:val="Brødtekst Tegn"/>
    <w:basedOn w:val="Standardskrifttypeiafsnit"/>
    <w:link w:val="Brdtekst"/>
    <w:uiPriority w:val="1"/>
    <w:semiHidden/>
    <w:rsid w:val="00A75091"/>
    <w:rPr>
      <w:sz w:val="24"/>
      <w:szCs w:val="24"/>
    </w:rPr>
  </w:style>
  <w:style w:type="paragraph" w:styleId="Listeafsnit">
    <w:name w:val="List Paragraph"/>
    <w:basedOn w:val="Normal"/>
    <w:uiPriority w:val="34"/>
    <w:qFormat/>
    <w:rsid w:val="00A75091"/>
    <w:pPr>
      <w:widowControl w:val="0"/>
      <w:autoSpaceDE w:val="0"/>
      <w:autoSpaceDN w:val="0"/>
      <w:adjustRightInd w:val="0"/>
    </w:pPr>
    <w:rPr>
      <w:sz w:val="24"/>
      <w:szCs w:val="24"/>
      <w:lang w:eastAsia="da-DK"/>
    </w:rPr>
  </w:style>
  <w:style w:type="table" w:styleId="Tabel-Gitter">
    <w:name w:val="Table Grid"/>
    <w:basedOn w:val="Tabel-Normal"/>
    <w:uiPriority w:val="59"/>
    <w:rsid w:val="00A75091"/>
    <w:rPr>
      <w:rFonts w:ascii="Calibri" w:hAnsi="Calibri"/>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A75091"/>
    <w:rPr>
      <w:rFonts w:ascii="Times New Roman" w:hAnsi="Times New Roman" w:cs="Times New Roman" w:hint="default"/>
      <w:color w:val="0000FF"/>
      <w:u w:val="single"/>
    </w:rPr>
  </w:style>
  <w:style w:type="character" w:customStyle="1" w:styleId="Overskrift2Tegn">
    <w:name w:val="Overskrift 2 Tegn"/>
    <w:basedOn w:val="Standardskrifttypeiafsnit"/>
    <w:link w:val="Overskrift2"/>
    <w:uiPriority w:val="9"/>
    <w:semiHidden/>
    <w:rsid w:val="00A75091"/>
    <w:rPr>
      <w:rFonts w:ascii="Cambria" w:hAnsi="Cambria"/>
      <w:b/>
      <w:bCs/>
      <w:i/>
      <w:iCs/>
      <w:sz w:val="28"/>
      <w:szCs w:val="28"/>
    </w:rPr>
  </w:style>
  <w:style w:type="character" w:customStyle="1" w:styleId="Overskrift4Tegn">
    <w:name w:val="Overskrift 4 Tegn"/>
    <w:basedOn w:val="Standardskrifttypeiafsnit"/>
    <w:link w:val="Overskrift4"/>
    <w:uiPriority w:val="9"/>
    <w:semiHidden/>
    <w:rsid w:val="00A75091"/>
    <w:rPr>
      <w:rFonts w:ascii="Calibri" w:hAnsi="Calibri"/>
      <w:b/>
      <w:bCs/>
      <w:sz w:val="28"/>
      <w:szCs w:val="28"/>
    </w:rPr>
  </w:style>
  <w:style w:type="character" w:customStyle="1" w:styleId="Overskrift5Tegn">
    <w:name w:val="Overskrift 5 Tegn"/>
    <w:basedOn w:val="Standardskrifttypeiafsnit"/>
    <w:link w:val="Overskrift5"/>
    <w:uiPriority w:val="9"/>
    <w:semiHidden/>
    <w:rsid w:val="00A75091"/>
    <w:rPr>
      <w:rFonts w:ascii="Calibri" w:hAnsi="Calibri"/>
      <w:b/>
      <w:bCs/>
      <w:i/>
      <w:iCs/>
      <w:sz w:val="26"/>
      <w:szCs w:val="26"/>
    </w:rPr>
  </w:style>
  <w:style w:type="character" w:customStyle="1" w:styleId="Overskrift6Tegn">
    <w:name w:val="Overskrift 6 Tegn"/>
    <w:basedOn w:val="Standardskrifttypeiafsnit"/>
    <w:link w:val="Overskrift6"/>
    <w:uiPriority w:val="9"/>
    <w:semiHidden/>
    <w:rsid w:val="00A75091"/>
    <w:rPr>
      <w:rFonts w:ascii="Calibri" w:hAnsi="Calibri"/>
      <w:b/>
      <w:bCs/>
      <w:sz w:val="22"/>
      <w:szCs w:val="22"/>
    </w:rPr>
  </w:style>
  <w:style w:type="character" w:customStyle="1" w:styleId="Overskrift7Tegn">
    <w:name w:val="Overskrift 7 Tegn"/>
    <w:basedOn w:val="Standardskrifttypeiafsnit"/>
    <w:link w:val="Overskrift7"/>
    <w:uiPriority w:val="9"/>
    <w:semiHidden/>
    <w:rsid w:val="00A75091"/>
    <w:rPr>
      <w:rFonts w:ascii="Calibri" w:hAnsi="Calibri"/>
      <w:sz w:val="24"/>
      <w:szCs w:val="24"/>
    </w:rPr>
  </w:style>
  <w:style w:type="character" w:customStyle="1" w:styleId="Overskrift8Tegn">
    <w:name w:val="Overskrift 8 Tegn"/>
    <w:basedOn w:val="Standardskrifttypeiafsnit"/>
    <w:link w:val="Overskrift8"/>
    <w:uiPriority w:val="9"/>
    <w:semiHidden/>
    <w:rsid w:val="00A75091"/>
    <w:rPr>
      <w:rFonts w:ascii="Calibri" w:hAnsi="Calibri"/>
      <w:i/>
      <w:iCs/>
      <w:sz w:val="24"/>
      <w:szCs w:val="24"/>
    </w:rPr>
  </w:style>
  <w:style w:type="character" w:customStyle="1" w:styleId="Overskrift9Tegn">
    <w:name w:val="Overskrift 9 Tegn"/>
    <w:basedOn w:val="Standardskrifttypeiafsnit"/>
    <w:link w:val="Overskrift9"/>
    <w:uiPriority w:val="9"/>
    <w:semiHidden/>
    <w:rsid w:val="00A75091"/>
    <w:rPr>
      <w:rFonts w:ascii="Cambria" w:hAnsi="Cambria"/>
      <w:sz w:val="22"/>
      <w:szCs w:val="22"/>
    </w:rPr>
  </w:style>
  <w:style w:type="character" w:customStyle="1" w:styleId="Overskrift1Tegn">
    <w:name w:val="Overskrift 1 Tegn"/>
    <w:basedOn w:val="Standardskrifttypeiafsnit"/>
    <w:link w:val="Overskrift1"/>
    <w:uiPriority w:val="9"/>
    <w:rsid w:val="00A75091"/>
    <w:rPr>
      <w:rFonts w:ascii="Arial" w:hAnsi="Arial"/>
      <w:b/>
      <w:kern w:val="28"/>
      <w:sz w:val="28"/>
      <w:lang w:eastAsia="en-US"/>
    </w:rPr>
  </w:style>
  <w:style w:type="character" w:customStyle="1" w:styleId="Overskrift3Tegn">
    <w:name w:val="Overskrift 3 Tegn"/>
    <w:basedOn w:val="Standardskrifttypeiafsnit"/>
    <w:link w:val="Overskrift3"/>
    <w:uiPriority w:val="9"/>
    <w:rsid w:val="00A75091"/>
    <w:rPr>
      <w:rFonts w:ascii="Arial" w:hAnsi="Arial"/>
      <w:sz w:val="24"/>
      <w:lang w:eastAsia="en-US"/>
    </w:rPr>
  </w:style>
  <w:style w:type="character" w:styleId="BesgtLink">
    <w:name w:val="FollowedHyperlink"/>
    <w:uiPriority w:val="99"/>
    <w:semiHidden/>
    <w:unhideWhenUsed/>
    <w:rsid w:val="00A75091"/>
    <w:rPr>
      <w:color w:val="800080"/>
      <w:u w:val="single"/>
    </w:rPr>
  </w:style>
  <w:style w:type="paragraph" w:styleId="HTML-adresse">
    <w:name w:val="HTML Address"/>
    <w:basedOn w:val="Normal"/>
    <w:link w:val="HTML-adresseTegn"/>
    <w:uiPriority w:val="99"/>
    <w:semiHidden/>
    <w:unhideWhenUsed/>
    <w:rsid w:val="00A75091"/>
    <w:pPr>
      <w:widowControl w:val="0"/>
      <w:autoSpaceDE w:val="0"/>
      <w:autoSpaceDN w:val="0"/>
      <w:adjustRightInd w:val="0"/>
    </w:pPr>
    <w:rPr>
      <w:i/>
      <w:iCs/>
      <w:sz w:val="24"/>
      <w:szCs w:val="24"/>
      <w:lang w:eastAsia="da-DK"/>
    </w:rPr>
  </w:style>
  <w:style w:type="character" w:customStyle="1" w:styleId="HTML-adresseTegn">
    <w:name w:val="HTML-adresse Tegn"/>
    <w:basedOn w:val="Standardskrifttypeiafsnit"/>
    <w:link w:val="HTML-adresse"/>
    <w:uiPriority w:val="99"/>
    <w:semiHidden/>
    <w:rsid w:val="00A75091"/>
    <w:rPr>
      <w:i/>
      <w:iCs/>
      <w:sz w:val="24"/>
      <w:szCs w:val="24"/>
    </w:rPr>
  </w:style>
  <w:style w:type="paragraph" w:styleId="FormateretHTML">
    <w:name w:val="HTML Preformatted"/>
    <w:basedOn w:val="Normal"/>
    <w:link w:val="FormateretHTMLTegn"/>
    <w:uiPriority w:val="99"/>
    <w:semiHidden/>
    <w:unhideWhenUsed/>
    <w:rsid w:val="00A750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hAnsi="Courier New"/>
      <w:sz w:val="20"/>
      <w:lang w:eastAsia="da-DK"/>
    </w:rPr>
  </w:style>
  <w:style w:type="character" w:customStyle="1" w:styleId="FormateretHTMLTegn">
    <w:name w:val="Formateret HTML Tegn"/>
    <w:basedOn w:val="Standardskrifttypeiafsnit"/>
    <w:link w:val="FormateretHTML"/>
    <w:uiPriority w:val="99"/>
    <w:semiHidden/>
    <w:rsid w:val="00A75091"/>
    <w:rPr>
      <w:rFonts w:ascii="Courier New" w:hAnsi="Courier New"/>
    </w:rPr>
  </w:style>
  <w:style w:type="paragraph" w:customStyle="1" w:styleId="msonormal0">
    <w:name w:val="msonormal"/>
    <w:basedOn w:val="Normal"/>
    <w:uiPriority w:val="99"/>
    <w:semiHidden/>
    <w:rsid w:val="00A75091"/>
    <w:pPr>
      <w:widowControl w:val="0"/>
      <w:autoSpaceDE w:val="0"/>
      <w:autoSpaceDN w:val="0"/>
      <w:adjustRightInd w:val="0"/>
    </w:pPr>
    <w:rPr>
      <w:sz w:val="24"/>
      <w:szCs w:val="24"/>
      <w:lang w:eastAsia="da-DK"/>
    </w:rPr>
  </w:style>
  <w:style w:type="paragraph" w:styleId="NormalWeb">
    <w:name w:val="Normal (Web)"/>
    <w:basedOn w:val="Normal"/>
    <w:uiPriority w:val="99"/>
    <w:semiHidden/>
    <w:unhideWhenUsed/>
    <w:rsid w:val="00A75091"/>
    <w:pPr>
      <w:widowControl w:val="0"/>
      <w:autoSpaceDE w:val="0"/>
      <w:autoSpaceDN w:val="0"/>
      <w:adjustRightInd w:val="0"/>
    </w:pPr>
    <w:rPr>
      <w:sz w:val="24"/>
      <w:szCs w:val="24"/>
      <w:lang w:eastAsia="da-DK"/>
    </w:rPr>
  </w:style>
  <w:style w:type="paragraph" w:styleId="Indeks1">
    <w:name w:val="index 1"/>
    <w:basedOn w:val="Normal"/>
    <w:next w:val="Normal"/>
    <w:autoRedefine/>
    <w:uiPriority w:val="99"/>
    <w:semiHidden/>
    <w:unhideWhenUsed/>
    <w:rsid w:val="00A75091"/>
    <w:pPr>
      <w:widowControl w:val="0"/>
      <w:autoSpaceDE w:val="0"/>
      <w:autoSpaceDN w:val="0"/>
      <w:adjustRightInd w:val="0"/>
      <w:ind w:left="240" w:hanging="240"/>
    </w:pPr>
    <w:rPr>
      <w:sz w:val="24"/>
      <w:szCs w:val="24"/>
      <w:lang w:eastAsia="da-DK"/>
    </w:rPr>
  </w:style>
  <w:style w:type="paragraph" w:styleId="Indeks2">
    <w:name w:val="index 2"/>
    <w:basedOn w:val="Normal"/>
    <w:next w:val="Normal"/>
    <w:autoRedefine/>
    <w:uiPriority w:val="99"/>
    <w:semiHidden/>
    <w:unhideWhenUsed/>
    <w:rsid w:val="00A75091"/>
    <w:pPr>
      <w:widowControl w:val="0"/>
      <w:autoSpaceDE w:val="0"/>
      <w:autoSpaceDN w:val="0"/>
      <w:adjustRightInd w:val="0"/>
      <w:ind w:left="480" w:hanging="240"/>
    </w:pPr>
    <w:rPr>
      <w:sz w:val="24"/>
      <w:szCs w:val="24"/>
      <w:lang w:eastAsia="da-DK"/>
    </w:rPr>
  </w:style>
  <w:style w:type="paragraph" w:styleId="Indeks3">
    <w:name w:val="index 3"/>
    <w:basedOn w:val="Normal"/>
    <w:next w:val="Normal"/>
    <w:autoRedefine/>
    <w:uiPriority w:val="99"/>
    <w:semiHidden/>
    <w:unhideWhenUsed/>
    <w:rsid w:val="00A75091"/>
    <w:pPr>
      <w:widowControl w:val="0"/>
      <w:autoSpaceDE w:val="0"/>
      <w:autoSpaceDN w:val="0"/>
      <w:adjustRightInd w:val="0"/>
      <w:ind w:left="720" w:hanging="240"/>
    </w:pPr>
    <w:rPr>
      <w:sz w:val="24"/>
      <w:szCs w:val="24"/>
      <w:lang w:eastAsia="da-DK"/>
    </w:rPr>
  </w:style>
  <w:style w:type="paragraph" w:styleId="Indeks4">
    <w:name w:val="index 4"/>
    <w:basedOn w:val="Normal"/>
    <w:next w:val="Normal"/>
    <w:autoRedefine/>
    <w:uiPriority w:val="99"/>
    <w:semiHidden/>
    <w:unhideWhenUsed/>
    <w:rsid w:val="00A75091"/>
    <w:pPr>
      <w:widowControl w:val="0"/>
      <w:autoSpaceDE w:val="0"/>
      <w:autoSpaceDN w:val="0"/>
      <w:adjustRightInd w:val="0"/>
      <w:ind w:left="960" w:hanging="240"/>
    </w:pPr>
    <w:rPr>
      <w:sz w:val="24"/>
      <w:szCs w:val="24"/>
      <w:lang w:eastAsia="da-DK"/>
    </w:rPr>
  </w:style>
  <w:style w:type="paragraph" w:styleId="Indeks5">
    <w:name w:val="index 5"/>
    <w:basedOn w:val="Normal"/>
    <w:next w:val="Normal"/>
    <w:autoRedefine/>
    <w:uiPriority w:val="99"/>
    <w:semiHidden/>
    <w:unhideWhenUsed/>
    <w:rsid w:val="00A75091"/>
    <w:pPr>
      <w:widowControl w:val="0"/>
      <w:autoSpaceDE w:val="0"/>
      <w:autoSpaceDN w:val="0"/>
      <w:adjustRightInd w:val="0"/>
      <w:ind w:left="1200" w:hanging="240"/>
    </w:pPr>
    <w:rPr>
      <w:sz w:val="24"/>
      <w:szCs w:val="24"/>
      <w:lang w:eastAsia="da-DK"/>
    </w:rPr>
  </w:style>
  <w:style w:type="paragraph" w:styleId="Indeks6">
    <w:name w:val="index 6"/>
    <w:basedOn w:val="Normal"/>
    <w:next w:val="Normal"/>
    <w:autoRedefine/>
    <w:uiPriority w:val="99"/>
    <w:semiHidden/>
    <w:unhideWhenUsed/>
    <w:rsid w:val="00A75091"/>
    <w:pPr>
      <w:widowControl w:val="0"/>
      <w:autoSpaceDE w:val="0"/>
      <w:autoSpaceDN w:val="0"/>
      <w:adjustRightInd w:val="0"/>
      <w:ind w:left="1440" w:hanging="240"/>
    </w:pPr>
    <w:rPr>
      <w:sz w:val="24"/>
      <w:szCs w:val="24"/>
      <w:lang w:eastAsia="da-DK"/>
    </w:rPr>
  </w:style>
  <w:style w:type="paragraph" w:styleId="Indeks7">
    <w:name w:val="index 7"/>
    <w:basedOn w:val="Normal"/>
    <w:next w:val="Normal"/>
    <w:autoRedefine/>
    <w:uiPriority w:val="99"/>
    <w:semiHidden/>
    <w:unhideWhenUsed/>
    <w:rsid w:val="00A75091"/>
    <w:pPr>
      <w:widowControl w:val="0"/>
      <w:autoSpaceDE w:val="0"/>
      <w:autoSpaceDN w:val="0"/>
      <w:adjustRightInd w:val="0"/>
      <w:ind w:left="1680" w:hanging="240"/>
    </w:pPr>
    <w:rPr>
      <w:sz w:val="24"/>
      <w:szCs w:val="24"/>
      <w:lang w:eastAsia="da-DK"/>
    </w:rPr>
  </w:style>
  <w:style w:type="paragraph" w:styleId="Indeks8">
    <w:name w:val="index 8"/>
    <w:basedOn w:val="Normal"/>
    <w:next w:val="Normal"/>
    <w:autoRedefine/>
    <w:uiPriority w:val="99"/>
    <w:semiHidden/>
    <w:unhideWhenUsed/>
    <w:rsid w:val="00A75091"/>
    <w:pPr>
      <w:widowControl w:val="0"/>
      <w:autoSpaceDE w:val="0"/>
      <w:autoSpaceDN w:val="0"/>
      <w:adjustRightInd w:val="0"/>
      <w:ind w:left="1920" w:hanging="240"/>
    </w:pPr>
    <w:rPr>
      <w:sz w:val="24"/>
      <w:szCs w:val="24"/>
      <w:lang w:eastAsia="da-DK"/>
    </w:rPr>
  </w:style>
  <w:style w:type="paragraph" w:styleId="Indeks9">
    <w:name w:val="index 9"/>
    <w:basedOn w:val="Normal"/>
    <w:next w:val="Normal"/>
    <w:autoRedefine/>
    <w:uiPriority w:val="99"/>
    <w:semiHidden/>
    <w:unhideWhenUsed/>
    <w:rsid w:val="00A75091"/>
    <w:pPr>
      <w:widowControl w:val="0"/>
      <w:autoSpaceDE w:val="0"/>
      <w:autoSpaceDN w:val="0"/>
      <w:adjustRightInd w:val="0"/>
      <w:ind w:left="2160" w:hanging="240"/>
    </w:pPr>
    <w:rPr>
      <w:sz w:val="24"/>
      <w:szCs w:val="24"/>
      <w:lang w:eastAsia="da-DK"/>
    </w:rPr>
  </w:style>
  <w:style w:type="paragraph" w:styleId="Indholdsfortegnelse1">
    <w:name w:val="toc 1"/>
    <w:basedOn w:val="Normal"/>
    <w:next w:val="Normal"/>
    <w:autoRedefine/>
    <w:uiPriority w:val="39"/>
    <w:semiHidden/>
    <w:unhideWhenUsed/>
    <w:rsid w:val="00A75091"/>
    <w:pPr>
      <w:widowControl w:val="0"/>
      <w:autoSpaceDE w:val="0"/>
      <w:autoSpaceDN w:val="0"/>
      <w:adjustRightInd w:val="0"/>
    </w:pPr>
    <w:rPr>
      <w:sz w:val="24"/>
      <w:szCs w:val="24"/>
      <w:lang w:eastAsia="da-DK"/>
    </w:rPr>
  </w:style>
  <w:style w:type="paragraph" w:styleId="Indholdsfortegnelse2">
    <w:name w:val="toc 2"/>
    <w:basedOn w:val="Normal"/>
    <w:next w:val="Normal"/>
    <w:autoRedefine/>
    <w:uiPriority w:val="39"/>
    <w:semiHidden/>
    <w:unhideWhenUsed/>
    <w:rsid w:val="00A75091"/>
    <w:pPr>
      <w:widowControl w:val="0"/>
      <w:autoSpaceDE w:val="0"/>
      <w:autoSpaceDN w:val="0"/>
      <w:adjustRightInd w:val="0"/>
      <w:ind w:left="240"/>
    </w:pPr>
    <w:rPr>
      <w:sz w:val="24"/>
      <w:szCs w:val="24"/>
      <w:lang w:eastAsia="da-DK"/>
    </w:rPr>
  </w:style>
  <w:style w:type="paragraph" w:styleId="Indholdsfortegnelse3">
    <w:name w:val="toc 3"/>
    <w:basedOn w:val="Normal"/>
    <w:next w:val="Normal"/>
    <w:autoRedefine/>
    <w:uiPriority w:val="39"/>
    <w:semiHidden/>
    <w:unhideWhenUsed/>
    <w:rsid w:val="00A75091"/>
    <w:pPr>
      <w:widowControl w:val="0"/>
      <w:autoSpaceDE w:val="0"/>
      <w:autoSpaceDN w:val="0"/>
      <w:adjustRightInd w:val="0"/>
      <w:ind w:left="480"/>
    </w:pPr>
    <w:rPr>
      <w:sz w:val="24"/>
      <w:szCs w:val="24"/>
      <w:lang w:eastAsia="da-DK"/>
    </w:rPr>
  </w:style>
  <w:style w:type="paragraph" w:styleId="Indholdsfortegnelse4">
    <w:name w:val="toc 4"/>
    <w:basedOn w:val="Normal"/>
    <w:next w:val="Normal"/>
    <w:autoRedefine/>
    <w:uiPriority w:val="39"/>
    <w:semiHidden/>
    <w:unhideWhenUsed/>
    <w:rsid w:val="00A75091"/>
    <w:pPr>
      <w:widowControl w:val="0"/>
      <w:autoSpaceDE w:val="0"/>
      <w:autoSpaceDN w:val="0"/>
      <w:adjustRightInd w:val="0"/>
      <w:ind w:left="720"/>
    </w:pPr>
    <w:rPr>
      <w:sz w:val="24"/>
      <w:szCs w:val="24"/>
      <w:lang w:eastAsia="da-DK"/>
    </w:rPr>
  </w:style>
  <w:style w:type="paragraph" w:styleId="Indholdsfortegnelse5">
    <w:name w:val="toc 5"/>
    <w:basedOn w:val="Normal"/>
    <w:next w:val="Normal"/>
    <w:autoRedefine/>
    <w:uiPriority w:val="39"/>
    <w:semiHidden/>
    <w:unhideWhenUsed/>
    <w:rsid w:val="00A75091"/>
    <w:pPr>
      <w:widowControl w:val="0"/>
      <w:autoSpaceDE w:val="0"/>
      <w:autoSpaceDN w:val="0"/>
      <w:adjustRightInd w:val="0"/>
      <w:ind w:left="960"/>
    </w:pPr>
    <w:rPr>
      <w:sz w:val="24"/>
      <w:szCs w:val="24"/>
      <w:lang w:eastAsia="da-DK"/>
    </w:rPr>
  </w:style>
  <w:style w:type="paragraph" w:styleId="Indholdsfortegnelse6">
    <w:name w:val="toc 6"/>
    <w:basedOn w:val="Normal"/>
    <w:next w:val="Normal"/>
    <w:autoRedefine/>
    <w:uiPriority w:val="39"/>
    <w:semiHidden/>
    <w:unhideWhenUsed/>
    <w:rsid w:val="00A75091"/>
    <w:pPr>
      <w:widowControl w:val="0"/>
      <w:autoSpaceDE w:val="0"/>
      <w:autoSpaceDN w:val="0"/>
      <w:adjustRightInd w:val="0"/>
      <w:ind w:left="1200"/>
    </w:pPr>
    <w:rPr>
      <w:sz w:val="24"/>
      <w:szCs w:val="24"/>
      <w:lang w:eastAsia="da-DK"/>
    </w:rPr>
  </w:style>
  <w:style w:type="paragraph" w:styleId="Indholdsfortegnelse7">
    <w:name w:val="toc 7"/>
    <w:basedOn w:val="Normal"/>
    <w:next w:val="Normal"/>
    <w:autoRedefine/>
    <w:uiPriority w:val="39"/>
    <w:semiHidden/>
    <w:unhideWhenUsed/>
    <w:rsid w:val="00A75091"/>
    <w:pPr>
      <w:widowControl w:val="0"/>
      <w:autoSpaceDE w:val="0"/>
      <w:autoSpaceDN w:val="0"/>
      <w:adjustRightInd w:val="0"/>
      <w:ind w:left="1440"/>
    </w:pPr>
    <w:rPr>
      <w:sz w:val="24"/>
      <w:szCs w:val="24"/>
      <w:lang w:eastAsia="da-DK"/>
    </w:rPr>
  </w:style>
  <w:style w:type="paragraph" w:styleId="Indholdsfortegnelse8">
    <w:name w:val="toc 8"/>
    <w:basedOn w:val="Normal"/>
    <w:next w:val="Normal"/>
    <w:autoRedefine/>
    <w:uiPriority w:val="39"/>
    <w:semiHidden/>
    <w:unhideWhenUsed/>
    <w:rsid w:val="00A75091"/>
    <w:pPr>
      <w:widowControl w:val="0"/>
      <w:autoSpaceDE w:val="0"/>
      <w:autoSpaceDN w:val="0"/>
      <w:adjustRightInd w:val="0"/>
      <w:ind w:left="1680"/>
    </w:pPr>
    <w:rPr>
      <w:sz w:val="24"/>
      <w:szCs w:val="24"/>
      <w:lang w:eastAsia="da-DK"/>
    </w:rPr>
  </w:style>
  <w:style w:type="paragraph" w:styleId="Indholdsfortegnelse9">
    <w:name w:val="toc 9"/>
    <w:basedOn w:val="Normal"/>
    <w:next w:val="Normal"/>
    <w:autoRedefine/>
    <w:uiPriority w:val="39"/>
    <w:semiHidden/>
    <w:unhideWhenUsed/>
    <w:rsid w:val="00A75091"/>
    <w:pPr>
      <w:widowControl w:val="0"/>
      <w:autoSpaceDE w:val="0"/>
      <w:autoSpaceDN w:val="0"/>
      <w:adjustRightInd w:val="0"/>
      <w:ind w:left="1920"/>
    </w:pPr>
    <w:rPr>
      <w:sz w:val="24"/>
      <w:szCs w:val="24"/>
      <w:lang w:eastAsia="da-DK"/>
    </w:rPr>
  </w:style>
  <w:style w:type="paragraph" w:styleId="Normalindrykning">
    <w:name w:val="Normal Indent"/>
    <w:basedOn w:val="Normal"/>
    <w:uiPriority w:val="99"/>
    <w:semiHidden/>
    <w:unhideWhenUsed/>
    <w:rsid w:val="00A75091"/>
    <w:pPr>
      <w:widowControl w:val="0"/>
      <w:autoSpaceDE w:val="0"/>
      <w:autoSpaceDN w:val="0"/>
      <w:adjustRightInd w:val="0"/>
      <w:ind w:left="708"/>
    </w:pPr>
    <w:rPr>
      <w:sz w:val="24"/>
      <w:szCs w:val="24"/>
      <w:lang w:eastAsia="da-DK"/>
    </w:rPr>
  </w:style>
  <w:style w:type="paragraph" w:styleId="Fodnotetekst">
    <w:name w:val="footnote text"/>
    <w:basedOn w:val="Normal"/>
    <w:link w:val="FodnotetekstTegn"/>
    <w:uiPriority w:val="99"/>
    <w:semiHidden/>
    <w:unhideWhenUsed/>
    <w:rsid w:val="00A75091"/>
    <w:pPr>
      <w:widowControl w:val="0"/>
      <w:autoSpaceDE w:val="0"/>
      <w:autoSpaceDN w:val="0"/>
      <w:adjustRightInd w:val="0"/>
    </w:pPr>
    <w:rPr>
      <w:sz w:val="20"/>
      <w:lang w:eastAsia="da-DK"/>
    </w:rPr>
  </w:style>
  <w:style w:type="character" w:customStyle="1" w:styleId="FodnotetekstTegn">
    <w:name w:val="Fodnotetekst Tegn"/>
    <w:basedOn w:val="Standardskrifttypeiafsnit"/>
    <w:link w:val="Fodnotetekst"/>
    <w:uiPriority w:val="99"/>
    <w:semiHidden/>
    <w:rsid w:val="00A75091"/>
  </w:style>
  <w:style w:type="character" w:customStyle="1" w:styleId="SidefodTegn">
    <w:name w:val="Sidefod Tegn"/>
    <w:basedOn w:val="Standardskrifttypeiafsnit"/>
    <w:link w:val="Sidefod"/>
    <w:uiPriority w:val="99"/>
    <w:rsid w:val="00A75091"/>
    <w:rPr>
      <w:sz w:val="23"/>
      <w:lang w:eastAsia="en-US"/>
    </w:rPr>
  </w:style>
  <w:style w:type="paragraph" w:styleId="Indeksoverskrift">
    <w:name w:val="index heading"/>
    <w:basedOn w:val="Normal"/>
    <w:next w:val="Indeks1"/>
    <w:uiPriority w:val="99"/>
    <w:semiHidden/>
    <w:unhideWhenUsed/>
    <w:rsid w:val="00A75091"/>
    <w:pPr>
      <w:widowControl w:val="0"/>
      <w:autoSpaceDE w:val="0"/>
      <w:autoSpaceDN w:val="0"/>
      <w:adjustRightInd w:val="0"/>
    </w:pPr>
    <w:rPr>
      <w:rFonts w:ascii="Cambria" w:hAnsi="Cambria"/>
      <w:b/>
      <w:bCs/>
      <w:sz w:val="24"/>
      <w:szCs w:val="24"/>
      <w:lang w:eastAsia="da-DK"/>
    </w:rPr>
  </w:style>
  <w:style w:type="paragraph" w:styleId="Billedtekst">
    <w:name w:val="caption"/>
    <w:basedOn w:val="Normal"/>
    <w:next w:val="Normal"/>
    <w:uiPriority w:val="35"/>
    <w:semiHidden/>
    <w:unhideWhenUsed/>
    <w:qFormat/>
    <w:rsid w:val="00A75091"/>
    <w:pPr>
      <w:widowControl w:val="0"/>
      <w:autoSpaceDE w:val="0"/>
      <w:autoSpaceDN w:val="0"/>
      <w:adjustRightInd w:val="0"/>
    </w:pPr>
    <w:rPr>
      <w:b/>
      <w:bCs/>
      <w:sz w:val="20"/>
      <w:lang w:eastAsia="da-DK"/>
    </w:rPr>
  </w:style>
  <w:style w:type="paragraph" w:styleId="Listeoverfigurer">
    <w:name w:val="table of figures"/>
    <w:basedOn w:val="Normal"/>
    <w:next w:val="Normal"/>
    <w:uiPriority w:val="99"/>
    <w:semiHidden/>
    <w:unhideWhenUsed/>
    <w:rsid w:val="00A75091"/>
    <w:pPr>
      <w:widowControl w:val="0"/>
      <w:autoSpaceDE w:val="0"/>
      <w:autoSpaceDN w:val="0"/>
      <w:adjustRightInd w:val="0"/>
    </w:pPr>
    <w:rPr>
      <w:sz w:val="24"/>
      <w:szCs w:val="24"/>
      <w:lang w:eastAsia="da-DK"/>
    </w:rPr>
  </w:style>
  <w:style w:type="paragraph" w:styleId="Modtageradresse">
    <w:name w:val="envelope address"/>
    <w:basedOn w:val="Normal"/>
    <w:uiPriority w:val="99"/>
    <w:semiHidden/>
    <w:unhideWhenUsed/>
    <w:rsid w:val="00A75091"/>
    <w:pPr>
      <w:framePr w:w="7920" w:h="1980" w:hSpace="141" w:wrap="auto" w:hAnchor="page" w:xAlign="center" w:yAlign="bottom"/>
      <w:widowControl w:val="0"/>
      <w:autoSpaceDE w:val="0"/>
      <w:autoSpaceDN w:val="0"/>
      <w:adjustRightInd w:val="0"/>
      <w:ind w:left="2880"/>
    </w:pPr>
    <w:rPr>
      <w:rFonts w:ascii="Cambria" w:hAnsi="Cambria"/>
      <w:sz w:val="24"/>
      <w:szCs w:val="24"/>
      <w:lang w:eastAsia="da-DK"/>
    </w:rPr>
  </w:style>
  <w:style w:type="paragraph" w:styleId="Afsenderadresse">
    <w:name w:val="envelope return"/>
    <w:basedOn w:val="Normal"/>
    <w:uiPriority w:val="99"/>
    <w:semiHidden/>
    <w:unhideWhenUsed/>
    <w:rsid w:val="00A75091"/>
    <w:pPr>
      <w:widowControl w:val="0"/>
      <w:autoSpaceDE w:val="0"/>
      <w:autoSpaceDN w:val="0"/>
      <w:adjustRightInd w:val="0"/>
    </w:pPr>
    <w:rPr>
      <w:rFonts w:ascii="Cambria" w:hAnsi="Cambria"/>
      <w:sz w:val="20"/>
      <w:lang w:eastAsia="da-DK"/>
    </w:rPr>
  </w:style>
  <w:style w:type="paragraph" w:styleId="Slutnotetekst">
    <w:name w:val="endnote text"/>
    <w:basedOn w:val="Normal"/>
    <w:link w:val="SlutnotetekstTegn"/>
    <w:uiPriority w:val="99"/>
    <w:semiHidden/>
    <w:unhideWhenUsed/>
    <w:rsid w:val="00A75091"/>
    <w:pPr>
      <w:widowControl w:val="0"/>
      <w:autoSpaceDE w:val="0"/>
      <w:autoSpaceDN w:val="0"/>
      <w:adjustRightInd w:val="0"/>
    </w:pPr>
    <w:rPr>
      <w:sz w:val="20"/>
      <w:lang w:eastAsia="da-DK"/>
    </w:rPr>
  </w:style>
  <w:style w:type="character" w:customStyle="1" w:styleId="SlutnotetekstTegn">
    <w:name w:val="Slutnotetekst Tegn"/>
    <w:basedOn w:val="Standardskrifttypeiafsnit"/>
    <w:link w:val="Slutnotetekst"/>
    <w:uiPriority w:val="99"/>
    <w:semiHidden/>
    <w:rsid w:val="00A75091"/>
  </w:style>
  <w:style w:type="paragraph" w:styleId="Citatsamling">
    <w:name w:val="table of authorities"/>
    <w:basedOn w:val="Normal"/>
    <w:next w:val="Normal"/>
    <w:uiPriority w:val="99"/>
    <w:semiHidden/>
    <w:unhideWhenUsed/>
    <w:rsid w:val="00A75091"/>
    <w:pPr>
      <w:widowControl w:val="0"/>
      <w:autoSpaceDE w:val="0"/>
      <w:autoSpaceDN w:val="0"/>
      <w:adjustRightInd w:val="0"/>
      <w:ind w:left="240" w:hanging="240"/>
    </w:pPr>
    <w:rPr>
      <w:sz w:val="24"/>
      <w:szCs w:val="24"/>
      <w:lang w:eastAsia="da-DK"/>
    </w:rPr>
  </w:style>
  <w:style w:type="paragraph" w:styleId="Makrotekst">
    <w:name w:val="macro"/>
    <w:link w:val="MakrotekstTegn"/>
    <w:uiPriority w:val="99"/>
    <w:semiHidden/>
    <w:unhideWhenUsed/>
    <w:rsid w:val="00A75091"/>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character" w:customStyle="1" w:styleId="MakrotekstTegn">
    <w:name w:val="Makrotekst Tegn"/>
    <w:basedOn w:val="Standardskrifttypeiafsnit"/>
    <w:link w:val="Makrotekst"/>
    <w:uiPriority w:val="99"/>
    <w:semiHidden/>
    <w:rsid w:val="00A75091"/>
    <w:rPr>
      <w:rFonts w:ascii="Courier New" w:hAnsi="Courier New" w:cs="Courier New"/>
    </w:rPr>
  </w:style>
  <w:style w:type="paragraph" w:styleId="Citatoverskrift">
    <w:name w:val="toa heading"/>
    <w:basedOn w:val="Normal"/>
    <w:next w:val="Normal"/>
    <w:uiPriority w:val="99"/>
    <w:semiHidden/>
    <w:unhideWhenUsed/>
    <w:rsid w:val="00A75091"/>
    <w:pPr>
      <w:widowControl w:val="0"/>
      <w:autoSpaceDE w:val="0"/>
      <w:autoSpaceDN w:val="0"/>
      <w:adjustRightInd w:val="0"/>
      <w:spacing w:before="120"/>
    </w:pPr>
    <w:rPr>
      <w:rFonts w:ascii="Cambria" w:hAnsi="Cambria"/>
      <w:b/>
      <w:bCs/>
      <w:sz w:val="24"/>
      <w:szCs w:val="24"/>
      <w:lang w:eastAsia="da-DK"/>
    </w:rPr>
  </w:style>
  <w:style w:type="paragraph" w:styleId="Liste">
    <w:name w:val="List"/>
    <w:basedOn w:val="Normal"/>
    <w:uiPriority w:val="99"/>
    <w:semiHidden/>
    <w:unhideWhenUsed/>
    <w:rsid w:val="00A75091"/>
    <w:pPr>
      <w:widowControl w:val="0"/>
      <w:autoSpaceDE w:val="0"/>
      <w:autoSpaceDN w:val="0"/>
      <w:adjustRightInd w:val="0"/>
      <w:ind w:left="283" w:hanging="283"/>
      <w:contextualSpacing/>
    </w:pPr>
    <w:rPr>
      <w:sz w:val="24"/>
      <w:szCs w:val="24"/>
      <w:lang w:eastAsia="da-DK"/>
    </w:rPr>
  </w:style>
  <w:style w:type="paragraph" w:styleId="Opstilling-punkttegn">
    <w:name w:val="List Bullet"/>
    <w:basedOn w:val="Normal"/>
    <w:uiPriority w:val="99"/>
    <w:semiHidden/>
    <w:unhideWhenUsed/>
    <w:rsid w:val="00A75091"/>
    <w:pPr>
      <w:widowControl w:val="0"/>
      <w:numPr>
        <w:numId w:val="11"/>
      </w:numPr>
      <w:autoSpaceDE w:val="0"/>
      <w:autoSpaceDN w:val="0"/>
      <w:adjustRightInd w:val="0"/>
      <w:contextualSpacing/>
    </w:pPr>
    <w:rPr>
      <w:sz w:val="24"/>
      <w:szCs w:val="24"/>
      <w:lang w:eastAsia="da-DK"/>
    </w:rPr>
  </w:style>
  <w:style w:type="paragraph" w:styleId="Opstilling-talellerbogst">
    <w:name w:val="List Number"/>
    <w:basedOn w:val="Normal"/>
    <w:uiPriority w:val="99"/>
    <w:semiHidden/>
    <w:unhideWhenUsed/>
    <w:rsid w:val="00A75091"/>
    <w:pPr>
      <w:widowControl w:val="0"/>
      <w:numPr>
        <w:numId w:val="12"/>
      </w:numPr>
      <w:autoSpaceDE w:val="0"/>
      <w:autoSpaceDN w:val="0"/>
      <w:adjustRightInd w:val="0"/>
      <w:contextualSpacing/>
    </w:pPr>
    <w:rPr>
      <w:sz w:val="24"/>
      <w:szCs w:val="24"/>
      <w:lang w:eastAsia="da-DK"/>
    </w:rPr>
  </w:style>
  <w:style w:type="paragraph" w:styleId="Liste2">
    <w:name w:val="List 2"/>
    <w:basedOn w:val="Normal"/>
    <w:uiPriority w:val="99"/>
    <w:semiHidden/>
    <w:unhideWhenUsed/>
    <w:rsid w:val="00A75091"/>
    <w:pPr>
      <w:widowControl w:val="0"/>
      <w:autoSpaceDE w:val="0"/>
      <w:autoSpaceDN w:val="0"/>
      <w:adjustRightInd w:val="0"/>
      <w:ind w:left="566" w:hanging="283"/>
      <w:contextualSpacing/>
    </w:pPr>
    <w:rPr>
      <w:sz w:val="24"/>
      <w:szCs w:val="24"/>
      <w:lang w:eastAsia="da-DK"/>
    </w:rPr>
  </w:style>
  <w:style w:type="paragraph" w:styleId="Liste3">
    <w:name w:val="List 3"/>
    <w:basedOn w:val="Normal"/>
    <w:uiPriority w:val="99"/>
    <w:semiHidden/>
    <w:unhideWhenUsed/>
    <w:rsid w:val="00A75091"/>
    <w:pPr>
      <w:widowControl w:val="0"/>
      <w:autoSpaceDE w:val="0"/>
      <w:autoSpaceDN w:val="0"/>
      <w:adjustRightInd w:val="0"/>
      <w:ind w:left="849" w:hanging="283"/>
      <w:contextualSpacing/>
    </w:pPr>
    <w:rPr>
      <w:sz w:val="24"/>
      <w:szCs w:val="24"/>
      <w:lang w:eastAsia="da-DK"/>
    </w:rPr>
  </w:style>
  <w:style w:type="paragraph" w:styleId="Liste4">
    <w:name w:val="List 4"/>
    <w:basedOn w:val="Normal"/>
    <w:uiPriority w:val="99"/>
    <w:semiHidden/>
    <w:unhideWhenUsed/>
    <w:rsid w:val="00A75091"/>
    <w:pPr>
      <w:widowControl w:val="0"/>
      <w:autoSpaceDE w:val="0"/>
      <w:autoSpaceDN w:val="0"/>
      <w:adjustRightInd w:val="0"/>
      <w:ind w:left="1132" w:hanging="283"/>
      <w:contextualSpacing/>
    </w:pPr>
    <w:rPr>
      <w:sz w:val="24"/>
      <w:szCs w:val="24"/>
      <w:lang w:eastAsia="da-DK"/>
    </w:rPr>
  </w:style>
  <w:style w:type="paragraph" w:styleId="Liste5">
    <w:name w:val="List 5"/>
    <w:basedOn w:val="Normal"/>
    <w:uiPriority w:val="99"/>
    <w:semiHidden/>
    <w:unhideWhenUsed/>
    <w:rsid w:val="00A75091"/>
    <w:pPr>
      <w:widowControl w:val="0"/>
      <w:autoSpaceDE w:val="0"/>
      <w:autoSpaceDN w:val="0"/>
      <w:adjustRightInd w:val="0"/>
      <w:ind w:left="1415" w:hanging="283"/>
      <w:contextualSpacing/>
    </w:pPr>
    <w:rPr>
      <w:sz w:val="24"/>
      <w:szCs w:val="24"/>
      <w:lang w:eastAsia="da-DK"/>
    </w:rPr>
  </w:style>
  <w:style w:type="paragraph" w:styleId="Opstilling-punkttegn2">
    <w:name w:val="List Bullet 2"/>
    <w:basedOn w:val="Normal"/>
    <w:uiPriority w:val="99"/>
    <w:semiHidden/>
    <w:unhideWhenUsed/>
    <w:rsid w:val="00A75091"/>
    <w:pPr>
      <w:widowControl w:val="0"/>
      <w:numPr>
        <w:numId w:val="13"/>
      </w:numPr>
      <w:autoSpaceDE w:val="0"/>
      <w:autoSpaceDN w:val="0"/>
      <w:adjustRightInd w:val="0"/>
      <w:contextualSpacing/>
    </w:pPr>
    <w:rPr>
      <w:sz w:val="24"/>
      <w:szCs w:val="24"/>
      <w:lang w:eastAsia="da-DK"/>
    </w:rPr>
  </w:style>
  <w:style w:type="paragraph" w:styleId="Opstilling-punkttegn3">
    <w:name w:val="List Bullet 3"/>
    <w:basedOn w:val="Normal"/>
    <w:uiPriority w:val="99"/>
    <w:semiHidden/>
    <w:unhideWhenUsed/>
    <w:rsid w:val="00A75091"/>
    <w:pPr>
      <w:widowControl w:val="0"/>
      <w:numPr>
        <w:numId w:val="14"/>
      </w:numPr>
      <w:autoSpaceDE w:val="0"/>
      <w:autoSpaceDN w:val="0"/>
      <w:adjustRightInd w:val="0"/>
      <w:contextualSpacing/>
    </w:pPr>
    <w:rPr>
      <w:sz w:val="24"/>
      <w:szCs w:val="24"/>
      <w:lang w:eastAsia="da-DK"/>
    </w:rPr>
  </w:style>
  <w:style w:type="paragraph" w:styleId="Opstilling-punkttegn4">
    <w:name w:val="List Bullet 4"/>
    <w:basedOn w:val="Normal"/>
    <w:uiPriority w:val="99"/>
    <w:semiHidden/>
    <w:unhideWhenUsed/>
    <w:rsid w:val="00A75091"/>
    <w:pPr>
      <w:widowControl w:val="0"/>
      <w:numPr>
        <w:numId w:val="15"/>
      </w:numPr>
      <w:autoSpaceDE w:val="0"/>
      <w:autoSpaceDN w:val="0"/>
      <w:adjustRightInd w:val="0"/>
      <w:contextualSpacing/>
    </w:pPr>
    <w:rPr>
      <w:sz w:val="24"/>
      <w:szCs w:val="24"/>
      <w:lang w:eastAsia="da-DK"/>
    </w:rPr>
  </w:style>
  <w:style w:type="paragraph" w:styleId="Opstilling-punkttegn5">
    <w:name w:val="List Bullet 5"/>
    <w:basedOn w:val="Normal"/>
    <w:uiPriority w:val="99"/>
    <w:semiHidden/>
    <w:unhideWhenUsed/>
    <w:rsid w:val="00A75091"/>
    <w:pPr>
      <w:widowControl w:val="0"/>
      <w:numPr>
        <w:numId w:val="16"/>
      </w:numPr>
      <w:autoSpaceDE w:val="0"/>
      <w:autoSpaceDN w:val="0"/>
      <w:adjustRightInd w:val="0"/>
      <w:contextualSpacing/>
    </w:pPr>
    <w:rPr>
      <w:sz w:val="24"/>
      <w:szCs w:val="24"/>
      <w:lang w:eastAsia="da-DK"/>
    </w:rPr>
  </w:style>
  <w:style w:type="paragraph" w:styleId="Opstilling-talellerbogst2">
    <w:name w:val="List Number 2"/>
    <w:basedOn w:val="Normal"/>
    <w:uiPriority w:val="99"/>
    <w:semiHidden/>
    <w:unhideWhenUsed/>
    <w:rsid w:val="00A75091"/>
    <w:pPr>
      <w:widowControl w:val="0"/>
      <w:numPr>
        <w:numId w:val="17"/>
      </w:numPr>
      <w:autoSpaceDE w:val="0"/>
      <w:autoSpaceDN w:val="0"/>
      <w:adjustRightInd w:val="0"/>
      <w:contextualSpacing/>
    </w:pPr>
    <w:rPr>
      <w:sz w:val="24"/>
      <w:szCs w:val="24"/>
      <w:lang w:eastAsia="da-DK"/>
    </w:rPr>
  </w:style>
  <w:style w:type="paragraph" w:styleId="Opstilling-talellerbogst3">
    <w:name w:val="List Number 3"/>
    <w:basedOn w:val="Normal"/>
    <w:uiPriority w:val="99"/>
    <w:semiHidden/>
    <w:unhideWhenUsed/>
    <w:rsid w:val="00A75091"/>
    <w:pPr>
      <w:widowControl w:val="0"/>
      <w:numPr>
        <w:numId w:val="18"/>
      </w:numPr>
      <w:autoSpaceDE w:val="0"/>
      <w:autoSpaceDN w:val="0"/>
      <w:adjustRightInd w:val="0"/>
      <w:contextualSpacing/>
    </w:pPr>
    <w:rPr>
      <w:sz w:val="24"/>
      <w:szCs w:val="24"/>
      <w:lang w:eastAsia="da-DK"/>
    </w:rPr>
  </w:style>
  <w:style w:type="paragraph" w:styleId="Opstilling-talellerbogst4">
    <w:name w:val="List Number 4"/>
    <w:basedOn w:val="Normal"/>
    <w:uiPriority w:val="99"/>
    <w:semiHidden/>
    <w:unhideWhenUsed/>
    <w:rsid w:val="00A75091"/>
    <w:pPr>
      <w:widowControl w:val="0"/>
      <w:numPr>
        <w:numId w:val="19"/>
      </w:numPr>
      <w:autoSpaceDE w:val="0"/>
      <w:autoSpaceDN w:val="0"/>
      <w:adjustRightInd w:val="0"/>
      <w:contextualSpacing/>
    </w:pPr>
    <w:rPr>
      <w:sz w:val="24"/>
      <w:szCs w:val="24"/>
      <w:lang w:eastAsia="da-DK"/>
    </w:rPr>
  </w:style>
  <w:style w:type="paragraph" w:styleId="Opstilling-talellerbogst5">
    <w:name w:val="List Number 5"/>
    <w:basedOn w:val="Normal"/>
    <w:uiPriority w:val="99"/>
    <w:semiHidden/>
    <w:unhideWhenUsed/>
    <w:rsid w:val="00A75091"/>
    <w:pPr>
      <w:widowControl w:val="0"/>
      <w:numPr>
        <w:numId w:val="20"/>
      </w:numPr>
      <w:autoSpaceDE w:val="0"/>
      <w:autoSpaceDN w:val="0"/>
      <w:adjustRightInd w:val="0"/>
      <w:contextualSpacing/>
    </w:pPr>
    <w:rPr>
      <w:sz w:val="24"/>
      <w:szCs w:val="24"/>
      <w:lang w:eastAsia="da-DK"/>
    </w:rPr>
  </w:style>
  <w:style w:type="paragraph" w:styleId="Sluthilsen">
    <w:name w:val="Closing"/>
    <w:basedOn w:val="Normal"/>
    <w:link w:val="SluthilsenTegn"/>
    <w:uiPriority w:val="99"/>
    <w:semiHidden/>
    <w:unhideWhenUsed/>
    <w:rsid w:val="00A75091"/>
    <w:pPr>
      <w:widowControl w:val="0"/>
      <w:autoSpaceDE w:val="0"/>
      <w:autoSpaceDN w:val="0"/>
      <w:adjustRightInd w:val="0"/>
      <w:ind w:left="4252"/>
    </w:pPr>
    <w:rPr>
      <w:sz w:val="24"/>
      <w:szCs w:val="24"/>
      <w:lang w:eastAsia="da-DK"/>
    </w:rPr>
  </w:style>
  <w:style w:type="character" w:customStyle="1" w:styleId="SluthilsenTegn">
    <w:name w:val="Sluthilsen Tegn"/>
    <w:basedOn w:val="Standardskrifttypeiafsnit"/>
    <w:link w:val="Sluthilsen"/>
    <w:uiPriority w:val="99"/>
    <w:semiHidden/>
    <w:rsid w:val="00A75091"/>
    <w:rPr>
      <w:sz w:val="24"/>
      <w:szCs w:val="24"/>
    </w:rPr>
  </w:style>
  <w:style w:type="paragraph" w:styleId="Underskrift">
    <w:name w:val="Signature"/>
    <w:basedOn w:val="Normal"/>
    <w:link w:val="UnderskriftTegn"/>
    <w:uiPriority w:val="99"/>
    <w:semiHidden/>
    <w:unhideWhenUsed/>
    <w:rsid w:val="00A75091"/>
    <w:pPr>
      <w:widowControl w:val="0"/>
      <w:autoSpaceDE w:val="0"/>
      <w:autoSpaceDN w:val="0"/>
      <w:adjustRightInd w:val="0"/>
      <w:ind w:left="4252"/>
    </w:pPr>
    <w:rPr>
      <w:sz w:val="24"/>
      <w:szCs w:val="24"/>
      <w:lang w:eastAsia="da-DK"/>
    </w:rPr>
  </w:style>
  <w:style w:type="character" w:customStyle="1" w:styleId="UnderskriftTegn">
    <w:name w:val="Underskrift Tegn"/>
    <w:basedOn w:val="Standardskrifttypeiafsnit"/>
    <w:link w:val="Underskrift"/>
    <w:uiPriority w:val="99"/>
    <w:semiHidden/>
    <w:rsid w:val="00A75091"/>
    <w:rPr>
      <w:sz w:val="24"/>
      <w:szCs w:val="24"/>
    </w:rPr>
  </w:style>
  <w:style w:type="paragraph" w:styleId="Brdtekstindrykning">
    <w:name w:val="Body Text Indent"/>
    <w:basedOn w:val="Normal"/>
    <w:link w:val="BrdtekstindrykningTegn"/>
    <w:uiPriority w:val="99"/>
    <w:semiHidden/>
    <w:unhideWhenUsed/>
    <w:rsid w:val="00A75091"/>
    <w:pPr>
      <w:widowControl w:val="0"/>
      <w:autoSpaceDE w:val="0"/>
      <w:autoSpaceDN w:val="0"/>
      <w:adjustRightInd w:val="0"/>
      <w:spacing w:after="120"/>
      <w:ind w:left="283"/>
    </w:pPr>
    <w:rPr>
      <w:sz w:val="24"/>
      <w:szCs w:val="24"/>
      <w:lang w:eastAsia="da-DK"/>
    </w:rPr>
  </w:style>
  <w:style w:type="character" w:customStyle="1" w:styleId="BrdtekstindrykningTegn">
    <w:name w:val="Brødtekstindrykning Tegn"/>
    <w:basedOn w:val="Standardskrifttypeiafsnit"/>
    <w:link w:val="Brdtekstindrykning"/>
    <w:uiPriority w:val="99"/>
    <w:semiHidden/>
    <w:rsid w:val="00A75091"/>
    <w:rPr>
      <w:sz w:val="24"/>
      <w:szCs w:val="24"/>
    </w:rPr>
  </w:style>
  <w:style w:type="paragraph" w:styleId="Opstilling-forts">
    <w:name w:val="List Continue"/>
    <w:basedOn w:val="Normal"/>
    <w:uiPriority w:val="99"/>
    <w:semiHidden/>
    <w:unhideWhenUsed/>
    <w:rsid w:val="00A75091"/>
    <w:pPr>
      <w:widowControl w:val="0"/>
      <w:autoSpaceDE w:val="0"/>
      <w:autoSpaceDN w:val="0"/>
      <w:adjustRightInd w:val="0"/>
      <w:spacing w:after="120"/>
      <w:ind w:left="283"/>
      <w:contextualSpacing/>
    </w:pPr>
    <w:rPr>
      <w:sz w:val="24"/>
      <w:szCs w:val="24"/>
      <w:lang w:eastAsia="da-DK"/>
    </w:rPr>
  </w:style>
  <w:style w:type="paragraph" w:styleId="Opstilling-forts2">
    <w:name w:val="List Continue 2"/>
    <w:basedOn w:val="Normal"/>
    <w:uiPriority w:val="99"/>
    <w:semiHidden/>
    <w:unhideWhenUsed/>
    <w:rsid w:val="00A75091"/>
    <w:pPr>
      <w:widowControl w:val="0"/>
      <w:autoSpaceDE w:val="0"/>
      <w:autoSpaceDN w:val="0"/>
      <w:adjustRightInd w:val="0"/>
      <w:spacing w:after="120"/>
      <w:ind w:left="566"/>
      <w:contextualSpacing/>
    </w:pPr>
    <w:rPr>
      <w:sz w:val="24"/>
      <w:szCs w:val="24"/>
      <w:lang w:eastAsia="da-DK"/>
    </w:rPr>
  </w:style>
  <w:style w:type="paragraph" w:styleId="Opstilling-forts3">
    <w:name w:val="List Continue 3"/>
    <w:basedOn w:val="Normal"/>
    <w:uiPriority w:val="99"/>
    <w:semiHidden/>
    <w:unhideWhenUsed/>
    <w:rsid w:val="00A75091"/>
    <w:pPr>
      <w:widowControl w:val="0"/>
      <w:autoSpaceDE w:val="0"/>
      <w:autoSpaceDN w:val="0"/>
      <w:adjustRightInd w:val="0"/>
      <w:spacing w:after="120"/>
      <w:ind w:left="849"/>
      <w:contextualSpacing/>
    </w:pPr>
    <w:rPr>
      <w:sz w:val="24"/>
      <w:szCs w:val="24"/>
      <w:lang w:eastAsia="da-DK"/>
    </w:rPr>
  </w:style>
  <w:style w:type="paragraph" w:styleId="Opstilling-forts4">
    <w:name w:val="List Continue 4"/>
    <w:basedOn w:val="Normal"/>
    <w:uiPriority w:val="99"/>
    <w:semiHidden/>
    <w:unhideWhenUsed/>
    <w:rsid w:val="00A75091"/>
    <w:pPr>
      <w:widowControl w:val="0"/>
      <w:autoSpaceDE w:val="0"/>
      <w:autoSpaceDN w:val="0"/>
      <w:adjustRightInd w:val="0"/>
      <w:spacing w:after="120"/>
      <w:ind w:left="1132"/>
      <w:contextualSpacing/>
    </w:pPr>
    <w:rPr>
      <w:sz w:val="24"/>
      <w:szCs w:val="24"/>
      <w:lang w:eastAsia="da-DK"/>
    </w:rPr>
  </w:style>
  <w:style w:type="paragraph" w:styleId="Opstilling-forts5">
    <w:name w:val="List Continue 5"/>
    <w:basedOn w:val="Normal"/>
    <w:uiPriority w:val="99"/>
    <w:semiHidden/>
    <w:unhideWhenUsed/>
    <w:rsid w:val="00A75091"/>
    <w:pPr>
      <w:widowControl w:val="0"/>
      <w:autoSpaceDE w:val="0"/>
      <w:autoSpaceDN w:val="0"/>
      <w:adjustRightInd w:val="0"/>
      <w:spacing w:after="120"/>
      <w:ind w:left="1415"/>
      <w:contextualSpacing/>
    </w:pPr>
    <w:rPr>
      <w:sz w:val="24"/>
      <w:szCs w:val="24"/>
      <w:lang w:eastAsia="da-DK"/>
    </w:rPr>
  </w:style>
  <w:style w:type="paragraph" w:styleId="Brevhoved">
    <w:name w:val="Message Header"/>
    <w:basedOn w:val="Normal"/>
    <w:link w:val="BrevhovedTegn"/>
    <w:uiPriority w:val="99"/>
    <w:semiHidden/>
    <w:unhideWhenUsed/>
    <w:rsid w:val="00A75091"/>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ascii="Cambria" w:hAnsi="Cambria"/>
      <w:sz w:val="24"/>
      <w:szCs w:val="24"/>
      <w:lang w:eastAsia="da-DK"/>
    </w:rPr>
  </w:style>
  <w:style w:type="character" w:customStyle="1" w:styleId="BrevhovedTegn">
    <w:name w:val="Brevhoved Tegn"/>
    <w:basedOn w:val="Standardskrifttypeiafsnit"/>
    <w:link w:val="Brevhoved"/>
    <w:uiPriority w:val="99"/>
    <w:semiHidden/>
    <w:rsid w:val="00A75091"/>
    <w:rPr>
      <w:rFonts w:ascii="Cambria" w:hAnsi="Cambria"/>
      <w:sz w:val="24"/>
      <w:szCs w:val="24"/>
      <w:shd w:val="pct20" w:color="auto" w:fill="auto"/>
    </w:rPr>
  </w:style>
  <w:style w:type="paragraph" w:styleId="Undertitel">
    <w:name w:val="Subtitle"/>
    <w:basedOn w:val="Normal"/>
    <w:next w:val="Normal"/>
    <w:link w:val="UndertitelTegn"/>
    <w:uiPriority w:val="11"/>
    <w:qFormat/>
    <w:rsid w:val="00A75091"/>
    <w:pPr>
      <w:widowControl w:val="0"/>
      <w:autoSpaceDE w:val="0"/>
      <w:autoSpaceDN w:val="0"/>
      <w:adjustRightInd w:val="0"/>
      <w:spacing w:after="60"/>
      <w:jc w:val="center"/>
      <w:outlineLvl w:val="1"/>
    </w:pPr>
    <w:rPr>
      <w:rFonts w:ascii="Cambria" w:hAnsi="Cambria"/>
      <w:sz w:val="24"/>
      <w:szCs w:val="24"/>
      <w:lang w:eastAsia="da-DK"/>
    </w:rPr>
  </w:style>
  <w:style w:type="character" w:customStyle="1" w:styleId="UndertitelTegn">
    <w:name w:val="Undertitel Tegn"/>
    <w:basedOn w:val="Standardskrifttypeiafsnit"/>
    <w:link w:val="Undertitel"/>
    <w:uiPriority w:val="11"/>
    <w:rsid w:val="00A75091"/>
    <w:rPr>
      <w:rFonts w:ascii="Cambria" w:hAnsi="Cambria"/>
      <w:sz w:val="24"/>
      <w:szCs w:val="24"/>
    </w:rPr>
  </w:style>
  <w:style w:type="paragraph" w:styleId="Starthilsen">
    <w:name w:val="Salutation"/>
    <w:basedOn w:val="Normal"/>
    <w:next w:val="Normal"/>
    <w:link w:val="StarthilsenTegn"/>
    <w:uiPriority w:val="99"/>
    <w:semiHidden/>
    <w:unhideWhenUsed/>
    <w:rsid w:val="00A75091"/>
    <w:pPr>
      <w:widowControl w:val="0"/>
      <w:autoSpaceDE w:val="0"/>
      <w:autoSpaceDN w:val="0"/>
      <w:adjustRightInd w:val="0"/>
    </w:pPr>
    <w:rPr>
      <w:sz w:val="24"/>
      <w:szCs w:val="24"/>
      <w:lang w:eastAsia="da-DK"/>
    </w:rPr>
  </w:style>
  <w:style w:type="character" w:customStyle="1" w:styleId="StarthilsenTegn">
    <w:name w:val="Starthilsen Tegn"/>
    <w:basedOn w:val="Standardskrifttypeiafsnit"/>
    <w:link w:val="Starthilsen"/>
    <w:uiPriority w:val="99"/>
    <w:semiHidden/>
    <w:rsid w:val="00A75091"/>
    <w:rPr>
      <w:sz w:val="24"/>
      <w:szCs w:val="24"/>
    </w:rPr>
  </w:style>
  <w:style w:type="paragraph" w:styleId="Dato">
    <w:name w:val="Date"/>
    <w:basedOn w:val="Normal"/>
    <w:next w:val="Normal"/>
    <w:link w:val="DatoTegn"/>
    <w:uiPriority w:val="99"/>
    <w:semiHidden/>
    <w:unhideWhenUsed/>
    <w:rsid w:val="00A75091"/>
    <w:pPr>
      <w:widowControl w:val="0"/>
      <w:autoSpaceDE w:val="0"/>
      <w:autoSpaceDN w:val="0"/>
      <w:adjustRightInd w:val="0"/>
    </w:pPr>
    <w:rPr>
      <w:sz w:val="24"/>
      <w:szCs w:val="24"/>
      <w:lang w:eastAsia="da-DK"/>
    </w:rPr>
  </w:style>
  <w:style w:type="character" w:customStyle="1" w:styleId="DatoTegn">
    <w:name w:val="Dato Tegn"/>
    <w:basedOn w:val="Standardskrifttypeiafsnit"/>
    <w:link w:val="Dato"/>
    <w:uiPriority w:val="99"/>
    <w:semiHidden/>
    <w:rsid w:val="00A75091"/>
    <w:rPr>
      <w:sz w:val="24"/>
      <w:szCs w:val="24"/>
    </w:rPr>
  </w:style>
  <w:style w:type="paragraph" w:styleId="Brdtekst-frstelinjeindrykning1">
    <w:name w:val="Body Text First Indent"/>
    <w:basedOn w:val="Brdtekst"/>
    <w:link w:val="Brdtekst-frstelinjeindrykning1Tegn"/>
    <w:uiPriority w:val="99"/>
    <w:semiHidden/>
    <w:unhideWhenUsed/>
    <w:rsid w:val="00A75091"/>
    <w:pPr>
      <w:spacing w:after="120"/>
      <w:ind w:left="0" w:firstLine="210"/>
    </w:pPr>
  </w:style>
  <w:style w:type="character" w:customStyle="1" w:styleId="Brdtekst-frstelinjeindrykning1Tegn">
    <w:name w:val="Brødtekst - førstelinjeindrykning 1 Tegn"/>
    <w:basedOn w:val="BrdtekstTegn"/>
    <w:link w:val="Brdtekst-frstelinjeindrykning1"/>
    <w:uiPriority w:val="99"/>
    <w:semiHidden/>
    <w:rsid w:val="00A75091"/>
    <w:rPr>
      <w:sz w:val="24"/>
      <w:szCs w:val="24"/>
    </w:rPr>
  </w:style>
  <w:style w:type="paragraph" w:styleId="Brdtekst-frstelinjeindrykning2">
    <w:name w:val="Body Text First Indent 2"/>
    <w:basedOn w:val="Brdtekstindrykning"/>
    <w:link w:val="Brdtekst-frstelinjeindrykning2Tegn"/>
    <w:uiPriority w:val="99"/>
    <w:semiHidden/>
    <w:unhideWhenUsed/>
    <w:rsid w:val="00A75091"/>
    <w:pPr>
      <w:ind w:firstLine="210"/>
    </w:pPr>
  </w:style>
  <w:style w:type="character" w:customStyle="1" w:styleId="Brdtekst-frstelinjeindrykning2Tegn">
    <w:name w:val="Brødtekst - førstelinjeindrykning 2 Tegn"/>
    <w:basedOn w:val="BrdtekstindrykningTegn"/>
    <w:link w:val="Brdtekst-frstelinjeindrykning2"/>
    <w:uiPriority w:val="99"/>
    <w:semiHidden/>
    <w:rsid w:val="00A75091"/>
    <w:rPr>
      <w:sz w:val="24"/>
      <w:szCs w:val="24"/>
    </w:rPr>
  </w:style>
  <w:style w:type="paragraph" w:styleId="Noteoverskrift">
    <w:name w:val="Note Heading"/>
    <w:basedOn w:val="Normal"/>
    <w:next w:val="Normal"/>
    <w:link w:val="NoteoverskriftTegn"/>
    <w:uiPriority w:val="99"/>
    <w:semiHidden/>
    <w:unhideWhenUsed/>
    <w:rsid w:val="00A75091"/>
    <w:pPr>
      <w:widowControl w:val="0"/>
      <w:autoSpaceDE w:val="0"/>
      <w:autoSpaceDN w:val="0"/>
      <w:adjustRightInd w:val="0"/>
    </w:pPr>
    <w:rPr>
      <w:sz w:val="24"/>
      <w:szCs w:val="24"/>
      <w:lang w:eastAsia="da-DK"/>
    </w:rPr>
  </w:style>
  <w:style w:type="character" w:customStyle="1" w:styleId="NoteoverskriftTegn">
    <w:name w:val="Noteoverskrift Tegn"/>
    <w:basedOn w:val="Standardskrifttypeiafsnit"/>
    <w:link w:val="Noteoverskrift"/>
    <w:uiPriority w:val="99"/>
    <w:semiHidden/>
    <w:rsid w:val="00A75091"/>
    <w:rPr>
      <w:sz w:val="24"/>
      <w:szCs w:val="24"/>
    </w:rPr>
  </w:style>
  <w:style w:type="paragraph" w:styleId="Brdtekst2">
    <w:name w:val="Body Text 2"/>
    <w:basedOn w:val="Normal"/>
    <w:link w:val="Brdtekst2Tegn"/>
    <w:uiPriority w:val="99"/>
    <w:semiHidden/>
    <w:unhideWhenUsed/>
    <w:rsid w:val="00A75091"/>
    <w:pPr>
      <w:widowControl w:val="0"/>
      <w:autoSpaceDE w:val="0"/>
      <w:autoSpaceDN w:val="0"/>
      <w:adjustRightInd w:val="0"/>
      <w:spacing w:after="120" w:line="480" w:lineRule="auto"/>
    </w:pPr>
    <w:rPr>
      <w:sz w:val="24"/>
      <w:szCs w:val="24"/>
      <w:lang w:eastAsia="da-DK"/>
    </w:rPr>
  </w:style>
  <w:style w:type="character" w:customStyle="1" w:styleId="Brdtekst2Tegn">
    <w:name w:val="Brødtekst 2 Tegn"/>
    <w:basedOn w:val="Standardskrifttypeiafsnit"/>
    <w:link w:val="Brdtekst2"/>
    <w:uiPriority w:val="99"/>
    <w:semiHidden/>
    <w:rsid w:val="00A75091"/>
    <w:rPr>
      <w:sz w:val="24"/>
      <w:szCs w:val="24"/>
    </w:rPr>
  </w:style>
  <w:style w:type="paragraph" w:styleId="Brdtekst3">
    <w:name w:val="Body Text 3"/>
    <w:basedOn w:val="Normal"/>
    <w:link w:val="Brdtekst3Tegn"/>
    <w:uiPriority w:val="99"/>
    <w:semiHidden/>
    <w:unhideWhenUsed/>
    <w:rsid w:val="00A75091"/>
    <w:pPr>
      <w:widowControl w:val="0"/>
      <w:autoSpaceDE w:val="0"/>
      <w:autoSpaceDN w:val="0"/>
      <w:adjustRightInd w:val="0"/>
      <w:spacing w:after="120"/>
    </w:pPr>
    <w:rPr>
      <w:sz w:val="16"/>
      <w:szCs w:val="16"/>
      <w:lang w:eastAsia="da-DK"/>
    </w:rPr>
  </w:style>
  <w:style w:type="character" w:customStyle="1" w:styleId="Brdtekst3Tegn">
    <w:name w:val="Brødtekst 3 Tegn"/>
    <w:basedOn w:val="Standardskrifttypeiafsnit"/>
    <w:link w:val="Brdtekst3"/>
    <w:uiPriority w:val="99"/>
    <w:semiHidden/>
    <w:rsid w:val="00A75091"/>
    <w:rPr>
      <w:sz w:val="16"/>
      <w:szCs w:val="16"/>
    </w:rPr>
  </w:style>
  <w:style w:type="paragraph" w:styleId="Brdtekstindrykning2">
    <w:name w:val="Body Text Indent 2"/>
    <w:basedOn w:val="Normal"/>
    <w:link w:val="Brdtekstindrykning2Tegn"/>
    <w:uiPriority w:val="99"/>
    <w:semiHidden/>
    <w:unhideWhenUsed/>
    <w:rsid w:val="00A75091"/>
    <w:pPr>
      <w:widowControl w:val="0"/>
      <w:autoSpaceDE w:val="0"/>
      <w:autoSpaceDN w:val="0"/>
      <w:adjustRightInd w:val="0"/>
      <w:spacing w:after="120" w:line="480" w:lineRule="auto"/>
      <w:ind w:left="283"/>
    </w:pPr>
    <w:rPr>
      <w:sz w:val="24"/>
      <w:szCs w:val="24"/>
      <w:lang w:eastAsia="da-DK"/>
    </w:rPr>
  </w:style>
  <w:style w:type="character" w:customStyle="1" w:styleId="Brdtekstindrykning2Tegn">
    <w:name w:val="Brødtekstindrykning 2 Tegn"/>
    <w:basedOn w:val="Standardskrifttypeiafsnit"/>
    <w:link w:val="Brdtekstindrykning2"/>
    <w:uiPriority w:val="99"/>
    <w:semiHidden/>
    <w:rsid w:val="00A75091"/>
    <w:rPr>
      <w:sz w:val="24"/>
      <w:szCs w:val="24"/>
    </w:rPr>
  </w:style>
  <w:style w:type="paragraph" w:styleId="Brdtekstindrykning3">
    <w:name w:val="Body Text Indent 3"/>
    <w:basedOn w:val="Normal"/>
    <w:link w:val="Brdtekstindrykning3Tegn"/>
    <w:uiPriority w:val="99"/>
    <w:semiHidden/>
    <w:unhideWhenUsed/>
    <w:rsid w:val="00A75091"/>
    <w:pPr>
      <w:widowControl w:val="0"/>
      <w:autoSpaceDE w:val="0"/>
      <w:autoSpaceDN w:val="0"/>
      <w:adjustRightInd w:val="0"/>
      <w:spacing w:after="120"/>
      <w:ind w:left="283"/>
    </w:pPr>
    <w:rPr>
      <w:sz w:val="16"/>
      <w:szCs w:val="16"/>
      <w:lang w:eastAsia="da-DK"/>
    </w:rPr>
  </w:style>
  <w:style w:type="character" w:customStyle="1" w:styleId="Brdtekstindrykning3Tegn">
    <w:name w:val="Brødtekstindrykning 3 Tegn"/>
    <w:basedOn w:val="Standardskrifttypeiafsnit"/>
    <w:link w:val="Brdtekstindrykning3"/>
    <w:uiPriority w:val="99"/>
    <w:semiHidden/>
    <w:rsid w:val="00A75091"/>
    <w:rPr>
      <w:sz w:val="16"/>
      <w:szCs w:val="16"/>
    </w:rPr>
  </w:style>
  <w:style w:type="paragraph" w:styleId="Bloktekst">
    <w:name w:val="Block Text"/>
    <w:basedOn w:val="Normal"/>
    <w:uiPriority w:val="99"/>
    <w:semiHidden/>
    <w:unhideWhenUsed/>
    <w:rsid w:val="00A75091"/>
    <w:pPr>
      <w:widowControl w:val="0"/>
      <w:autoSpaceDE w:val="0"/>
      <w:autoSpaceDN w:val="0"/>
      <w:adjustRightInd w:val="0"/>
      <w:spacing w:after="120"/>
      <w:ind w:left="1440" w:right="1440"/>
    </w:pPr>
    <w:rPr>
      <w:sz w:val="24"/>
      <w:szCs w:val="24"/>
      <w:lang w:eastAsia="da-DK"/>
    </w:rPr>
  </w:style>
  <w:style w:type="paragraph" w:styleId="Dokumentoversigt">
    <w:name w:val="Document Map"/>
    <w:basedOn w:val="Normal"/>
    <w:link w:val="DokumentoversigtTegn"/>
    <w:uiPriority w:val="99"/>
    <w:semiHidden/>
    <w:unhideWhenUsed/>
    <w:rsid w:val="00A75091"/>
    <w:pPr>
      <w:widowControl w:val="0"/>
      <w:autoSpaceDE w:val="0"/>
      <w:autoSpaceDN w:val="0"/>
      <w:adjustRightInd w:val="0"/>
    </w:pPr>
    <w:rPr>
      <w:rFonts w:ascii="Tahoma" w:hAnsi="Tahoma"/>
      <w:sz w:val="16"/>
      <w:szCs w:val="16"/>
      <w:lang w:eastAsia="da-DK"/>
    </w:rPr>
  </w:style>
  <w:style w:type="character" w:customStyle="1" w:styleId="DokumentoversigtTegn">
    <w:name w:val="Dokumentoversigt Tegn"/>
    <w:basedOn w:val="Standardskrifttypeiafsnit"/>
    <w:link w:val="Dokumentoversigt"/>
    <w:uiPriority w:val="99"/>
    <w:semiHidden/>
    <w:rsid w:val="00A75091"/>
    <w:rPr>
      <w:rFonts w:ascii="Tahoma" w:hAnsi="Tahoma"/>
      <w:sz w:val="16"/>
      <w:szCs w:val="16"/>
    </w:rPr>
  </w:style>
  <w:style w:type="paragraph" w:styleId="Almindeligtekst">
    <w:name w:val="Plain Text"/>
    <w:basedOn w:val="Normal"/>
    <w:link w:val="AlmindeligtekstTegn"/>
    <w:uiPriority w:val="99"/>
    <w:semiHidden/>
    <w:unhideWhenUsed/>
    <w:rsid w:val="00A75091"/>
    <w:pPr>
      <w:widowControl w:val="0"/>
      <w:autoSpaceDE w:val="0"/>
      <w:autoSpaceDN w:val="0"/>
      <w:adjustRightInd w:val="0"/>
    </w:pPr>
    <w:rPr>
      <w:rFonts w:ascii="Courier New" w:hAnsi="Courier New"/>
      <w:sz w:val="20"/>
      <w:lang w:eastAsia="da-DK"/>
    </w:rPr>
  </w:style>
  <w:style w:type="character" w:customStyle="1" w:styleId="AlmindeligtekstTegn">
    <w:name w:val="Almindelig tekst Tegn"/>
    <w:basedOn w:val="Standardskrifttypeiafsnit"/>
    <w:link w:val="Almindeligtekst"/>
    <w:uiPriority w:val="99"/>
    <w:semiHidden/>
    <w:rsid w:val="00A75091"/>
    <w:rPr>
      <w:rFonts w:ascii="Courier New" w:hAnsi="Courier New"/>
    </w:rPr>
  </w:style>
  <w:style w:type="paragraph" w:styleId="Mailsignatur">
    <w:name w:val="E-mail Signature"/>
    <w:basedOn w:val="Normal"/>
    <w:link w:val="MailsignaturTegn"/>
    <w:uiPriority w:val="99"/>
    <w:semiHidden/>
    <w:unhideWhenUsed/>
    <w:rsid w:val="00A75091"/>
    <w:pPr>
      <w:widowControl w:val="0"/>
      <w:autoSpaceDE w:val="0"/>
      <w:autoSpaceDN w:val="0"/>
      <w:adjustRightInd w:val="0"/>
    </w:pPr>
    <w:rPr>
      <w:sz w:val="24"/>
      <w:szCs w:val="24"/>
      <w:lang w:eastAsia="da-DK"/>
    </w:rPr>
  </w:style>
  <w:style w:type="character" w:customStyle="1" w:styleId="MailsignaturTegn">
    <w:name w:val="Mailsignatur Tegn"/>
    <w:basedOn w:val="Standardskrifttypeiafsnit"/>
    <w:link w:val="Mailsignatur"/>
    <w:uiPriority w:val="99"/>
    <w:semiHidden/>
    <w:rsid w:val="00A75091"/>
    <w:rPr>
      <w:sz w:val="24"/>
      <w:szCs w:val="24"/>
    </w:rPr>
  </w:style>
  <w:style w:type="character" w:customStyle="1" w:styleId="MarkeringsbobletekstTegn">
    <w:name w:val="Markeringsbobletekst Tegn"/>
    <w:basedOn w:val="Standardskrifttypeiafsnit"/>
    <w:link w:val="Markeringsbobletekst"/>
    <w:uiPriority w:val="99"/>
    <w:semiHidden/>
    <w:rsid w:val="00A75091"/>
    <w:rPr>
      <w:rFonts w:ascii="Tahoma" w:hAnsi="Tahoma" w:cs="Tahoma"/>
      <w:sz w:val="16"/>
      <w:szCs w:val="16"/>
      <w:lang w:eastAsia="en-US"/>
    </w:rPr>
  </w:style>
  <w:style w:type="paragraph" w:styleId="Ingenafstand">
    <w:name w:val="No Spacing"/>
    <w:uiPriority w:val="1"/>
    <w:qFormat/>
    <w:rsid w:val="00A75091"/>
    <w:pPr>
      <w:widowControl w:val="0"/>
      <w:autoSpaceDE w:val="0"/>
      <w:autoSpaceDN w:val="0"/>
      <w:adjustRightInd w:val="0"/>
    </w:pPr>
    <w:rPr>
      <w:sz w:val="24"/>
      <w:szCs w:val="24"/>
    </w:rPr>
  </w:style>
  <w:style w:type="paragraph" w:styleId="Korrektur">
    <w:name w:val="Revision"/>
    <w:uiPriority w:val="99"/>
    <w:semiHidden/>
    <w:rsid w:val="00A75091"/>
    <w:pPr>
      <w:autoSpaceDN w:val="0"/>
    </w:pPr>
    <w:rPr>
      <w:sz w:val="24"/>
      <w:szCs w:val="24"/>
    </w:rPr>
  </w:style>
  <w:style w:type="paragraph" w:styleId="Citat">
    <w:name w:val="Quote"/>
    <w:basedOn w:val="Normal"/>
    <w:next w:val="Normal"/>
    <w:link w:val="CitatTegn"/>
    <w:uiPriority w:val="29"/>
    <w:qFormat/>
    <w:rsid w:val="00A75091"/>
    <w:pPr>
      <w:widowControl w:val="0"/>
      <w:autoSpaceDE w:val="0"/>
      <w:autoSpaceDN w:val="0"/>
      <w:adjustRightInd w:val="0"/>
    </w:pPr>
    <w:rPr>
      <w:i/>
      <w:iCs/>
      <w:color w:val="000000"/>
      <w:sz w:val="24"/>
      <w:szCs w:val="24"/>
      <w:lang w:eastAsia="da-DK"/>
    </w:rPr>
  </w:style>
  <w:style w:type="character" w:customStyle="1" w:styleId="CitatTegn">
    <w:name w:val="Citat Tegn"/>
    <w:basedOn w:val="Standardskrifttypeiafsnit"/>
    <w:link w:val="Citat"/>
    <w:uiPriority w:val="29"/>
    <w:rsid w:val="00A75091"/>
    <w:rPr>
      <w:i/>
      <w:iCs/>
      <w:color w:val="000000"/>
      <w:sz w:val="24"/>
      <w:szCs w:val="24"/>
    </w:rPr>
  </w:style>
  <w:style w:type="paragraph" w:styleId="Strktcitat">
    <w:name w:val="Intense Quote"/>
    <w:basedOn w:val="Normal"/>
    <w:next w:val="Normal"/>
    <w:link w:val="StrktcitatTegn"/>
    <w:uiPriority w:val="30"/>
    <w:qFormat/>
    <w:rsid w:val="00A75091"/>
    <w:pPr>
      <w:widowControl w:val="0"/>
      <w:pBdr>
        <w:bottom w:val="single" w:sz="4" w:space="4" w:color="4F81BD"/>
      </w:pBdr>
      <w:autoSpaceDE w:val="0"/>
      <w:autoSpaceDN w:val="0"/>
      <w:adjustRightInd w:val="0"/>
      <w:spacing w:before="200" w:after="280"/>
      <w:ind w:left="936" w:right="936"/>
    </w:pPr>
    <w:rPr>
      <w:b/>
      <w:bCs/>
      <w:i/>
      <w:iCs/>
      <w:color w:val="4F81BD"/>
      <w:sz w:val="24"/>
      <w:szCs w:val="24"/>
      <w:lang w:eastAsia="da-DK"/>
    </w:rPr>
  </w:style>
  <w:style w:type="character" w:customStyle="1" w:styleId="StrktcitatTegn">
    <w:name w:val="Stærkt citat Tegn"/>
    <w:basedOn w:val="Standardskrifttypeiafsnit"/>
    <w:link w:val="Strktcitat"/>
    <w:uiPriority w:val="30"/>
    <w:rsid w:val="00A75091"/>
    <w:rPr>
      <w:b/>
      <w:bCs/>
      <w:i/>
      <w:iCs/>
      <w:color w:val="4F81BD"/>
      <w:sz w:val="24"/>
      <w:szCs w:val="24"/>
    </w:rPr>
  </w:style>
  <w:style w:type="paragraph" w:styleId="Bibliografi">
    <w:name w:val="Bibliography"/>
    <w:basedOn w:val="Normal"/>
    <w:next w:val="Normal"/>
    <w:uiPriority w:val="37"/>
    <w:semiHidden/>
    <w:unhideWhenUsed/>
    <w:rsid w:val="00A75091"/>
    <w:pPr>
      <w:widowControl w:val="0"/>
      <w:autoSpaceDE w:val="0"/>
      <w:autoSpaceDN w:val="0"/>
      <w:adjustRightInd w:val="0"/>
    </w:pPr>
    <w:rPr>
      <w:sz w:val="24"/>
      <w:szCs w:val="24"/>
      <w:lang w:eastAsia="da-DK"/>
    </w:rPr>
  </w:style>
  <w:style w:type="paragraph" w:styleId="Overskrift">
    <w:name w:val="TOC Heading"/>
    <w:basedOn w:val="Overskrift1"/>
    <w:next w:val="Normal"/>
    <w:uiPriority w:val="39"/>
    <w:semiHidden/>
    <w:unhideWhenUsed/>
    <w:qFormat/>
    <w:rsid w:val="00A75091"/>
    <w:pPr>
      <w:widowControl w:val="0"/>
      <w:autoSpaceDE w:val="0"/>
      <w:autoSpaceDN w:val="0"/>
      <w:adjustRightInd w:val="0"/>
      <w:outlineLvl w:val="9"/>
    </w:pPr>
    <w:rPr>
      <w:rFonts w:ascii="Cambria" w:hAnsi="Cambria"/>
      <w:bCs/>
      <w:kern w:val="32"/>
      <w:sz w:val="32"/>
      <w:szCs w:val="32"/>
      <w:lang w:eastAsia="da-DK"/>
    </w:rPr>
  </w:style>
  <w:style w:type="paragraph" w:customStyle="1" w:styleId="TableParagraph">
    <w:name w:val="Table Paragraph"/>
    <w:basedOn w:val="Normal"/>
    <w:uiPriority w:val="1"/>
    <w:qFormat/>
    <w:rsid w:val="00A75091"/>
    <w:pPr>
      <w:widowControl w:val="0"/>
      <w:autoSpaceDE w:val="0"/>
      <w:autoSpaceDN w:val="0"/>
      <w:adjustRightInd w:val="0"/>
    </w:pPr>
    <w:rPr>
      <w:sz w:val="24"/>
      <w:szCs w:val="24"/>
      <w:lang w:eastAsia="da-DK"/>
    </w:rPr>
  </w:style>
  <w:style w:type="character" w:customStyle="1" w:styleId="NorLABChar">
    <w:name w:val="Nor LAB Char"/>
    <w:link w:val="NorLAB"/>
    <w:uiPriority w:val="5"/>
    <w:semiHidden/>
    <w:locked/>
    <w:rsid w:val="00A75091"/>
    <w:rPr>
      <w:b/>
      <w:caps/>
      <w:noProof/>
      <w:sz w:val="24"/>
      <w:lang w:val="fr-FR" w:eastAsia="fr-FR"/>
    </w:rPr>
  </w:style>
  <w:style w:type="paragraph" w:customStyle="1" w:styleId="NorLAB">
    <w:name w:val="Nor LAB"/>
    <w:basedOn w:val="Normal"/>
    <w:link w:val="NorLABChar"/>
    <w:uiPriority w:val="5"/>
    <w:semiHidden/>
    <w:qFormat/>
    <w:rsid w:val="00A75091"/>
    <w:pPr>
      <w:pBdr>
        <w:top w:val="single" w:sz="4" w:space="1" w:color="auto"/>
        <w:left w:val="single" w:sz="4" w:space="4" w:color="auto"/>
        <w:bottom w:val="single" w:sz="4" w:space="1" w:color="auto"/>
        <w:right w:val="single" w:sz="4" w:space="4" w:color="auto"/>
      </w:pBdr>
      <w:autoSpaceDN w:val="0"/>
      <w:jc w:val="both"/>
    </w:pPr>
    <w:rPr>
      <w:b/>
      <w:caps/>
      <w:noProof/>
      <w:sz w:val="24"/>
      <w:lang w:val="fr-FR" w:eastAsia="fr-FR"/>
    </w:rPr>
  </w:style>
  <w:style w:type="character" w:customStyle="1" w:styleId="SubheadingsSmPCChar">
    <w:name w:val="Subheadings SmPC Char"/>
    <w:link w:val="SubheadingsSmPC"/>
    <w:semiHidden/>
    <w:locked/>
    <w:rsid w:val="00A75091"/>
    <w:rPr>
      <w:rFonts w:eastAsia="MS Mincho"/>
      <w:b/>
      <w:sz w:val="24"/>
      <w:szCs w:val="24"/>
      <w:lang w:val="en-GB" w:eastAsia="de-DE"/>
    </w:rPr>
  </w:style>
  <w:style w:type="paragraph" w:customStyle="1" w:styleId="SubheadingsSmPC">
    <w:name w:val="Subheadings SmPC"/>
    <w:basedOn w:val="Normal"/>
    <w:link w:val="SubheadingsSmPCChar"/>
    <w:semiHidden/>
    <w:qFormat/>
    <w:rsid w:val="00A75091"/>
    <w:pPr>
      <w:keepNext/>
      <w:widowControl w:val="0"/>
      <w:autoSpaceDN w:val="0"/>
      <w:ind w:left="567" w:hanging="567"/>
    </w:pPr>
    <w:rPr>
      <w:rFonts w:eastAsia="MS Mincho"/>
      <w:b/>
      <w:sz w:val="24"/>
      <w:szCs w:val="24"/>
      <w:lang w:val="en-GB" w:eastAsia="de-DE"/>
    </w:rPr>
  </w:style>
  <w:style w:type="paragraph" w:customStyle="1" w:styleId="TabletextrowsAgency">
    <w:name w:val="Table text rows (Agency)"/>
    <w:basedOn w:val="Normal"/>
    <w:uiPriority w:val="99"/>
    <w:semiHidden/>
    <w:rsid w:val="00A75091"/>
    <w:pPr>
      <w:autoSpaceDN w:val="0"/>
      <w:spacing w:line="280" w:lineRule="exact"/>
    </w:pPr>
    <w:rPr>
      <w:rFonts w:ascii="Verdana" w:hAnsi="Verdana"/>
      <w:sz w:val="18"/>
      <w:lang w:val="fr-LU" w:eastAsia="fr-LU"/>
    </w:rPr>
  </w:style>
  <w:style w:type="paragraph" w:customStyle="1" w:styleId="Default">
    <w:name w:val="Default"/>
    <w:uiPriority w:val="99"/>
    <w:semiHidden/>
    <w:rsid w:val="00A75091"/>
    <w:pPr>
      <w:autoSpaceDE w:val="0"/>
      <w:autoSpaceDN w:val="0"/>
      <w:adjustRightInd w:val="0"/>
    </w:pPr>
    <w:rPr>
      <w:color w:val="000000"/>
      <w:sz w:val="24"/>
      <w:szCs w:val="24"/>
    </w:rPr>
  </w:style>
  <w:style w:type="paragraph" w:customStyle="1" w:styleId="Text1">
    <w:name w:val="Text 1"/>
    <w:basedOn w:val="Normal"/>
    <w:uiPriority w:val="99"/>
    <w:semiHidden/>
    <w:rsid w:val="00A75091"/>
    <w:pPr>
      <w:autoSpaceDE w:val="0"/>
      <w:autoSpaceDN w:val="0"/>
      <w:spacing w:after="240"/>
    </w:pPr>
    <w:rPr>
      <w:sz w:val="20"/>
      <w:szCs w:val="24"/>
      <w:lang w:val="en-US" w:eastAsia="de-DE"/>
    </w:rPr>
  </w:style>
  <w:style w:type="paragraph" w:customStyle="1" w:styleId="ZentivaTitlecap">
    <w:name w:val="Zentiva Title cap"/>
    <w:basedOn w:val="Overskrift1"/>
    <w:autoRedefine/>
    <w:uiPriority w:val="99"/>
    <w:semiHidden/>
    <w:qFormat/>
    <w:rsid w:val="00A75091"/>
    <w:pPr>
      <w:keepLines/>
      <w:suppressAutoHyphens/>
      <w:autoSpaceDN w:val="0"/>
      <w:spacing w:before="0" w:after="0"/>
      <w:ind w:hanging="10"/>
      <w:jc w:val="center"/>
    </w:pPr>
    <w:rPr>
      <w:rFonts w:ascii="Times New Roman" w:hAnsi="Times New Roman"/>
      <w:color w:val="000000"/>
      <w:kern w:val="0"/>
      <w:sz w:val="22"/>
      <w:szCs w:val="22"/>
      <w:lang w:val="fr-FR" w:eastAsia="en-GB"/>
    </w:rPr>
  </w:style>
  <w:style w:type="paragraph" w:customStyle="1" w:styleId="Zentiva1-1">
    <w:name w:val="Zentiva1-1"/>
    <w:basedOn w:val="Overskrift2"/>
    <w:autoRedefine/>
    <w:uiPriority w:val="99"/>
    <w:semiHidden/>
    <w:rsid w:val="00A75091"/>
    <w:pPr>
      <w:keepNext w:val="0"/>
      <w:widowControl/>
      <w:tabs>
        <w:tab w:val="center" w:pos="0"/>
      </w:tabs>
      <w:suppressAutoHyphens/>
      <w:autoSpaceDE/>
      <w:adjustRightInd/>
      <w:spacing w:before="0" w:after="0"/>
      <w:ind w:left="567" w:hanging="567"/>
    </w:pPr>
    <w:rPr>
      <w:rFonts w:ascii="Times New Roman" w:hAnsi="Times New Roman"/>
      <w:bCs w:val="0"/>
      <w:i w:val="0"/>
      <w:iCs w:val="0"/>
      <w:color w:val="000000"/>
      <w:sz w:val="22"/>
      <w:szCs w:val="22"/>
      <w:u w:color="000000"/>
      <w:lang w:eastAsia="en-GB"/>
    </w:rPr>
  </w:style>
  <w:style w:type="paragraph" w:customStyle="1" w:styleId="Zentiva1-11">
    <w:name w:val="Zentiva1-1.1"/>
    <w:basedOn w:val="Overskrift3"/>
    <w:autoRedefine/>
    <w:uiPriority w:val="99"/>
    <w:semiHidden/>
    <w:qFormat/>
    <w:rsid w:val="00A75091"/>
    <w:pPr>
      <w:keepLines/>
      <w:tabs>
        <w:tab w:val="center" w:pos="0"/>
      </w:tabs>
      <w:autoSpaceDN w:val="0"/>
      <w:spacing w:before="0" w:after="0"/>
      <w:ind w:right="-2"/>
    </w:pPr>
    <w:rPr>
      <w:rFonts w:ascii="Times New Roman" w:hAnsi="Times New Roman"/>
      <w:b/>
      <w:color w:val="000000"/>
      <w:sz w:val="22"/>
      <w:szCs w:val="22"/>
      <w:lang w:val="sv-SE" w:eastAsia="en-GB"/>
    </w:rPr>
  </w:style>
  <w:style w:type="paragraph" w:customStyle="1" w:styleId="ZentivaTitlesub-II">
    <w:name w:val="Zentiva Title sub-II"/>
    <w:basedOn w:val="Overskrift2"/>
    <w:autoRedefine/>
    <w:uiPriority w:val="99"/>
    <w:semiHidden/>
    <w:qFormat/>
    <w:rsid w:val="00A75091"/>
    <w:pPr>
      <w:keepNext w:val="0"/>
      <w:widowControl/>
      <w:suppressAutoHyphens/>
      <w:autoSpaceDE/>
      <w:adjustRightInd/>
      <w:spacing w:before="0" w:after="0"/>
      <w:ind w:left="567" w:hanging="567"/>
    </w:pPr>
    <w:rPr>
      <w:rFonts w:ascii="Times New Roman" w:hAnsi="Times New Roman"/>
      <w:bCs w:val="0"/>
      <w:i w:val="0"/>
      <w:iCs w:val="0"/>
      <w:sz w:val="22"/>
      <w:szCs w:val="22"/>
      <w:u w:color="000000"/>
      <w:lang w:val="sv-SE" w:eastAsia="en-GB"/>
    </w:rPr>
  </w:style>
  <w:style w:type="paragraph" w:customStyle="1" w:styleId="ZentivaTitlesub-cap">
    <w:name w:val="Zentiva Title sub-cap"/>
    <w:basedOn w:val="Overskrift2"/>
    <w:autoRedefine/>
    <w:uiPriority w:val="99"/>
    <w:semiHidden/>
    <w:qFormat/>
    <w:rsid w:val="00A75091"/>
    <w:pPr>
      <w:keepLines/>
      <w:widowControl/>
      <w:suppressAutoHyphens/>
      <w:autoSpaceDE/>
      <w:adjustRightInd/>
      <w:spacing w:before="0" w:after="0"/>
      <w:ind w:hanging="10"/>
      <w:jc w:val="center"/>
    </w:pPr>
    <w:rPr>
      <w:rFonts w:ascii="Times New Roman" w:hAnsi="Times New Roman"/>
      <w:bCs w:val="0"/>
      <w:i w:val="0"/>
      <w:iCs w:val="0"/>
      <w:color w:val="FF0000"/>
      <w:sz w:val="22"/>
      <w:szCs w:val="22"/>
      <w:u w:color="000000"/>
      <w:lang w:val="sv-SE" w:eastAsia="en-GB"/>
    </w:rPr>
  </w:style>
  <w:style w:type="paragraph" w:customStyle="1" w:styleId="ZentivaB-sub">
    <w:name w:val="ZentivaB-sub"/>
    <w:basedOn w:val="Overskrift3"/>
    <w:autoRedefine/>
    <w:uiPriority w:val="99"/>
    <w:semiHidden/>
    <w:qFormat/>
    <w:rsid w:val="00A75091"/>
    <w:pPr>
      <w:keepNext w:val="0"/>
      <w:suppressAutoHyphens/>
      <w:autoSpaceDN w:val="0"/>
      <w:spacing w:before="0" w:after="0"/>
      <w:ind w:right="12"/>
      <w:jc w:val="center"/>
    </w:pPr>
    <w:rPr>
      <w:rFonts w:ascii="Times New Roman" w:hAnsi="Times New Roman"/>
      <w:b/>
      <w:color w:val="000000"/>
      <w:sz w:val="22"/>
      <w:szCs w:val="22"/>
      <w:lang w:val="sv-SE" w:eastAsia="en-GB"/>
    </w:rPr>
  </w:style>
  <w:style w:type="paragraph" w:customStyle="1" w:styleId="Zentiva2-1">
    <w:name w:val="Zentiva2-1"/>
    <w:basedOn w:val="Overskrift4"/>
    <w:autoRedefine/>
    <w:uiPriority w:val="99"/>
    <w:semiHidden/>
    <w:qFormat/>
    <w:rsid w:val="00A75091"/>
    <w:pPr>
      <w:keepNext w:val="0"/>
      <w:widowControl/>
      <w:suppressAutoHyphens/>
      <w:autoSpaceDE/>
      <w:adjustRightInd/>
      <w:spacing w:before="0" w:after="0"/>
      <w:ind w:left="567" w:hanging="567"/>
    </w:pPr>
    <w:rPr>
      <w:rFonts w:ascii="Times New Roman" w:hAnsi="Times New Roman"/>
      <w:iCs/>
      <w:sz w:val="22"/>
      <w:szCs w:val="22"/>
      <w:u w:color="000000"/>
      <w:lang w:val="sv-SE" w:eastAsia="en-GB"/>
    </w:rPr>
  </w:style>
  <w:style w:type="paragraph" w:customStyle="1" w:styleId="BodytextAgency">
    <w:name w:val="Body text (Agency)"/>
    <w:basedOn w:val="Normal"/>
    <w:uiPriority w:val="99"/>
    <w:semiHidden/>
    <w:qFormat/>
    <w:rsid w:val="00A75091"/>
    <w:pPr>
      <w:autoSpaceDN w:val="0"/>
      <w:spacing w:after="140" w:line="280" w:lineRule="atLeast"/>
    </w:pPr>
    <w:rPr>
      <w:rFonts w:ascii="Verdana" w:eastAsia="Verdana" w:hAnsi="Verdana"/>
      <w:sz w:val="18"/>
      <w:szCs w:val="18"/>
      <w:lang w:eastAsia="da-DK" w:bidi="da-DK"/>
    </w:rPr>
  </w:style>
  <w:style w:type="paragraph" w:customStyle="1" w:styleId="No-numheading3Agency">
    <w:name w:val="No-num heading 3 (Agency)"/>
    <w:uiPriority w:val="99"/>
    <w:semiHidden/>
    <w:rsid w:val="00A75091"/>
    <w:pPr>
      <w:keepNext/>
      <w:autoSpaceDN w:val="0"/>
      <w:snapToGrid w:val="0"/>
      <w:spacing w:before="280" w:after="220"/>
      <w:outlineLvl w:val="2"/>
    </w:pPr>
    <w:rPr>
      <w:rFonts w:ascii="Verdana" w:hAnsi="Verdana"/>
      <w:b/>
      <w:kern w:val="32"/>
      <w:sz w:val="22"/>
      <w:lang w:val="en-GB" w:eastAsia="fr-LU"/>
    </w:rPr>
  </w:style>
  <w:style w:type="character" w:customStyle="1" w:styleId="HeadingStrongChar">
    <w:name w:val="Heading Strong Char"/>
    <w:link w:val="HeadingStrong"/>
    <w:semiHidden/>
    <w:locked/>
    <w:rsid w:val="00A75091"/>
    <w:rPr>
      <w:rFonts w:eastAsia="SimSun"/>
      <w:b/>
      <w:bCs/>
      <w:sz w:val="22"/>
      <w:szCs w:val="22"/>
    </w:rPr>
  </w:style>
  <w:style w:type="paragraph" w:customStyle="1" w:styleId="HeadingStrong">
    <w:name w:val="Heading Strong"/>
    <w:basedOn w:val="Normal"/>
    <w:next w:val="Normal"/>
    <w:link w:val="HeadingStrongChar"/>
    <w:semiHidden/>
    <w:qFormat/>
    <w:rsid w:val="00A75091"/>
    <w:pPr>
      <w:keepNext/>
      <w:keepLines/>
      <w:suppressAutoHyphens/>
      <w:autoSpaceDN w:val="0"/>
    </w:pPr>
    <w:rPr>
      <w:rFonts w:eastAsia="SimSun"/>
      <w:b/>
      <w:bCs/>
      <w:sz w:val="22"/>
      <w:szCs w:val="22"/>
      <w:lang w:eastAsia="da-DK"/>
    </w:rPr>
  </w:style>
  <w:style w:type="paragraph" w:customStyle="1" w:styleId="EMEAEnBodyText">
    <w:name w:val="EMEA En Body Text"/>
    <w:basedOn w:val="Normal"/>
    <w:uiPriority w:val="99"/>
    <w:semiHidden/>
    <w:rsid w:val="00A75091"/>
    <w:pPr>
      <w:autoSpaceDN w:val="0"/>
      <w:spacing w:before="120" w:after="120"/>
      <w:jc w:val="both"/>
    </w:pPr>
    <w:rPr>
      <w:sz w:val="22"/>
      <w:lang w:val="en-US"/>
    </w:rPr>
  </w:style>
  <w:style w:type="character" w:customStyle="1" w:styleId="tlid-translation">
    <w:name w:val="tlid-translation"/>
    <w:basedOn w:val="Standardskrifttypeiafsnit"/>
    <w:rsid w:val="00A75091"/>
  </w:style>
  <w:style w:type="table" w:customStyle="1" w:styleId="TableNormal1">
    <w:name w:val="Table Normal1"/>
    <w:uiPriority w:val="2"/>
    <w:semiHidden/>
    <w:qFormat/>
    <w:rsid w:val="00A75091"/>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326">
      <w:bodyDiv w:val="1"/>
      <w:marLeft w:val="0"/>
      <w:marRight w:val="0"/>
      <w:marTop w:val="0"/>
      <w:marBottom w:val="0"/>
      <w:divBdr>
        <w:top w:val="none" w:sz="0" w:space="0" w:color="auto"/>
        <w:left w:val="none" w:sz="0" w:space="0" w:color="auto"/>
        <w:bottom w:val="none" w:sz="0" w:space="0" w:color="auto"/>
        <w:right w:val="none" w:sz="0" w:space="0" w:color="auto"/>
      </w:divBdr>
    </w:div>
    <w:div w:id="11949575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2329821">
      <w:bodyDiv w:val="1"/>
      <w:marLeft w:val="0"/>
      <w:marRight w:val="0"/>
      <w:marTop w:val="0"/>
      <w:marBottom w:val="0"/>
      <w:divBdr>
        <w:top w:val="none" w:sz="0" w:space="0" w:color="auto"/>
        <w:left w:val="none" w:sz="0" w:space="0" w:color="auto"/>
        <w:bottom w:val="none" w:sz="0" w:space="0" w:color="auto"/>
        <w:right w:val="none" w:sz="0" w:space="0" w:color="auto"/>
      </w:divBdr>
    </w:div>
    <w:div w:id="278293369">
      <w:bodyDiv w:val="1"/>
      <w:marLeft w:val="0"/>
      <w:marRight w:val="0"/>
      <w:marTop w:val="0"/>
      <w:marBottom w:val="0"/>
      <w:divBdr>
        <w:top w:val="none" w:sz="0" w:space="0" w:color="auto"/>
        <w:left w:val="none" w:sz="0" w:space="0" w:color="auto"/>
        <w:bottom w:val="none" w:sz="0" w:space="0" w:color="auto"/>
        <w:right w:val="none" w:sz="0" w:space="0" w:color="auto"/>
      </w:divBdr>
    </w:div>
    <w:div w:id="297610214">
      <w:bodyDiv w:val="1"/>
      <w:marLeft w:val="0"/>
      <w:marRight w:val="0"/>
      <w:marTop w:val="0"/>
      <w:marBottom w:val="0"/>
      <w:divBdr>
        <w:top w:val="none" w:sz="0" w:space="0" w:color="auto"/>
        <w:left w:val="none" w:sz="0" w:space="0" w:color="auto"/>
        <w:bottom w:val="none" w:sz="0" w:space="0" w:color="auto"/>
        <w:right w:val="none" w:sz="0" w:space="0" w:color="auto"/>
      </w:divBdr>
    </w:div>
    <w:div w:id="344482043">
      <w:bodyDiv w:val="1"/>
      <w:marLeft w:val="0"/>
      <w:marRight w:val="0"/>
      <w:marTop w:val="0"/>
      <w:marBottom w:val="0"/>
      <w:divBdr>
        <w:top w:val="none" w:sz="0" w:space="0" w:color="auto"/>
        <w:left w:val="none" w:sz="0" w:space="0" w:color="auto"/>
        <w:bottom w:val="none" w:sz="0" w:space="0" w:color="auto"/>
        <w:right w:val="none" w:sz="0" w:space="0" w:color="auto"/>
      </w:divBdr>
    </w:div>
    <w:div w:id="399134492">
      <w:bodyDiv w:val="1"/>
      <w:marLeft w:val="0"/>
      <w:marRight w:val="0"/>
      <w:marTop w:val="0"/>
      <w:marBottom w:val="0"/>
      <w:divBdr>
        <w:top w:val="none" w:sz="0" w:space="0" w:color="auto"/>
        <w:left w:val="none" w:sz="0" w:space="0" w:color="auto"/>
        <w:bottom w:val="none" w:sz="0" w:space="0" w:color="auto"/>
        <w:right w:val="none" w:sz="0" w:space="0" w:color="auto"/>
      </w:divBdr>
    </w:div>
    <w:div w:id="413480188">
      <w:bodyDiv w:val="1"/>
      <w:marLeft w:val="0"/>
      <w:marRight w:val="0"/>
      <w:marTop w:val="0"/>
      <w:marBottom w:val="0"/>
      <w:divBdr>
        <w:top w:val="none" w:sz="0" w:space="0" w:color="auto"/>
        <w:left w:val="none" w:sz="0" w:space="0" w:color="auto"/>
        <w:bottom w:val="none" w:sz="0" w:space="0" w:color="auto"/>
        <w:right w:val="none" w:sz="0" w:space="0" w:color="auto"/>
      </w:divBdr>
    </w:div>
    <w:div w:id="469707371">
      <w:bodyDiv w:val="1"/>
      <w:marLeft w:val="0"/>
      <w:marRight w:val="0"/>
      <w:marTop w:val="0"/>
      <w:marBottom w:val="0"/>
      <w:divBdr>
        <w:top w:val="none" w:sz="0" w:space="0" w:color="auto"/>
        <w:left w:val="none" w:sz="0" w:space="0" w:color="auto"/>
        <w:bottom w:val="none" w:sz="0" w:space="0" w:color="auto"/>
        <w:right w:val="none" w:sz="0" w:space="0" w:color="auto"/>
      </w:divBdr>
    </w:div>
    <w:div w:id="498542367">
      <w:bodyDiv w:val="1"/>
      <w:marLeft w:val="0"/>
      <w:marRight w:val="0"/>
      <w:marTop w:val="0"/>
      <w:marBottom w:val="0"/>
      <w:divBdr>
        <w:top w:val="none" w:sz="0" w:space="0" w:color="auto"/>
        <w:left w:val="none" w:sz="0" w:space="0" w:color="auto"/>
        <w:bottom w:val="none" w:sz="0" w:space="0" w:color="auto"/>
        <w:right w:val="none" w:sz="0" w:space="0" w:color="auto"/>
      </w:divBdr>
    </w:div>
    <w:div w:id="605425845">
      <w:bodyDiv w:val="1"/>
      <w:marLeft w:val="0"/>
      <w:marRight w:val="0"/>
      <w:marTop w:val="0"/>
      <w:marBottom w:val="0"/>
      <w:divBdr>
        <w:top w:val="none" w:sz="0" w:space="0" w:color="auto"/>
        <w:left w:val="none" w:sz="0" w:space="0" w:color="auto"/>
        <w:bottom w:val="none" w:sz="0" w:space="0" w:color="auto"/>
        <w:right w:val="none" w:sz="0" w:space="0" w:color="auto"/>
      </w:divBdr>
    </w:div>
    <w:div w:id="698238687">
      <w:bodyDiv w:val="1"/>
      <w:marLeft w:val="0"/>
      <w:marRight w:val="0"/>
      <w:marTop w:val="0"/>
      <w:marBottom w:val="0"/>
      <w:divBdr>
        <w:top w:val="none" w:sz="0" w:space="0" w:color="auto"/>
        <w:left w:val="none" w:sz="0" w:space="0" w:color="auto"/>
        <w:bottom w:val="none" w:sz="0" w:space="0" w:color="auto"/>
        <w:right w:val="none" w:sz="0" w:space="0" w:color="auto"/>
      </w:divBdr>
    </w:div>
    <w:div w:id="924611382">
      <w:bodyDiv w:val="1"/>
      <w:marLeft w:val="0"/>
      <w:marRight w:val="0"/>
      <w:marTop w:val="0"/>
      <w:marBottom w:val="0"/>
      <w:divBdr>
        <w:top w:val="none" w:sz="0" w:space="0" w:color="auto"/>
        <w:left w:val="none" w:sz="0" w:space="0" w:color="auto"/>
        <w:bottom w:val="none" w:sz="0" w:space="0" w:color="auto"/>
        <w:right w:val="none" w:sz="0" w:space="0" w:color="auto"/>
      </w:divBdr>
    </w:div>
    <w:div w:id="1126583201">
      <w:bodyDiv w:val="1"/>
      <w:marLeft w:val="0"/>
      <w:marRight w:val="0"/>
      <w:marTop w:val="0"/>
      <w:marBottom w:val="0"/>
      <w:divBdr>
        <w:top w:val="none" w:sz="0" w:space="0" w:color="auto"/>
        <w:left w:val="none" w:sz="0" w:space="0" w:color="auto"/>
        <w:bottom w:val="none" w:sz="0" w:space="0" w:color="auto"/>
        <w:right w:val="none" w:sz="0" w:space="0" w:color="auto"/>
      </w:divBdr>
    </w:div>
    <w:div w:id="1247308059">
      <w:bodyDiv w:val="1"/>
      <w:marLeft w:val="0"/>
      <w:marRight w:val="0"/>
      <w:marTop w:val="0"/>
      <w:marBottom w:val="0"/>
      <w:divBdr>
        <w:top w:val="none" w:sz="0" w:space="0" w:color="auto"/>
        <w:left w:val="none" w:sz="0" w:space="0" w:color="auto"/>
        <w:bottom w:val="none" w:sz="0" w:space="0" w:color="auto"/>
        <w:right w:val="none" w:sz="0" w:space="0" w:color="auto"/>
      </w:divBdr>
    </w:div>
    <w:div w:id="1325550626">
      <w:bodyDiv w:val="1"/>
      <w:marLeft w:val="0"/>
      <w:marRight w:val="0"/>
      <w:marTop w:val="0"/>
      <w:marBottom w:val="0"/>
      <w:divBdr>
        <w:top w:val="none" w:sz="0" w:space="0" w:color="auto"/>
        <w:left w:val="none" w:sz="0" w:space="0" w:color="auto"/>
        <w:bottom w:val="none" w:sz="0" w:space="0" w:color="auto"/>
        <w:right w:val="none" w:sz="0" w:space="0" w:color="auto"/>
      </w:divBdr>
    </w:div>
    <w:div w:id="1535116895">
      <w:bodyDiv w:val="1"/>
      <w:marLeft w:val="0"/>
      <w:marRight w:val="0"/>
      <w:marTop w:val="0"/>
      <w:marBottom w:val="0"/>
      <w:divBdr>
        <w:top w:val="none" w:sz="0" w:space="0" w:color="auto"/>
        <w:left w:val="none" w:sz="0" w:space="0" w:color="auto"/>
        <w:bottom w:val="none" w:sz="0" w:space="0" w:color="auto"/>
        <w:right w:val="none" w:sz="0" w:space="0" w:color="auto"/>
      </w:divBdr>
    </w:div>
    <w:div w:id="1565988080">
      <w:bodyDiv w:val="1"/>
      <w:marLeft w:val="0"/>
      <w:marRight w:val="0"/>
      <w:marTop w:val="0"/>
      <w:marBottom w:val="0"/>
      <w:divBdr>
        <w:top w:val="none" w:sz="0" w:space="0" w:color="auto"/>
        <w:left w:val="none" w:sz="0" w:space="0" w:color="auto"/>
        <w:bottom w:val="none" w:sz="0" w:space="0" w:color="auto"/>
        <w:right w:val="none" w:sz="0" w:space="0" w:color="auto"/>
      </w:divBdr>
    </w:div>
    <w:div w:id="1810129312">
      <w:bodyDiv w:val="1"/>
      <w:marLeft w:val="0"/>
      <w:marRight w:val="0"/>
      <w:marTop w:val="0"/>
      <w:marBottom w:val="0"/>
      <w:divBdr>
        <w:top w:val="none" w:sz="0" w:space="0" w:color="auto"/>
        <w:left w:val="none" w:sz="0" w:space="0" w:color="auto"/>
        <w:bottom w:val="none" w:sz="0" w:space="0" w:color="auto"/>
        <w:right w:val="none" w:sz="0" w:space="0" w:color="auto"/>
      </w:divBdr>
    </w:div>
    <w:div w:id="2084714944">
      <w:bodyDiv w:val="1"/>
      <w:marLeft w:val="0"/>
      <w:marRight w:val="0"/>
      <w:marTop w:val="0"/>
      <w:marBottom w:val="0"/>
      <w:divBdr>
        <w:top w:val="none" w:sz="0" w:space="0" w:color="auto"/>
        <w:left w:val="none" w:sz="0" w:space="0" w:color="auto"/>
        <w:bottom w:val="none" w:sz="0" w:space="0" w:color="auto"/>
        <w:right w:val="none" w:sz="0" w:space="0" w:color="auto"/>
      </w:divBdr>
    </w:div>
    <w:div w:id="2126190685">
      <w:bodyDiv w:val="1"/>
      <w:marLeft w:val="0"/>
      <w:marRight w:val="0"/>
      <w:marTop w:val="0"/>
      <w:marBottom w:val="0"/>
      <w:divBdr>
        <w:top w:val="none" w:sz="0" w:space="0" w:color="auto"/>
        <w:left w:val="none" w:sz="0" w:space="0" w:color="auto"/>
        <w:bottom w:val="none" w:sz="0" w:space="0" w:color="auto"/>
        <w:right w:val="none" w:sz="0" w:space="0" w:color="auto"/>
      </w:divBdr>
    </w:div>
    <w:div w:id="21441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95</TotalTime>
  <Pages>34</Pages>
  <Words>12037</Words>
  <Characters>70727</Characters>
  <Application>Microsoft Office Word</Application>
  <DocSecurity>0</DocSecurity>
  <Lines>589</Lines>
  <Paragraphs>165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2023101093, MT</dc:description>
  <cp:lastModifiedBy>Gitte Jørgensen</cp:lastModifiedBy>
  <cp:revision>9</cp:revision>
  <cp:lastPrinted>2012-08-22T08:53:00Z</cp:lastPrinted>
  <dcterms:created xsi:type="dcterms:W3CDTF">2025-02-17T07:24:00Z</dcterms:created>
  <dcterms:modified xsi:type="dcterms:W3CDTF">2025-02-19T07:18:00Z</dcterms:modified>
</cp:coreProperties>
</file>